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CF07EA">
      <w:pPr>
        <w:adjustRightInd/>
        <w:spacing w:line="360" w:lineRule="auto"/>
        <w:jc w:val="distribute"/>
        <w:outlineLvl w:val="0"/>
        <w:rPr>
          <w:rFonts w:hint="eastAsia"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绍兴市轨道交通2号线一期</w:t>
      </w:r>
    </w:p>
    <w:p w14:paraId="3192C108">
      <w:pPr>
        <w:adjustRightInd/>
        <w:spacing w:line="360" w:lineRule="auto"/>
        <w:jc w:val="center"/>
        <w:outlineLvl w:val="0"/>
        <w:rPr>
          <w:rFonts w:ascii="仿宋" w:hAnsi="仿宋" w:eastAsia="仿宋" w:cs="仿宋"/>
          <w:b/>
          <w:bCs/>
          <w:color w:val="auto"/>
          <w:sz w:val="56"/>
          <w:szCs w:val="56"/>
          <w:highlight w:val="none"/>
        </w:rPr>
      </w:pPr>
      <w:r>
        <w:rPr>
          <w:rFonts w:hint="eastAsia" w:ascii="仿宋" w:hAnsi="仿宋" w:eastAsia="仿宋" w:cs="仿宋"/>
          <w:b/>
          <w:bCs/>
          <w:color w:val="auto"/>
          <w:sz w:val="56"/>
          <w:szCs w:val="56"/>
          <w:highlight w:val="none"/>
        </w:rPr>
        <w:t>202</w:t>
      </w:r>
      <w:r>
        <w:rPr>
          <w:rFonts w:hint="eastAsia" w:ascii="仿宋" w:hAnsi="仿宋" w:eastAsia="仿宋" w:cs="仿宋"/>
          <w:b/>
          <w:bCs/>
          <w:color w:val="auto"/>
          <w:sz w:val="56"/>
          <w:szCs w:val="56"/>
          <w:highlight w:val="none"/>
          <w:lang w:val="en-US" w:eastAsia="zh-CN"/>
        </w:rPr>
        <w:t>4</w:t>
      </w:r>
      <w:r>
        <w:rPr>
          <w:rFonts w:hint="eastAsia" w:ascii="仿宋" w:hAnsi="仿宋" w:eastAsia="仿宋" w:cs="仿宋"/>
          <w:b/>
          <w:bCs/>
          <w:color w:val="auto"/>
          <w:sz w:val="56"/>
          <w:szCs w:val="56"/>
          <w:highlight w:val="none"/>
        </w:rPr>
        <w:t>-2026年运营保险项目</w:t>
      </w:r>
    </w:p>
    <w:p w14:paraId="3D36BA7D">
      <w:pPr>
        <w:jc w:val="center"/>
        <w:outlineLvl w:val="9"/>
        <w:rPr>
          <w:rFonts w:ascii="仿宋" w:hAnsi="仿宋" w:eastAsia="仿宋" w:cs="仿宋"/>
          <w:b/>
          <w:color w:val="auto"/>
          <w:sz w:val="72"/>
          <w:szCs w:val="72"/>
          <w:highlight w:val="none"/>
        </w:rPr>
      </w:pPr>
    </w:p>
    <w:p w14:paraId="28E61A4B">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69BEEF5">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D6490A1">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133B505">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79E021FB">
      <w:pPr>
        <w:jc w:val="center"/>
        <w:outlineLvl w:val="9"/>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77E9ADE">
      <w:pPr>
        <w:jc w:val="center"/>
        <w:outlineLvl w:val="9"/>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64206B36">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2332411">
      <w:pPr>
        <w:jc w:val="center"/>
        <w:rPr>
          <w:rFonts w:hint="eastAsia" w:ascii="仿宋" w:hAnsi="仿宋" w:eastAsia="仿宋" w:cs="仿宋"/>
          <w:b/>
          <w:color w:val="auto"/>
          <w:sz w:val="28"/>
          <w:szCs w:val="28"/>
          <w:highlight w:val="none"/>
        </w:rPr>
      </w:pPr>
    </w:p>
    <w:p w14:paraId="3C6656BF">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招标编号:CGSHZJ-2024-N001073</w:t>
      </w:r>
    </w:p>
    <w:tbl>
      <w:tblPr>
        <w:tblStyle w:val="64"/>
        <w:tblW w:w="7801" w:type="dxa"/>
        <w:jc w:val="center"/>
        <w:tblLayout w:type="fixed"/>
        <w:tblCellMar>
          <w:top w:w="0" w:type="dxa"/>
          <w:left w:w="108" w:type="dxa"/>
          <w:bottom w:w="0" w:type="dxa"/>
          <w:right w:w="108" w:type="dxa"/>
        </w:tblCellMar>
      </w:tblPr>
      <w:tblGrid>
        <w:gridCol w:w="2356"/>
        <w:gridCol w:w="5445"/>
      </w:tblGrid>
      <w:tr w14:paraId="458F7FAB">
        <w:tblPrEx>
          <w:tblCellMar>
            <w:top w:w="0" w:type="dxa"/>
            <w:left w:w="108" w:type="dxa"/>
            <w:bottom w:w="0" w:type="dxa"/>
            <w:right w:w="108" w:type="dxa"/>
          </w:tblCellMar>
        </w:tblPrEx>
        <w:trPr>
          <w:trHeight w:val="562" w:hRule="atLeast"/>
          <w:jc w:val="center"/>
        </w:trPr>
        <w:tc>
          <w:tcPr>
            <w:tcW w:w="2356" w:type="dxa"/>
          </w:tcPr>
          <w:p w14:paraId="40C05C63">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1A4AA10">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绍兴市轨道交通集团有限公司运营分公司</w:t>
            </w:r>
          </w:p>
        </w:tc>
      </w:tr>
      <w:tr w14:paraId="6E7340C9">
        <w:tblPrEx>
          <w:tblCellMar>
            <w:top w:w="0" w:type="dxa"/>
            <w:left w:w="108" w:type="dxa"/>
            <w:bottom w:w="0" w:type="dxa"/>
            <w:right w:w="108" w:type="dxa"/>
          </w:tblCellMar>
        </w:tblPrEx>
        <w:trPr>
          <w:trHeight w:val="494" w:hRule="atLeast"/>
          <w:jc w:val="center"/>
        </w:trPr>
        <w:tc>
          <w:tcPr>
            <w:tcW w:w="2356" w:type="dxa"/>
          </w:tcPr>
          <w:p w14:paraId="78BD1CE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12"/>
                <w:w w:val="93"/>
                <w:kern w:val="0"/>
                <w:sz w:val="28"/>
                <w:szCs w:val="28"/>
                <w:highlight w:val="none"/>
              </w:rPr>
              <w:t>采购代理机</w:t>
            </w:r>
            <w:r>
              <w:rPr>
                <w:rFonts w:hint="eastAsia" w:ascii="仿宋" w:hAnsi="仿宋" w:eastAsia="仿宋" w:cs="仿宋"/>
                <w:color w:val="auto"/>
                <w:w w:val="93"/>
                <w:kern w:val="0"/>
                <w:sz w:val="28"/>
                <w:szCs w:val="28"/>
                <w:highlight w:val="none"/>
              </w:rPr>
              <w:t>构</w:t>
            </w:r>
            <w:r>
              <w:rPr>
                <w:rFonts w:hint="eastAsia" w:ascii="仿宋" w:hAnsi="仿宋" w:eastAsia="仿宋" w:cs="仿宋"/>
                <w:color w:val="auto"/>
                <w:sz w:val="28"/>
                <w:szCs w:val="28"/>
                <w:highlight w:val="none"/>
              </w:rPr>
              <w:t>：</w:t>
            </w:r>
          </w:p>
        </w:tc>
        <w:tc>
          <w:tcPr>
            <w:tcW w:w="5445" w:type="dxa"/>
          </w:tcPr>
          <w:p w14:paraId="1C2E8BB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融华工程管理有限公司</w:t>
            </w:r>
          </w:p>
        </w:tc>
      </w:tr>
      <w:tr w14:paraId="6C9C3B00">
        <w:tblPrEx>
          <w:tblCellMar>
            <w:top w:w="0" w:type="dxa"/>
            <w:left w:w="108" w:type="dxa"/>
            <w:bottom w:w="0" w:type="dxa"/>
            <w:right w:w="108" w:type="dxa"/>
          </w:tblCellMar>
        </w:tblPrEx>
        <w:trPr>
          <w:trHeight w:val="644" w:hRule="atLeast"/>
          <w:jc w:val="center"/>
        </w:trPr>
        <w:tc>
          <w:tcPr>
            <w:tcW w:w="2356" w:type="dxa"/>
            <w:vAlign w:val="center"/>
          </w:tcPr>
          <w:p w14:paraId="591FF112">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5E6D0736">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绍兴市轨道交通集团有限公司</w:t>
            </w:r>
          </w:p>
        </w:tc>
      </w:tr>
      <w:tr w14:paraId="0114CC55">
        <w:tblPrEx>
          <w:tblCellMar>
            <w:top w:w="0" w:type="dxa"/>
            <w:left w:w="108" w:type="dxa"/>
            <w:bottom w:w="0" w:type="dxa"/>
            <w:right w:w="108" w:type="dxa"/>
          </w:tblCellMar>
        </w:tblPrEx>
        <w:trPr>
          <w:trHeight w:val="333" w:hRule="atLeast"/>
          <w:jc w:val="center"/>
        </w:trPr>
        <w:tc>
          <w:tcPr>
            <w:tcW w:w="7801" w:type="dxa"/>
            <w:gridSpan w:val="2"/>
          </w:tcPr>
          <w:p w14:paraId="3EBA3701">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7B1DFD85">
      <w:pPr>
        <w:pStyle w:val="636"/>
        <w:rPr>
          <w:rFonts w:ascii="仿宋" w:hAnsi="仿宋" w:eastAsia="仿宋" w:cs="仿宋"/>
          <w:color w:val="auto"/>
          <w:highlight w:val="none"/>
        </w:rPr>
        <w:sectPr>
          <w:headerReference r:id="rId4" w:type="first"/>
          <w:footerReference r:id="rId6" w:type="first"/>
          <w:headerReference r:id="rId3" w:type="default"/>
          <w:footerReference r:id="rId5"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titlePg/>
          <w:docGrid w:linePitch="312" w:charSpace="0"/>
        </w:sectPr>
      </w:pPr>
    </w:p>
    <w:p w14:paraId="157330FF">
      <w:pPr>
        <w:pStyle w:val="636"/>
        <w:spacing w:before="0" w:after="0" w:line="360" w:lineRule="auto"/>
        <w:ind w:left="0" w:firstLine="0"/>
        <w:outlineLvl w:val="9"/>
        <w:rPr>
          <w:rFonts w:ascii="仿宋" w:hAnsi="仿宋" w:eastAsia="仿宋" w:cs="仿宋"/>
          <w:color w:val="auto"/>
          <w:highlight w:val="none"/>
        </w:rPr>
      </w:pPr>
    </w:p>
    <w:p w14:paraId="76C662F1">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797B137">
      <w:pPr>
        <w:spacing w:line="360" w:lineRule="auto"/>
        <w:jc w:val="center"/>
        <w:rPr>
          <w:rFonts w:ascii="仿宋" w:hAnsi="仿宋" w:eastAsia="仿宋" w:cs="仿宋"/>
          <w:color w:val="auto"/>
          <w:highlight w:val="none"/>
        </w:rPr>
      </w:pPr>
    </w:p>
    <w:p w14:paraId="3CBAD6DC">
      <w:pPr>
        <w:pStyle w:val="62"/>
        <w:rPr>
          <w:color w:val="auto"/>
          <w:highlight w:val="none"/>
        </w:rPr>
      </w:pPr>
    </w:p>
    <w:p w14:paraId="0303BB63">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B9F57D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64D0BD2D">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6A5CAF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7B2F545">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33B79D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bookmarkEnd w:id="1"/>
    <w:p w14:paraId="339A6461">
      <w:pPr>
        <w:adjustRightInd/>
        <w:spacing w:line="360" w:lineRule="auto"/>
        <w:jc w:val="both"/>
        <w:outlineLvl w:val="9"/>
        <w:rPr>
          <w:rFonts w:ascii="仿宋" w:hAnsi="仿宋" w:eastAsia="仿宋" w:cs="仿宋"/>
          <w:b/>
          <w:color w:val="auto"/>
          <w:sz w:val="36"/>
          <w:szCs w:val="20"/>
          <w:highlight w:val="none"/>
        </w:rPr>
      </w:pPr>
      <w:bookmarkStart w:id="2" w:name="第二部分"/>
      <w:bookmarkStart w:id="3" w:name="_Toc91899870"/>
      <w:bookmarkStart w:id="4" w:name="_Toc91899871"/>
    </w:p>
    <w:p w14:paraId="2FF2AF13">
      <w:pPr>
        <w:spacing w:line="360" w:lineRule="auto"/>
        <w:rPr>
          <w:color w:val="auto"/>
          <w:highlight w:val="none"/>
        </w:rPr>
        <w:sectPr>
          <w:footerReference r:id="rId7" w:type="default"/>
          <w:pgSz w:w="11906" w:h="16838"/>
          <w:pgMar w:top="1474" w:right="1814" w:bottom="1474" w:left="1814" w:header="851" w:footer="834" w:gutter="0"/>
          <w:pgBorders>
            <w:top w:val="none" w:sz="0" w:space="0"/>
            <w:left w:val="none" w:sz="0" w:space="0"/>
            <w:bottom w:val="none" w:sz="0" w:space="0"/>
            <w:right w:val="none" w:sz="0" w:space="0"/>
          </w:pgBorders>
          <w:pgNumType w:fmt="decimal"/>
          <w:cols w:space="720" w:num="1"/>
          <w:docGrid w:linePitch="312" w:charSpace="0"/>
        </w:sectPr>
      </w:pPr>
    </w:p>
    <w:p w14:paraId="4B601D16">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6B550C2">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7D700B5">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rPr>
        <w:t>绍兴市轨道交通2号线一期202</w:t>
      </w:r>
      <w:r>
        <w:rPr>
          <w:rFonts w:hint="eastAsia" w:ascii="仿宋" w:hAnsi="仿宋" w:eastAsia="仿宋" w:cs="仿宋"/>
          <w:bCs/>
          <w:color w:val="auto"/>
          <w:sz w:val="24"/>
          <w:highlight w:val="none"/>
          <w:u w:val="single"/>
          <w:lang w:val="en-US" w:eastAsia="zh-CN"/>
        </w:rPr>
        <w:t>4</w:t>
      </w:r>
      <w:r>
        <w:rPr>
          <w:rFonts w:hint="eastAsia" w:ascii="仿宋" w:hAnsi="仿宋" w:eastAsia="仿宋" w:cs="仿宋"/>
          <w:bCs/>
          <w:color w:val="auto"/>
          <w:sz w:val="24"/>
          <w:highlight w:val="none"/>
          <w:u w:val="single"/>
        </w:rPr>
        <w:t>-2026年运营保险项目</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8"/>
          <w:rFonts w:hint="eastAsia" w:ascii="仿宋" w:hAnsi="仿宋" w:eastAsia="仿宋" w:cs="仿宋"/>
          <w:snapToGrid/>
          <w:color w:val="auto"/>
          <w:kern w:val="2"/>
          <w:sz w:val="24"/>
          <w:szCs w:val="24"/>
          <w:highlight w:val="none"/>
        </w:rPr>
        <w:t>https://www.lecaiyun.com/）获取（下载）招标文件，并于202</w:t>
      </w:r>
      <w:r>
        <w:rPr>
          <w:rStyle w:val="78"/>
          <w:rFonts w:hint="eastAsia" w:ascii="仿宋" w:hAnsi="仿宋" w:eastAsia="仿宋" w:cs="仿宋"/>
          <w:snapToGrid/>
          <w:color w:val="auto"/>
          <w:kern w:val="2"/>
          <w:sz w:val="24"/>
          <w:szCs w:val="24"/>
          <w:highlight w:val="none"/>
          <w:lang w:val="en-US" w:eastAsia="zh-CN"/>
        </w:rPr>
        <w:t>4</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12</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13</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09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30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90CF055">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2CDFCF01">
      <w:pPr>
        <w:spacing w:line="440" w:lineRule="exact"/>
        <w:ind w:firstLine="480" w:firstLineChars="200"/>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项目编号：CGSHZJ-2024-N001073</w:t>
      </w:r>
    </w:p>
    <w:p w14:paraId="74466FA8">
      <w:pPr>
        <w:spacing w:line="440" w:lineRule="exact"/>
        <w:ind w:firstLine="480" w:firstLineChars="200"/>
        <w:rPr>
          <w:rFonts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项目名称：绍兴市轨道交通2号线一期202</w:t>
      </w: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-2026年运营保险项目</w:t>
      </w:r>
    </w:p>
    <w:p w14:paraId="21DEB767">
      <w:pPr>
        <w:spacing w:line="440" w:lineRule="exact"/>
        <w:ind w:firstLine="480" w:firstLineChars="200"/>
        <w:rPr>
          <w:rFonts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预算金额（元）：年保险综合费率0.0298%（服务期保险费42480</w:t>
      </w:r>
      <w:r>
        <w:rPr>
          <w:rFonts w:hint="eastAsia" w:ascii="仿宋" w:hAnsi="仿宋" w:eastAsia="仿宋" w:cs="仿宋"/>
          <w:b w:val="0"/>
          <w:bCs/>
          <w:color w:val="auto"/>
          <w:sz w:val="24"/>
          <w:highlight w:val="none"/>
          <w:lang w:val="en-US" w:eastAsia="zh-CN"/>
        </w:rPr>
        <w:t>00</w:t>
      </w:r>
      <w:r>
        <w:rPr>
          <w:rFonts w:hint="eastAsia" w:ascii="仿宋" w:hAnsi="仿宋" w:eastAsia="仿宋" w:cs="仿宋"/>
          <w:b w:val="0"/>
          <w:bCs/>
          <w:color w:val="auto"/>
          <w:sz w:val="24"/>
          <w:highlight w:val="none"/>
        </w:rPr>
        <w:t>元）</w:t>
      </w:r>
    </w:p>
    <w:p w14:paraId="0CA93270">
      <w:pPr>
        <w:spacing w:line="440" w:lineRule="exact"/>
        <w:ind w:firstLine="480" w:firstLineChars="200"/>
        <w:rPr>
          <w:rFonts w:hint="default" w:ascii="仿宋" w:hAnsi="仿宋" w:eastAsia="仿宋" w:cs="仿宋"/>
          <w:b w:val="0"/>
          <w:bCs/>
          <w:color w:val="auto"/>
          <w:sz w:val="24"/>
          <w:highlight w:val="none"/>
          <w:lang w:val="en-US"/>
        </w:rPr>
      </w:pPr>
      <w:r>
        <w:rPr>
          <w:rFonts w:hint="eastAsia" w:ascii="仿宋" w:hAnsi="仿宋" w:eastAsia="仿宋" w:cs="仿宋"/>
          <w:b w:val="0"/>
          <w:bCs/>
          <w:color w:val="auto"/>
          <w:sz w:val="24"/>
          <w:highlight w:val="none"/>
        </w:rPr>
        <w:t>最高限价（元）：年保险综合费率0.0298%（服务期保险费42480</w:t>
      </w:r>
      <w:r>
        <w:rPr>
          <w:rFonts w:hint="eastAsia" w:ascii="仿宋" w:hAnsi="仿宋" w:eastAsia="仿宋" w:cs="仿宋"/>
          <w:b w:val="0"/>
          <w:bCs/>
          <w:color w:val="auto"/>
          <w:sz w:val="24"/>
          <w:highlight w:val="none"/>
          <w:lang w:val="en-US" w:eastAsia="zh-CN"/>
        </w:rPr>
        <w:t>00</w:t>
      </w:r>
      <w:r>
        <w:rPr>
          <w:rFonts w:hint="eastAsia" w:ascii="仿宋" w:hAnsi="仿宋" w:eastAsia="仿宋" w:cs="仿宋"/>
          <w:b w:val="0"/>
          <w:bCs/>
          <w:color w:val="auto"/>
          <w:sz w:val="24"/>
          <w:highlight w:val="none"/>
        </w:rPr>
        <w:t>元）</w:t>
      </w:r>
    </w:p>
    <w:p w14:paraId="33A39EA1">
      <w:pPr>
        <w:spacing w:line="440" w:lineRule="exact"/>
        <w:ind w:firstLine="480" w:firstLineChars="200"/>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采购需求：</w:t>
      </w:r>
      <w:r>
        <w:rPr>
          <w:rFonts w:hint="eastAsia" w:ascii="仿宋" w:hAnsi="仿宋" w:eastAsia="仿宋" w:cs="仿宋"/>
          <w:b w:val="0"/>
          <w:bCs/>
          <w:color w:val="auto"/>
          <w:sz w:val="24"/>
          <w:highlight w:val="none"/>
          <w:lang w:val="en-US" w:eastAsia="zh-CN"/>
        </w:rPr>
        <w:t>详见招标文件</w:t>
      </w:r>
    </w:p>
    <w:p w14:paraId="704028AC">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34B79AF8">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标项名称：绍兴市轨道交通2号线一期202</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-2026年运营保险项目</w:t>
      </w:r>
    </w:p>
    <w:p w14:paraId="232E4B3C">
      <w:pPr>
        <w:spacing w:line="440" w:lineRule="exact"/>
        <w:ind w:firstLine="480" w:firstLineChars="2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数量：</w:t>
      </w:r>
      <w:r>
        <w:rPr>
          <w:rFonts w:hint="eastAsia" w:ascii="仿宋" w:hAnsi="仿宋" w:eastAsia="仿宋" w:cs="仿宋"/>
          <w:bCs/>
          <w:color w:val="auto"/>
          <w:sz w:val="24"/>
          <w:highlight w:val="none"/>
          <w:lang w:val="en-US" w:eastAsia="zh-CN"/>
        </w:rPr>
        <w:t>1</w:t>
      </w:r>
    </w:p>
    <w:p w14:paraId="7E4AAC1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 w:val="0"/>
          <w:bCs/>
          <w:color w:val="auto"/>
          <w:sz w:val="24"/>
          <w:highlight w:val="none"/>
        </w:rPr>
        <w:t>年保险综合费率0.0298%（服务期保险费42480</w:t>
      </w:r>
      <w:r>
        <w:rPr>
          <w:rFonts w:hint="eastAsia" w:ascii="仿宋" w:hAnsi="仿宋" w:eastAsia="仿宋" w:cs="仿宋"/>
          <w:b w:val="0"/>
          <w:bCs/>
          <w:color w:val="auto"/>
          <w:sz w:val="24"/>
          <w:highlight w:val="none"/>
          <w:lang w:val="en-US" w:eastAsia="zh-CN"/>
        </w:rPr>
        <w:t>00</w:t>
      </w:r>
      <w:r>
        <w:rPr>
          <w:rFonts w:hint="eastAsia" w:ascii="仿宋" w:hAnsi="仿宋" w:eastAsia="仿宋" w:cs="仿宋"/>
          <w:b w:val="0"/>
          <w:bCs/>
          <w:color w:val="auto"/>
          <w:sz w:val="24"/>
          <w:highlight w:val="none"/>
        </w:rPr>
        <w:t>元）</w:t>
      </w:r>
    </w:p>
    <w:p w14:paraId="2CF2955A">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lang w:val="en-US" w:eastAsia="zh-CN"/>
        </w:rPr>
        <w:t>绍兴市轨道交通2号线一期（包括但不限于车站、区间、轨道、联络线、万绣路车辆基地、镜湖控制中心、豆姜站停车列检线、越兴路主变电所、工程车辆、线路设施及机电设备、生产办公场所及对应物资和资产等）2024-2026年运营期财产一切险（附加机器损坏险、现金险）、公众责任险及安全生产责任险。</w:t>
      </w:r>
      <w:r>
        <w:rPr>
          <w:rFonts w:hint="eastAsia" w:ascii="仿宋" w:hAnsi="仿宋" w:eastAsia="仿宋" w:cs="仿宋"/>
          <w:b/>
          <w:color w:val="auto"/>
          <w:sz w:val="24"/>
          <w:highlight w:val="none"/>
        </w:rPr>
        <w:t>详见招标文件。</w:t>
      </w:r>
    </w:p>
    <w:p w14:paraId="1D01BC37">
      <w:pPr>
        <w:spacing w:line="440" w:lineRule="exact"/>
        <w:ind w:firstLine="482" w:firstLineChars="200"/>
        <w:rPr>
          <w:rFonts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详见招标文件</w:t>
      </w:r>
      <w:r>
        <w:rPr>
          <w:rFonts w:hint="eastAsia" w:ascii="仿宋" w:hAnsi="仿宋" w:eastAsia="仿宋" w:cs="仿宋"/>
          <w:color w:val="auto"/>
          <w:sz w:val="24"/>
          <w:highlight w:val="none"/>
        </w:rPr>
        <w:t>。</w:t>
      </w:r>
    </w:p>
    <w:p w14:paraId="1255EEA4">
      <w:pP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是，☐否。</w:t>
      </w:r>
    </w:p>
    <w:p w14:paraId="006AA194">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C0FCC19">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B48BD17">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w:t>
      </w:r>
    </w:p>
    <w:p w14:paraId="0D9359B3">
      <w:pPr>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本项目接受联合体投标。联合体投标的，应满足下列要求:联合体牵头人允许自由确定；联合体各方应签订联合体协议书，明确联合体牵头人、各成员单位的权利义务等事项；联合体成员总数(含牵头人)不得超过2家；联合体各方需具备与所承担工作内容相适应的资质；联合体各方不得再以自己的名义单独或组建新的联合体参与本标项投标。</w:t>
      </w:r>
    </w:p>
    <w:p w14:paraId="7E177DFC">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3.落实采购政策需满足的资格要求：</w:t>
      </w:r>
    </w:p>
    <w:p w14:paraId="26BDFB2D">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67478C59">
      <w:pPr>
        <w:spacing w:line="440" w:lineRule="exact"/>
        <w:ind w:firstLine="480" w:firstLineChars="200"/>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E45B51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服务全部由符合政策要求的中小企业承接，提供中小企业声明函；</w:t>
      </w:r>
    </w:p>
    <w:p w14:paraId="31C3077A">
      <w:pPr>
        <w:spacing w:line="440" w:lineRule="exact"/>
        <w:ind w:firstLine="480" w:firstLineChars="200"/>
        <w:rPr>
          <w:rFonts w:ascii="仿宋" w:hAnsi="仿宋" w:eastAsia="仿宋" w:cs="仿宋"/>
          <w:color w:val="auto"/>
          <w:highlight w:val="none"/>
        </w:rPr>
      </w:pPr>
      <w:r>
        <w:rPr>
          <w:rFonts w:hint="eastAsia" w:ascii="MS Gothic" w:hAnsi="MS Gothic"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195D920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p w14:paraId="03C1935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6AE8E99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1）投标人须为保险公司或保险公司的分支机构（分支机构必须具有总公司的专项授权，格式自拟），同一保险公司只允许自身或其一家分支机构参与本项目，否则均按否决投标处理。（2）具备主管部门颁发的《保险许可证》；</w:t>
      </w:r>
    </w:p>
    <w:p w14:paraId="493FEB7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683D62DC">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14:paraId="2311169B">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14:paraId="4104CED2">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乐采云平台（https://www.lecaiyun.com/）</w:t>
      </w:r>
    </w:p>
    <w:p w14:paraId="54AA94C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供应商登录乐采云平台https://www.lecaiyun.com/在线申请获取采购文件（进入“项目采购”应用，在获取采购文件菜单中选择项目，申请获取采购文件）。</w:t>
      </w:r>
    </w:p>
    <w:p w14:paraId="41F1452B">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0</w:t>
      </w:r>
    </w:p>
    <w:p w14:paraId="06DB6404">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42882E69">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132C0B1E">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乐采云平台（https://www.lecaiyun.com/）</w:t>
      </w:r>
    </w:p>
    <w:p w14:paraId="69BA5310">
      <w:pP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lang w:val="en-US" w:eastAsia="zh-CN"/>
        </w:rPr>
        <w:t>2024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13</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p>
    <w:p w14:paraId="3E72BF13">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乐采云平台（https://www.lecaiyun.com/）</w:t>
      </w:r>
    </w:p>
    <w:p w14:paraId="3C91BF3E">
      <w:pPr>
        <w:spacing w:line="440" w:lineRule="exact"/>
        <w:outlineLvl w:val="1"/>
        <w:rPr>
          <w:rFonts w:ascii="仿宋" w:hAnsi="仿宋" w:eastAsia="仿宋" w:cs="仿宋"/>
          <w:color w:val="auto"/>
          <w:sz w:val="24"/>
          <w:highlight w:val="none"/>
        </w:rPr>
      </w:pPr>
      <w:r>
        <w:rPr>
          <w:rFonts w:hint="eastAsia" w:ascii="仿宋" w:hAnsi="仿宋" w:eastAsia="仿宋" w:cs="仿宋"/>
          <w:b/>
          <w:color w:val="auto"/>
          <w:sz w:val="24"/>
          <w:highlight w:val="none"/>
        </w:rPr>
        <w:t>五、公告期限</w:t>
      </w:r>
    </w:p>
    <w:p w14:paraId="342B25C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3A14771">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432235D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5854E29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6B4D81D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33FA75C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采购政策：包括节约资源、保护环境、支持创新、促进中小企业发展等。详见招标文件的第二部分总则。（2）电子招投标的说明：①电子招投标：本项目以数据电文形式，依托“乐采云平台（www.lecaiyun.com）”进行招投标活动，不接受纸质投标文件；②投标准备：注册账号--点击“商家入驻”，进行采购供应商资料填写；申领CA数字证书---申领流程详见“浙江政府采购网-下载专区-电子交易客户端-CA驱动和申领流程”；安装“乐采云电子交易客户端”----前往“浙江政府采购网-下载专区-电子交易客户端”进行下载并安装；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乐采云平台；⑨投标文件的解密：</w:t>
      </w:r>
      <w:r>
        <w:rPr>
          <w:rFonts w:hint="eastAsia" w:ascii="仿宋" w:hAnsi="仿宋" w:eastAsia="仿宋" w:cs="仿宋_GB2312"/>
          <w:color w:val="auto"/>
          <w:sz w:val="24"/>
          <w:highlight w:val="none"/>
        </w:rPr>
        <w:t>投标人按照平台提示和招标文件的规定在半小时内完成在线解密。通过“乐采云平台”上传递交的投标文件无法按时解密</w:t>
      </w:r>
      <w:r>
        <w:rPr>
          <w:rFonts w:hint="eastAsia" w:ascii="仿宋" w:hAnsi="仿宋" w:eastAsia="仿宋" w:cs="仿宋_GB2312"/>
          <w:b/>
          <w:color w:val="auto"/>
          <w:sz w:val="24"/>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_GB2312"/>
          <w:color w:val="auto"/>
          <w:sz w:val="24"/>
          <w:highlight w:val="none"/>
        </w:rPr>
        <w:t>，视为投标文件撤回；</w:t>
      </w:r>
      <w:r>
        <w:rPr>
          <w:rFonts w:hint="eastAsia" w:ascii="仿宋" w:hAnsi="仿宋" w:eastAsia="仿宋" w:cs="仿宋"/>
          <w:color w:val="auto"/>
          <w:sz w:val="24"/>
          <w:highlight w:val="none"/>
        </w:rPr>
        <w:t>⑩具体操作指南：详见乐采云平台“服务中心-帮助文档-项目采购-操作流程-电子招投标-政府采购项目电子交易管理操作指南-供应商”。（3）招标文件公告期限与招标公告的公告期限一致。</w:t>
      </w:r>
    </w:p>
    <w:p w14:paraId="411BD784">
      <w:pPr>
        <w:spacing w:line="440" w:lineRule="exac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579F44B9">
      <w:pPr>
        <w:tabs>
          <w:tab w:val="left" w:pos="432"/>
        </w:tabs>
        <w:spacing w:line="440" w:lineRule="exact"/>
        <w:ind w:left="0" w:firstLine="482" w:firstLineChars="200"/>
        <w:outlineLvl w:val="9"/>
        <w:rPr>
          <w:rFonts w:ascii="仿宋" w:eastAsia="仿宋" w:cs="仿宋"/>
          <w:b/>
          <w:bCs/>
          <w:color w:val="auto"/>
          <w:sz w:val="24"/>
          <w:szCs w:val="24"/>
          <w:highlight w:val="none"/>
        </w:rPr>
      </w:pPr>
      <w:bookmarkStart w:id="5" w:name="_Toc28359096"/>
      <w:bookmarkStart w:id="6" w:name="_Toc35393637"/>
      <w:bookmarkStart w:id="7" w:name="_Toc28359019"/>
      <w:bookmarkStart w:id="8" w:name="_Toc35393806"/>
      <w:r>
        <w:rPr>
          <w:rFonts w:hint="eastAsia" w:ascii="仿宋" w:eastAsia="仿宋" w:cs="仿宋"/>
          <w:b/>
          <w:bCs/>
          <w:color w:val="auto"/>
          <w:sz w:val="24"/>
          <w:szCs w:val="24"/>
          <w:highlight w:val="none"/>
        </w:rPr>
        <w:t>1.采购人信息</w:t>
      </w:r>
      <w:bookmarkEnd w:id="5"/>
      <w:bookmarkEnd w:id="6"/>
      <w:bookmarkEnd w:id="7"/>
      <w:bookmarkEnd w:id="8"/>
      <w:r>
        <w:rPr>
          <w:rFonts w:hint="eastAsia" w:ascii="仿宋" w:eastAsia="仿宋" w:cs="仿宋"/>
          <w:b/>
          <w:bCs/>
          <w:color w:val="auto"/>
          <w:sz w:val="24"/>
          <w:szCs w:val="24"/>
          <w:highlight w:val="none"/>
        </w:rPr>
        <w:t>：</w:t>
      </w:r>
    </w:p>
    <w:p w14:paraId="316A410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称：绍兴市轨道交通集团有限公司运营分公司</w:t>
      </w:r>
    </w:p>
    <w:p w14:paraId="00C507D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址：绍兴市越城区解放大道386号地铁大厦</w:t>
      </w:r>
    </w:p>
    <w:p w14:paraId="6E7FCC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14:paraId="658CCC62">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赵浩林</w:t>
      </w:r>
    </w:p>
    <w:p w14:paraId="75688366">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项目联系方式（询问）：0575-8816110</w:t>
      </w:r>
      <w:r>
        <w:rPr>
          <w:rFonts w:hint="eastAsia" w:ascii="仿宋" w:hAnsi="仿宋" w:eastAsia="仿宋" w:cs="仿宋"/>
          <w:color w:val="auto"/>
          <w:sz w:val="24"/>
          <w:highlight w:val="none"/>
          <w:lang w:val="en-US" w:eastAsia="zh-CN"/>
        </w:rPr>
        <w:t>5</w:t>
      </w:r>
    </w:p>
    <w:p w14:paraId="7BD9AE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质疑联系人：雷琼</w:t>
      </w:r>
    </w:p>
    <w:p w14:paraId="2C38347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质疑联系方式：0575-88161101</w:t>
      </w:r>
    </w:p>
    <w:p w14:paraId="27CCDE3D">
      <w:pPr>
        <w:tabs>
          <w:tab w:val="left" w:pos="432"/>
        </w:tabs>
        <w:spacing w:line="440" w:lineRule="exact"/>
        <w:ind w:left="0" w:firstLine="482" w:firstLineChars="200"/>
        <w:outlineLvl w:val="9"/>
        <w:rPr>
          <w:rFonts w:ascii="仿宋" w:eastAsia="仿宋" w:cs="仿宋"/>
          <w:b/>
          <w:bCs/>
          <w:color w:val="auto"/>
          <w:sz w:val="24"/>
          <w:highlight w:val="none"/>
        </w:rPr>
      </w:pPr>
      <w:bookmarkStart w:id="9" w:name="_Toc35393807"/>
      <w:bookmarkStart w:id="10" w:name="_Toc28359020"/>
      <w:bookmarkStart w:id="11" w:name="_Toc35393638"/>
      <w:bookmarkStart w:id="12" w:name="_Toc28359097"/>
      <w:r>
        <w:rPr>
          <w:rFonts w:hint="eastAsia" w:ascii="仿宋" w:eastAsia="仿宋" w:cs="仿宋"/>
          <w:b/>
          <w:bCs/>
          <w:color w:val="auto"/>
          <w:sz w:val="24"/>
          <w:szCs w:val="24"/>
          <w:highlight w:val="none"/>
        </w:rPr>
        <w:t>2.采购代理机构信息</w:t>
      </w:r>
      <w:bookmarkEnd w:id="9"/>
      <w:bookmarkEnd w:id="10"/>
      <w:bookmarkEnd w:id="11"/>
      <w:bookmarkEnd w:id="12"/>
      <w:r>
        <w:rPr>
          <w:rFonts w:hint="eastAsia" w:ascii="仿宋" w:eastAsia="仿宋" w:cs="仿宋"/>
          <w:b/>
          <w:bCs/>
          <w:color w:val="auto"/>
          <w:sz w:val="24"/>
          <w:szCs w:val="24"/>
          <w:highlight w:val="none"/>
        </w:rPr>
        <w:t>：</w:t>
      </w:r>
    </w:p>
    <w:p w14:paraId="5712D227">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称：融华工程管理有限公司</w:t>
      </w:r>
    </w:p>
    <w:p w14:paraId="2A88CAC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址：杭州市上城区九和路520号铁汇发展中心T4楼</w:t>
      </w:r>
    </w:p>
    <w:p w14:paraId="64E46861">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378A270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项目联系人（询问）：张巧</w:t>
      </w:r>
    </w:p>
    <w:p w14:paraId="714E79E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项目联系方式（询问）：19558198465</w:t>
      </w:r>
    </w:p>
    <w:p w14:paraId="777DAA17">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王其昂</w:t>
      </w:r>
    </w:p>
    <w:p w14:paraId="74551308">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18257522324</w:t>
      </w:r>
    </w:p>
    <w:p w14:paraId="1838CE71">
      <w:pPr>
        <w:spacing w:line="440" w:lineRule="exact"/>
        <w:ind w:firstLine="482" w:firstLineChars="200"/>
        <w:rPr>
          <w:rFonts w:ascii="仿宋" w:hAnsi="仿宋" w:eastAsia="仿宋" w:cs="仿宋"/>
          <w:b/>
          <w:color w:val="auto"/>
          <w:sz w:val="24"/>
          <w:highlight w:val="none"/>
        </w:rPr>
      </w:pPr>
      <w:bookmarkStart w:id="13" w:name="_Toc28359098"/>
      <w:bookmarkStart w:id="14" w:name="_Toc35393639"/>
      <w:bookmarkStart w:id="15" w:name="_Toc28359021"/>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采购监督管理部门信息：</w:t>
      </w:r>
    </w:p>
    <w:bookmarkEnd w:id="13"/>
    <w:bookmarkEnd w:id="14"/>
    <w:bookmarkEnd w:id="15"/>
    <w:bookmarkEnd w:id="16"/>
    <w:p w14:paraId="214EAE5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称：绍兴市轨道交通集团有限公司</w:t>
      </w:r>
    </w:p>
    <w:p w14:paraId="717F7BB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址：绍兴市越城区解放大道386号地铁大厦</w:t>
      </w:r>
    </w:p>
    <w:p w14:paraId="61102E41">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6A61E56D">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val="en-US" w:eastAsia="zh-CN"/>
        </w:rPr>
        <w:t>杨小卡</w:t>
      </w:r>
    </w:p>
    <w:p w14:paraId="66A85C1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监督投诉电话：0575-88160568</w:t>
      </w:r>
    </w:p>
    <w:p w14:paraId="1A9BDE2F">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w:t>
      </w:r>
    </w:p>
    <w:p w14:paraId="6E8DB79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BBD799D">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31D5017">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4FD8F16">
      <w:pPr>
        <w:adjustRightInd/>
        <w:spacing w:line="360" w:lineRule="auto"/>
        <w:ind w:firstLine="3845" w:firstLineChars="1197"/>
        <w:outlineLvl w:val="1"/>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3DB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869A44E">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88613F2">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FB3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97C82CE">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65645640">
            <w:pPr>
              <w:snapToGrid w:val="0"/>
              <w:spacing w:line="440" w:lineRule="exact"/>
              <w:textAlignment w:val="center"/>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0BBE6380">
            <w:pPr>
              <w:spacing w:line="440" w:lineRule="exact"/>
              <w:ind w:firstLine="480" w:firstLineChars="200"/>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868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D183A8D">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6653DF7">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477934A">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1E38E6A">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8B6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AE5B175">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6084599E">
            <w:pP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096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54BEAE1">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9A10339">
            <w:pPr>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B6A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D69A4DB">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B028B89">
            <w:pPr>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同意将非主体、非关键性的工作分包。</w:t>
            </w:r>
          </w:p>
          <w:p w14:paraId="546239EC">
            <w:pPr>
              <w:spacing w:line="440" w:lineRule="exact"/>
              <w:ind w:firstLine="720" w:firstLineChars="300"/>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A36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D752F14">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39F94BA2">
            <w:pPr>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5EEFC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15D0F87">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1F9DC26F">
            <w:pP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3C0D02D">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08889CF1">
            <w:pP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w:t>
            </w:r>
            <w:r>
              <w:rPr>
                <w:rFonts w:ascii="仿宋" w:hAnsi="仿宋" w:eastAsia="仿宋" w:cs="仿宋"/>
                <w:color w:val="auto"/>
                <w:sz w:val="24"/>
                <w:highlight w:val="none"/>
              </w:rPr>
              <w:t>,地点</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，联系人</w:t>
            </w:r>
            <w:r>
              <w:rPr>
                <w:rFonts w:ascii="仿宋" w:hAnsi="仿宋" w:eastAsia="仿宋" w:cs="仿宋"/>
                <w:color w:val="auto"/>
                <w:sz w:val="24"/>
                <w:highlight w:val="none"/>
                <w:u w:val="single"/>
              </w:rPr>
              <w:t>：</w:t>
            </w:r>
            <w:r>
              <w:rPr>
                <w:rFonts w:ascii="仿宋" w:hAnsi="仿宋" w:eastAsia="仿宋" w:cs="仿宋"/>
                <w:color w:val="auto"/>
                <w:sz w:val="24"/>
                <w:highlight w:val="none"/>
              </w:rPr>
              <w:t>，联系方式</w:t>
            </w:r>
            <w:r>
              <w:rPr>
                <w:rFonts w:ascii="仿宋" w:hAnsi="仿宋" w:eastAsia="仿宋" w:cs="仿宋"/>
                <w:color w:val="auto"/>
                <w:sz w:val="24"/>
                <w:highlight w:val="none"/>
                <w:u w:val="single"/>
              </w:rPr>
              <w:t>：</w:t>
            </w:r>
            <w:r>
              <w:rPr>
                <w:rFonts w:hint="eastAsia" w:ascii="仿宋" w:hAnsi="仿宋" w:eastAsia="仿宋" w:cs="仿宋"/>
                <w:color w:val="auto"/>
                <w:sz w:val="24"/>
                <w:szCs w:val="20"/>
                <w:highlight w:val="none"/>
              </w:rPr>
              <w:t>。</w:t>
            </w:r>
          </w:p>
        </w:tc>
      </w:tr>
      <w:tr w14:paraId="3D10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796C7AC">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36D756FE">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0559224">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FD5ACFF">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7BBC4227">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53FD640E">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18582989">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3405490">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4B36D411">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0BDDBA1">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683DA9B">
            <w:pPr>
              <w:autoSpaceDE w:val="0"/>
              <w:autoSpaceDN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D41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B3E311D">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009C1160">
            <w:pPr>
              <w:spacing w:line="440" w:lineRule="exact"/>
              <w:textAlignment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222A2828">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sym w:font="Wingdings 2" w:char="0052"/>
            </w:r>
            <w:r>
              <w:rPr>
                <w:rFonts w:hint="eastAsia" w:ascii="仿宋" w:hAnsi="仿宋" w:eastAsia="仿宋" w:cs="仿宋"/>
                <w:color w:val="auto"/>
                <w:sz w:val="24"/>
                <w:highlight w:val="none"/>
              </w:rPr>
              <w:t>A无方案讲解演示。</w:t>
            </w:r>
          </w:p>
          <w:p w14:paraId="5CC11988">
            <w:pPr>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□B有方案讲解演示：</w:t>
            </w:r>
          </w:p>
          <w:p w14:paraId="306BA1B7">
            <w:pPr>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20A4A1A0">
            <w:pPr>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18A16904">
            <w:pPr>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4C3BD773">
            <w:pPr>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68EB36C9">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6AD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70" w:type="dxa"/>
            <w:vAlign w:val="center"/>
          </w:tcPr>
          <w:p w14:paraId="293DA472">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4185568">
            <w:pPr>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EF2E190">
            <w:pPr>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14:paraId="39085242">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7AEE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823FDEB">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CCA70D9">
            <w:pPr>
              <w:snapToGrid w:val="0"/>
              <w:spacing w:line="440" w:lineRule="exact"/>
              <w:ind w:left="14" w:hanging="14" w:hangingChars="7"/>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78661F8F">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sz w:val="24"/>
                <w:highlight w:val="none"/>
              </w:rPr>
              <w:t>。</w:t>
            </w:r>
          </w:p>
          <w:p w14:paraId="6D38B457">
            <w:pPr>
              <w:snapToGrid w:val="0"/>
              <w:spacing w:line="440" w:lineRule="exact"/>
              <w:textAlignment w:val="center"/>
              <w:rPr>
                <w:rFonts w:ascii="仿宋" w:hAnsi="仿宋" w:eastAsia="仿宋" w:cs="仿宋"/>
                <w:color w:val="auto"/>
                <w:sz w:val="24"/>
                <w:highlight w:val="none"/>
              </w:rPr>
            </w:pPr>
            <w:r>
              <w:rPr>
                <w:rFonts w:hint="eastAsia" w:ascii="宋体" w:hAnsi="宋体" w:cs="宋体"/>
                <w:b w:val="0"/>
                <w:bCs w:val="0"/>
                <w:color w:val="auto"/>
                <w:sz w:val="24"/>
                <w:szCs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2C16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EA4332">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5D4FB716">
            <w:pPr>
              <w:snapToGrid w:val="0"/>
              <w:spacing w:line="440" w:lineRule="exact"/>
              <w:ind w:hanging="1"/>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21A94842">
            <w:pPr>
              <w:snapToGrid w:val="0"/>
              <w:spacing w:line="440" w:lineRule="exact"/>
              <w:textAlignment w:val="center"/>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：01标</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保险</w:t>
            </w:r>
            <w:r>
              <w:rPr>
                <w:rFonts w:hint="eastAsia" w:ascii="仿宋" w:hAnsi="仿宋" w:eastAsia="仿宋" w:cs="仿宋"/>
                <w:color w:val="auto"/>
                <w:kern w:val="0"/>
                <w:sz w:val="24"/>
                <w:highlight w:val="none"/>
              </w:rPr>
              <w:t>行业；</w:t>
            </w:r>
          </w:p>
        </w:tc>
      </w:tr>
      <w:tr w14:paraId="670C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24CF8F6">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2FB7A7AC">
            <w:pPr>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979B679">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29C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505556E">
            <w:pPr>
              <w:spacing w:line="440" w:lineRule="exact"/>
              <w:jc w:val="center"/>
              <w:textAlignment w:val="center"/>
              <w:rPr>
                <w:rFonts w:ascii="仿宋" w:hAnsi="仿宋" w:eastAsia="仿宋" w:cs="仿宋"/>
                <w:color w:val="auto"/>
                <w:sz w:val="24"/>
                <w:highlight w:val="none"/>
              </w:rPr>
            </w:pPr>
          </w:p>
        </w:tc>
        <w:tc>
          <w:tcPr>
            <w:tcW w:w="855" w:type="dxa"/>
            <w:vMerge w:val="continue"/>
            <w:vAlign w:val="center"/>
          </w:tcPr>
          <w:p w14:paraId="05629BBD">
            <w:pPr>
              <w:snapToGrid w:val="0"/>
              <w:spacing w:line="440" w:lineRule="exact"/>
              <w:textAlignment w:val="center"/>
              <w:rPr>
                <w:rFonts w:ascii="仿宋" w:hAnsi="仿宋" w:eastAsia="仿宋" w:cs="仿宋"/>
                <w:b/>
                <w:color w:val="auto"/>
                <w:sz w:val="24"/>
                <w:highlight w:val="none"/>
              </w:rPr>
            </w:pPr>
          </w:p>
        </w:tc>
        <w:tc>
          <w:tcPr>
            <w:tcW w:w="7515" w:type="dxa"/>
            <w:vAlign w:val="center"/>
          </w:tcPr>
          <w:p w14:paraId="73E28BFF">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A09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EC4E48B">
            <w:pPr>
              <w:spacing w:line="440" w:lineRule="exact"/>
              <w:jc w:val="center"/>
              <w:textAlignment w:val="center"/>
              <w:rPr>
                <w:rFonts w:ascii="仿宋" w:hAnsi="仿宋" w:eastAsia="仿宋" w:cs="仿宋"/>
                <w:color w:val="auto"/>
                <w:sz w:val="24"/>
                <w:highlight w:val="none"/>
              </w:rPr>
            </w:pPr>
          </w:p>
        </w:tc>
        <w:tc>
          <w:tcPr>
            <w:tcW w:w="855" w:type="dxa"/>
            <w:vMerge w:val="continue"/>
            <w:vAlign w:val="center"/>
          </w:tcPr>
          <w:p w14:paraId="453C23C9">
            <w:pPr>
              <w:snapToGrid w:val="0"/>
              <w:spacing w:line="440" w:lineRule="exact"/>
              <w:textAlignment w:val="center"/>
              <w:rPr>
                <w:rFonts w:ascii="仿宋" w:hAnsi="仿宋" w:eastAsia="仿宋" w:cs="仿宋"/>
                <w:b/>
                <w:color w:val="auto"/>
                <w:sz w:val="24"/>
                <w:highlight w:val="none"/>
              </w:rPr>
            </w:pPr>
          </w:p>
        </w:tc>
        <w:tc>
          <w:tcPr>
            <w:tcW w:w="7515" w:type="dxa"/>
            <w:vAlign w:val="center"/>
          </w:tcPr>
          <w:p w14:paraId="3E22F956">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经查询列入失信被执行人名单、重大税收违法案件当事人名单、政府采购严重违法失信行为记录名单的投标人将被拒绝参与采购活动。</w:t>
            </w:r>
          </w:p>
          <w:p w14:paraId="471D8F87">
            <w:pP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3989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CAC814E">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12DC25BA">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4B270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36826DA">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4E8F44C5">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588BD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45E98D1">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17F89D6F">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C7EE918">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75F8498">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乐采云电子交易客户端下载、安装完成后，可通过账号密码或CA登录客户端进行投标文件制作。在使用乐采云投标客户端时，建议使用WIN7及以上操作系统。</w:t>
            </w:r>
          </w:p>
          <w:p w14:paraId="4921B18B">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注：供应商CA相关操作可参考乐采云平台</w:t>
            </w:r>
            <w:r>
              <w:rPr>
                <w:rFonts w:hint="eastAsia" w:ascii="仿宋" w:hAnsi="仿宋" w:eastAsia="仿宋" w:cs="仿宋"/>
                <w:color w:val="auto"/>
                <w:highlight w:val="none"/>
              </w:rPr>
              <w:t>https://www.lecaiyun.com/</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266F1DB0">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70146C3">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3.1应按照本项目招标文件和乐采云平台的要求编制、加密传输投标文件。供应商在使用系统进行投标的过程中遇到涉及平台使用的任何问题，可致电乐采云平台技术支持热线咨询，联系方式：95763。</w:t>
            </w:r>
          </w:p>
          <w:p w14:paraId="2C2C2CF4">
            <w:pPr>
              <w:snapToGrid w:val="0"/>
              <w:spacing w:line="440" w:lineRule="exact"/>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3.2投标人通过“乐采云”平台制作电子投标文件，投标文件制作详见“供应商-政府采购项目电子交易操作指南。</w:t>
            </w:r>
          </w:p>
          <w:p w14:paraId="37FB24F2">
            <w:pP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3.3开标时间后30分钟内供应商可以登录“乐采云”平台，用“项目采购-开标评标”功能进行解密投标文件。若供应商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中标后需按采购人要求提交纸质投标文件。</w:t>
            </w:r>
          </w:p>
        </w:tc>
      </w:tr>
      <w:tr w14:paraId="3466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01AFF56">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6521CE0E">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06F34F5">
            <w:pPr>
              <w:spacing w:line="440" w:lineRule="exact"/>
              <w:textAlignment w:val="center"/>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50A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6521DE7">
            <w:pPr>
              <w:spacing w:line="440" w:lineRule="exact"/>
              <w:textAlignment w:val="center"/>
              <w:rPr>
                <w:rFonts w:ascii="仿宋" w:hAnsi="仿宋" w:eastAsia="仿宋" w:cs="仿宋"/>
                <w:color w:val="auto"/>
                <w:sz w:val="24"/>
                <w:highlight w:val="none"/>
              </w:rPr>
            </w:pPr>
          </w:p>
        </w:tc>
        <w:tc>
          <w:tcPr>
            <w:tcW w:w="8370" w:type="dxa"/>
            <w:gridSpan w:val="2"/>
            <w:vAlign w:val="center"/>
          </w:tcPr>
          <w:p w14:paraId="4200B0A4">
            <w:pPr>
              <w:spacing w:line="440" w:lineRule="exact"/>
              <w:textAlignment w:val="center"/>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D7F11C4">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6E2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D23B781">
            <w:pPr>
              <w:snapToGrid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378C5CB7">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B1957F1">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val="en-US" w:eastAsia="zh-CN"/>
              </w:rPr>
              <w:t>投标人</w:t>
            </w:r>
            <w:r>
              <w:rPr>
                <w:rFonts w:hint="eastAsia" w:ascii="仿宋" w:hAnsi="仿宋" w:eastAsia="仿宋" w:cs="仿宋"/>
                <w:snapToGrid w:val="0"/>
                <w:color w:val="auto"/>
                <w:kern w:val="28"/>
                <w:sz w:val="24"/>
                <w:highlight w:val="none"/>
                <w:lang w:eastAsia="zh-CN"/>
              </w:rPr>
              <w:t>需支付采购代理服务费，并在投标报价中自行考虑</w:t>
            </w:r>
          </w:p>
          <w:p w14:paraId="73C8DD74">
            <w:pPr>
              <w:numPr>
                <w:ilvl w:val="0"/>
                <w:numId w:val="1"/>
              </w:numPr>
              <w:spacing w:line="440" w:lineRule="exact"/>
              <w:textAlignment w:val="center"/>
              <w:rPr>
                <w:rFonts w:hint="eastAsia" w:ascii="仿宋" w:hAnsi="仿宋" w:eastAsia="仿宋" w:cs="仿宋"/>
                <w:snapToGrid w:val="0"/>
                <w:color w:val="auto"/>
                <w:kern w:val="28"/>
                <w:sz w:val="24"/>
                <w:szCs w:val="24"/>
                <w:highlight w:val="none"/>
                <w:lang w:val="en-US" w:eastAsia="zh-CN" w:bidi="ar-SA"/>
              </w:rPr>
            </w:pPr>
            <w:r>
              <w:rPr>
                <w:rFonts w:hint="eastAsia" w:ascii="仿宋" w:hAnsi="仿宋" w:eastAsia="仿宋" w:cs="仿宋"/>
                <w:snapToGrid w:val="0"/>
                <w:color w:val="auto"/>
                <w:kern w:val="28"/>
                <w:sz w:val="24"/>
                <w:szCs w:val="24"/>
                <w:highlight w:val="none"/>
                <w:lang w:val="en-US" w:eastAsia="zh-CN" w:bidi="ar-SA"/>
              </w:rPr>
              <w:t>以中标通知书中确定的中标金额作为服务费的计算基数，按代理协议约定的费率标准*78.4%计取，采用差额定率累进法进行计算，具体费率标准如下：成交金额100万元以下的部分，服务类采购费率1.50%；成交金额100万元至500万元的部分，服务类采购费率0.80%。</w:t>
            </w:r>
          </w:p>
          <w:p w14:paraId="2FEE7E17">
            <w:pPr>
              <w:numPr>
                <w:ilvl w:val="0"/>
                <w:numId w:val="1"/>
              </w:num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交纳方式：</w:t>
            </w:r>
          </w:p>
          <w:p w14:paraId="2FA346B8">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用银行支票、汇票、电汇、现金等付款方式直接交纳。</w:t>
            </w:r>
          </w:p>
          <w:p w14:paraId="454BF81D">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公司名称：融华工程管理有限公司绍兴分公司</w:t>
            </w:r>
          </w:p>
          <w:p w14:paraId="11F25281">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开户行：绍兴银行股份有限公司望花支行</w:t>
            </w:r>
          </w:p>
          <w:p w14:paraId="493B4676">
            <w:pPr>
              <w:spacing w:line="440" w:lineRule="exact"/>
              <w:textAlignment w:val="center"/>
              <w:rPr>
                <w:rFonts w:hint="eastAsia" w:ascii="仿宋" w:hAnsi="仿宋" w:eastAsia="仿宋" w:cs="仿宋"/>
                <w:snapToGrid w:val="0"/>
                <w:color w:val="auto"/>
                <w:kern w:val="28"/>
                <w:sz w:val="24"/>
                <w:highlight w:val="none"/>
                <w:lang w:eastAsia="zh-CN"/>
              </w:rPr>
            </w:pPr>
            <w:r>
              <w:rPr>
                <w:rFonts w:hint="eastAsia" w:ascii="仿宋" w:hAnsi="仿宋" w:eastAsia="仿宋" w:cs="仿宋"/>
                <w:snapToGrid w:val="0"/>
                <w:color w:val="auto"/>
                <w:kern w:val="28"/>
                <w:sz w:val="24"/>
                <w:highlight w:val="none"/>
                <w:lang w:eastAsia="zh-CN"/>
              </w:rPr>
              <w:t>账  号：2107718232000011</w:t>
            </w:r>
          </w:p>
          <w:p w14:paraId="0FB3E227">
            <w:pPr>
              <w:spacing w:line="440" w:lineRule="exact"/>
              <w:textAlignment w:val="center"/>
              <w:rPr>
                <w:rFonts w:ascii="仿宋" w:hAnsi="仿宋" w:eastAsia="仿宋" w:cs="仿宋"/>
                <w:color w:val="auto"/>
                <w:highlight w:val="none"/>
              </w:rPr>
            </w:pPr>
            <w:r>
              <w:rPr>
                <w:rFonts w:hint="eastAsia" w:ascii="仿宋" w:hAnsi="仿宋" w:eastAsia="仿宋" w:cs="仿宋"/>
                <w:snapToGrid w:val="0"/>
                <w:color w:val="auto"/>
                <w:kern w:val="28"/>
                <w:sz w:val="24"/>
                <w:highlight w:val="none"/>
                <w:lang w:eastAsia="zh-CN"/>
              </w:rPr>
              <w:t>（</w:t>
            </w:r>
            <w:r>
              <w:rPr>
                <w:rFonts w:hint="eastAsia" w:ascii="仿宋" w:hAnsi="仿宋" w:eastAsia="仿宋" w:cs="仿宋"/>
                <w:snapToGrid w:val="0"/>
                <w:color w:val="auto"/>
                <w:kern w:val="28"/>
                <w:sz w:val="24"/>
                <w:highlight w:val="none"/>
                <w:lang w:val="en-US" w:eastAsia="zh-CN"/>
              </w:rPr>
              <w:t>3</w:t>
            </w:r>
            <w:r>
              <w:rPr>
                <w:rFonts w:hint="eastAsia" w:ascii="仿宋" w:hAnsi="仿宋" w:eastAsia="仿宋" w:cs="仿宋"/>
                <w:snapToGrid w:val="0"/>
                <w:color w:val="auto"/>
                <w:kern w:val="28"/>
                <w:sz w:val="24"/>
                <w:highlight w:val="none"/>
                <w:lang w:eastAsia="zh-CN"/>
              </w:rPr>
              <w:t>）交纳时间：领取中标通知书前交纳。</w:t>
            </w:r>
          </w:p>
        </w:tc>
      </w:tr>
      <w:tr w14:paraId="4704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DCA0EE6">
            <w:pP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63C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3054753">
            <w:pP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749EAC3E">
      <w:pPr>
        <w:rPr>
          <w:rFonts w:hint="eastAsia" w:ascii="仿宋" w:hAnsi="仿宋" w:eastAsia="仿宋" w:cs="仿宋"/>
          <w:b/>
          <w:color w:val="auto"/>
          <w:sz w:val="32"/>
          <w:szCs w:val="32"/>
          <w:highlight w:val="none"/>
        </w:rPr>
      </w:pPr>
      <w:bookmarkStart w:id="17" w:name="第三部分"/>
      <w:bookmarkStart w:id="18" w:name="_Toc164416483"/>
      <w:r>
        <w:rPr>
          <w:rFonts w:hint="eastAsia" w:ascii="仿宋" w:hAnsi="仿宋" w:eastAsia="仿宋" w:cs="仿宋"/>
          <w:b/>
          <w:color w:val="auto"/>
          <w:sz w:val="32"/>
          <w:szCs w:val="32"/>
          <w:highlight w:val="none"/>
        </w:rPr>
        <w:br w:type="page"/>
      </w:r>
    </w:p>
    <w:p w14:paraId="5CFEE91A">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03FBD74">
      <w:pPr>
        <w:snapToGrid w:val="0"/>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1C3721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38EE42F">
      <w:pPr>
        <w:adjustRightInd/>
        <w:spacing w:line="440" w:lineRule="exac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7E83750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4728B4BB">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48CED9C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5E235DC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w:t>
      </w:r>
      <w:r>
        <w:rPr>
          <w:rFonts w:ascii="仿宋" w:hAnsi="仿宋" w:eastAsia="仿宋" w:cs="仿宋"/>
          <w:color w:val="auto"/>
          <w:sz w:val="24"/>
          <w:highlight w:val="none"/>
        </w:rPr>
        <w:t>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r>
        <w:rPr>
          <w:rFonts w:hint="eastAsia" w:ascii="仿宋" w:hAnsi="仿宋" w:eastAsia="仿宋" w:cs="仿宋"/>
          <w:color w:val="auto"/>
          <w:sz w:val="24"/>
          <w:highlight w:val="none"/>
        </w:rPr>
        <w:t>。</w:t>
      </w:r>
    </w:p>
    <w:p w14:paraId="75F9BCD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604EEE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490FF9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2.7“电子交易平台”系指本项目采购活动所依托的乐采云平台（https://www.lecaiyun.com/）。</w:t>
      </w:r>
    </w:p>
    <w:p w14:paraId="12E3FA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14:paraId="06077B85">
      <w:pPr>
        <w:spacing w:line="440" w:lineRule="exact"/>
        <w:outlineLvl w:val="2"/>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3.采购项目需要落实的采购政策</w:t>
      </w:r>
    </w:p>
    <w:p w14:paraId="07C9924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8EC496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支持绿色发展</w:t>
      </w:r>
    </w:p>
    <w:p w14:paraId="71D5108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7B40A348">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839BE4B">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3纳入政府采购管理的修缮、装修类项目采购建材的，采购单位应将绿色建材性能、指标等作为实质性条件纳入采购文件和合同，具体性能指标要求按照相关绿色建材政府采购需求标准执行。</w:t>
      </w:r>
    </w:p>
    <w:p w14:paraId="0F754CB4">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8A4F31F">
      <w:pPr>
        <w:spacing w:line="440" w:lineRule="exact"/>
        <w:rPr>
          <w:rFonts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4F662E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39DB724C">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783980D8">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4681074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4F36190B">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8457CC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65C6A37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2CB3C29">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B25B743">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以联合体形式参加政府采购活动，联合体各方均为中小企业的，联合体视同中小企业。其中，联合体各方均为小微企业的，联合体视同小微企业。</w:t>
      </w:r>
    </w:p>
    <w:p w14:paraId="53D70A8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00495B4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B077DF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14:paraId="2BF82E47">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5C94E9D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14:paraId="18F7F295">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平等对待内外资企业和符合条件的破产重整企业，切实保障企业公平竞争，平等维护企业的合法利益。</w:t>
      </w:r>
    </w:p>
    <w:p w14:paraId="6AC1B5F5">
      <w:pPr>
        <w:spacing w:line="440" w:lineRule="exact"/>
        <w:outlineLvl w:val="2"/>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1147A14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37E37E8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15ECB44D">
      <w:pPr>
        <w:spacing w:line="440" w:lineRule="exact"/>
        <w:rPr>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364BBFB">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343ABC5">
      <w:pPr>
        <w:snapToGrid w:val="0"/>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66BBC4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2B2560E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5D285C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4B9D1E0D">
      <w:pPr>
        <w:pStyle w:val="26"/>
        <w:snapToGrid w:val="0"/>
        <w:spacing w:line="440" w:lineRule="exact"/>
        <w:ind w:firstLine="0" w:firstLineChars="0"/>
        <w:jc w:val="left"/>
        <w:outlineLvl w:val="2"/>
        <w:rPr>
          <w:rFonts w:ascii="仿宋" w:hAnsi="仿宋" w:eastAsia="仿宋" w:cs="仿宋"/>
          <w:b/>
          <w:color w:val="auto"/>
          <w:highlight w:val="none"/>
        </w:rPr>
      </w:pPr>
      <w:r>
        <w:rPr>
          <w:rFonts w:hint="eastAsia" w:ascii="仿宋" w:hAnsi="仿宋" w:eastAsia="仿宋" w:cs="仿宋"/>
          <w:b/>
          <w:color w:val="auto"/>
          <w:highlight w:val="none"/>
        </w:rPr>
        <w:t>2.授权委托</w:t>
      </w:r>
    </w:p>
    <w:p w14:paraId="01AA1FF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1C858567">
      <w:pPr>
        <w:snapToGrid w:val="0"/>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3DB118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6E95875A">
      <w:pPr>
        <w:snapToGrid w:val="0"/>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12592DB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F2BF9E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4.2招标文件的澄清</w:t>
      </w:r>
    </w:p>
    <w:p w14:paraId="48BF7B3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1BE14F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677499F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0BDE9D0">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858E7A3">
      <w:pPr>
        <w:snapToGrid w:val="0"/>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8257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D31F0E1">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0B489A8C">
      <w:pPr>
        <w:snapToGrid w:val="0"/>
        <w:spacing w:line="440" w:lineRule="exact"/>
        <w:jc w:val="left"/>
        <w:outlineLvl w:val="2"/>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7532F3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BBEEF6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1FBEE6D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2218E3A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7F4299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9FE9DA8">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1.5.1投标文件为电子投标文件，电子投标文件按“乐采云供应商项目采购-电子招投标操作指南”及本招标文件要求制作、加密传输。</w:t>
      </w:r>
    </w:p>
    <w:p w14:paraId="743A7E20">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508FDD5">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54AF208">
      <w:pPr>
        <w:pStyle w:val="34"/>
        <w:spacing w:line="440" w:lineRule="exact"/>
        <w:outlineLvl w:val="2"/>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42A862E6">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3AD20E61">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79FED978">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2.1.1符合参加采购活动应当具备的一般条件的承诺函；</w:t>
      </w:r>
    </w:p>
    <w:p w14:paraId="5F470966">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0605094E">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8EDB14D">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2.1.4落实采购政策需满足的资格要求（如果有)；</w:t>
      </w:r>
    </w:p>
    <w:p w14:paraId="565468F9">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701C2C14">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EA2ED7C">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5F8F53A0">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A77C60F">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0C266153">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39CC2E6C">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33C744C">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20A3388">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1CCDFB95">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933FF6B">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77442817">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312BD6A8">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DCCAF90">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1A6E4F8">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4BB46A40">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7BD2A69">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582C1942">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F395EEB">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1419EDF">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48D1870">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2E5C07E3">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A8A2154">
      <w:pPr>
        <w:snapToGrid w:val="0"/>
        <w:spacing w:line="440" w:lineRule="exact"/>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08EE57EB">
      <w:pPr>
        <w:snapToGrid w:val="0"/>
        <w:spacing w:line="440" w:lineRule="exact"/>
        <w:ind w:firstLine="720" w:firstLineChars="300"/>
        <w:rPr>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81FEC39">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2.3报价文件：</w:t>
      </w:r>
    </w:p>
    <w:p w14:paraId="44D681BB">
      <w:pPr>
        <w:pStyle w:val="62"/>
        <w:autoSpaceDE/>
        <w:autoSpaceDN/>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14:paraId="7D79C78F">
      <w:pPr>
        <w:pStyle w:val="62"/>
        <w:snapToGrid w:val="0"/>
        <w:spacing w:line="440" w:lineRule="exact"/>
        <w:ind w:firstLine="720" w:firstLineChars="3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2.3.2中小企业声明函（如果有）；</w:t>
      </w:r>
    </w:p>
    <w:p w14:paraId="583E4C82">
      <w:pPr>
        <w:pStyle w:val="62"/>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lang w:val="en-US" w:eastAsia="zh-CN"/>
        </w:rPr>
        <w:t>2.3.3残疾人福利性单位声明函（如果有）。</w:t>
      </w:r>
    </w:p>
    <w:p w14:paraId="5C91FC1F">
      <w:pPr>
        <w:pStyle w:val="62"/>
        <w:autoSpaceDE/>
        <w:autoSpaceDN/>
        <w:snapToGrid w:val="0"/>
        <w:spacing w:line="440" w:lineRule="exact"/>
        <w:ind w:firstLine="0"/>
        <w:outlineLvl w:val="2"/>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14:paraId="1D46D3E0">
      <w:pPr>
        <w:pStyle w:val="62"/>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14:paraId="6F1888D1">
      <w:pPr>
        <w:pStyle w:val="62"/>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3.2</w:t>
      </w:r>
      <w:r>
        <w:rPr>
          <w:rFonts w:hint="eastAsia" w:ascii="仿宋" w:hAnsi="仿宋" w:eastAsia="仿宋" w:cs="仿宋"/>
          <w:color w:val="auto"/>
          <w:highlight w:val="none"/>
          <w:lang w:val="en-US"/>
        </w:rPr>
        <w:t>报价为采购人可以合格使用产品的价格，包括货款、包装、运输、保险、货到就位以及安装、调试、培训、保修及产品知识产权等一切费用</w:t>
      </w:r>
      <w:r>
        <w:rPr>
          <w:rFonts w:ascii="仿宋" w:hAnsi="仿宋" w:eastAsia="仿宋" w:cs="仿宋"/>
          <w:color w:val="auto"/>
          <w:highlight w:val="none"/>
          <w:lang w:val="en-US"/>
        </w:rPr>
        <w:t>。</w:t>
      </w:r>
    </w:p>
    <w:p w14:paraId="2EEE732B">
      <w:pPr>
        <w:pStyle w:val="62"/>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14:paraId="31412E8E">
      <w:pPr>
        <w:pStyle w:val="62"/>
        <w:autoSpaceDE/>
        <w:autoSpaceDN/>
        <w:snapToGrid w:val="0"/>
        <w:spacing w:line="440" w:lineRule="exact"/>
        <w:ind w:firstLine="723" w:firstLineChars="300"/>
        <w:rPr>
          <w:rFonts w:ascii="仿宋" w:hAnsi="仿宋" w:eastAsia="仿宋" w:cs="仿宋"/>
          <w:b/>
          <w:bCs/>
          <w:color w:val="auto"/>
          <w:highlight w:val="none"/>
          <w:lang w:val="en-US"/>
        </w:rPr>
      </w:pPr>
      <w:r>
        <w:rPr>
          <w:rFonts w:ascii="仿宋" w:hAnsi="仿宋" w:eastAsia="仿宋" w:cs="仿宋"/>
          <w:b/>
          <w:bCs/>
          <w:color w:val="auto"/>
          <w:highlight w:val="none"/>
          <w:lang w:val="en-US"/>
        </w:rPr>
        <w:t>3.4投标报价只允许有一个报价，有选择的报价将不予接受（除指定外）。</w:t>
      </w:r>
    </w:p>
    <w:p w14:paraId="2BA4EE6B">
      <w:pPr>
        <w:pStyle w:val="62"/>
        <w:autoSpaceDE/>
        <w:autoSpaceDN/>
        <w:snapToGrid w:val="0"/>
        <w:spacing w:line="440" w:lineRule="exact"/>
        <w:ind w:left="0" w:leftChars="0" w:firstLine="0" w:firstLineChars="0"/>
        <w:outlineLvl w:val="2"/>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3A4C08D8">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A06FD5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.2投标人进行电子投标应安装客户端软件—“乐采云电子交易客户端”，并按照招标文件和电子交易平台的要求编制并加密投标文件。投标人未按规定加密的投标文件，电子交易平台将拒收并提示。</w:t>
      </w:r>
    </w:p>
    <w:p w14:paraId="77D6978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.3使用“乐采云电子交易客户端”需要提前申领CA数字证书，申领流程请自行前往“浙江政府采购网-下载专区-电子交易客户端-CA驱动和申领流程”进行查阅。</w:t>
      </w:r>
    </w:p>
    <w:p w14:paraId="3465374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ADC29D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624A760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553D7FF">
      <w:pPr>
        <w:pStyle w:val="131"/>
        <w:spacing w:before="0" w:line="440" w:lineRule="exact"/>
        <w:ind w:firstLine="0" w:firstLineChars="0"/>
        <w:outlineLvl w:val="2"/>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159D85A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1015A9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5479C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B5286F7">
      <w:pPr>
        <w:spacing w:line="440" w:lineRule="exact"/>
        <w:outlineLvl w:val="2"/>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14:paraId="1E862C7A">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14:paraId="14161896">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14:paraId="6BEFC513">
      <w:pPr>
        <w:pStyle w:val="131"/>
        <w:spacing w:before="0" w:line="440" w:lineRule="exact"/>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14:paraId="7D434DBC">
      <w:pPr>
        <w:keepNext w:val="0"/>
        <w:keepLines w:val="0"/>
        <w:pageBreakBefore w:val="0"/>
        <w:widowControl w:val="0"/>
        <w:kinsoku/>
        <w:wordWrap/>
        <w:overflowPunct/>
        <w:topLinePunct w:val="0"/>
        <w:autoSpaceDE/>
        <w:autoSpaceDN/>
        <w:bidi w:val="0"/>
        <w:adjustRightInd w:val="0"/>
        <w:snapToGrid/>
        <w:spacing w:line="440" w:lineRule="exact"/>
        <w:jc w:val="center"/>
        <w:textAlignment w:val="auto"/>
        <w:outlineLvl w:val="1"/>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3B12EA2B">
      <w:pPr>
        <w:snapToGrid w:val="0"/>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519C4F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D9EED4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1.2投标人登录乐采云平台，用“项目采购-开标评标”功能对电子投标文件进行在线解密。在线解密电子投标文件时间为开标时间起30分钟内。</w:t>
      </w:r>
    </w:p>
    <w:p w14:paraId="3103A2A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1B86E4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7E40D06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663EA1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58FF4E1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2D538AE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4D436C8F">
      <w:pPr>
        <w:snapToGrid w:val="0"/>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B3CBA5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2.1电子交易平台发生故障而无法登录访问的；</w:t>
      </w:r>
    </w:p>
    <w:p w14:paraId="0D8D042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116921B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164FF7C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2.4病毒发作导致不能进行正常操作的；</w:t>
      </w:r>
    </w:p>
    <w:p w14:paraId="11321FB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711D7CB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42A6C790">
      <w:pPr>
        <w:snapToGrid w:val="0"/>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0C66DB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72D6C5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w:t>
      </w:r>
      <w:r>
        <w:rPr>
          <w:rFonts w:hint="eastAsia" w:ascii="仿宋" w:hAnsi="仿宋" w:eastAsia="仿宋" w:cs="仿宋"/>
          <w:color w:val="auto"/>
          <w:sz w:val="24"/>
          <w:highlight w:val="none"/>
          <w:u w:val="single"/>
          <w:lang w:val="en-US" w:eastAsia="zh-CN"/>
        </w:rPr>
        <w:t>五</w:t>
      </w:r>
      <w:r>
        <w:rPr>
          <w:rFonts w:hint="eastAsia" w:ascii="仿宋" w:hAnsi="仿宋" w:eastAsia="仿宋" w:cs="仿宋"/>
          <w:color w:val="auto"/>
          <w:sz w:val="24"/>
          <w:highlight w:val="none"/>
        </w:rPr>
        <w:t>人以上单数。</w:t>
      </w:r>
    </w:p>
    <w:p w14:paraId="79BE53D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7134BC8F">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5BC930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2A3ECD0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02129751">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327FF77">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6FEC7E25">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4452F45C">
      <w:pPr>
        <w:snapToGrid w:val="0"/>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62BE78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6CEDEBEB">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490E40D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54F91D8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EE47CE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1B7CCD0">
      <w:pPr>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419F2DA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6FC76F0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A172F6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2A075D4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67D1BDA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17AB9184">
      <w:pPr>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CFB181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2EB5C20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6.2在评审过程中，评标委员会可以书面形式要求投标人就投标文件含义不明确的内容可对其通过乐采云平台进行书面说明并提供相关材料，但不得超过投标文件的范围或者改变投标文件的实质性内容。</w:t>
      </w:r>
    </w:p>
    <w:p w14:paraId="0335D2C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4FCEC4C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6.4在评审过程中，如属于实质性偏离或符合无效响应条件的，应当询问相关投标人，并可对其通过乐采云平台进行线上确认，但不允许对偏离条款进行补充、修正或撤回。</w:t>
      </w:r>
    </w:p>
    <w:p w14:paraId="7E51BE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3C86DCD">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18AF219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6.7报价审核。对符合采购需求且通过商务技术（资信）评审的投标人的报价的合理性、准确性等进行审查核实。</w:t>
      </w:r>
    </w:p>
    <w:p w14:paraId="41DE677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乐采云平台提供线上说明，必要时提交相关证明材料。</w:t>
      </w:r>
    </w:p>
    <w:p w14:paraId="34606920">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A3EEF9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4E55E51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69CBB119">
      <w:pPr>
        <w:pStyle w:val="34"/>
        <w:snapToGrid w:val="0"/>
        <w:spacing w:line="440" w:lineRule="exact"/>
        <w:jc w:val="left"/>
        <w:outlineLvl w:val="2"/>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8A7900B">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84D29F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D9E844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8.2单位负责人为同一人或者存在直接控股、管理关系的不同供应商参加同一合同项下的采购活动的（均无效）；</w:t>
      </w:r>
    </w:p>
    <w:p w14:paraId="386DE0DD">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8.3为采购项目提供整体设计、规范编制或者项目管理、监理、检测等服务的供应商参加该采购项目的其他采购活动的；</w:t>
      </w:r>
    </w:p>
    <w:p w14:paraId="1C96C076">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8D03FF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w:t>
      </w:r>
      <w:r>
        <w:rPr>
          <w:rFonts w:hint="eastAsia" w:ascii="仿宋" w:hAnsi="仿宋" w:eastAsia="仿宋" w:cs="仿宋"/>
          <w:b/>
          <w:strike w:val="0"/>
          <w:color w:val="auto"/>
          <w:sz w:val="24"/>
          <w:highlight w:val="none"/>
        </w:rPr>
        <w:t>《法定代表人身份证明书》与</w:t>
      </w:r>
      <w:r>
        <w:rPr>
          <w:rFonts w:hint="eastAsia" w:ascii="仿宋" w:hAnsi="仿宋" w:eastAsia="仿宋" w:cs="仿宋"/>
          <w:b/>
          <w:color w:val="auto"/>
          <w:sz w:val="24"/>
          <w:highlight w:val="none"/>
        </w:rPr>
        <w:t>提供的身份证复印件信息不符的；《法定代表人授权委托书》与提供的身份证复印件信息不符的；</w:t>
      </w:r>
    </w:p>
    <w:p w14:paraId="39B5787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w:t>
      </w:r>
      <w:r>
        <w:rPr>
          <w:rFonts w:hint="eastAsia" w:ascii="仿宋" w:hAnsi="仿宋" w:eastAsia="仿宋" w:cs="仿宋"/>
          <w:b/>
          <w:strike w:val="0"/>
          <w:dstrike w:val="0"/>
          <w:color w:val="auto"/>
          <w:sz w:val="24"/>
          <w:highlight w:val="none"/>
        </w:rPr>
        <w:t>或《法定代表人身份证明书》</w:t>
      </w:r>
      <w:r>
        <w:rPr>
          <w:rFonts w:hint="eastAsia" w:ascii="仿宋" w:hAnsi="仿宋" w:eastAsia="仿宋" w:cs="仿宋"/>
          <w:b/>
          <w:color w:val="auto"/>
          <w:sz w:val="24"/>
          <w:highlight w:val="none"/>
        </w:rPr>
        <w:t>填写不全、错误、未电子签章(《法定代表人授权委托书》要求“电子签章”和“签字或盖章”缺一不可）的；</w:t>
      </w:r>
    </w:p>
    <w:p w14:paraId="7FA4B29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324206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74FEF8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1317D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52E3EFC5">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36F8A812">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64E4420">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9C34AE9">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30AD413">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2888924F">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2833F38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6BA0FEC">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AF5F0C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FCC64E4">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EF6EA67">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3167402">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767769A3">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8A5C522">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6E4822E">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22099E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1A34159">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E451421">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D8C856C">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06B8082">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35D7740">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42AE371">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3417CBA">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05B719F">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4A506A9">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F290531">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3B74766">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8.22.4属于同一集团、协会、商会等组织成员的供应商按照该组织要求协同参加采购活动；</w:t>
      </w:r>
    </w:p>
    <w:p w14:paraId="0E2CCBE2">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F6D801F">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8.22.6供应商之间商定部分供应商放弃参加采购活动或者放弃中标、成交；</w:t>
      </w:r>
    </w:p>
    <w:p w14:paraId="29DD9635">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C5F24F2">
      <w:pPr>
        <w:snapToGrid w:val="0"/>
        <w:spacing w:line="400" w:lineRule="exact"/>
        <w:ind w:firstLine="482" w:firstLineChars="200"/>
        <w:jc w:val="left"/>
        <w:rPr>
          <w:rFonts w:hint="eastAsia" w:ascii="仿宋_GB2312" w:hAnsi="仿宋_GB2312" w:eastAsia="仿宋_GB2312" w:cs="仿宋_GB2312"/>
          <w:b/>
          <w:color w:val="auto"/>
          <w:sz w:val="24"/>
        </w:rPr>
      </w:pPr>
      <w:r>
        <w:rPr>
          <w:rFonts w:hint="eastAsia" w:ascii="仿宋_GB2312" w:hAnsi="仿宋_GB2312" w:eastAsia="仿宋_GB2312" w:cs="仿宋_GB2312"/>
          <w:b/>
          <w:color w:val="auto"/>
          <w:sz w:val="24"/>
        </w:rPr>
        <w:t>8.23参与同一个采购包(标段)的供应商存在下列情形之一的其投标(响应)文件无效：</w:t>
      </w:r>
    </w:p>
    <w:p w14:paraId="3B1945CD">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8.23.1不同供应商的电子投标(响应)文件上传计算机的网卡MAC地址、CPU序列号和硬盘序列号等硬件信息相同的；</w:t>
      </w:r>
    </w:p>
    <w:p w14:paraId="09529EA2">
      <w:pPr>
        <w:tabs>
          <w:tab w:val="left" w:pos="3870"/>
          <w:tab w:val="left" w:pos="4085"/>
        </w:tabs>
        <w:snapToGrid w:val="0"/>
        <w:spacing w:line="400" w:lineRule="exact"/>
        <w:ind w:firstLine="720" w:firstLineChars="300"/>
        <w:jc w:val="left"/>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8.23.2不同供应商联系人为同一人或不同联系人的联系电话一致，且无法合理解释的；</w:t>
      </w:r>
    </w:p>
    <w:p w14:paraId="100CE617">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评标委员会认定有重大偏差或实质性不响应招标文件要求的；</w:t>
      </w:r>
    </w:p>
    <w:p w14:paraId="638B7F11">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投标文件出现不是唯一的、有选择性投标报价的；</w:t>
      </w:r>
    </w:p>
    <w:p w14:paraId="152206DD">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其他违反法律、法规的情形。</w:t>
      </w:r>
    </w:p>
    <w:p w14:paraId="3F0390C5">
      <w:pPr>
        <w:snapToGrid w:val="0"/>
        <w:spacing w:line="440" w:lineRule="exact"/>
        <w:outlineLvl w:val="2"/>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C7F8414">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C0CDAA7">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19"/>
    <w:p w14:paraId="615E9AAF">
      <w:pPr>
        <w:pStyle w:val="34"/>
        <w:keepNext w:val="0"/>
        <w:keepLines w:val="0"/>
        <w:pageBreakBefore w:val="0"/>
        <w:widowControl w:val="0"/>
        <w:kinsoku/>
        <w:wordWrap/>
        <w:overflowPunct/>
        <w:topLinePunct w:val="0"/>
        <w:autoSpaceDE/>
        <w:autoSpaceDN/>
        <w:bidi w:val="0"/>
        <w:adjustRightInd w:val="0"/>
        <w:snapToGrid/>
        <w:spacing w:line="440" w:lineRule="exact"/>
        <w:ind w:firstLine="0"/>
        <w:jc w:val="center"/>
        <w:textAlignment w:val="auto"/>
        <w:outlineLvl w:val="1"/>
        <w:rPr>
          <w:rFonts w:ascii="仿宋" w:hAnsi="仿宋" w:eastAsia="仿宋" w:cs="仿宋"/>
          <w:b/>
          <w:color w:val="auto"/>
          <w:sz w:val="32"/>
          <w:szCs w:val="32"/>
          <w:highlight w:val="none"/>
        </w:rPr>
      </w:pPr>
      <w:bookmarkStart w:id="20" w:name="_Hlt68072990"/>
      <w:bookmarkEnd w:id="20"/>
      <w:bookmarkStart w:id="21" w:name="_Hlt68403820"/>
      <w:bookmarkEnd w:id="21"/>
      <w:bookmarkStart w:id="22" w:name="_Hlt75236290"/>
      <w:bookmarkEnd w:id="22"/>
      <w:bookmarkStart w:id="23" w:name="_Hlt74707468"/>
      <w:bookmarkEnd w:id="23"/>
      <w:bookmarkStart w:id="24" w:name="_Hlt68073093"/>
      <w:bookmarkEnd w:id="24"/>
      <w:bookmarkStart w:id="25" w:name="_Hlt68072998"/>
      <w:bookmarkEnd w:id="25"/>
      <w:bookmarkStart w:id="26" w:name="_Hlt74729768"/>
      <w:bookmarkEnd w:id="26"/>
      <w:bookmarkStart w:id="27" w:name="_Hlt74714665"/>
      <w:bookmarkEnd w:id="27"/>
      <w:bookmarkStart w:id="28" w:name="_Hlt75236101"/>
      <w:bookmarkEnd w:id="28"/>
      <w:bookmarkStart w:id="29" w:name="_Hlt68057669"/>
      <w:bookmarkEnd w:id="29"/>
      <w:bookmarkStart w:id="30" w:name="_Hlt74730295"/>
      <w:bookmarkEnd w:id="30"/>
      <w:bookmarkStart w:id="31" w:name="_Hlt75236011"/>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5BC3951C">
      <w:pPr>
        <w:pStyle w:val="16"/>
        <w:tabs>
          <w:tab w:val="clear" w:pos="390"/>
          <w:tab w:val="clear" w:pos="454"/>
        </w:tabs>
        <w:spacing w:afterLines="0" w:line="440" w:lineRule="exact"/>
        <w:ind w:left="0" w:firstLine="0"/>
        <w:outlineLvl w:val="2"/>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4EEDE0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0FB46AE">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7AD2540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709FCF7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D0B8BE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227E1A9">
      <w:pPr>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763971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FBA317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820B3E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D177ACB">
      <w:pPr>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805390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64644EB">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3.2采购机构通过乐采云平台向中标供应商签发中标通知书。在采购代理机构发出中标通知书前，中标供应商如有违反有关法律法规和本项目要求行为的，则取消该投标人的中标资格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BDA44D8">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97978CA">
      <w:pPr>
        <w:pStyle w:val="16"/>
        <w:widowControl w:val="0"/>
        <w:tabs>
          <w:tab w:val="clear" w:pos="390"/>
          <w:tab w:val="clear" w:pos="454"/>
        </w:tabs>
        <w:spacing w:after="120" w:line="440" w:lineRule="exact"/>
        <w:ind w:left="0" w:firstLine="0"/>
        <w:outlineLvl w:val="2"/>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653A789C">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7B8FAB0">
      <w:pPr>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48E8B4BB">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5E6BC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6138180F">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w:t>
      </w:r>
      <w:r>
        <w:rPr>
          <w:rFonts w:hint="eastAsia" w:ascii="仿宋" w:hAnsi="仿宋" w:eastAsia="仿宋" w:cs="仿宋"/>
          <w:strike w:val="0"/>
          <w:dstrike w:val="0"/>
          <w:color w:val="auto"/>
          <w:sz w:val="24"/>
          <w:highlight w:val="none"/>
        </w:rPr>
        <w:t>、保险公司</w:t>
      </w:r>
      <w:r>
        <w:rPr>
          <w:rFonts w:hint="eastAsia" w:ascii="仿宋" w:hAnsi="仿宋" w:eastAsia="仿宋" w:cs="仿宋"/>
          <w:color w:val="auto"/>
          <w:sz w:val="24"/>
          <w:highlight w:val="none"/>
        </w:rPr>
        <w:t>出具保函形式提交履约保证金的，采购人不得拒收。</w:t>
      </w:r>
    </w:p>
    <w:p w14:paraId="68CB52D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4.4采购货物和服务项目不得收取质量保证金。</w:t>
      </w:r>
    </w:p>
    <w:p w14:paraId="0AE2EFD0">
      <w:pPr>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189340B6">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78392231">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7640FC0D">
      <w:pPr>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52CDDBF2">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88C190A">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5D19B037">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6.3采购人负责加强对中标人的履约管理，并按照采购合同约定，及时向中标人支付采购资金。对于中标人违反采购合同约定的行为，采购人应当及时处理，依法追究其违约责任。</w:t>
      </w:r>
    </w:p>
    <w:p w14:paraId="1AEA8297">
      <w:pPr>
        <w:spacing w:line="440" w:lineRule="exact"/>
        <w:jc w:val="left"/>
        <w:outlineLvl w:val="2"/>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9F779FC">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由采购监督管理部门给予相应处罚。</w:t>
      </w:r>
    </w:p>
    <w:p w14:paraId="5B312BD3">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4445017D">
      <w:pPr>
        <w:spacing w:line="440" w:lineRule="exact"/>
        <w:outlineLvl w:val="2"/>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585F29AC">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政府服务网-政府采购投诉处理-在线办理。</w:t>
      </w:r>
    </w:p>
    <w:p w14:paraId="0630EE7F">
      <w:pPr>
        <w:spacing w:line="440" w:lineRule="exact"/>
        <w:outlineLvl w:val="2"/>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729C3E6E">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599957D">
      <w:pPr>
        <w:spacing w:line="440" w:lineRule="exact"/>
        <w:outlineLvl w:val="2"/>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1D9BA367">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320C2145">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654896C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16FCC88">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D0C6C7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44D42BA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030AFD4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61512633">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59AA27EE">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723E2E22">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4948ECD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5F839393">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3CFE564E">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4617D3E1">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22AA62FF">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3C895411">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25B54AA3">
      <w:pPr>
        <w:spacing w:line="440" w:lineRule="exact"/>
        <w:ind w:firstLine="482" w:firstLineChars="200"/>
        <w:outlineLvl w:val="2"/>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7F227799">
      <w:pPr>
        <w:spacing w:line="440" w:lineRule="exact"/>
        <w:outlineLvl w:val="2"/>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0F485C6A">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78DCAF04">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03BFA64D">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7F5D1189">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14:paraId="52A03909">
      <w:pPr>
        <w:snapToGrid w:val="0"/>
        <w:spacing w:line="440" w:lineRule="exact"/>
        <w:jc w:val="left"/>
        <w:outlineLvl w:val="2"/>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616F756D">
      <w:pPr>
        <w:pStyle w:val="25"/>
        <w:spacing w:line="440" w:lineRule="exact"/>
        <w:ind w:firstLine="480" w:firstLineChars="200"/>
        <w:rPr>
          <w:rFonts w:ascii="仿宋" w:hAnsi="仿宋" w:eastAsia="仿宋" w:cs="仿宋"/>
          <w:color w:val="auto"/>
          <w:highlight w:val="none"/>
        </w:rPr>
        <w:sectPr>
          <w:footerReference r:id="rId8" w:type="default"/>
          <w:pgSz w:w="11906" w:h="16838"/>
          <w:pgMar w:top="1474" w:right="1814" w:bottom="1474" w:left="1814" w:header="851" w:footer="833" w:gutter="0"/>
          <w:pgBorders>
            <w:top w:val="none" w:sz="0" w:space="0"/>
            <w:left w:val="none" w:sz="0" w:space="0"/>
            <w:bottom w:val="none" w:sz="0" w:space="0"/>
            <w:right w:val="none" w:sz="0" w:space="0"/>
          </w:pgBorders>
          <w:pgNumType w:fmt="decimal"/>
          <w:cols w:space="0" w:num="1"/>
          <w:rtlGutter w:val="0"/>
          <w:docGrid w:linePitch="312" w:charSpace="0"/>
        </w:sectPr>
      </w:pPr>
    </w:p>
    <w:bookmarkEnd w:id="17"/>
    <w:bookmarkEnd w:id="18"/>
    <w:p w14:paraId="161B8673">
      <w:pPr>
        <w:numPr>
          <w:ilvl w:val="0"/>
          <w:numId w:val="2"/>
        </w:numPr>
        <w:spacing w:line="360" w:lineRule="auto"/>
        <w:jc w:val="center"/>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招标项目范围及要求</w:t>
      </w:r>
    </w:p>
    <w:p w14:paraId="66F0D05C">
      <w:pPr>
        <w:widowControl/>
        <w:adjustRightInd/>
        <w:spacing w:line="360" w:lineRule="auto"/>
        <w:ind w:firstLine="422" w:firstLineChars="200"/>
        <w:jc w:val="left"/>
        <w:rPr>
          <w:rFonts w:ascii="宋体" w:hAnsi="宋体" w:eastAsia="宋体" w:cs="宋体"/>
          <w:b/>
          <w:color w:val="auto"/>
          <w:kern w:val="0"/>
          <w:sz w:val="24"/>
          <w:szCs w:val="21"/>
          <w:highlight w:val="none"/>
        </w:rPr>
      </w:pPr>
      <w:bookmarkStart w:id="36" w:name="_Toc440962585"/>
      <w:bookmarkStart w:id="37" w:name="_Toc1641742146"/>
      <w:bookmarkStart w:id="38" w:name="_Toc13881"/>
      <w:bookmarkStart w:id="39" w:name="_Toc459200614"/>
      <w:r>
        <w:rPr>
          <w:rFonts w:hint="eastAsia" w:ascii="宋体" w:hAnsi="宋体" w:eastAsia="宋体" w:cs="宋体"/>
          <w:b/>
          <w:color w:val="auto"/>
          <w:kern w:val="0"/>
          <w:sz w:val="21"/>
          <w:szCs w:val="21"/>
          <w:highlight w:val="none"/>
        </w:rPr>
        <w:t>一、项目概况</w:t>
      </w:r>
      <w:bookmarkEnd w:id="36"/>
      <w:bookmarkEnd w:id="37"/>
      <w:bookmarkEnd w:id="38"/>
      <w:bookmarkEnd w:id="39"/>
    </w:p>
    <w:p w14:paraId="69DD5128">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40" w:name="_Toc13827"/>
      <w:r>
        <w:rPr>
          <w:rFonts w:hint="eastAsia" w:ascii="宋体" w:hAnsi="宋体" w:eastAsia="宋体" w:cs="宋体"/>
          <w:bCs/>
          <w:color w:val="auto"/>
          <w:kern w:val="0"/>
          <w:sz w:val="21"/>
          <w:szCs w:val="21"/>
          <w:highlight w:val="none"/>
        </w:rPr>
        <w:t>绍兴市轨道交通2号线一期工程起点为镜湖医院站，终点为檀渎站，线路长10.80公里，均采用地下线敷设，设车站9座、主变电所1座（越兴路主变电所）和豆姜站停车列检线，使用镜湖控制中心和万绣路车辆基地，</w:t>
      </w:r>
      <w:r>
        <w:rPr>
          <w:rFonts w:ascii="宋体" w:hAnsi="宋体" w:eastAsia="宋体" w:cs="宋体"/>
          <w:bCs/>
          <w:color w:val="auto"/>
          <w:kern w:val="0"/>
          <w:sz w:val="21"/>
          <w:szCs w:val="21"/>
          <w:highlight w:val="none"/>
        </w:rPr>
        <w:t>概算投资额</w:t>
      </w:r>
      <w:r>
        <w:rPr>
          <w:rFonts w:hint="eastAsia" w:ascii="宋体" w:hAnsi="宋体" w:eastAsia="宋体" w:cs="宋体"/>
          <w:bCs/>
          <w:color w:val="auto"/>
          <w:kern w:val="0"/>
          <w:sz w:val="21"/>
          <w:szCs w:val="21"/>
          <w:highlight w:val="none"/>
        </w:rPr>
        <w:t>为84.54亿元。</w:t>
      </w:r>
    </w:p>
    <w:bookmarkEnd w:id="40"/>
    <w:p w14:paraId="61E948BB">
      <w:pPr>
        <w:tabs>
          <w:tab w:val="right" w:leader="dot" w:pos="8306"/>
        </w:tabs>
        <w:overflowPunct w:val="0"/>
        <w:autoSpaceDE w:val="0"/>
        <w:autoSpaceDN w:val="0"/>
        <w:adjustRightInd w:val="0"/>
        <w:spacing w:before="120" w:after="120" w:line="360" w:lineRule="auto"/>
        <w:ind w:firstLine="422" w:firstLineChars="200"/>
        <w:textAlignment w:val="baseline"/>
        <w:outlineLvl w:val="0"/>
        <w:rPr>
          <w:rFonts w:ascii="宋体" w:hAnsi="Book Antiqua" w:eastAsia="宋体" w:cs="宋体"/>
          <w:b w:val="0"/>
          <w:bCs/>
          <w:caps/>
          <w:color w:val="auto"/>
          <w:sz w:val="20"/>
          <w:szCs w:val="21"/>
          <w:highlight w:val="none"/>
          <w:lang w:val="en-US" w:eastAsia="zh-CN" w:bidi="ar-SA"/>
        </w:rPr>
      </w:pPr>
      <w:bookmarkStart w:id="41" w:name="_Toc459200615"/>
      <w:bookmarkStart w:id="42" w:name="_Toc2006041784"/>
      <w:r>
        <w:rPr>
          <w:rFonts w:hint="eastAsia" w:ascii="宋体" w:hAnsi="Book Antiqua" w:eastAsia="宋体" w:cs="宋体"/>
          <w:b/>
          <w:bCs w:val="0"/>
          <w:caps/>
          <w:color w:val="auto"/>
          <w:sz w:val="21"/>
          <w:szCs w:val="21"/>
          <w:highlight w:val="none"/>
          <w:lang w:val="en-US" w:eastAsia="zh-CN" w:bidi="ar-SA"/>
        </w:rPr>
        <w:t>二、项目</w:t>
      </w:r>
      <w:bookmarkEnd w:id="41"/>
      <w:r>
        <w:rPr>
          <w:rFonts w:hint="eastAsia" w:ascii="宋体" w:hAnsi="Book Antiqua" w:eastAsia="宋体" w:cs="宋体"/>
          <w:b/>
          <w:bCs w:val="0"/>
          <w:caps/>
          <w:color w:val="auto"/>
          <w:sz w:val="21"/>
          <w:szCs w:val="21"/>
          <w:highlight w:val="none"/>
          <w:lang w:val="en-US" w:eastAsia="zh-CN" w:bidi="ar-SA"/>
        </w:rPr>
        <w:t>招标范围</w:t>
      </w:r>
      <w:bookmarkEnd w:id="42"/>
    </w:p>
    <w:p w14:paraId="4BC83B67">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绍兴市轨道交通2号线一期项目（包括但不限于车站、区间、</w:t>
      </w:r>
      <w:r>
        <w:rPr>
          <w:rFonts w:ascii="宋体" w:hAnsi="宋体" w:eastAsia="宋体" w:cs="宋体"/>
          <w:bCs/>
          <w:color w:val="auto"/>
          <w:kern w:val="0"/>
          <w:sz w:val="21"/>
          <w:szCs w:val="21"/>
          <w:highlight w:val="none"/>
        </w:rPr>
        <w:t>轨道、</w:t>
      </w:r>
      <w:r>
        <w:rPr>
          <w:rFonts w:hint="eastAsia" w:ascii="宋体" w:hAnsi="宋体" w:eastAsia="宋体" w:cs="宋体"/>
          <w:bCs/>
          <w:color w:val="auto"/>
          <w:kern w:val="0"/>
          <w:sz w:val="21"/>
          <w:szCs w:val="21"/>
          <w:highlight w:val="none"/>
        </w:rPr>
        <w:t>联络线、万绣路车辆基地、镜湖控制中心、豆姜站停车列检线、越兴路主变电所、</w:t>
      </w:r>
      <w:r>
        <w:rPr>
          <w:rFonts w:ascii="宋体" w:hAnsi="宋体" w:eastAsia="宋体" w:cs="宋体"/>
          <w:bCs/>
          <w:color w:val="auto"/>
          <w:kern w:val="0"/>
          <w:sz w:val="21"/>
          <w:szCs w:val="21"/>
          <w:highlight w:val="none"/>
        </w:rPr>
        <w:t>工程</w:t>
      </w:r>
      <w:r>
        <w:rPr>
          <w:rFonts w:hint="eastAsia" w:ascii="宋体" w:hAnsi="宋体" w:eastAsia="宋体" w:cs="宋体"/>
          <w:bCs/>
          <w:color w:val="auto"/>
          <w:kern w:val="0"/>
          <w:sz w:val="21"/>
          <w:szCs w:val="21"/>
          <w:highlight w:val="none"/>
        </w:rPr>
        <w:t>车辆</w:t>
      </w:r>
      <w:r>
        <w:rPr>
          <w:rFonts w:ascii="宋体" w:hAnsi="宋体" w:eastAsia="宋体" w:cs="宋体"/>
          <w:bCs/>
          <w:color w:val="auto"/>
          <w:kern w:val="0"/>
          <w:sz w:val="21"/>
          <w:szCs w:val="21"/>
          <w:highlight w:val="none"/>
        </w:rPr>
        <w:t>、线路设施</w:t>
      </w:r>
      <w:r>
        <w:rPr>
          <w:rFonts w:hint="eastAsia" w:ascii="宋体" w:hAnsi="宋体" w:eastAsia="宋体" w:cs="宋体"/>
          <w:bCs/>
          <w:color w:val="auto"/>
          <w:kern w:val="0"/>
          <w:sz w:val="21"/>
          <w:szCs w:val="21"/>
          <w:highlight w:val="none"/>
        </w:rPr>
        <w:t>及机电设备</w:t>
      </w:r>
      <w:r>
        <w:rPr>
          <w:rFonts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rPr>
        <w:t>生产办公场所</w:t>
      </w:r>
      <w:r>
        <w:rPr>
          <w:rFonts w:ascii="宋体" w:hAnsi="宋体" w:eastAsia="宋体" w:cs="宋体"/>
          <w:bCs/>
          <w:color w:val="auto"/>
          <w:kern w:val="0"/>
          <w:sz w:val="21"/>
          <w:szCs w:val="21"/>
          <w:highlight w:val="none"/>
        </w:rPr>
        <w:t>及</w:t>
      </w:r>
      <w:r>
        <w:rPr>
          <w:rFonts w:hint="eastAsia" w:ascii="宋体" w:hAnsi="宋体" w:eastAsia="宋体" w:cs="宋体"/>
          <w:bCs/>
          <w:color w:val="auto"/>
          <w:kern w:val="0"/>
          <w:sz w:val="21"/>
          <w:szCs w:val="21"/>
          <w:highlight w:val="none"/>
        </w:rPr>
        <w:t>对应物资和</w:t>
      </w:r>
      <w:r>
        <w:rPr>
          <w:rFonts w:ascii="宋体" w:hAnsi="宋体" w:eastAsia="宋体" w:cs="宋体"/>
          <w:bCs/>
          <w:color w:val="auto"/>
          <w:kern w:val="0"/>
          <w:sz w:val="21"/>
          <w:szCs w:val="21"/>
          <w:highlight w:val="none"/>
        </w:rPr>
        <w:t>资产</w:t>
      </w:r>
      <w:r>
        <w:rPr>
          <w:rFonts w:hint="eastAsia" w:ascii="宋体" w:hAnsi="宋体" w:eastAsia="宋体" w:cs="宋体"/>
          <w:bCs/>
          <w:color w:val="auto"/>
          <w:kern w:val="0"/>
          <w:sz w:val="21"/>
          <w:szCs w:val="21"/>
          <w:highlight w:val="none"/>
        </w:rPr>
        <w:t>等）</w:t>
      </w:r>
      <w:r>
        <w:rPr>
          <w:rFonts w:ascii="宋体" w:hAnsi="宋体" w:eastAsia="宋体" w:cs="宋体"/>
          <w:bCs/>
          <w:color w:val="auto"/>
          <w:kern w:val="0"/>
          <w:sz w:val="21"/>
          <w:szCs w:val="21"/>
          <w:highlight w:val="none"/>
        </w:rPr>
        <w:t>运营期</w:t>
      </w:r>
      <w:r>
        <w:rPr>
          <w:rFonts w:hint="eastAsia" w:ascii="宋体" w:hAnsi="宋体" w:eastAsia="宋体" w:cs="宋体"/>
          <w:bCs/>
          <w:color w:val="auto"/>
          <w:kern w:val="0"/>
          <w:sz w:val="21"/>
          <w:szCs w:val="21"/>
          <w:highlight w:val="none"/>
        </w:rPr>
        <w:t>财产一切险（附加机器损坏险、现金险）、公众责任险及</w:t>
      </w:r>
      <w:r>
        <w:rPr>
          <w:rFonts w:ascii="宋体" w:hAnsi="宋体" w:eastAsia="宋体" w:cs="宋体"/>
          <w:bCs/>
          <w:color w:val="auto"/>
          <w:kern w:val="0"/>
          <w:sz w:val="21"/>
          <w:szCs w:val="21"/>
          <w:highlight w:val="none"/>
        </w:rPr>
        <w:t>安全生产责任险</w:t>
      </w:r>
      <w:r>
        <w:rPr>
          <w:rFonts w:hint="eastAsia" w:ascii="宋体" w:hAnsi="宋体" w:eastAsia="宋体" w:cs="宋体"/>
          <w:bCs/>
          <w:color w:val="auto"/>
          <w:kern w:val="0"/>
          <w:sz w:val="21"/>
          <w:szCs w:val="21"/>
          <w:highlight w:val="none"/>
        </w:rPr>
        <w:t>。</w:t>
      </w:r>
    </w:p>
    <w:p w14:paraId="2C02C2C9">
      <w:pPr>
        <w:tabs>
          <w:tab w:val="right" w:leader="dot" w:pos="8306"/>
        </w:tabs>
        <w:overflowPunct w:val="0"/>
        <w:autoSpaceDE w:val="0"/>
        <w:autoSpaceDN w:val="0"/>
        <w:adjustRightInd w:val="0"/>
        <w:spacing w:before="120" w:after="120" w:line="360" w:lineRule="auto"/>
        <w:ind w:firstLine="422" w:firstLineChars="200"/>
        <w:textAlignment w:val="baseline"/>
        <w:outlineLvl w:val="0"/>
        <w:rPr>
          <w:rFonts w:ascii="宋体" w:hAnsi="Book Antiqua" w:eastAsia="宋体" w:cs="宋体"/>
          <w:b/>
          <w:bCs w:val="0"/>
          <w:caps w:val="0"/>
          <w:smallCaps w:val="0"/>
          <w:color w:val="auto"/>
          <w:sz w:val="21"/>
          <w:szCs w:val="21"/>
          <w:highlight w:val="none"/>
          <w:lang w:val="en-US" w:eastAsia="zh-CN" w:bidi="ar-SA"/>
        </w:rPr>
      </w:pPr>
      <w:bookmarkStart w:id="43" w:name="_Toc157751931"/>
      <w:r>
        <w:rPr>
          <w:rFonts w:hint="eastAsia" w:ascii="宋体" w:hAnsi="Book Antiqua" w:eastAsia="宋体" w:cs="宋体"/>
          <w:b/>
          <w:bCs w:val="0"/>
          <w:caps w:val="0"/>
          <w:smallCaps w:val="0"/>
          <w:color w:val="auto"/>
          <w:sz w:val="21"/>
          <w:szCs w:val="21"/>
          <w:highlight w:val="none"/>
          <w:lang w:val="en-US" w:eastAsia="zh-CN" w:bidi="ar-SA"/>
        </w:rPr>
        <w:t>三、项目服务期限</w:t>
      </w:r>
      <w:bookmarkEnd w:id="43"/>
    </w:p>
    <w:p w14:paraId="16B2D0EF">
      <w:pPr>
        <w:tabs>
          <w:tab w:val="right" w:leader="dot" w:pos="8306"/>
        </w:tabs>
        <w:overflowPunct w:val="0"/>
        <w:autoSpaceDE w:val="0"/>
        <w:autoSpaceDN w:val="0"/>
        <w:adjustRightInd w:val="0"/>
        <w:spacing w:before="120" w:after="120" w:line="360" w:lineRule="auto"/>
        <w:ind w:firstLine="420" w:firstLineChars="200"/>
        <w:textAlignment w:val="baseline"/>
        <w:outlineLvl w:val="0"/>
        <w:rPr>
          <w:rFonts w:ascii="Book Antiqua" w:hAnsi="Book Antiqua" w:eastAsia="宋体" w:cs="Times New Roman"/>
          <w:b/>
          <w:bCs/>
          <w:caps/>
          <w:color w:val="auto"/>
          <w:sz w:val="21"/>
          <w:szCs w:val="21"/>
          <w:highlight w:val="none"/>
          <w:lang w:val="en-US" w:eastAsia="zh-CN" w:bidi="ar-SA"/>
        </w:rPr>
      </w:pPr>
      <w:bookmarkStart w:id="44" w:name="_Toc10554"/>
      <w:bookmarkStart w:id="45" w:name="_Toc17239"/>
      <w:r>
        <w:rPr>
          <w:rFonts w:hint="eastAsia" w:ascii="Book Antiqua" w:hAnsi="Book Antiqua" w:eastAsia="宋体" w:cs="Times New Roman"/>
          <w:b w:val="0"/>
          <w:bCs w:val="0"/>
          <w:caps/>
          <w:color w:val="auto"/>
          <w:sz w:val="21"/>
          <w:szCs w:val="21"/>
          <w:highlight w:val="none"/>
          <w:lang w:val="en-US" w:eastAsia="zh-CN" w:bidi="ar-SA"/>
        </w:rPr>
        <w:t>约</w:t>
      </w:r>
      <w:r>
        <w:rPr>
          <w:rFonts w:ascii="Book Antiqua" w:hAnsi="Book Antiqua" w:eastAsia="宋体" w:cs="Times New Roman"/>
          <w:b w:val="0"/>
          <w:bCs w:val="0"/>
          <w:caps/>
          <w:color w:val="auto"/>
          <w:sz w:val="21"/>
          <w:szCs w:val="21"/>
          <w:highlight w:val="none"/>
          <w:lang w:val="en-US" w:eastAsia="zh-CN" w:bidi="ar-SA"/>
        </w:rPr>
        <w:t>24</w:t>
      </w:r>
      <w:r>
        <w:rPr>
          <w:rFonts w:hint="eastAsia" w:ascii="Book Antiqua" w:hAnsi="Book Antiqua" w:eastAsia="宋体" w:cs="Times New Roman"/>
          <w:b w:val="0"/>
          <w:bCs w:val="0"/>
          <w:caps/>
          <w:color w:val="auto"/>
          <w:sz w:val="21"/>
          <w:szCs w:val="21"/>
          <w:highlight w:val="none"/>
          <w:lang w:val="en-US" w:eastAsia="zh-CN" w:bidi="ar-SA"/>
        </w:rPr>
        <w:t>个月，自202</w:t>
      </w:r>
      <w:r>
        <w:rPr>
          <w:rFonts w:ascii="Book Antiqua" w:hAnsi="Book Antiqua" w:eastAsia="宋体" w:cs="Times New Roman"/>
          <w:b w:val="0"/>
          <w:bCs w:val="0"/>
          <w:caps/>
          <w:color w:val="auto"/>
          <w:sz w:val="21"/>
          <w:szCs w:val="21"/>
          <w:highlight w:val="none"/>
          <w:lang w:val="en-US" w:eastAsia="zh-CN" w:bidi="ar-SA"/>
        </w:rPr>
        <w:t>4</w:t>
      </w:r>
      <w:r>
        <w:rPr>
          <w:rFonts w:hint="eastAsia" w:ascii="Book Antiqua" w:hAnsi="Book Antiqua" w:eastAsia="宋体" w:cs="Times New Roman"/>
          <w:b w:val="0"/>
          <w:bCs w:val="0"/>
          <w:caps/>
          <w:color w:val="auto"/>
          <w:sz w:val="21"/>
          <w:szCs w:val="21"/>
          <w:highlight w:val="none"/>
          <w:lang w:val="en-US" w:eastAsia="zh-CN" w:bidi="ar-SA"/>
        </w:rPr>
        <w:t>年</w:t>
      </w:r>
      <w:r>
        <w:rPr>
          <w:rFonts w:ascii="Book Antiqua" w:hAnsi="Book Antiqua" w:eastAsia="宋体" w:cs="Times New Roman"/>
          <w:b w:val="0"/>
          <w:bCs w:val="0"/>
          <w:caps/>
          <w:color w:val="auto"/>
          <w:sz w:val="21"/>
          <w:szCs w:val="21"/>
          <w:highlight w:val="none"/>
          <w:lang w:val="en-US" w:eastAsia="zh-CN" w:bidi="ar-SA"/>
        </w:rPr>
        <w:t>12</w:t>
      </w:r>
      <w:r>
        <w:rPr>
          <w:rFonts w:hint="eastAsia" w:ascii="Book Antiqua" w:hAnsi="Book Antiqua" w:eastAsia="宋体" w:cs="Times New Roman"/>
          <w:b w:val="0"/>
          <w:bCs w:val="0"/>
          <w:caps/>
          <w:color w:val="auto"/>
          <w:sz w:val="21"/>
          <w:szCs w:val="21"/>
          <w:highlight w:val="none"/>
          <w:lang w:val="en-US" w:eastAsia="zh-CN" w:bidi="ar-SA"/>
        </w:rPr>
        <w:t>月</w:t>
      </w:r>
      <w:r>
        <w:rPr>
          <w:rFonts w:ascii="Book Antiqua" w:hAnsi="Book Antiqua" w:eastAsia="宋体" w:cs="Times New Roman"/>
          <w:b w:val="0"/>
          <w:bCs w:val="0"/>
          <w:caps/>
          <w:color w:val="auto"/>
          <w:sz w:val="21"/>
          <w:szCs w:val="21"/>
          <w:highlight w:val="none"/>
          <w:lang w:val="en-US" w:eastAsia="zh-CN" w:bidi="ar-SA"/>
        </w:rPr>
        <w:t>29</w:t>
      </w:r>
      <w:r>
        <w:rPr>
          <w:rFonts w:hint="eastAsia" w:ascii="Book Antiqua" w:hAnsi="Book Antiqua" w:eastAsia="宋体" w:cs="Times New Roman"/>
          <w:b w:val="0"/>
          <w:bCs w:val="0"/>
          <w:caps/>
          <w:color w:val="auto"/>
          <w:sz w:val="21"/>
          <w:szCs w:val="21"/>
          <w:highlight w:val="none"/>
          <w:lang w:val="en-US" w:eastAsia="zh-CN" w:bidi="ar-SA"/>
        </w:rPr>
        <w:t>日0：00起至202</w:t>
      </w:r>
      <w:r>
        <w:rPr>
          <w:rFonts w:ascii="Book Antiqua" w:hAnsi="Book Antiqua" w:eastAsia="宋体" w:cs="Times New Roman"/>
          <w:b w:val="0"/>
          <w:bCs w:val="0"/>
          <w:caps/>
          <w:color w:val="auto"/>
          <w:sz w:val="21"/>
          <w:szCs w:val="21"/>
          <w:highlight w:val="none"/>
          <w:lang w:val="en-US" w:eastAsia="zh-CN" w:bidi="ar-SA"/>
        </w:rPr>
        <w:t>6</w:t>
      </w:r>
      <w:r>
        <w:rPr>
          <w:rFonts w:hint="eastAsia" w:ascii="Book Antiqua" w:hAnsi="Book Antiqua" w:eastAsia="宋体" w:cs="Times New Roman"/>
          <w:b w:val="0"/>
          <w:bCs w:val="0"/>
          <w:caps/>
          <w:color w:val="auto"/>
          <w:sz w:val="21"/>
          <w:szCs w:val="21"/>
          <w:highlight w:val="none"/>
          <w:lang w:val="en-US" w:eastAsia="zh-CN" w:bidi="ar-SA"/>
        </w:rPr>
        <w:t>年12月</w:t>
      </w:r>
      <w:r>
        <w:rPr>
          <w:rFonts w:ascii="Book Antiqua" w:hAnsi="Book Antiqua" w:eastAsia="宋体" w:cs="Times New Roman"/>
          <w:b w:val="0"/>
          <w:bCs w:val="0"/>
          <w:caps/>
          <w:color w:val="auto"/>
          <w:sz w:val="21"/>
          <w:szCs w:val="21"/>
          <w:highlight w:val="none"/>
          <w:lang w:val="en-US" w:eastAsia="zh-CN" w:bidi="ar-SA"/>
        </w:rPr>
        <w:t>31</w:t>
      </w:r>
      <w:r>
        <w:rPr>
          <w:rFonts w:hint="eastAsia" w:ascii="Book Antiqua" w:hAnsi="Book Antiqua" w:eastAsia="宋体" w:cs="Times New Roman"/>
          <w:b w:val="0"/>
          <w:bCs w:val="0"/>
          <w:caps/>
          <w:color w:val="auto"/>
          <w:sz w:val="21"/>
          <w:szCs w:val="21"/>
          <w:highlight w:val="none"/>
          <w:lang w:val="en-US" w:eastAsia="zh-CN" w:bidi="ar-SA"/>
        </w:rPr>
        <w:t>日</w:t>
      </w:r>
      <w:r>
        <w:rPr>
          <w:rFonts w:ascii="Book Antiqua" w:hAnsi="Book Antiqua" w:eastAsia="宋体" w:cs="Times New Roman"/>
          <w:b w:val="0"/>
          <w:bCs w:val="0"/>
          <w:caps/>
          <w:color w:val="auto"/>
          <w:sz w:val="21"/>
          <w:szCs w:val="21"/>
          <w:highlight w:val="none"/>
          <w:lang w:val="en-US" w:eastAsia="zh-CN" w:bidi="ar-SA"/>
        </w:rPr>
        <w:t>24：00止。</w:t>
      </w:r>
      <w:bookmarkStart w:id="46" w:name="_Toc546413526"/>
    </w:p>
    <w:p w14:paraId="673E0698">
      <w:pPr>
        <w:tabs>
          <w:tab w:val="right" w:leader="dot" w:pos="8306"/>
        </w:tabs>
        <w:overflowPunct w:val="0"/>
        <w:autoSpaceDE w:val="0"/>
        <w:autoSpaceDN w:val="0"/>
        <w:adjustRightInd w:val="0"/>
        <w:spacing w:before="120" w:after="120" w:line="360" w:lineRule="auto"/>
        <w:ind w:firstLine="422" w:firstLineChars="200"/>
        <w:textAlignment w:val="baseline"/>
        <w:outlineLvl w:val="0"/>
        <w:rPr>
          <w:rFonts w:ascii="宋体" w:hAnsi="Book Antiqua" w:eastAsia="宋体" w:cs="宋体"/>
          <w:b w:val="0"/>
          <w:bCs/>
          <w:caps/>
          <w:color w:val="auto"/>
          <w:sz w:val="20"/>
          <w:szCs w:val="21"/>
          <w:highlight w:val="none"/>
          <w:lang w:val="en-US" w:eastAsia="zh-CN" w:bidi="ar-SA"/>
        </w:rPr>
      </w:pPr>
      <w:r>
        <w:rPr>
          <w:rFonts w:hint="eastAsia" w:ascii="宋体" w:hAnsi="Book Antiqua" w:eastAsia="宋体" w:cs="宋体"/>
          <w:b/>
          <w:bCs w:val="0"/>
          <w:caps/>
          <w:color w:val="auto"/>
          <w:sz w:val="21"/>
          <w:szCs w:val="21"/>
          <w:highlight w:val="none"/>
          <w:lang w:val="en-US" w:eastAsia="zh-CN" w:bidi="ar-SA"/>
        </w:rPr>
        <w:t>四、项目管控要求</w:t>
      </w:r>
      <w:bookmarkEnd w:id="44"/>
      <w:bookmarkEnd w:id="45"/>
      <w:bookmarkEnd w:id="46"/>
    </w:p>
    <w:p w14:paraId="0C83418B">
      <w:pPr>
        <w:widowControl/>
        <w:adjustRightInd/>
        <w:spacing w:line="360" w:lineRule="auto"/>
        <w:ind w:firstLine="420" w:firstLineChars="200"/>
        <w:jc w:val="left"/>
        <w:outlineLvl w:val="1"/>
        <w:rPr>
          <w:rFonts w:ascii="宋体" w:hAnsi="宋体" w:eastAsia="宋体" w:cs="宋体"/>
          <w:bCs/>
          <w:color w:val="auto"/>
          <w:kern w:val="0"/>
          <w:sz w:val="24"/>
          <w:szCs w:val="21"/>
          <w:highlight w:val="none"/>
        </w:rPr>
      </w:pPr>
      <w:bookmarkStart w:id="47" w:name="_Toc27527529"/>
      <w:r>
        <w:rPr>
          <w:rFonts w:hint="eastAsia" w:ascii="宋体" w:hAnsi="宋体" w:eastAsia="宋体" w:cs="宋体"/>
          <w:bCs/>
          <w:color w:val="auto"/>
          <w:kern w:val="0"/>
          <w:sz w:val="21"/>
          <w:szCs w:val="21"/>
          <w:highlight w:val="none"/>
        </w:rPr>
        <w:t>（一）项目负责人、服务小组</w:t>
      </w:r>
      <w:bookmarkEnd w:id="47"/>
    </w:p>
    <w:p w14:paraId="35F6CF0F">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1.项目负责人要求及职责</w:t>
      </w:r>
    </w:p>
    <w:p w14:paraId="58A5FF6F">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项目负责人必须是保险人本单位正式工作人员，应具有本科或以上学历</w:t>
      </w:r>
      <w:r>
        <w:rPr>
          <w:rFonts w:hint="eastAsia" w:ascii="宋体" w:hAnsi="宋体" w:eastAsia="宋体" w:cs="宋体"/>
          <w:bCs/>
          <w:strike w:val="0"/>
          <w:dstrike w:val="0"/>
          <w:color w:val="auto"/>
          <w:kern w:val="0"/>
          <w:sz w:val="21"/>
          <w:szCs w:val="21"/>
          <w:highlight w:val="none"/>
        </w:rPr>
        <w:t>、</w:t>
      </w:r>
      <w:r>
        <w:rPr>
          <w:rFonts w:hint="eastAsia" w:ascii="宋体" w:hAnsi="宋体" w:cs="宋体"/>
          <w:bCs/>
          <w:strike w:val="0"/>
          <w:dstrike w:val="0"/>
          <w:color w:val="auto"/>
          <w:kern w:val="0"/>
          <w:sz w:val="21"/>
          <w:szCs w:val="21"/>
          <w:highlight w:val="none"/>
          <w:lang w:val="en-US" w:eastAsia="zh-CN"/>
        </w:rPr>
        <w:t>3</w:t>
      </w:r>
      <w:r>
        <w:rPr>
          <w:rFonts w:hint="eastAsia" w:ascii="宋体" w:hAnsi="宋体" w:eastAsia="宋体" w:cs="宋体"/>
          <w:bCs/>
          <w:strike w:val="0"/>
          <w:dstrike w:val="0"/>
          <w:color w:val="auto"/>
          <w:kern w:val="0"/>
          <w:sz w:val="21"/>
          <w:szCs w:val="21"/>
          <w:highlight w:val="none"/>
        </w:rPr>
        <w:t>年及以上的工作经验、中级及以上技术职称</w:t>
      </w:r>
      <w:r>
        <w:rPr>
          <w:rFonts w:hint="eastAsia" w:ascii="宋体" w:hAnsi="宋体" w:eastAsia="宋体" w:cs="宋体"/>
          <w:bCs/>
          <w:color w:val="auto"/>
          <w:kern w:val="0"/>
          <w:sz w:val="21"/>
          <w:szCs w:val="21"/>
          <w:highlight w:val="none"/>
        </w:rPr>
        <w:t>。在保险期内，保险人原则上不得更换项目负责人，如遇特殊原因确需更换的，变更后的项目负责人资历不得低于原负责人，且需按照被保险人管理要求办理人员变更审批流程。变更项目负责人的，</w:t>
      </w:r>
      <w:r>
        <w:rPr>
          <w:rFonts w:ascii="宋体" w:hAnsi="宋体" w:eastAsia="宋体" w:cs="宋体"/>
          <w:bCs/>
          <w:color w:val="auto"/>
          <w:kern w:val="0"/>
          <w:sz w:val="21"/>
          <w:szCs w:val="21"/>
          <w:highlight w:val="none"/>
        </w:rPr>
        <w:t>保险人</w:t>
      </w:r>
      <w:r>
        <w:rPr>
          <w:rFonts w:hint="eastAsia" w:ascii="宋体" w:hAnsi="宋体" w:eastAsia="宋体" w:cs="宋体"/>
          <w:bCs/>
          <w:color w:val="auto"/>
          <w:kern w:val="0"/>
          <w:sz w:val="21"/>
          <w:szCs w:val="21"/>
          <w:highlight w:val="none"/>
        </w:rPr>
        <w:t>需按合同价款的4‰</w:t>
      </w:r>
      <w:r>
        <w:rPr>
          <w:rFonts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rPr>
        <w:t>人·次</w:t>
      </w:r>
      <w:r>
        <w:rPr>
          <w:rFonts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rPr>
        <w:t>向被保险人缴纳变更违约金</w:t>
      </w:r>
      <w:r>
        <w:rPr>
          <w:rFonts w:ascii="宋体" w:hAnsi="宋体" w:eastAsia="宋体" w:cs="宋体"/>
          <w:bCs/>
          <w:color w:val="auto"/>
          <w:kern w:val="0"/>
          <w:sz w:val="21"/>
          <w:szCs w:val="21"/>
          <w:highlight w:val="none"/>
        </w:rPr>
        <w:t>。</w:t>
      </w:r>
    </w:p>
    <w:p w14:paraId="3072CB33">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项目负责人全面负责本项目的承保、理赔、业务咨询、风险管理、与相关方的协调等各项保险服务工作的组织和实施；本项目出险后，项目负责人保证出席所有重大赔案的定责、定损会议，并迅速做出理赔决策，保证理赔质量和效率。</w:t>
      </w:r>
    </w:p>
    <w:p w14:paraId="45A8C376">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2.项目服务小组要求及职责</w:t>
      </w:r>
    </w:p>
    <w:p w14:paraId="0C4F4268">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人成立专门服务本项目的项目服务小组，在保险合同生效后开展工作，并自行安排固定办公场所受理日常索赔事务。项目服务小组由组长（可由项目负责人担任）1名、副组长至少1名、保险理赔服务人员至少2名、保险综合服务人员至少2名组成，保险综合服务人员不得与保险理赔服务人员重复。服务小组组长、副组长人员变动须提前一个月与被保险人协商确定，报被保险人批准后方可执行，并按合同价款的0.2</w:t>
      </w:r>
      <w:r>
        <w:rPr>
          <w:rFonts w:ascii="宋体" w:hAnsi="宋体" w:eastAsia="宋体" w:cs="宋体"/>
          <w:bCs/>
          <w:color w:val="auto"/>
          <w:kern w:val="0"/>
          <w:sz w:val="21"/>
          <w:szCs w:val="21"/>
          <w:highlight w:val="none"/>
        </w:rPr>
        <w:t>‰/人·次，向被保险人缴纳变更违约金</w:t>
      </w:r>
      <w:r>
        <w:rPr>
          <w:rFonts w:hint="eastAsia" w:ascii="宋体" w:hAnsi="宋体" w:eastAsia="宋体" w:cs="宋体"/>
          <w:bCs/>
          <w:color w:val="auto"/>
          <w:kern w:val="0"/>
          <w:sz w:val="21"/>
          <w:szCs w:val="21"/>
          <w:highlight w:val="none"/>
        </w:rPr>
        <w:t>。其他成员人员变动须提前一个月书面通知被保险人。服务小组确定后保险人应向被保险人提供服务人员通讯录。</w:t>
      </w:r>
    </w:p>
    <w:p w14:paraId="7BABE017">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项目服务小组负责处理一切保险期限内的服务事宜，为被保险人提供包括上门收取赔案相关的单证，将赔案案卷送达被保险人，参与赔案中对伤者及家属的解答，以及日常与保险相关的咨询服务等。项目服务小组应提供全年24小时的服务响应，根据被保险人需要，专职理赔人员或服务人员须在接到通知一小时内赶至现场进行解答或参加会议，否则贻误事件处理，责任由保险人承担。</w:t>
      </w:r>
    </w:p>
    <w:p w14:paraId="0CF35224">
      <w:pPr>
        <w:widowControl/>
        <w:adjustRightInd/>
        <w:spacing w:line="360" w:lineRule="auto"/>
        <w:ind w:firstLine="420" w:firstLineChars="200"/>
        <w:jc w:val="left"/>
        <w:outlineLvl w:val="1"/>
        <w:rPr>
          <w:rFonts w:ascii="宋体" w:hAnsi="宋体" w:eastAsia="宋体" w:cs="宋体"/>
          <w:bCs/>
          <w:color w:val="auto"/>
          <w:kern w:val="0"/>
          <w:sz w:val="24"/>
          <w:szCs w:val="21"/>
          <w:highlight w:val="none"/>
        </w:rPr>
      </w:pPr>
      <w:bookmarkStart w:id="48" w:name="_Toc1184585445"/>
      <w:r>
        <w:rPr>
          <w:rFonts w:hint="eastAsia" w:ascii="宋体" w:hAnsi="宋体" w:eastAsia="宋体" w:cs="宋体"/>
          <w:bCs/>
          <w:color w:val="auto"/>
          <w:kern w:val="0"/>
          <w:sz w:val="21"/>
          <w:szCs w:val="21"/>
          <w:highlight w:val="none"/>
        </w:rPr>
        <w:t>（二）联席会议和培训服务</w:t>
      </w:r>
      <w:bookmarkEnd w:id="48"/>
    </w:p>
    <w:p w14:paraId="3B604954">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1.联席会议</w:t>
      </w:r>
    </w:p>
    <w:p w14:paraId="4A0DE25F">
      <w:pPr>
        <w:widowControl/>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在保险期内，保险人要每年组织召开至少一次正式的联席会议，且最后一次联席会议不得晚于每年保单期限结束前一个月，参会方应包括被保险人和保险人。保险人汇报前期服务总结、提出近期服务计划；被保险人对保险人服务作出评价并视情况提出进一步服务要求；各方交流地铁保险市场信息、风险管控和索赔管理经验。保险人在合同签署10日内向被保险人提交书面联席会议计划。联席会议费用由保险人承担，具体举办时间和地点由被保险人及相关方共同协商确定，保险人应于每次会议结束后5日内形成会议纪要，提交被保险人。</w:t>
      </w:r>
    </w:p>
    <w:p w14:paraId="11F668B6">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2.培训服务</w:t>
      </w:r>
    </w:p>
    <w:p w14:paraId="1E8647BB">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在保险期内，保险人负责每年举办至少一次保险知识和风险管理培训，以提高被保险人相关人员的安全意识、防灾防损技能以及处置事故事件的水平。保险人在合同签署 10 日内向被保险人提交书面培训计划，经被保险人同意后实施</w:t>
      </w:r>
      <w:r>
        <w:rPr>
          <w:rFonts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rPr>
        <w:t>培训费用由保险人承担</w:t>
      </w:r>
      <w:r>
        <w:rPr>
          <w:rFonts w:ascii="宋体" w:hAnsi="宋体" w:eastAsia="宋体" w:cs="宋体"/>
          <w:bCs/>
          <w:color w:val="auto"/>
          <w:kern w:val="0"/>
          <w:sz w:val="21"/>
          <w:szCs w:val="21"/>
          <w:highlight w:val="none"/>
        </w:rPr>
        <w:t>，</w:t>
      </w:r>
      <w:r>
        <w:rPr>
          <w:rFonts w:hint="eastAsia" w:ascii="宋体" w:hAnsi="宋体" w:eastAsia="宋体" w:cs="仿宋"/>
          <w:color w:val="auto"/>
          <w:kern w:val="0"/>
          <w:sz w:val="21"/>
          <w:szCs w:val="21"/>
          <w:highlight w:val="none"/>
        </w:rPr>
        <w:t>具体举办时间和地点由被保险人及相关方共同协商确定。</w:t>
      </w:r>
      <w:r>
        <w:rPr>
          <w:rFonts w:ascii="宋体" w:hAnsi="宋体" w:eastAsia="宋体" w:cs="宋体"/>
          <w:bCs/>
          <w:color w:val="auto"/>
          <w:kern w:val="0"/>
          <w:sz w:val="21"/>
          <w:szCs w:val="21"/>
          <w:highlight w:val="none"/>
        </w:rPr>
        <w:t>保险人应于每次</w:t>
      </w:r>
      <w:r>
        <w:rPr>
          <w:rFonts w:hint="eastAsia" w:ascii="宋体" w:hAnsi="宋体" w:eastAsia="宋体" w:cs="宋体"/>
          <w:bCs/>
          <w:color w:val="auto"/>
          <w:kern w:val="0"/>
          <w:sz w:val="21"/>
          <w:szCs w:val="21"/>
          <w:highlight w:val="none"/>
        </w:rPr>
        <w:t>培训前准备并提供培训资料、会议签到表等材料</w:t>
      </w:r>
      <w:r>
        <w:rPr>
          <w:rFonts w:ascii="宋体" w:hAnsi="宋体" w:eastAsia="宋体" w:cs="宋体"/>
          <w:bCs/>
          <w:color w:val="auto"/>
          <w:kern w:val="0"/>
          <w:sz w:val="21"/>
          <w:szCs w:val="21"/>
          <w:highlight w:val="none"/>
        </w:rPr>
        <w:t>。</w:t>
      </w:r>
    </w:p>
    <w:p w14:paraId="12560031">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在培训内容上，保险人将会同被保险人充分沟通，了解被保险人的需求，制订详细的培训计划，将每一次培训工作落到实处，切实满足防灾防损和风险管理的需要。主要的培训方面有：保险知识、风险管理、防灾防损、安全质量、突发事故应急措施、事故抢险和法律知识等。</w:t>
      </w:r>
    </w:p>
    <w:p w14:paraId="3B9FB97C">
      <w:pPr>
        <w:widowControl/>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保险人应于合同签订后一个月内，编制《保险理赔手册》，方便被保险人理赔。保险手册内容包括：保险范围、理赔各流程操作规范、注意事项、索赔清单、服务团队成员组成及联系方式、项目负责人联系方式等内容，指导被保险人如何快速处理保险理赔相关事宜</w:t>
      </w:r>
      <w:r>
        <w:rPr>
          <w:rFonts w:ascii="宋体" w:hAnsi="宋体" w:eastAsia="宋体" w:cs="宋体"/>
          <w:bCs/>
          <w:color w:val="auto"/>
          <w:kern w:val="0"/>
          <w:sz w:val="21"/>
          <w:szCs w:val="21"/>
          <w:highlight w:val="none"/>
        </w:rPr>
        <w:t>。保险人应制作提供电子版理赔手册，同时按被保险人的需求供应纸质手册，</w:t>
      </w:r>
      <w:r>
        <w:rPr>
          <w:rFonts w:hint="eastAsia" w:ascii="宋体" w:hAnsi="宋体" w:eastAsia="宋体" w:cs="宋体"/>
          <w:bCs/>
          <w:color w:val="auto"/>
          <w:kern w:val="0"/>
          <w:sz w:val="21"/>
          <w:szCs w:val="21"/>
          <w:highlight w:val="none"/>
        </w:rPr>
        <w:t>制作费用由保险人承担。</w:t>
      </w:r>
      <w:r>
        <w:rPr>
          <w:rFonts w:ascii="宋体" w:hAnsi="宋体" w:eastAsia="宋体" w:cs="宋体"/>
          <w:bCs/>
          <w:color w:val="auto"/>
          <w:kern w:val="0"/>
          <w:sz w:val="21"/>
          <w:szCs w:val="21"/>
          <w:highlight w:val="none"/>
        </w:rPr>
        <w:t>如人员</w:t>
      </w:r>
      <w:r>
        <w:rPr>
          <w:rFonts w:hint="eastAsia" w:ascii="宋体" w:hAnsi="宋体" w:eastAsia="宋体" w:cs="宋体"/>
          <w:bCs/>
          <w:color w:val="auto"/>
          <w:kern w:val="0"/>
          <w:sz w:val="21"/>
          <w:szCs w:val="21"/>
          <w:highlight w:val="none"/>
        </w:rPr>
        <w:t>、联系方式、理赔流程</w:t>
      </w:r>
      <w:r>
        <w:rPr>
          <w:rFonts w:ascii="宋体" w:hAnsi="宋体" w:eastAsia="宋体" w:cs="宋体"/>
          <w:bCs/>
          <w:color w:val="auto"/>
          <w:kern w:val="0"/>
          <w:sz w:val="21"/>
          <w:szCs w:val="21"/>
          <w:highlight w:val="none"/>
        </w:rPr>
        <w:t>等重要信息发生变更，保险人应及时更新理赔手册。</w:t>
      </w:r>
    </w:p>
    <w:p w14:paraId="56B059B1">
      <w:pPr>
        <w:widowControl/>
        <w:adjustRightInd/>
        <w:spacing w:line="360" w:lineRule="auto"/>
        <w:ind w:firstLine="420" w:firstLineChars="200"/>
        <w:jc w:val="left"/>
        <w:outlineLvl w:val="1"/>
        <w:rPr>
          <w:rFonts w:ascii="宋体" w:hAnsi="宋体" w:eastAsia="宋体" w:cs="宋体"/>
          <w:bCs/>
          <w:color w:val="auto"/>
          <w:kern w:val="0"/>
          <w:sz w:val="24"/>
          <w:szCs w:val="21"/>
          <w:highlight w:val="none"/>
        </w:rPr>
      </w:pPr>
      <w:bookmarkStart w:id="49" w:name="_Toc98443891"/>
      <w:bookmarkStart w:id="50" w:name="_Toc1131742422"/>
      <w:bookmarkStart w:id="51" w:name="_Toc28844"/>
      <w:bookmarkStart w:id="52" w:name="_Toc1161567713"/>
      <w:bookmarkStart w:id="53" w:name="_Toc30403"/>
      <w:bookmarkStart w:id="54" w:name="_Toc12506"/>
      <w:bookmarkStart w:id="55" w:name="_Toc27561"/>
      <w:r>
        <w:rPr>
          <w:rFonts w:hint="eastAsia" w:ascii="宋体" w:hAnsi="宋体" w:eastAsia="宋体" w:cs="宋体"/>
          <w:bCs/>
          <w:color w:val="auto"/>
          <w:kern w:val="0"/>
          <w:sz w:val="21"/>
          <w:szCs w:val="21"/>
          <w:highlight w:val="none"/>
        </w:rPr>
        <w:t>（三）风险管控服务</w:t>
      </w:r>
      <w:bookmarkEnd w:id="49"/>
      <w:bookmarkEnd w:id="50"/>
      <w:bookmarkEnd w:id="51"/>
      <w:bookmarkEnd w:id="52"/>
      <w:bookmarkEnd w:id="53"/>
      <w:bookmarkEnd w:id="54"/>
      <w:bookmarkEnd w:id="55"/>
    </w:p>
    <w:p w14:paraId="4A1F7D12">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保险人应组建本项目保险专业风险管控小组，自保险合同签署时起，一个月内编制风险管控工作管理办法和实施细则，提交被保险人备案，作为保险合同的组成部分，供各方共同遵守。</w:t>
      </w:r>
    </w:p>
    <w:p w14:paraId="01823FA8">
      <w:pPr>
        <w:widowControl/>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为了达到防灾防损的目的，及时消除安全隐患，保险人为本项目设置“保险风险管控咨询服务费用”（下称“风控费”），费用为总保费的8%，用于开展各项风险管控咨询服务工作，包括但不限于召开风险管理及保险会议、提供风险管理培训和应急救护培训、防汛防火等风险巡查、邀请国内外相关专家或机构对项目进展情况进行风险分析和评估、检查风险管控情况、提出风险管理建议、安排风险管理及保险学习、保险与风险管理相关课题研究以及通过购买、租赁相关的</w:t>
      </w:r>
      <w:r>
        <w:rPr>
          <w:rFonts w:ascii="宋体" w:hAnsi="宋体" w:eastAsia="宋体" w:cs="宋体"/>
          <w:bCs/>
          <w:color w:val="auto"/>
          <w:kern w:val="0"/>
          <w:sz w:val="21"/>
          <w:szCs w:val="21"/>
          <w:highlight w:val="none"/>
        </w:rPr>
        <w:t>物资和</w:t>
      </w:r>
      <w:r>
        <w:rPr>
          <w:rFonts w:hint="eastAsia" w:ascii="宋体" w:hAnsi="宋体" w:eastAsia="宋体" w:cs="宋体"/>
          <w:bCs/>
          <w:color w:val="auto"/>
          <w:kern w:val="0"/>
          <w:sz w:val="21"/>
          <w:szCs w:val="21"/>
          <w:highlight w:val="none"/>
        </w:rPr>
        <w:t>设备仪器提供风险防控服务等。</w:t>
      </w:r>
    </w:p>
    <w:p w14:paraId="6CC56BFE">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保险人应与被保险人协商确定风控方案和计划，相关费用应在保险服务期限内使用完毕。</w:t>
      </w:r>
      <w:r>
        <w:rPr>
          <w:rFonts w:hint="eastAsia" w:ascii="宋体" w:hAnsi="宋体" w:eastAsia="宋体" w:cs="宋体"/>
          <w:color w:val="auto"/>
          <w:kern w:val="0"/>
          <w:sz w:val="21"/>
          <w:szCs w:val="21"/>
          <w:highlight w:val="none"/>
        </w:rPr>
        <w:t>保险人采购第三方风控咨询服务产生的采购和招投标费用由保险人另行承担，不在风控费范围内。</w:t>
      </w:r>
      <w:r>
        <w:rPr>
          <w:rFonts w:hint="eastAsia" w:ascii="宋体" w:hAnsi="宋体" w:eastAsia="宋体" w:cs="宋体"/>
          <w:bCs/>
          <w:color w:val="auto"/>
          <w:kern w:val="0"/>
          <w:sz w:val="21"/>
          <w:szCs w:val="21"/>
          <w:highlight w:val="none"/>
        </w:rPr>
        <w:t>若开展项目周期长且需验收成果后才能支付，但验收时间迟于保险服务最终期限时，则应在保险服务期限内完成合同签订，待被保险人完成验收后保险人再向相关方完成支付工作，保险人不得以保险服务期限已过期拒绝支付款项。</w:t>
      </w:r>
      <w:bookmarkStart w:id="56" w:name="_Toc31718"/>
      <w:bookmarkStart w:id="57" w:name="_Toc7439"/>
      <w:bookmarkStart w:id="58" w:name="_Toc98443892"/>
      <w:bookmarkStart w:id="59" w:name="_Toc27937"/>
      <w:bookmarkStart w:id="60" w:name="_Toc20540"/>
      <w:bookmarkStart w:id="61" w:name="_Toc1264418395"/>
    </w:p>
    <w:p w14:paraId="643D57F8">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保险人每年组织至少一次对被保险人一线人员的非货币性慰问活动，慰问活动的具体时间、形式需与被保险人共同商定后开展，慰问费用在风控费中列支，总费用不超过保险费的1%。</w:t>
      </w:r>
    </w:p>
    <w:p w14:paraId="06E41F3B">
      <w:pPr>
        <w:widowControl/>
        <w:adjustRightInd/>
        <w:spacing w:line="360" w:lineRule="auto"/>
        <w:ind w:firstLine="420" w:firstLineChars="200"/>
        <w:jc w:val="left"/>
        <w:outlineLvl w:val="1"/>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（四）理赔服务</w:t>
      </w:r>
      <w:bookmarkEnd w:id="56"/>
      <w:bookmarkEnd w:id="57"/>
      <w:bookmarkEnd w:id="58"/>
      <w:bookmarkEnd w:id="59"/>
      <w:bookmarkEnd w:id="60"/>
      <w:bookmarkEnd w:id="61"/>
    </w:p>
    <w:p w14:paraId="092291D1">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62" w:name="_Toc98443893"/>
      <w:r>
        <w:rPr>
          <w:rFonts w:hint="eastAsia" w:ascii="宋体" w:hAnsi="宋体" w:eastAsia="宋体" w:cs="宋体"/>
          <w:bCs/>
          <w:color w:val="auto"/>
          <w:kern w:val="0"/>
          <w:sz w:val="21"/>
          <w:szCs w:val="21"/>
          <w:highlight w:val="none"/>
        </w:rPr>
        <w:t>1.出险通知</w:t>
      </w:r>
      <w:bookmarkEnd w:id="62"/>
    </w:p>
    <w:p w14:paraId="711C66DD">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63" w:name="_Hlk66201112"/>
      <w:r>
        <w:rPr>
          <w:rFonts w:hint="eastAsia" w:ascii="宋体" w:hAnsi="宋体" w:eastAsia="宋体" w:cs="宋体"/>
          <w:bCs/>
          <w:color w:val="auto"/>
          <w:kern w:val="0"/>
          <w:sz w:val="21"/>
          <w:szCs w:val="21"/>
          <w:highlight w:val="none"/>
        </w:rPr>
        <w:t>确保专人和专线接报案。</w:t>
      </w:r>
    </w:p>
    <w:bookmarkEnd w:id="63"/>
    <w:p w14:paraId="2F25DBE3">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64" w:name="_Toc98443894"/>
      <w:r>
        <w:rPr>
          <w:rFonts w:hint="eastAsia" w:ascii="宋体" w:hAnsi="宋体" w:eastAsia="宋体" w:cs="宋体"/>
          <w:bCs/>
          <w:color w:val="auto"/>
          <w:kern w:val="0"/>
          <w:sz w:val="21"/>
          <w:szCs w:val="21"/>
          <w:highlight w:val="none"/>
        </w:rPr>
        <w:t>2.现场查勘时限</w:t>
      </w:r>
      <w:bookmarkEnd w:id="64"/>
    </w:p>
    <w:p w14:paraId="3191F945">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65" w:name="_Hlk66201168"/>
      <w:r>
        <w:rPr>
          <w:rFonts w:hint="eastAsia" w:ascii="宋体" w:hAnsi="宋体" w:eastAsia="宋体" w:cs="宋体"/>
          <w:bCs/>
          <w:color w:val="auto"/>
          <w:kern w:val="0"/>
          <w:sz w:val="21"/>
          <w:szCs w:val="21"/>
          <w:highlight w:val="none"/>
        </w:rPr>
        <w:t>保险人应严格执行365天、24小时的全天候接报案制度。保险人根据自身的机构网络设置，接到被保险人的电话或书面报案通知后，必须立即答复是否需要保留现场。如需要，保险人专责理赔人员须在1小时内赶到现场，或与被保险人协商，委托被保险人选择的公估公司在24个小时内赶到现场进行查勘。保险人</w:t>
      </w:r>
      <w:r>
        <w:rPr>
          <w:rFonts w:hint="eastAsia" w:ascii="宋体" w:hAnsi="宋体" w:eastAsia="宋体" w:cs="宋体"/>
          <w:bCs/>
          <w:color w:val="auto"/>
          <w:kern w:val="0"/>
          <w:sz w:val="21"/>
          <w:szCs w:val="21"/>
          <w:highlight w:val="none"/>
          <w:lang w:val="zh-CN"/>
        </w:rPr>
        <w:t>在现场查勘结束</w:t>
      </w:r>
      <w:r>
        <w:rPr>
          <w:rFonts w:hint="eastAsia" w:ascii="宋体" w:hAnsi="宋体" w:eastAsia="宋体" w:cs="宋体"/>
          <w:bCs/>
          <w:color w:val="auto"/>
          <w:kern w:val="0"/>
          <w:sz w:val="21"/>
          <w:szCs w:val="21"/>
          <w:highlight w:val="none"/>
        </w:rPr>
        <w:t>后</w:t>
      </w:r>
      <w:r>
        <w:rPr>
          <w:rFonts w:hint="eastAsia" w:ascii="宋体" w:hAnsi="宋体" w:eastAsia="宋体" w:cs="宋体"/>
          <w:bCs/>
          <w:color w:val="auto"/>
          <w:kern w:val="0"/>
          <w:sz w:val="21"/>
          <w:szCs w:val="21"/>
          <w:highlight w:val="none"/>
          <w:lang w:val="zh-CN"/>
        </w:rPr>
        <w:t>，向</w:t>
      </w:r>
      <w:r>
        <w:rPr>
          <w:rFonts w:hint="eastAsia" w:ascii="宋体" w:hAnsi="宋体" w:eastAsia="宋体" w:cs="宋体"/>
          <w:bCs/>
          <w:color w:val="auto"/>
          <w:kern w:val="0"/>
          <w:sz w:val="21"/>
          <w:szCs w:val="21"/>
          <w:highlight w:val="none"/>
        </w:rPr>
        <w:t>被保险人</w:t>
      </w:r>
      <w:r>
        <w:rPr>
          <w:rFonts w:hint="eastAsia" w:ascii="宋体" w:hAnsi="宋体" w:eastAsia="宋体" w:cs="宋体"/>
          <w:bCs/>
          <w:color w:val="auto"/>
          <w:kern w:val="0"/>
          <w:sz w:val="21"/>
          <w:szCs w:val="21"/>
          <w:highlight w:val="none"/>
          <w:lang w:val="zh-CN"/>
        </w:rPr>
        <w:t>提供书面的《索赔清单》，</w:t>
      </w:r>
      <w:r>
        <w:rPr>
          <w:rFonts w:hint="eastAsia" w:ascii="宋体" w:hAnsi="宋体" w:eastAsia="宋体" w:cs="宋体"/>
          <w:bCs/>
          <w:color w:val="auto"/>
          <w:kern w:val="0"/>
          <w:sz w:val="21"/>
          <w:szCs w:val="21"/>
          <w:highlight w:val="none"/>
        </w:rPr>
        <w:t>被保险人</w:t>
      </w:r>
      <w:r>
        <w:rPr>
          <w:rFonts w:hint="eastAsia" w:ascii="宋体" w:hAnsi="宋体" w:eastAsia="宋体" w:cs="宋体"/>
          <w:bCs/>
          <w:color w:val="auto"/>
          <w:kern w:val="0"/>
          <w:sz w:val="21"/>
          <w:szCs w:val="21"/>
          <w:highlight w:val="none"/>
          <w:lang w:val="zh-CN"/>
        </w:rPr>
        <w:t>按清单提供索赔单证。</w:t>
      </w:r>
    </w:p>
    <w:p w14:paraId="44B6E429">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若因抢险需要，或保险人查勘人员未按上述规定时间及时到达出险现场，保险人允许并认可被保险人自行处理事故现场。保险人应根据被保险人拍摄的事故现场的有关照片、录像及受损财产实物等处理保险理赔事宜。</w:t>
      </w:r>
    </w:p>
    <w:p w14:paraId="5E98810B">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保险人为被保险人提供公众责任事故前置处理服务与复勘服务。</w:t>
      </w:r>
    </w:p>
    <w:bookmarkEnd w:id="65"/>
    <w:p w14:paraId="5695A378">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66" w:name="_Toc98443895"/>
      <w:r>
        <w:rPr>
          <w:rFonts w:hint="eastAsia" w:ascii="宋体" w:hAnsi="宋体" w:eastAsia="宋体" w:cs="宋体"/>
          <w:bCs/>
          <w:color w:val="auto"/>
          <w:kern w:val="0"/>
          <w:sz w:val="21"/>
          <w:szCs w:val="21"/>
          <w:highlight w:val="none"/>
        </w:rPr>
        <w:t>3.参与谈判与司法鉴定</w:t>
      </w:r>
      <w:bookmarkEnd w:id="66"/>
    </w:p>
    <w:p w14:paraId="003B78BA">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67" w:name="_Hlk66201235"/>
      <w:r>
        <w:rPr>
          <w:rFonts w:hint="eastAsia" w:ascii="宋体" w:hAnsi="宋体" w:eastAsia="宋体" w:cs="宋体"/>
          <w:bCs/>
          <w:color w:val="auto"/>
          <w:kern w:val="0"/>
          <w:sz w:val="21"/>
          <w:szCs w:val="21"/>
          <w:highlight w:val="none"/>
        </w:rPr>
        <w:t>保险人应根据被保险人要求，事故发生后需至少派1人理赔专员参加被保险人与第三方的现场谈判，必要时与被保险人一同前往医院进行先期处置，谈判结束后出具最终理赔意见。如保险人未派员参与现场谈判或拒绝参与现场谈判，则视为保险人认可被保险人与第三方的谈判结果。</w:t>
      </w:r>
    </w:p>
    <w:p w14:paraId="717F4245">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如被保险人有责且第三方涉及伤残要求司法鉴定的，保险人应在被保险人的要求下派员代表被保险人选择鉴定机构及陪同第三方进行司法鉴定。如保险人拒绝，则视为保险人认可被保险人选择的鉴定机构及鉴定结果。司法鉴定费用计入理赔项，按最后调解协商或者判决的赔偿比例进行分摊计算。在案件处理过程中，如需要被保险人预付司法鉴定费用的，被保险人可要求保险人垫付，待保险责任以及理赔金额确定后，对于多垫付的费用按最后调解协商或者判决的赔偿比例进行结算。</w:t>
      </w:r>
    </w:p>
    <w:bookmarkEnd w:id="67"/>
    <w:p w14:paraId="2BBCB58D">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68" w:name="_Toc98443896"/>
      <w:r>
        <w:rPr>
          <w:rFonts w:hint="eastAsia" w:ascii="宋体" w:hAnsi="宋体" w:eastAsia="宋体" w:cs="宋体"/>
          <w:bCs/>
          <w:color w:val="auto"/>
          <w:kern w:val="0"/>
          <w:sz w:val="21"/>
          <w:szCs w:val="21"/>
          <w:highlight w:val="none"/>
        </w:rPr>
        <w:t>4.单证审核</w:t>
      </w:r>
      <w:bookmarkEnd w:id="68"/>
    </w:p>
    <w:p w14:paraId="258CD8B7">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被保险人按本保险有关规定提供必须的、有效的、真实的有关单证和资料（保险人认可无需提供的单证和资料，被保险人可以不予提供），保险人项目服务小组人员负责上门收取索赔资料，填写《索赔资料交接单》，并立即审查核实，若认为有关证明和材料不完整，应立即以书面或口头方式通知被保险人应补充提供的有关证明或资料，若在接到索赔资料后1个工作日内未提出有关审核意见，则视为保险人认可索赔资料完整。</w:t>
      </w:r>
    </w:p>
    <w:p w14:paraId="433C4C4E">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69" w:name="_Toc98443897"/>
      <w:r>
        <w:rPr>
          <w:rFonts w:hint="eastAsia" w:ascii="宋体" w:hAnsi="宋体" w:eastAsia="宋体" w:cs="宋体"/>
          <w:bCs/>
          <w:color w:val="auto"/>
          <w:kern w:val="0"/>
          <w:sz w:val="21"/>
          <w:szCs w:val="21"/>
          <w:highlight w:val="none"/>
        </w:rPr>
        <w:t>5.聘请公估公司及其费用</w:t>
      </w:r>
      <w:bookmarkEnd w:id="69"/>
    </w:p>
    <w:p w14:paraId="6290A40D">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如需要委托公估公司的，由被保险人根据“指定理算师条款”之约定通知保险人进行公估公司的选派，由保险人负责通知选定的公估公司，保险人应立即处理并在1个工作日内完成理赔所需的对公估公司的书面委托文件交公估公司，公估公司需在24个小时内赶到现场进行查勘。</w:t>
      </w:r>
    </w:p>
    <w:p w14:paraId="039DB9ED">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针对公估公司服务团队赔案经办人员，保险人将其成员名单、相关人员简历等材料提交被保险人进行筛选。</w:t>
      </w:r>
    </w:p>
    <w:p w14:paraId="5D9205B1">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由被保险人和保险人根据公估公司每次赔案处理情况，从赔案处理态度、处理技能、赔偿额度和处理速度四个方面进行综合评价，评价得分决定公估公司能否连续/继续/停止服务本项目。</w:t>
      </w:r>
    </w:p>
    <w:p w14:paraId="667FD937">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聘请保险公估公司的费用由保险人支付；其他遵从“指定理算师条款”之约定。</w:t>
      </w:r>
    </w:p>
    <w:p w14:paraId="295F3678">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70" w:name="_Toc98443898"/>
      <w:r>
        <w:rPr>
          <w:rFonts w:hint="eastAsia" w:ascii="宋体" w:hAnsi="宋体" w:eastAsia="宋体" w:cs="宋体"/>
          <w:bCs/>
          <w:color w:val="auto"/>
          <w:kern w:val="0"/>
          <w:sz w:val="21"/>
          <w:szCs w:val="21"/>
          <w:highlight w:val="none"/>
        </w:rPr>
        <w:t>6.理赔程序</w:t>
      </w:r>
      <w:bookmarkEnd w:id="70"/>
    </w:p>
    <w:p w14:paraId="379CCF40">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（1）兹经双方同意，公众责任事故中，保险人授予被保险人每次事故RMB 1万元限额的现场快速处理权限。被保险人现场处理人员可以根据实际情况，</w:t>
      </w:r>
      <w:r>
        <w:rPr>
          <w:rFonts w:hint="eastAsia" w:ascii="宋体" w:hAnsi="仿宋" w:eastAsia="宋体" w:cs="宋体"/>
          <w:bCs/>
          <w:color w:val="auto"/>
          <w:kern w:val="0"/>
          <w:sz w:val="21"/>
          <w:szCs w:val="21"/>
          <w:highlight w:val="none"/>
        </w:rPr>
        <w:t>要求保险人派人参与现场谈判，谈判结束后出具最终理赔意见。如保险人未在一小时内派员参与现场谈判或拒绝参与现场谈判，则视为保险人认可被保险人与第三方的谈判结果。</w:t>
      </w:r>
      <w:r>
        <w:rPr>
          <w:rFonts w:ascii="宋体" w:hAnsi="仿宋" w:eastAsia="宋体" w:cs="宋体"/>
          <w:bCs/>
          <w:color w:val="auto"/>
          <w:kern w:val="0"/>
          <w:sz w:val="21"/>
          <w:szCs w:val="21"/>
          <w:highlight w:val="none"/>
        </w:rPr>
        <w:t>被保险人</w:t>
      </w:r>
      <w:r>
        <w:rPr>
          <w:rFonts w:hint="eastAsia" w:ascii="宋体" w:hAnsi="宋体" w:eastAsia="宋体" w:cs="宋体"/>
          <w:bCs/>
          <w:color w:val="auto"/>
          <w:kern w:val="0"/>
          <w:sz w:val="21"/>
          <w:szCs w:val="21"/>
          <w:highlight w:val="none"/>
        </w:rPr>
        <w:t>迅速与受伤/受损第三方达成一次性赔偿协议，每次事故赔偿限额RMB 1万元，双方签名的赔偿协议、第三方身份证复印件和被保险人盖章的案情说明作为索赔单证。保险人应于赔案相关资料齐全后3日内赔付赔款金额。被保险人应严格控制有权代表其行使该权限的人员数量，且该类赔案的年度累计赔偿限额为RMB 50万元。</w:t>
      </w:r>
    </w:p>
    <w:p w14:paraId="3FB4685D">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（2）对于发生公众责任重伤或死亡且估计损失金额在RMB 2万元（含）以上的重大赔案，如聘请公估公司的，事故责任认定可以参考公估公司的公估报告中责任认定，保险人应于责任认定明确且赔案相关资料齐全后7个工作日内进行赔付。如果双方对于事故责任认定或公估公司出具的公估报告存在争议，可以采取诉讼方式由人民法院裁定，保险人应于责任认定明确且赔案相关资料齐全后7个工作日内确定赔款金额；如在相关争议处理过程中，法院或相关司法部门要求提供担保的，保险人应当无条件提供担保或出具符合要求的保函。</w:t>
      </w:r>
    </w:p>
    <w:p w14:paraId="3F0D5B8F">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（3）对于估损金额在RMB 2万元（扣除免赔额后）以下的保险事故，</w:t>
      </w:r>
      <w:r>
        <w:rPr>
          <w:rFonts w:hint="eastAsia" w:ascii="宋体" w:hAnsi="仿宋" w:eastAsia="宋体" w:cs="宋体"/>
          <w:bCs/>
          <w:color w:val="auto"/>
          <w:kern w:val="0"/>
          <w:sz w:val="21"/>
          <w:szCs w:val="21"/>
          <w:highlight w:val="none"/>
        </w:rPr>
        <w:t>保险人应当于接到被保险人或保险服务人报案后1小时内以书面（传真）、电子邮件或手机短信等方式提出处理意见，并明确是否前往现场查勘。保险人明确前往现场查勘的，应及时与被保险人报案人员联系前往现场查勘。如果保险人查勘人员未在约定时间内到达现场或未给予回复，视同为保险人不需要前往现场查勘。被保险人可自行处理现场，保险人应认可被保险人所申报的事故经过属实，并认可被保险人采取的有关施救处理措施及发生的有关施救费用，但是被保险人应注意保留有关的现场照片及有关索赔单证。</w:t>
      </w:r>
      <w:r>
        <w:rPr>
          <w:rFonts w:hint="eastAsia" w:ascii="宋体" w:hAnsi="宋体" w:eastAsia="宋体" w:cs="宋体"/>
          <w:bCs/>
          <w:color w:val="auto"/>
          <w:kern w:val="0"/>
          <w:sz w:val="21"/>
          <w:szCs w:val="21"/>
          <w:highlight w:val="none"/>
        </w:rPr>
        <w:t>索赔时简化索赔资料，提高赔案处理效率。仅提供如下资料即可进行理算：①出险通知书；②现场照片；③附有支持文件得事故原因和损失分析报告；④报警证明（如涉及盗抢事故）；⑤修复或重置受损标的的工程预算；⑥赔偿证明；⑦相关单证和票据。尽管有前述规定，保险人保留检查损失现场的权利。</w:t>
      </w:r>
    </w:p>
    <w:p w14:paraId="6952DF30">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（4）对于其他情况的赔案，事故责任认定若以公估公司的公估报告中责任认定为准，保险人应于责任认定明确且赔案相关资料齐全后7个工作日内确定理赔金额。</w:t>
      </w:r>
    </w:p>
    <w:p w14:paraId="0A9BE9B8">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（5）对于估损金额在RMB 2万元（扣除免赔额后）以</w:t>
      </w:r>
      <w:r>
        <w:rPr>
          <w:rFonts w:ascii="宋体" w:hAnsi="宋体" w:eastAsia="宋体" w:cs="宋体"/>
          <w:bCs/>
          <w:color w:val="auto"/>
          <w:kern w:val="0"/>
          <w:sz w:val="21"/>
          <w:szCs w:val="21"/>
          <w:highlight w:val="none"/>
        </w:rPr>
        <w:t>上</w:t>
      </w:r>
      <w:r>
        <w:rPr>
          <w:rFonts w:hint="eastAsia" w:ascii="宋体" w:hAnsi="宋体" w:eastAsia="宋体" w:cs="宋体"/>
          <w:bCs/>
          <w:color w:val="auto"/>
          <w:kern w:val="0"/>
          <w:sz w:val="21"/>
          <w:szCs w:val="21"/>
          <w:highlight w:val="none"/>
        </w:rPr>
        <w:t>的保险事故，理赔金额在RMB 100万元以内（含RMB 100万元）的案件实行“理赔绿色通道制度”</w:t>
      </w:r>
      <w:r>
        <w:rPr>
          <w:rFonts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rPr>
        <w:t>保险人应在保险理赔手册中明确理赔绿色通道制度的具体内容。</w:t>
      </w:r>
    </w:p>
    <w:p w14:paraId="42CB4461">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71" w:name="_Toc98443899"/>
      <w:r>
        <w:rPr>
          <w:rFonts w:hint="eastAsia" w:ascii="宋体" w:hAnsi="宋体" w:eastAsia="宋体" w:cs="宋体"/>
          <w:bCs/>
          <w:color w:val="auto"/>
          <w:kern w:val="0"/>
          <w:sz w:val="21"/>
          <w:szCs w:val="21"/>
          <w:highlight w:val="none"/>
        </w:rPr>
        <w:t>7.理赔时限</w:t>
      </w:r>
      <w:bookmarkEnd w:id="71"/>
    </w:p>
    <w:p w14:paraId="0DC82173">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对于被保险人的报案及索赔申请，保险人均须迅速处理，实行理赔时间限制，尽快缮制赔案，并在赔款金额确定后的以下规定的工作日内支付赔款：</w:t>
      </w:r>
    </w:p>
    <w:p w14:paraId="581EFF4F">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理赔金额RMB 10万元以内赔案</w:t>
      </w:r>
      <w:r>
        <w:rPr>
          <w:rFonts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rPr>
        <w:t>1个工作日内支付</w:t>
      </w:r>
      <w:r>
        <w:rPr>
          <w:rFonts w:ascii="宋体" w:hAnsi="宋体" w:eastAsia="宋体" w:cs="宋体"/>
          <w:bCs/>
          <w:color w:val="auto"/>
          <w:kern w:val="0"/>
          <w:sz w:val="21"/>
          <w:szCs w:val="21"/>
          <w:highlight w:val="none"/>
        </w:rPr>
        <w:t>；</w:t>
      </w:r>
    </w:p>
    <w:p w14:paraId="20F0276D">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理赔金额RMB 10万元以上至100万元（不含）赔案</w:t>
      </w:r>
      <w:r>
        <w:rPr>
          <w:rFonts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rPr>
        <w:t>3个工作日内支付</w:t>
      </w:r>
      <w:r>
        <w:rPr>
          <w:rFonts w:ascii="宋体" w:hAnsi="宋体" w:eastAsia="宋体" w:cs="宋体"/>
          <w:bCs/>
          <w:color w:val="auto"/>
          <w:kern w:val="0"/>
          <w:sz w:val="21"/>
          <w:szCs w:val="21"/>
          <w:highlight w:val="none"/>
        </w:rPr>
        <w:t>；</w:t>
      </w:r>
    </w:p>
    <w:p w14:paraId="63C14E11">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理赔金额RMB 100万元以上至500万元（不含）赔案</w:t>
      </w:r>
      <w:r>
        <w:rPr>
          <w:rFonts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rPr>
        <w:t>5个工作日内支付</w:t>
      </w:r>
      <w:r>
        <w:rPr>
          <w:rFonts w:ascii="宋体" w:hAnsi="宋体" w:eastAsia="宋体" w:cs="宋体"/>
          <w:bCs/>
          <w:color w:val="auto"/>
          <w:kern w:val="0"/>
          <w:sz w:val="21"/>
          <w:szCs w:val="21"/>
          <w:highlight w:val="none"/>
        </w:rPr>
        <w:t>；</w:t>
      </w:r>
    </w:p>
    <w:p w14:paraId="01D5C874">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理赔金额RMB 500万元及以上赔案</w:t>
      </w:r>
      <w:r>
        <w:rPr>
          <w:rFonts w:ascii="宋体" w:hAnsi="宋体" w:eastAsia="宋体" w:cs="宋体"/>
          <w:bCs/>
          <w:color w:val="auto"/>
          <w:kern w:val="0"/>
          <w:sz w:val="21"/>
          <w:szCs w:val="21"/>
          <w:highlight w:val="none"/>
        </w:rPr>
        <w:t>：</w:t>
      </w:r>
      <w:r>
        <w:rPr>
          <w:rFonts w:hint="eastAsia" w:ascii="宋体" w:hAnsi="宋体" w:eastAsia="宋体" w:cs="宋体"/>
          <w:bCs/>
          <w:color w:val="auto"/>
          <w:kern w:val="0"/>
          <w:sz w:val="21"/>
          <w:szCs w:val="21"/>
          <w:highlight w:val="none"/>
        </w:rPr>
        <w:t>7个工作日内支付</w:t>
      </w:r>
      <w:r>
        <w:rPr>
          <w:rFonts w:ascii="宋体" w:hAnsi="宋体" w:eastAsia="宋体" w:cs="宋体"/>
          <w:bCs/>
          <w:color w:val="auto"/>
          <w:kern w:val="0"/>
          <w:sz w:val="21"/>
          <w:szCs w:val="21"/>
          <w:highlight w:val="none"/>
        </w:rPr>
        <w:t>。</w:t>
      </w:r>
    </w:p>
    <w:p w14:paraId="66E7C3AB">
      <w:pPr>
        <w:widowControl/>
        <w:adjustRightInd/>
        <w:spacing w:line="360" w:lineRule="auto"/>
        <w:ind w:firstLine="420" w:firstLineChars="200"/>
        <w:jc w:val="left"/>
        <w:rPr>
          <w:rFonts w:ascii="宋体" w:hAnsi="宋体" w:eastAsia="宋体" w:cs="宋体"/>
          <w:bCs/>
          <w:color w:val="auto"/>
          <w:kern w:val="0"/>
          <w:sz w:val="21"/>
          <w:szCs w:val="21"/>
          <w:highlight w:val="none"/>
        </w:rPr>
      </w:pPr>
      <w:bookmarkStart w:id="72" w:name="_Hlk66201567"/>
      <w:r>
        <w:rPr>
          <w:rFonts w:hint="eastAsia" w:ascii="宋体" w:hAnsi="宋体" w:eastAsia="宋体" w:cs="宋体"/>
          <w:bCs/>
          <w:color w:val="auto"/>
          <w:kern w:val="0"/>
          <w:sz w:val="21"/>
          <w:szCs w:val="21"/>
          <w:highlight w:val="none"/>
        </w:rPr>
        <w:t>如保险人未能在上述约定的期限内履行赔付义务，则被保险人有权按照赔款金额的一定比例收取延期支付利息，利率参照</w:t>
      </w:r>
      <w:r>
        <w:rPr>
          <w:rFonts w:ascii="宋体" w:hAnsi="宋体" w:eastAsia="宋体" w:cs="宋体"/>
          <w:bCs/>
          <w:color w:val="auto"/>
          <w:kern w:val="0"/>
          <w:sz w:val="21"/>
          <w:szCs w:val="21"/>
          <w:highlight w:val="none"/>
        </w:rPr>
        <w:t>合同成立时一年期贷款市场报价利率</w:t>
      </w:r>
      <w:r>
        <w:rPr>
          <w:rFonts w:hint="eastAsia" w:ascii="宋体" w:hAnsi="宋体" w:eastAsia="宋体" w:cs="宋体"/>
          <w:bCs/>
          <w:color w:val="auto"/>
          <w:kern w:val="0"/>
          <w:sz w:val="21"/>
          <w:szCs w:val="21"/>
          <w:highlight w:val="none"/>
        </w:rPr>
        <w:t>的两倍执行。</w:t>
      </w:r>
      <w:r>
        <w:rPr>
          <w:rFonts w:ascii="宋体" w:hAnsi="宋体" w:eastAsia="宋体" w:cs="宋体"/>
          <w:bCs/>
          <w:color w:val="auto"/>
          <w:kern w:val="0"/>
          <w:sz w:val="21"/>
          <w:szCs w:val="21"/>
          <w:highlight w:val="none"/>
        </w:rPr>
        <w:t xml:space="preserve"> </w:t>
      </w:r>
    </w:p>
    <w:bookmarkEnd w:id="72"/>
    <w:p w14:paraId="40529641">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73" w:name="_Toc98443900"/>
      <w:bookmarkStart w:id="74" w:name="_Hlk66201697"/>
      <w:r>
        <w:rPr>
          <w:rFonts w:hint="eastAsia" w:ascii="宋体" w:hAnsi="宋体" w:eastAsia="宋体" w:cs="宋体"/>
          <w:bCs/>
          <w:color w:val="auto"/>
          <w:kern w:val="0"/>
          <w:sz w:val="21"/>
          <w:szCs w:val="21"/>
          <w:highlight w:val="none"/>
        </w:rPr>
        <w:t>8.预付赔款支付</w:t>
      </w:r>
      <w:bookmarkEnd w:id="73"/>
    </w:p>
    <w:p w14:paraId="12A8365B">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如保险标的发生保险责任范围内的损失，在无法迅速确定损失金额的情况下，则在发生损失后任何时间内，经被保险人书面要求，保险人同意对于已确定的损失部分进行全额预先赔付；对于未确定的损失部分，按估损金额的50%进行预先赔付。全部损失确定后，保险人立即完成有关索赔及理赔手续。</w:t>
      </w:r>
    </w:p>
    <w:p w14:paraId="264D9168">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在公众责任事故中，如第三方遭受人身伤亡或财产损失且被保险人应承担部分或全部责任，若第三方情况特殊（如家庭经济困难、孤寡老人等），经被保险人要求，保险人同意对第三方的可能产生的相关费用进行评估，并对是否同意垫付部分相关费用出具意见。如预付部分，未能满足治疗等需要，根据事故处理的进程和第三方费用支出情况，保险人同意在保险限额内安排不限次数的预付。双方达成有关赔偿协议后，保险人在5个工作日内履行赔付。</w:t>
      </w:r>
    </w:p>
    <w:p w14:paraId="52B53A4F">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如委托他人代位追偿，追偿费（包括但不限于诉讼费、财产保全费、律师费、交通费、通信费等与追偿有关的一切费用）和追偿款均由保险人承担。</w:t>
      </w:r>
    </w:p>
    <w:p w14:paraId="2EEA3E5A">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75" w:name="_Toc98443901"/>
      <w:r>
        <w:rPr>
          <w:rFonts w:hint="eastAsia" w:ascii="宋体" w:hAnsi="宋体" w:eastAsia="宋体" w:cs="宋体"/>
          <w:bCs/>
          <w:color w:val="auto"/>
          <w:kern w:val="0"/>
          <w:sz w:val="21"/>
          <w:szCs w:val="21"/>
          <w:highlight w:val="none"/>
        </w:rPr>
        <w:t>9.理赔资料的归档</w:t>
      </w:r>
      <w:bookmarkEnd w:id="75"/>
    </w:p>
    <w:p w14:paraId="6E9CD794">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保险人将为该项目建立一个单独的理赔案件资料库，将相关单证及出险资料、照片等统一存放、归档，如需要，提供上传清单，便于被保险人查询和管理。资料的归档由保险人负责，严格执行相关保密要求。</w:t>
      </w:r>
    </w:p>
    <w:p w14:paraId="4F0F8D7B">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76" w:name="_Toc98443902"/>
      <w:r>
        <w:rPr>
          <w:rFonts w:hint="eastAsia" w:ascii="宋体" w:hAnsi="宋体" w:eastAsia="宋体" w:cs="宋体"/>
          <w:bCs/>
          <w:color w:val="auto"/>
          <w:kern w:val="0"/>
          <w:sz w:val="21"/>
          <w:szCs w:val="21"/>
          <w:highlight w:val="none"/>
        </w:rPr>
        <w:t>10.理赔管理</w:t>
      </w:r>
      <w:bookmarkEnd w:id="76"/>
    </w:p>
    <w:p w14:paraId="4DD50A97">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保险人将每月向被保险人提供《绍兴市城市轨道交通2号线一期运营期综合保险项目理赔信息表》，对于已发生赔案，于表内列明赔案号、保单号、案件名称、损失金额、赔付金额和是否结案等信息。</w:t>
      </w:r>
    </w:p>
    <w:p w14:paraId="763F9CC2">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对于处理中的赔案，保险人列明该赔案处理进度，以供项目管理人员随时了解赔案进展。对于已支付赔款的赔案，保险人将出具一份赔案报告，报告中对该赔案的发生原因、处理过程、赔付情况等作具体说明，除赔案情况外，还将归纳事故多发原因及应采取的预防措施，以避免此类事故的再次发生。</w:t>
      </w:r>
    </w:p>
    <w:p w14:paraId="0179FCAB">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77" w:name="_Toc98443903"/>
      <w:r>
        <w:rPr>
          <w:rFonts w:hint="eastAsia" w:ascii="宋体" w:hAnsi="宋体" w:eastAsia="宋体" w:cs="宋体"/>
          <w:bCs/>
          <w:color w:val="auto"/>
          <w:kern w:val="0"/>
          <w:sz w:val="21"/>
          <w:szCs w:val="21"/>
          <w:highlight w:val="none"/>
        </w:rPr>
        <w:t>11.实施“险后两访”制度</w:t>
      </w:r>
      <w:bookmarkEnd w:id="77"/>
    </w:p>
    <w:p w14:paraId="0F2BCE48">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每次接到被保险人报案电话后，保险人安排专人进行险后回访，回访内容包括对查勘定损人员查勘时效、服务态度、工作技能的满意度等。赔付结案后，保险人实施第二次回访，回访内容主要为赔付时效和客户满意度等。</w:t>
      </w:r>
    </w:p>
    <w:p w14:paraId="2B2F597D">
      <w:pPr>
        <w:widowControl/>
        <w:adjustRightInd/>
        <w:spacing w:line="360" w:lineRule="auto"/>
        <w:ind w:firstLine="420" w:firstLineChars="200"/>
        <w:jc w:val="left"/>
        <w:rPr>
          <w:rFonts w:ascii="宋体" w:hAnsi="宋体" w:eastAsia="宋体" w:cs="宋体"/>
          <w:bCs/>
          <w:color w:val="auto"/>
          <w:kern w:val="0"/>
          <w:sz w:val="24"/>
          <w:szCs w:val="21"/>
          <w:highlight w:val="none"/>
        </w:rPr>
      </w:pPr>
      <w:bookmarkStart w:id="78" w:name="_Toc98443904"/>
      <w:r>
        <w:rPr>
          <w:rFonts w:hint="eastAsia" w:ascii="宋体" w:hAnsi="宋体" w:eastAsia="宋体" w:cs="宋体"/>
          <w:bCs/>
          <w:color w:val="auto"/>
          <w:kern w:val="0"/>
          <w:sz w:val="21"/>
          <w:szCs w:val="21"/>
          <w:highlight w:val="none"/>
        </w:rPr>
        <w:t>12.理赔服务办法</w:t>
      </w:r>
      <w:bookmarkEnd w:id="78"/>
    </w:p>
    <w:p w14:paraId="737A86C5">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人同意自保险合同签署时起，一个月内对理赔服务流程作有利于保证被保险人保险索赔利益、有利于提高理赔服务质量和效率的改进，为本项目形成完整的保险理赔服务办法，并在提交被保险人审议确定后，供各方共同遵守。</w:t>
      </w:r>
    </w:p>
    <w:bookmarkEnd w:id="74"/>
    <w:p w14:paraId="540EF958">
      <w:pPr>
        <w:widowControl/>
        <w:adjustRightInd/>
        <w:spacing w:line="360" w:lineRule="auto"/>
        <w:ind w:firstLine="420" w:firstLineChars="200"/>
        <w:jc w:val="left"/>
        <w:outlineLvl w:val="1"/>
        <w:rPr>
          <w:rFonts w:ascii="宋体" w:hAnsi="宋体" w:eastAsia="宋体" w:cs="宋体"/>
          <w:bCs/>
          <w:color w:val="auto"/>
          <w:kern w:val="0"/>
          <w:sz w:val="24"/>
          <w:szCs w:val="21"/>
          <w:highlight w:val="none"/>
        </w:rPr>
      </w:pPr>
      <w:bookmarkStart w:id="79" w:name="_Toc98443905"/>
      <w:bookmarkStart w:id="80" w:name="_Toc8996"/>
      <w:bookmarkStart w:id="81" w:name="_Toc321606638"/>
      <w:bookmarkStart w:id="82" w:name="_Toc2743"/>
      <w:bookmarkStart w:id="83" w:name="_Toc31447"/>
      <w:bookmarkStart w:id="84" w:name="_Toc1113"/>
      <w:r>
        <w:rPr>
          <w:rFonts w:hint="eastAsia" w:ascii="宋体" w:hAnsi="宋体" w:eastAsia="宋体" w:cs="宋体"/>
          <w:bCs/>
          <w:color w:val="auto"/>
          <w:kern w:val="0"/>
          <w:sz w:val="21"/>
          <w:szCs w:val="21"/>
          <w:highlight w:val="none"/>
        </w:rPr>
        <w:t>（五）考核</w:t>
      </w:r>
      <w:bookmarkEnd w:id="79"/>
      <w:bookmarkEnd w:id="80"/>
      <w:bookmarkEnd w:id="81"/>
      <w:bookmarkEnd w:id="82"/>
      <w:bookmarkEnd w:id="83"/>
      <w:bookmarkEnd w:id="84"/>
    </w:p>
    <w:p w14:paraId="1EF9FB9D">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保险合同有效期内，被保险人对保险人提供的保险服务进行考核，具体约定如下：</w:t>
      </w:r>
    </w:p>
    <w:p w14:paraId="5673B439">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1.考核原则：公平、公正、协商一致</w:t>
      </w:r>
    </w:p>
    <w:p w14:paraId="4C7A2381">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考核内容：按被保险人招标文件、保险人投标文件、保险合同、风险管控和保险理赔/索赔管理制度及其他相关文件中所规定之保险人各项职责，在组织管理、专业技术、服务态度、服务质量、赔案处理情况等方面进行考核。</w:t>
      </w:r>
    </w:p>
    <w:p w14:paraId="7C9C00DE">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3.考核程序和办法：</w:t>
      </w:r>
    </w:p>
    <w:p w14:paraId="51A54D57">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（1）被保险人每年年末组织1次服务情况调查，向相关部门发放《保险服务调查表》，根据反馈情况和完成服务质量的评价，提出整改意见，评价结果存入考核档案。</w:t>
      </w:r>
    </w:p>
    <w:p w14:paraId="7BF46F7A">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（2）考核结果实行百分制。根据考核内容和服务标准确定相应分值，在集中检查中对未达标内容进行扣分。考核结果存入考核档案，作为对保险人奖惩的依据。</w:t>
      </w:r>
    </w:p>
    <w:p w14:paraId="616FC3EF">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4.考核结果和评价结果的使用</w:t>
      </w:r>
    </w:p>
    <w:p w14:paraId="56D909D9">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（1）评价等级：</w:t>
      </w:r>
    </w:p>
    <w:p w14:paraId="14042762">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综合得分90分（含）以上——优秀</w:t>
      </w:r>
    </w:p>
    <w:p w14:paraId="199705DC">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70分（含）-90分——合格</w:t>
      </w:r>
    </w:p>
    <w:p w14:paraId="5FEF5290">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不满70分——不合格</w:t>
      </w:r>
    </w:p>
    <w:p w14:paraId="161B9A3B">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（2）处理办法：考核结果不合格，被保险人可以通报批评保险人、撤换保险人项目负责人、向保险人收取违约金或终止合同。</w:t>
      </w:r>
    </w:p>
    <w:p w14:paraId="0F536185">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各签约方同意基于以上框架另行对考核的具体事项进行书面约定，作为保险合同的补充。</w:t>
      </w:r>
    </w:p>
    <w:p w14:paraId="408262B2">
      <w:pPr>
        <w:keepNext/>
        <w:keepLines/>
        <w:widowControl/>
        <w:adjustRightInd/>
        <w:spacing w:line="360" w:lineRule="auto"/>
        <w:jc w:val="center"/>
        <w:rPr>
          <w:rFonts w:ascii="宋体" w:hAnsi="宋体" w:eastAsia="宋体" w:cs="宋体"/>
          <w:b/>
          <w:bCs/>
          <w:color w:val="auto"/>
          <w:kern w:val="44"/>
          <w:sz w:val="21"/>
          <w:szCs w:val="21"/>
          <w:highlight w:val="none"/>
        </w:rPr>
      </w:pPr>
      <w:r>
        <w:rPr>
          <w:rFonts w:hint="eastAsia" w:ascii="宋体" w:hAnsi="宋体" w:eastAsia="宋体" w:cs="宋体"/>
          <w:b/>
          <w:bCs/>
          <w:color w:val="auto"/>
          <w:kern w:val="44"/>
          <w:sz w:val="21"/>
          <w:szCs w:val="21"/>
          <w:highlight w:val="none"/>
        </w:rPr>
        <w:t>表</w:t>
      </w:r>
      <w:r>
        <w:rPr>
          <w:rFonts w:ascii="宋体" w:hAnsi="宋体" w:eastAsia="宋体" w:cs="宋体"/>
          <w:b/>
          <w:bCs/>
          <w:color w:val="auto"/>
          <w:kern w:val="44"/>
          <w:sz w:val="21"/>
          <w:szCs w:val="21"/>
          <w:highlight w:val="none"/>
        </w:rPr>
        <w:t xml:space="preserve">1 </w:t>
      </w:r>
      <w:r>
        <w:rPr>
          <w:rFonts w:hint="eastAsia" w:ascii="宋体" w:hAnsi="宋体" w:eastAsia="宋体" w:cs="宋体"/>
          <w:b/>
          <w:bCs/>
          <w:color w:val="auto"/>
          <w:kern w:val="44"/>
          <w:sz w:val="21"/>
          <w:szCs w:val="21"/>
          <w:highlight w:val="none"/>
        </w:rPr>
        <w:t>保险服务调查表</w:t>
      </w:r>
    </w:p>
    <w:tbl>
      <w:tblPr>
        <w:tblStyle w:val="64"/>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660"/>
        <w:gridCol w:w="1151"/>
        <w:gridCol w:w="4550"/>
        <w:gridCol w:w="748"/>
        <w:gridCol w:w="745"/>
      </w:tblGrid>
      <w:tr w14:paraId="14DA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65" w:type="dxa"/>
            <w:vAlign w:val="center"/>
          </w:tcPr>
          <w:p w14:paraId="0C02F939">
            <w:pPr>
              <w:widowControl/>
              <w:adjustRightInd/>
              <w:spacing w:line="360" w:lineRule="auto"/>
              <w:jc w:val="center"/>
              <w:rPr>
                <w:rFonts w:ascii="宋体" w:hAnsi="宋体" w:eastAsia="宋体" w:cs="仿宋"/>
                <w:b/>
                <w:bCs/>
                <w:color w:val="auto"/>
                <w:kern w:val="0"/>
                <w:sz w:val="21"/>
                <w:szCs w:val="21"/>
                <w:highlight w:val="none"/>
              </w:rPr>
            </w:pPr>
            <w:r>
              <w:rPr>
                <w:rFonts w:hint="eastAsia" w:ascii="宋体" w:hAnsi="宋体" w:eastAsia="宋体" w:cs="仿宋"/>
                <w:b/>
                <w:bCs/>
                <w:color w:val="auto"/>
                <w:kern w:val="0"/>
                <w:sz w:val="21"/>
                <w:szCs w:val="21"/>
                <w:highlight w:val="none"/>
              </w:rPr>
              <w:t>序号</w:t>
            </w:r>
          </w:p>
        </w:tc>
        <w:tc>
          <w:tcPr>
            <w:tcW w:w="660" w:type="dxa"/>
            <w:vAlign w:val="center"/>
          </w:tcPr>
          <w:p w14:paraId="7D2C853D">
            <w:pPr>
              <w:widowControl/>
              <w:adjustRightInd/>
              <w:spacing w:line="360" w:lineRule="auto"/>
              <w:jc w:val="center"/>
              <w:rPr>
                <w:rFonts w:ascii="宋体" w:hAnsi="宋体" w:eastAsia="宋体" w:cs="仿宋"/>
                <w:b/>
                <w:bCs/>
                <w:color w:val="auto"/>
                <w:kern w:val="0"/>
                <w:sz w:val="21"/>
                <w:szCs w:val="21"/>
                <w:highlight w:val="none"/>
              </w:rPr>
            </w:pPr>
            <w:r>
              <w:rPr>
                <w:rFonts w:hint="eastAsia" w:ascii="宋体" w:hAnsi="宋体" w:eastAsia="宋体" w:cs="仿宋"/>
                <w:b/>
                <w:bCs/>
                <w:color w:val="auto"/>
                <w:kern w:val="0"/>
                <w:sz w:val="21"/>
                <w:szCs w:val="21"/>
                <w:highlight w:val="none"/>
              </w:rPr>
              <w:t>类别</w:t>
            </w:r>
          </w:p>
        </w:tc>
        <w:tc>
          <w:tcPr>
            <w:tcW w:w="1151" w:type="dxa"/>
            <w:vAlign w:val="center"/>
          </w:tcPr>
          <w:p w14:paraId="22E784E0">
            <w:pPr>
              <w:widowControl/>
              <w:adjustRightInd/>
              <w:spacing w:line="360" w:lineRule="auto"/>
              <w:jc w:val="center"/>
              <w:rPr>
                <w:rFonts w:ascii="宋体" w:hAnsi="宋体" w:eastAsia="宋体" w:cs="仿宋"/>
                <w:b/>
                <w:bCs/>
                <w:color w:val="auto"/>
                <w:kern w:val="0"/>
                <w:sz w:val="21"/>
                <w:szCs w:val="21"/>
                <w:highlight w:val="none"/>
              </w:rPr>
            </w:pPr>
            <w:r>
              <w:rPr>
                <w:rFonts w:hint="eastAsia" w:ascii="宋体" w:hAnsi="宋体" w:eastAsia="宋体" w:cs="仿宋"/>
                <w:b/>
                <w:bCs/>
                <w:color w:val="auto"/>
                <w:kern w:val="0"/>
                <w:sz w:val="21"/>
                <w:szCs w:val="21"/>
                <w:highlight w:val="none"/>
              </w:rPr>
              <w:t>指标</w:t>
            </w:r>
          </w:p>
          <w:p w14:paraId="68855E68">
            <w:pPr>
              <w:widowControl/>
              <w:adjustRightInd/>
              <w:spacing w:line="360" w:lineRule="auto"/>
              <w:jc w:val="center"/>
              <w:rPr>
                <w:rFonts w:ascii="宋体" w:hAnsi="宋体" w:eastAsia="宋体" w:cs="仿宋"/>
                <w:b/>
                <w:bCs/>
                <w:color w:val="auto"/>
                <w:kern w:val="0"/>
                <w:sz w:val="21"/>
                <w:szCs w:val="21"/>
                <w:highlight w:val="none"/>
              </w:rPr>
            </w:pPr>
            <w:r>
              <w:rPr>
                <w:rFonts w:hint="eastAsia" w:ascii="宋体" w:hAnsi="宋体" w:eastAsia="宋体" w:cs="仿宋"/>
                <w:b/>
                <w:bCs/>
                <w:color w:val="auto"/>
                <w:kern w:val="0"/>
                <w:sz w:val="21"/>
                <w:szCs w:val="21"/>
                <w:highlight w:val="none"/>
              </w:rPr>
              <w:t>名称</w:t>
            </w:r>
          </w:p>
        </w:tc>
        <w:tc>
          <w:tcPr>
            <w:tcW w:w="4550" w:type="dxa"/>
            <w:vAlign w:val="center"/>
          </w:tcPr>
          <w:p w14:paraId="2BF611E2">
            <w:pPr>
              <w:widowControl/>
              <w:adjustRightInd/>
              <w:spacing w:line="360" w:lineRule="auto"/>
              <w:ind w:firstLine="241"/>
              <w:jc w:val="center"/>
              <w:rPr>
                <w:rFonts w:ascii="宋体" w:hAnsi="宋体" w:eastAsia="宋体" w:cs="仿宋"/>
                <w:b/>
                <w:bCs/>
                <w:color w:val="auto"/>
                <w:kern w:val="0"/>
                <w:sz w:val="21"/>
                <w:szCs w:val="21"/>
                <w:highlight w:val="none"/>
              </w:rPr>
            </w:pPr>
            <w:r>
              <w:rPr>
                <w:rFonts w:hint="eastAsia" w:ascii="宋体" w:hAnsi="宋体" w:eastAsia="宋体" w:cs="仿宋"/>
                <w:b/>
                <w:bCs/>
                <w:color w:val="auto"/>
                <w:kern w:val="0"/>
                <w:sz w:val="21"/>
                <w:szCs w:val="21"/>
                <w:highlight w:val="none"/>
              </w:rPr>
              <w:t>指标说明</w:t>
            </w:r>
          </w:p>
        </w:tc>
        <w:tc>
          <w:tcPr>
            <w:tcW w:w="748" w:type="dxa"/>
            <w:vAlign w:val="center"/>
          </w:tcPr>
          <w:p w14:paraId="1BDCDAF1">
            <w:pPr>
              <w:widowControl/>
              <w:adjustRightInd/>
              <w:spacing w:line="360" w:lineRule="auto"/>
              <w:jc w:val="center"/>
              <w:rPr>
                <w:rFonts w:ascii="宋体" w:hAnsi="宋体" w:eastAsia="宋体" w:cs="仿宋"/>
                <w:b/>
                <w:bCs/>
                <w:color w:val="auto"/>
                <w:kern w:val="0"/>
                <w:sz w:val="21"/>
                <w:szCs w:val="21"/>
                <w:highlight w:val="none"/>
              </w:rPr>
            </w:pPr>
            <w:r>
              <w:rPr>
                <w:rFonts w:hint="eastAsia" w:ascii="宋体" w:hAnsi="宋体" w:eastAsia="宋体" w:cs="仿宋"/>
                <w:b/>
                <w:bCs/>
                <w:color w:val="auto"/>
                <w:kern w:val="0"/>
                <w:sz w:val="21"/>
                <w:szCs w:val="21"/>
                <w:highlight w:val="none"/>
              </w:rPr>
              <w:t>分值</w:t>
            </w:r>
          </w:p>
        </w:tc>
        <w:tc>
          <w:tcPr>
            <w:tcW w:w="745" w:type="dxa"/>
            <w:vAlign w:val="center"/>
          </w:tcPr>
          <w:p w14:paraId="760B6C33">
            <w:pPr>
              <w:widowControl/>
              <w:adjustRightInd/>
              <w:spacing w:line="360" w:lineRule="auto"/>
              <w:jc w:val="center"/>
              <w:rPr>
                <w:rFonts w:ascii="宋体" w:hAnsi="宋体" w:eastAsia="宋体" w:cs="仿宋"/>
                <w:b/>
                <w:bCs/>
                <w:color w:val="auto"/>
                <w:kern w:val="0"/>
                <w:sz w:val="21"/>
                <w:szCs w:val="21"/>
                <w:highlight w:val="none"/>
              </w:rPr>
            </w:pPr>
            <w:r>
              <w:rPr>
                <w:rFonts w:hint="eastAsia" w:ascii="宋体" w:hAnsi="宋体" w:eastAsia="宋体" w:cs="仿宋"/>
                <w:b/>
                <w:bCs/>
                <w:color w:val="auto"/>
                <w:kern w:val="0"/>
                <w:sz w:val="21"/>
                <w:szCs w:val="21"/>
                <w:highlight w:val="none"/>
              </w:rPr>
              <w:t>得分</w:t>
            </w:r>
          </w:p>
        </w:tc>
      </w:tr>
      <w:tr w14:paraId="624B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665" w:type="dxa"/>
            <w:vMerge w:val="restart"/>
            <w:vAlign w:val="center"/>
          </w:tcPr>
          <w:p w14:paraId="55A7C84A">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1</w:t>
            </w:r>
          </w:p>
        </w:tc>
        <w:tc>
          <w:tcPr>
            <w:tcW w:w="660" w:type="dxa"/>
            <w:vMerge w:val="restart"/>
            <w:tcBorders>
              <w:top w:val="single" w:color="auto" w:sz="4" w:space="0"/>
              <w:left w:val="single" w:color="auto" w:sz="4" w:space="0"/>
              <w:right w:val="single" w:color="auto" w:sz="4" w:space="0"/>
            </w:tcBorders>
            <w:vAlign w:val="center"/>
          </w:tcPr>
          <w:p w14:paraId="3C42F8AF">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服务态度</w:t>
            </w:r>
          </w:p>
        </w:tc>
        <w:tc>
          <w:tcPr>
            <w:tcW w:w="1151" w:type="dxa"/>
            <w:vMerge w:val="restart"/>
            <w:tcBorders>
              <w:top w:val="single" w:color="auto" w:sz="4" w:space="0"/>
              <w:left w:val="single" w:color="auto" w:sz="4" w:space="0"/>
              <w:right w:val="single" w:color="auto" w:sz="4" w:space="0"/>
            </w:tcBorders>
            <w:vAlign w:val="center"/>
          </w:tcPr>
          <w:p w14:paraId="2390E3B6">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责任心</w:t>
            </w:r>
          </w:p>
        </w:tc>
        <w:tc>
          <w:tcPr>
            <w:tcW w:w="4550" w:type="dxa"/>
            <w:tcBorders>
              <w:top w:val="single" w:color="auto" w:sz="4" w:space="0"/>
              <w:left w:val="single" w:color="auto" w:sz="4" w:space="0"/>
              <w:right w:val="single" w:color="auto" w:sz="4" w:space="0"/>
            </w:tcBorders>
            <w:vAlign w:val="center"/>
          </w:tcPr>
          <w:p w14:paraId="7E6CB17A">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被保险人安排的工作积极响应，不管完成与否，当天会以邮件</w:t>
            </w:r>
            <w:r>
              <w:rPr>
                <w:rFonts w:ascii="宋体" w:hAnsi="宋体" w:eastAsia="宋体" w:cs="仿宋"/>
                <w:color w:val="auto"/>
                <w:kern w:val="0"/>
                <w:sz w:val="21"/>
                <w:szCs w:val="21"/>
                <w:highlight w:val="none"/>
              </w:rPr>
              <w:t>/微信/短信等形式予以反馈每次得1分；此项最高得6分；</w:t>
            </w:r>
          </w:p>
        </w:tc>
        <w:tc>
          <w:tcPr>
            <w:tcW w:w="748" w:type="dxa"/>
            <w:tcBorders>
              <w:top w:val="single" w:color="auto" w:sz="4" w:space="0"/>
              <w:left w:val="single" w:color="auto" w:sz="4" w:space="0"/>
              <w:right w:val="single" w:color="auto" w:sz="4" w:space="0"/>
            </w:tcBorders>
            <w:vAlign w:val="center"/>
          </w:tcPr>
          <w:p w14:paraId="170EDC4D">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6</w:t>
            </w:r>
          </w:p>
        </w:tc>
        <w:tc>
          <w:tcPr>
            <w:tcW w:w="745" w:type="dxa"/>
            <w:vAlign w:val="center"/>
          </w:tcPr>
          <w:p w14:paraId="2DC54BB5">
            <w:pPr>
              <w:widowControl/>
              <w:adjustRightInd/>
              <w:spacing w:line="360" w:lineRule="auto"/>
              <w:ind w:firstLine="240"/>
              <w:jc w:val="center"/>
              <w:rPr>
                <w:rFonts w:ascii="宋体" w:hAnsi="宋体" w:eastAsia="宋体" w:cs="仿宋"/>
                <w:color w:val="auto"/>
                <w:kern w:val="0"/>
                <w:sz w:val="21"/>
                <w:szCs w:val="21"/>
                <w:highlight w:val="none"/>
              </w:rPr>
            </w:pPr>
          </w:p>
        </w:tc>
      </w:tr>
      <w:tr w14:paraId="74D2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continue"/>
            <w:vAlign w:val="center"/>
          </w:tcPr>
          <w:p w14:paraId="5CFA438E">
            <w:pPr>
              <w:widowControl/>
              <w:adjustRightInd/>
              <w:jc w:val="left"/>
              <w:rPr>
                <w:rFonts w:ascii="宋体" w:hAnsi="宋体" w:eastAsia="宋体" w:cs="宋体"/>
                <w:color w:val="auto"/>
                <w:kern w:val="0"/>
                <w:sz w:val="24"/>
                <w:highlight w:val="none"/>
              </w:rPr>
            </w:pPr>
          </w:p>
        </w:tc>
        <w:tc>
          <w:tcPr>
            <w:tcW w:w="660" w:type="dxa"/>
            <w:vMerge w:val="continue"/>
            <w:tcBorders>
              <w:top w:val="single" w:color="auto" w:sz="4" w:space="0"/>
              <w:left w:val="single" w:color="auto" w:sz="4" w:space="0"/>
              <w:right w:val="single" w:color="auto" w:sz="4" w:space="0"/>
            </w:tcBorders>
            <w:vAlign w:val="center"/>
          </w:tcPr>
          <w:p w14:paraId="5B120B9D">
            <w:pPr>
              <w:widowControl/>
              <w:adjustRightInd/>
              <w:jc w:val="left"/>
              <w:rPr>
                <w:rFonts w:ascii="宋体" w:hAnsi="宋体" w:eastAsia="宋体" w:cs="宋体"/>
                <w:color w:val="auto"/>
                <w:kern w:val="0"/>
                <w:sz w:val="24"/>
                <w:highlight w:val="none"/>
              </w:rPr>
            </w:pPr>
          </w:p>
        </w:tc>
        <w:tc>
          <w:tcPr>
            <w:tcW w:w="1151" w:type="dxa"/>
            <w:vMerge w:val="continue"/>
            <w:tcBorders>
              <w:top w:val="single" w:color="auto" w:sz="4" w:space="0"/>
              <w:left w:val="single" w:color="auto" w:sz="4" w:space="0"/>
              <w:right w:val="single" w:color="auto" w:sz="4" w:space="0"/>
            </w:tcBorders>
            <w:vAlign w:val="center"/>
          </w:tcPr>
          <w:p w14:paraId="506FEF54">
            <w:pPr>
              <w:widowControl/>
              <w:adjustRightInd/>
              <w:jc w:val="left"/>
              <w:rPr>
                <w:rFonts w:ascii="宋体" w:hAnsi="宋体" w:eastAsia="宋体" w:cs="宋体"/>
                <w:color w:val="auto"/>
                <w:kern w:val="0"/>
                <w:sz w:val="24"/>
                <w:highlight w:val="none"/>
              </w:rPr>
            </w:pPr>
          </w:p>
        </w:tc>
        <w:tc>
          <w:tcPr>
            <w:tcW w:w="4550" w:type="dxa"/>
            <w:tcBorders>
              <w:top w:val="single" w:color="auto" w:sz="4" w:space="0"/>
              <w:left w:val="single" w:color="auto" w:sz="4" w:space="0"/>
              <w:right w:val="single" w:color="auto" w:sz="4" w:space="0"/>
            </w:tcBorders>
            <w:vAlign w:val="center"/>
          </w:tcPr>
          <w:p w14:paraId="49F8D92D">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每月反馈当月工作成果（含月度理赔报告）得</w:t>
            </w:r>
            <w:r>
              <w:rPr>
                <w:rFonts w:ascii="宋体" w:hAnsi="宋体" w:eastAsia="宋体" w:cs="仿宋"/>
                <w:color w:val="auto"/>
                <w:kern w:val="0"/>
                <w:sz w:val="21"/>
                <w:szCs w:val="21"/>
                <w:highlight w:val="none"/>
              </w:rPr>
              <w:t>0.5分，此项最高得6分；每年提交半年及年度服务报告得2分；</w:t>
            </w:r>
          </w:p>
        </w:tc>
        <w:tc>
          <w:tcPr>
            <w:tcW w:w="748" w:type="dxa"/>
            <w:tcBorders>
              <w:top w:val="single" w:color="auto" w:sz="4" w:space="0"/>
              <w:left w:val="single" w:color="auto" w:sz="4" w:space="0"/>
              <w:right w:val="single" w:color="auto" w:sz="4" w:space="0"/>
            </w:tcBorders>
            <w:vAlign w:val="center"/>
          </w:tcPr>
          <w:p w14:paraId="5EF018E7">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8</w:t>
            </w:r>
          </w:p>
        </w:tc>
        <w:tc>
          <w:tcPr>
            <w:tcW w:w="745" w:type="dxa"/>
            <w:vAlign w:val="center"/>
          </w:tcPr>
          <w:p w14:paraId="36245FB2">
            <w:pPr>
              <w:widowControl/>
              <w:adjustRightInd/>
              <w:spacing w:line="360" w:lineRule="auto"/>
              <w:ind w:firstLine="240"/>
              <w:jc w:val="center"/>
              <w:rPr>
                <w:rFonts w:ascii="宋体" w:hAnsi="宋体" w:eastAsia="宋体" w:cs="仿宋"/>
                <w:color w:val="auto"/>
                <w:kern w:val="0"/>
                <w:sz w:val="21"/>
                <w:szCs w:val="21"/>
                <w:highlight w:val="none"/>
              </w:rPr>
            </w:pPr>
          </w:p>
        </w:tc>
      </w:tr>
      <w:tr w14:paraId="51F0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restart"/>
            <w:vAlign w:val="center"/>
          </w:tcPr>
          <w:p w14:paraId="66B9C0BE">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2</w:t>
            </w:r>
          </w:p>
        </w:tc>
        <w:tc>
          <w:tcPr>
            <w:tcW w:w="660" w:type="dxa"/>
            <w:vMerge w:val="restart"/>
            <w:tcBorders>
              <w:top w:val="single" w:color="auto" w:sz="4" w:space="0"/>
              <w:left w:val="single" w:color="auto" w:sz="4" w:space="0"/>
              <w:right w:val="single" w:color="auto" w:sz="4" w:space="0"/>
            </w:tcBorders>
            <w:vAlign w:val="center"/>
          </w:tcPr>
          <w:p w14:paraId="21BF2196">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服务时效</w:t>
            </w:r>
          </w:p>
        </w:tc>
        <w:tc>
          <w:tcPr>
            <w:tcW w:w="1151" w:type="dxa"/>
            <w:vMerge w:val="restart"/>
            <w:tcBorders>
              <w:top w:val="single" w:color="auto" w:sz="4" w:space="0"/>
              <w:left w:val="single" w:color="auto" w:sz="4" w:space="0"/>
              <w:right w:val="single" w:color="auto" w:sz="4" w:space="0"/>
            </w:tcBorders>
            <w:vAlign w:val="center"/>
          </w:tcPr>
          <w:p w14:paraId="6F6A411E">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响应</w:t>
            </w:r>
          </w:p>
          <w:p w14:paraId="4CDE02A9">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时间</w:t>
            </w:r>
          </w:p>
        </w:tc>
        <w:tc>
          <w:tcPr>
            <w:tcW w:w="4550" w:type="dxa"/>
            <w:tcBorders>
              <w:top w:val="single" w:color="auto" w:sz="4" w:space="0"/>
              <w:left w:val="single" w:color="auto" w:sz="4" w:space="0"/>
              <w:right w:val="single" w:color="auto" w:sz="4" w:space="0"/>
            </w:tcBorders>
            <w:vAlign w:val="center"/>
          </w:tcPr>
          <w:p w14:paraId="39AB9D2A">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严格履行投标承诺中的规定时效，得</w:t>
            </w:r>
            <w:r>
              <w:rPr>
                <w:rFonts w:ascii="宋体" w:hAnsi="宋体" w:eastAsia="宋体" w:cs="仿宋"/>
                <w:color w:val="auto"/>
                <w:kern w:val="0"/>
                <w:sz w:val="21"/>
                <w:szCs w:val="21"/>
                <w:highlight w:val="none"/>
              </w:rPr>
              <w:t>1分；</w:t>
            </w:r>
          </w:p>
        </w:tc>
        <w:tc>
          <w:tcPr>
            <w:tcW w:w="748" w:type="dxa"/>
            <w:tcBorders>
              <w:top w:val="single" w:color="auto" w:sz="4" w:space="0"/>
              <w:left w:val="single" w:color="auto" w:sz="4" w:space="0"/>
              <w:right w:val="single" w:color="auto" w:sz="4" w:space="0"/>
            </w:tcBorders>
            <w:vAlign w:val="center"/>
          </w:tcPr>
          <w:p w14:paraId="42316F1B">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1</w:t>
            </w:r>
          </w:p>
        </w:tc>
        <w:tc>
          <w:tcPr>
            <w:tcW w:w="745" w:type="dxa"/>
            <w:vAlign w:val="center"/>
          </w:tcPr>
          <w:p w14:paraId="5470C97D">
            <w:pPr>
              <w:widowControl/>
              <w:adjustRightInd/>
              <w:spacing w:line="360" w:lineRule="auto"/>
              <w:ind w:firstLine="240"/>
              <w:jc w:val="center"/>
              <w:rPr>
                <w:rFonts w:ascii="宋体" w:hAnsi="宋体" w:eastAsia="宋体" w:cs="仿宋"/>
                <w:color w:val="auto"/>
                <w:kern w:val="0"/>
                <w:sz w:val="21"/>
                <w:szCs w:val="21"/>
                <w:highlight w:val="none"/>
              </w:rPr>
            </w:pPr>
          </w:p>
        </w:tc>
      </w:tr>
      <w:tr w14:paraId="494B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continue"/>
            <w:vAlign w:val="center"/>
          </w:tcPr>
          <w:p w14:paraId="4B79E416">
            <w:pPr>
              <w:widowControl/>
              <w:adjustRightInd/>
              <w:jc w:val="left"/>
              <w:rPr>
                <w:rFonts w:ascii="宋体" w:hAnsi="宋体" w:eastAsia="宋体" w:cs="宋体"/>
                <w:color w:val="auto"/>
                <w:kern w:val="0"/>
                <w:sz w:val="24"/>
                <w:highlight w:val="none"/>
              </w:rPr>
            </w:pPr>
          </w:p>
        </w:tc>
        <w:tc>
          <w:tcPr>
            <w:tcW w:w="660" w:type="dxa"/>
            <w:vMerge w:val="continue"/>
            <w:tcBorders>
              <w:top w:val="single" w:color="auto" w:sz="4" w:space="0"/>
              <w:left w:val="single" w:color="auto" w:sz="4" w:space="0"/>
              <w:right w:val="single" w:color="auto" w:sz="4" w:space="0"/>
            </w:tcBorders>
            <w:vAlign w:val="center"/>
          </w:tcPr>
          <w:p w14:paraId="186314DA">
            <w:pPr>
              <w:widowControl/>
              <w:adjustRightInd/>
              <w:jc w:val="left"/>
              <w:rPr>
                <w:rFonts w:ascii="宋体" w:hAnsi="宋体" w:eastAsia="宋体" w:cs="宋体"/>
                <w:color w:val="auto"/>
                <w:kern w:val="0"/>
                <w:sz w:val="24"/>
                <w:highlight w:val="none"/>
              </w:rPr>
            </w:pPr>
          </w:p>
        </w:tc>
        <w:tc>
          <w:tcPr>
            <w:tcW w:w="1151" w:type="dxa"/>
            <w:vMerge w:val="continue"/>
            <w:tcBorders>
              <w:top w:val="single" w:color="auto" w:sz="4" w:space="0"/>
              <w:left w:val="single" w:color="auto" w:sz="4" w:space="0"/>
              <w:right w:val="single" w:color="auto" w:sz="4" w:space="0"/>
            </w:tcBorders>
            <w:vAlign w:val="center"/>
          </w:tcPr>
          <w:p w14:paraId="6A530633">
            <w:pPr>
              <w:widowControl/>
              <w:adjustRightInd/>
              <w:jc w:val="left"/>
              <w:rPr>
                <w:rFonts w:ascii="宋体" w:hAnsi="宋体" w:eastAsia="宋体" w:cs="宋体"/>
                <w:color w:val="auto"/>
                <w:kern w:val="0"/>
                <w:sz w:val="24"/>
                <w:highlight w:val="none"/>
              </w:rPr>
            </w:pPr>
          </w:p>
        </w:tc>
        <w:tc>
          <w:tcPr>
            <w:tcW w:w="4550" w:type="dxa"/>
            <w:tcBorders>
              <w:top w:val="single" w:color="auto" w:sz="4" w:space="0"/>
              <w:left w:val="single" w:color="auto" w:sz="4" w:space="0"/>
              <w:right w:val="single" w:color="auto" w:sz="4" w:space="0"/>
            </w:tcBorders>
            <w:vAlign w:val="center"/>
          </w:tcPr>
          <w:p w14:paraId="1F7C79A3">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被保险人安排的紧急工作在规定时效内完成得</w:t>
            </w:r>
            <w:r>
              <w:rPr>
                <w:rFonts w:ascii="宋体" w:hAnsi="宋体" w:eastAsia="宋体" w:cs="仿宋"/>
                <w:color w:val="auto"/>
                <w:kern w:val="0"/>
                <w:sz w:val="21"/>
                <w:szCs w:val="21"/>
                <w:highlight w:val="none"/>
              </w:rPr>
              <w:t>6分，每延期3个工作日扣1分，最低为0分；</w:t>
            </w:r>
          </w:p>
        </w:tc>
        <w:tc>
          <w:tcPr>
            <w:tcW w:w="748" w:type="dxa"/>
            <w:tcBorders>
              <w:top w:val="single" w:color="auto" w:sz="4" w:space="0"/>
              <w:left w:val="single" w:color="auto" w:sz="4" w:space="0"/>
              <w:right w:val="single" w:color="auto" w:sz="4" w:space="0"/>
            </w:tcBorders>
            <w:vAlign w:val="center"/>
          </w:tcPr>
          <w:p w14:paraId="535E9C71">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6</w:t>
            </w:r>
          </w:p>
        </w:tc>
        <w:tc>
          <w:tcPr>
            <w:tcW w:w="745" w:type="dxa"/>
            <w:vAlign w:val="center"/>
          </w:tcPr>
          <w:p w14:paraId="46353854">
            <w:pPr>
              <w:widowControl/>
              <w:adjustRightInd/>
              <w:spacing w:line="360" w:lineRule="auto"/>
              <w:ind w:firstLine="240"/>
              <w:jc w:val="center"/>
              <w:rPr>
                <w:rFonts w:ascii="宋体" w:hAnsi="宋体" w:eastAsia="宋体" w:cs="仿宋"/>
                <w:color w:val="auto"/>
                <w:kern w:val="0"/>
                <w:sz w:val="21"/>
                <w:szCs w:val="21"/>
                <w:highlight w:val="none"/>
              </w:rPr>
            </w:pPr>
          </w:p>
        </w:tc>
      </w:tr>
      <w:tr w14:paraId="36FA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restart"/>
            <w:vAlign w:val="center"/>
          </w:tcPr>
          <w:p w14:paraId="7E9FBC05">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3</w:t>
            </w:r>
          </w:p>
        </w:tc>
        <w:tc>
          <w:tcPr>
            <w:tcW w:w="660" w:type="dxa"/>
            <w:vMerge w:val="restart"/>
            <w:tcBorders>
              <w:top w:val="single" w:color="auto" w:sz="4" w:space="0"/>
              <w:left w:val="single" w:color="auto" w:sz="4" w:space="0"/>
              <w:right w:val="single" w:color="auto" w:sz="4" w:space="0"/>
            </w:tcBorders>
            <w:vAlign w:val="center"/>
          </w:tcPr>
          <w:p w14:paraId="0AB5E202">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风控服务</w:t>
            </w:r>
          </w:p>
        </w:tc>
        <w:tc>
          <w:tcPr>
            <w:tcW w:w="1151" w:type="dxa"/>
            <w:tcBorders>
              <w:top w:val="single" w:color="auto" w:sz="4" w:space="0"/>
              <w:left w:val="single" w:color="auto" w:sz="4" w:space="0"/>
              <w:right w:val="single" w:color="auto" w:sz="4" w:space="0"/>
            </w:tcBorders>
            <w:vAlign w:val="center"/>
          </w:tcPr>
          <w:p w14:paraId="76B44C54">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风险管理能力</w:t>
            </w:r>
          </w:p>
        </w:tc>
        <w:tc>
          <w:tcPr>
            <w:tcW w:w="4550" w:type="dxa"/>
            <w:tcBorders>
              <w:top w:val="single" w:color="auto" w:sz="4" w:space="0"/>
              <w:left w:val="single" w:color="auto" w:sz="4" w:space="0"/>
              <w:right w:val="single" w:color="auto" w:sz="4" w:space="0"/>
            </w:tcBorders>
            <w:vAlign w:val="center"/>
          </w:tcPr>
          <w:p w14:paraId="12A999E9">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风险管控专项费用使用管理办法、风险管控工作实施细则的编纂与执行，能够满足被保险人要求得</w:t>
            </w:r>
            <w:r>
              <w:rPr>
                <w:rFonts w:ascii="宋体" w:hAnsi="宋体" w:eastAsia="宋体" w:cs="仿宋"/>
                <w:color w:val="auto"/>
                <w:kern w:val="0"/>
                <w:sz w:val="21"/>
                <w:szCs w:val="21"/>
                <w:highlight w:val="none"/>
              </w:rPr>
              <w:t>2分，否则不得分；</w:t>
            </w:r>
          </w:p>
        </w:tc>
        <w:tc>
          <w:tcPr>
            <w:tcW w:w="748" w:type="dxa"/>
            <w:tcBorders>
              <w:top w:val="single" w:color="auto" w:sz="4" w:space="0"/>
              <w:left w:val="single" w:color="auto" w:sz="4" w:space="0"/>
              <w:right w:val="single" w:color="auto" w:sz="4" w:space="0"/>
            </w:tcBorders>
            <w:vAlign w:val="center"/>
          </w:tcPr>
          <w:p w14:paraId="24028B49">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2</w:t>
            </w:r>
          </w:p>
        </w:tc>
        <w:tc>
          <w:tcPr>
            <w:tcW w:w="745" w:type="dxa"/>
            <w:vAlign w:val="center"/>
          </w:tcPr>
          <w:p w14:paraId="4A1D8000">
            <w:pPr>
              <w:widowControl/>
              <w:adjustRightInd/>
              <w:spacing w:line="360" w:lineRule="auto"/>
              <w:ind w:firstLine="240"/>
              <w:jc w:val="center"/>
              <w:rPr>
                <w:rFonts w:ascii="宋体" w:hAnsi="宋体" w:eastAsia="宋体" w:cs="仿宋"/>
                <w:color w:val="auto"/>
                <w:kern w:val="0"/>
                <w:sz w:val="21"/>
                <w:szCs w:val="21"/>
                <w:highlight w:val="none"/>
              </w:rPr>
            </w:pPr>
          </w:p>
        </w:tc>
      </w:tr>
      <w:tr w14:paraId="2AC2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continue"/>
            <w:vAlign w:val="center"/>
          </w:tcPr>
          <w:p w14:paraId="1E6200F9">
            <w:pPr>
              <w:widowControl/>
              <w:adjustRightInd/>
              <w:jc w:val="left"/>
              <w:rPr>
                <w:rFonts w:ascii="宋体" w:hAnsi="宋体" w:eastAsia="宋体" w:cs="宋体"/>
                <w:color w:val="auto"/>
                <w:kern w:val="0"/>
                <w:sz w:val="24"/>
                <w:highlight w:val="none"/>
              </w:rPr>
            </w:pPr>
          </w:p>
        </w:tc>
        <w:tc>
          <w:tcPr>
            <w:tcW w:w="660" w:type="dxa"/>
            <w:vMerge w:val="continue"/>
            <w:tcBorders>
              <w:top w:val="single" w:color="auto" w:sz="4" w:space="0"/>
              <w:left w:val="single" w:color="auto" w:sz="4" w:space="0"/>
              <w:right w:val="single" w:color="auto" w:sz="4" w:space="0"/>
            </w:tcBorders>
            <w:vAlign w:val="center"/>
          </w:tcPr>
          <w:p w14:paraId="14AC824C">
            <w:pPr>
              <w:widowControl/>
              <w:adjustRightInd/>
              <w:jc w:val="left"/>
              <w:rPr>
                <w:rFonts w:ascii="宋体" w:hAnsi="宋体" w:eastAsia="宋体" w:cs="宋体"/>
                <w:color w:val="auto"/>
                <w:kern w:val="0"/>
                <w:sz w:val="24"/>
                <w:highlight w:val="none"/>
              </w:rPr>
            </w:pPr>
          </w:p>
        </w:tc>
        <w:tc>
          <w:tcPr>
            <w:tcW w:w="1151" w:type="dxa"/>
            <w:tcBorders>
              <w:top w:val="single" w:color="auto" w:sz="4" w:space="0"/>
              <w:left w:val="single" w:color="auto" w:sz="4" w:space="0"/>
              <w:right w:val="single" w:color="auto" w:sz="4" w:space="0"/>
            </w:tcBorders>
            <w:vAlign w:val="center"/>
          </w:tcPr>
          <w:p w14:paraId="10894A91">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风控实践</w:t>
            </w:r>
          </w:p>
        </w:tc>
        <w:tc>
          <w:tcPr>
            <w:tcW w:w="4550" w:type="dxa"/>
            <w:tcBorders>
              <w:top w:val="single" w:color="auto" w:sz="4" w:space="0"/>
              <w:left w:val="single" w:color="auto" w:sz="4" w:space="0"/>
              <w:right w:val="single" w:color="auto" w:sz="4" w:space="0"/>
            </w:tcBorders>
            <w:vAlign w:val="center"/>
          </w:tcPr>
          <w:p w14:paraId="00B8BF15">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实施风控活动每次得</w:t>
            </w:r>
            <w:r>
              <w:rPr>
                <w:rFonts w:ascii="宋体" w:hAnsi="宋体" w:eastAsia="宋体" w:cs="仿宋"/>
                <w:color w:val="auto"/>
                <w:kern w:val="0"/>
                <w:sz w:val="21"/>
                <w:szCs w:val="21"/>
                <w:highlight w:val="none"/>
              </w:rPr>
              <w:t>2分，此项最高得分8分；</w:t>
            </w:r>
          </w:p>
        </w:tc>
        <w:tc>
          <w:tcPr>
            <w:tcW w:w="748" w:type="dxa"/>
            <w:tcBorders>
              <w:top w:val="single" w:color="auto" w:sz="4" w:space="0"/>
              <w:left w:val="single" w:color="auto" w:sz="4" w:space="0"/>
              <w:right w:val="single" w:color="auto" w:sz="4" w:space="0"/>
            </w:tcBorders>
            <w:vAlign w:val="center"/>
          </w:tcPr>
          <w:p w14:paraId="2C840E50">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8</w:t>
            </w:r>
          </w:p>
        </w:tc>
        <w:tc>
          <w:tcPr>
            <w:tcW w:w="745" w:type="dxa"/>
            <w:vAlign w:val="center"/>
          </w:tcPr>
          <w:p w14:paraId="443B58CB">
            <w:pPr>
              <w:widowControl/>
              <w:adjustRightInd/>
              <w:spacing w:line="360" w:lineRule="auto"/>
              <w:ind w:firstLine="240"/>
              <w:jc w:val="center"/>
              <w:rPr>
                <w:rFonts w:ascii="宋体" w:hAnsi="宋体" w:eastAsia="宋体" w:cs="仿宋"/>
                <w:color w:val="auto"/>
                <w:kern w:val="0"/>
                <w:sz w:val="21"/>
                <w:szCs w:val="21"/>
                <w:highlight w:val="none"/>
              </w:rPr>
            </w:pPr>
          </w:p>
        </w:tc>
      </w:tr>
      <w:tr w14:paraId="10BE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restart"/>
            <w:vAlign w:val="center"/>
          </w:tcPr>
          <w:p w14:paraId="5FE34B69">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4</w:t>
            </w:r>
          </w:p>
        </w:tc>
        <w:tc>
          <w:tcPr>
            <w:tcW w:w="660" w:type="dxa"/>
            <w:vMerge w:val="restart"/>
            <w:tcBorders>
              <w:top w:val="single" w:color="auto" w:sz="4" w:space="0"/>
              <w:left w:val="single" w:color="auto" w:sz="4" w:space="0"/>
              <w:right w:val="single" w:color="auto" w:sz="4" w:space="0"/>
            </w:tcBorders>
            <w:vAlign w:val="center"/>
          </w:tcPr>
          <w:p w14:paraId="0018F6B0">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培训服务</w:t>
            </w:r>
          </w:p>
        </w:tc>
        <w:tc>
          <w:tcPr>
            <w:tcW w:w="1151" w:type="dxa"/>
            <w:tcBorders>
              <w:top w:val="single" w:color="auto" w:sz="4" w:space="0"/>
              <w:left w:val="single" w:color="auto" w:sz="4" w:space="0"/>
              <w:right w:val="single" w:color="auto" w:sz="4" w:space="0"/>
            </w:tcBorders>
            <w:vAlign w:val="center"/>
          </w:tcPr>
          <w:p w14:paraId="4202E597">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培训计划执行</w:t>
            </w:r>
          </w:p>
        </w:tc>
        <w:tc>
          <w:tcPr>
            <w:tcW w:w="4550" w:type="dxa"/>
            <w:tcBorders>
              <w:top w:val="single" w:color="auto" w:sz="4" w:space="0"/>
              <w:left w:val="single" w:color="auto" w:sz="4" w:space="0"/>
              <w:right w:val="single" w:color="auto" w:sz="4" w:space="0"/>
            </w:tcBorders>
            <w:vAlign w:val="center"/>
          </w:tcPr>
          <w:p w14:paraId="0B80447B">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每年保险公司应主动提供保险培训服务，提供的培训次数达到保险合同规定的培训次数要求，得</w:t>
            </w:r>
            <w:r>
              <w:rPr>
                <w:rFonts w:ascii="宋体" w:hAnsi="宋体" w:eastAsia="宋体" w:cs="仿宋"/>
                <w:color w:val="auto"/>
                <w:kern w:val="0"/>
                <w:sz w:val="21"/>
                <w:szCs w:val="21"/>
                <w:highlight w:val="none"/>
              </w:rPr>
              <w:t xml:space="preserve"> 6 </w:t>
            </w:r>
            <w:r>
              <w:rPr>
                <w:rFonts w:hint="eastAsia" w:ascii="宋体" w:hAnsi="宋体" w:eastAsia="宋体" w:cs="仿宋"/>
                <w:color w:val="auto"/>
                <w:kern w:val="0"/>
                <w:sz w:val="21"/>
                <w:szCs w:val="21"/>
                <w:highlight w:val="none"/>
              </w:rPr>
              <w:t>分；</w:t>
            </w:r>
          </w:p>
        </w:tc>
        <w:tc>
          <w:tcPr>
            <w:tcW w:w="748" w:type="dxa"/>
            <w:tcBorders>
              <w:top w:val="single" w:color="auto" w:sz="4" w:space="0"/>
              <w:left w:val="single" w:color="auto" w:sz="4" w:space="0"/>
              <w:right w:val="single" w:color="auto" w:sz="4" w:space="0"/>
            </w:tcBorders>
            <w:vAlign w:val="center"/>
          </w:tcPr>
          <w:p w14:paraId="6EB142ED">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6</w:t>
            </w:r>
          </w:p>
        </w:tc>
        <w:tc>
          <w:tcPr>
            <w:tcW w:w="745" w:type="dxa"/>
            <w:vAlign w:val="center"/>
          </w:tcPr>
          <w:p w14:paraId="151F039E">
            <w:pPr>
              <w:widowControl/>
              <w:adjustRightInd/>
              <w:spacing w:line="360" w:lineRule="auto"/>
              <w:ind w:firstLine="240"/>
              <w:jc w:val="center"/>
              <w:rPr>
                <w:rFonts w:ascii="宋体" w:hAnsi="宋体" w:eastAsia="宋体" w:cs="仿宋"/>
                <w:color w:val="auto"/>
                <w:kern w:val="0"/>
                <w:sz w:val="21"/>
                <w:szCs w:val="21"/>
                <w:highlight w:val="none"/>
              </w:rPr>
            </w:pPr>
          </w:p>
        </w:tc>
      </w:tr>
      <w:tr w14:paraId="347D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continue"/>
            <w:vAlign w:val="center"/>
          </w:tcPr>
          <w:p w14:paraId="7FF4FB90">
            <w:pPr>
              <w:widowControl/>
              <w:adjustRightInd/>
              <w:jc w:val="left"/>
              <w:rPr>
                <w:rFonts w:ascii="宋体" w:hAnsi="宋体" w:eastAsia="宋体" w:cs="宋体"/>
                <w:color w:val="auto"/>
                <w:kern w:val="0"/>
                <w:sz w:val="24"/>
                <w:highlight w:val="none"/>
              </w:rPr>
            </w:pPr>
          </w:p>
        </w:tc>
        <w:tc>
          <w:tcPr>
            <w:tcW w:w="660" w:type="dxa"/>
            <w:vMerge w:val="continue"/>
            <w:tcBorders>
              <w:top w:val="single" w:color="auto" w:sz="4" w:space="0"/>
              <w:left w:val="single" w:color="auto" w:sz="4" w:space="0"/>
              <w:right w:val="single" w:color="auto" w:sz="4" w:space="0"/>
            </w:tcBorders>
            <w:vAlign w:val="center"/>
          </w:tcPr>
          <w:p w14:paraId="68EFFD1D">
            <w:pPr>
              <w:widowControl/>
              <w:adjustRightInd/>
              <w:jc w:val="left"/>
              <w:rPr>
                <w:rFonts w:ascii="宋体" w:hAnsi="宋体" w:eastAsia="宋体" w:cs="宋体"/>
                <w:color w:val="auto"/>
                <w:kern w:val="0"/>
                <w:sz w:val="24"/>
                <w:highlight w:val="none"/>
              </w:rPr>
            </w:pPr>
          </w:p>
        </w:tc>
        <w:tc>
          <w:tcPr>
            <w:tcW w:w="1151" w:type="dxa"/>
            <w:tcBorders>
              <w:top w:val="single" w:color="auto" w:sz="4" w:space="0"/>
              <w:left w:val="single" w:color="auto" w:sz="4" w:space="0"/>
              <w:right w:val="single" w:color="auto" w:sz="4" w:space="0"/>
            </w:tcBorders>
            <w:vAlign w:val="center"/>
          </w:tcPr>
          <w:p w14:paraId="48605E54">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培训服务效果</w:t>
            </w:r>
          </w:p>
        </w:tc>
        <w:tc>
          <w:tcPr>
            <w:tcW w:w="4550" w:type="dxa"/>
            <w:tcBorders>
              <w:top w:val="single" w:color="auto" w:sz="4" w:space="0"/>
              <w:left w:val="single" w:color="auto" w:sz="4" w:space="0"/>
              <w:right w:val="single" w:color="auto" w:sz="4" w:space="0"/>
            </w:tcBorders>
            <w:vAlign w:val="center"/>
          </w:tcPr>
          <w:p w14:paraId="7C1F2CD9">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培训内容切合被保险人需求（包括但不限于理赔、风控、保险知识、安全管理等方面内容），培训资料和授课讲师准备充分，得</w:t>
            </w:r>
            <w:r>
              <w:rPr>
                <w:rFonts w:ascii="宋体" w:hAnsi="宋体" w:eastAsia="宋体" w:cs="仿宋"/>
                <w:color w:val="auto"/>
                <w:kern w:val="0"/>
                <w:sz w:val="21"/>
                <w:szCs w:val="21"/>
                <w:highlight w:val="none"/>
              </w:rPr>
              <w:t>1-3分；培训结束后提供课件资料每次得4分，此项最高得分不超过8分；</w:t>
            </w:r>
          </w:p>
        </w:tc>
        <w:tc>
          <w:tcPr>
            <w:tcW w:w="748" w:type="dxa"/>
            <w:tcBorders>
              <w:top w:val="single" w:color="auto" w:sz="4" w:space="0"/>
              <w:left w:val="single" w:color="auto" w:sz="4" w:space="0"/>
              <w:right w:val="single" w:color="auto" w:sz="4" w:space="0"/>
            </w:tcBorders>
            <w:vAlign w:val="center"/>
          </w:tcPr>
          <w:p w14:paraId="60D8359F">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11</w:t>
            </w:r>
          </w:p>
        </w:tc>
        <w:tc>
          <w:tcPr>
            <w:tcW w:w="745" w:type="dxa"/>
            <w:vAlign w:val="center"/>
          </w:tcPr>
          <w:p w14:paraId="11B2585C">
            <w:pPr>
              <w:widowControl/>
              <w:adjustRightInd/>
              <w:spacing w:line="360" w:lineRule="auto"/>
              <w:ind w:firstLine="240"/>
              <w:jc w:val="center"/>
              <w:rPr>
                <w:rFonts w:ascii="宋体" w:hAnsi="宋体" w:eastAsia="宋体" w:cs="仿宋"/>
                <w:color w:val="auto"/>
                <w:kern w:val="0"/>
                <w:sz w:val="21"/>
                <w:szCs w:val="21"/>
                <w:highlight w:val="none"/>
              </w:rPr>
            </w:pPr>
          </w:p>
        </w:tc>
      </w:tr>
      <w:tr w14:paraId="2A93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restart"/>
            <w:vAlign w:val="center"/>
          </w:tcPr>
          <w:p w14:paraId="633136C1">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5</w:t>
            </w:r>
          </w:p>
        </w:tc>
        <w:tc>
          <w:tcPr>
            <w:tcW w:w="660" w:type="dxa"/>
            <w:vMerge w:val="restart"/>
            <w:tcBorders>
              <w:top w:val="single" w:color="auto" w:sz="4" w:space="0"/>
              <w:left w:val="single" w:color="auto" w:sz="4" w:space="0"/>
              <w:right w:val="single" w:color="auto" w:sz="4" w:space="0"/>
            </w:tcBorders>
            <w:vAlign w:val="center"/>
          </w:tcPr>
          <w:p w14:paraId="5FEE30EA">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理赔服务</w:t>
            </w:r>
          </w:p>
        </w:tc>
        <w:tc>
          <w:tcPr>
            <w:tcW w:w="1151" w:type="dxa"/>
            <w:tcBorders>
              <w:top w:val="single" w:color="auto" w:sz="4" w:space="0"/>
              <w:left w:val="single" w:color="auto" w:sz="4" w:space="0"/>
              <w:right w:val="single" w:color="auto" w:sz="4" w:space="0"/>
            </w:tcBorders>
            <w:vAlign w:val="center"/>
          </w:tcPr>
          <w:p w14:paraId="58E45DD2">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保险事故响应时效</w:t>
            </w:r>
          </w:p>
        </w:tc>
        <w:tc>
          <w:tcPr>
            <w:tcW w:w="4550" w:type="dxa"/>
            <w:tcBorders>
              <w:top w:val="single" w:color="auto" w:sz="4" w:space="0"/>
              <w:left w:val="single" w:color="auto" w:sz="4" w:space="0"/>
              <w:right w:val="single" w:color="auto" w:sz="4" w:space="0"/>
            </w:tcBorders>
            <w:vAlign w:val="center"/>
          </w:tcPr>
          <w:p w14:paraId="7DA2EE0A">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严格执行</w:t>
            </w:r>
            <w:r>
              <w:rPr>
                <w:rFonts w:ascii="宋体" w:hAnsi="宋体" w:eastAsia="宋体" w:cs="仿宋"/>
                <w:color w:val="auto"/>
                <w:kern w:val="0"/>
                <w:sz w:val="21"/>
                <w:szCs w:val="21"/>
                <w:highlight w:val="none"/>
              </w:rPr>
              <w:t>365天、24小时的全天候接报案制度，得3分；没有达到合同中“现场查勘时限”相关要求完成查勘的每次扣3分，扣完本项得分为止；</w:t>
            </w:r>
          </w:p>
        </w:tc>
        <w:tc>
          <w:tcPr>
            <w:tcW w:w="748" w:type="dxa"/>
            <w:tcBorders>
              <w:top w:val="single" w:color="auto" w:sz="4" w:space="0"/>
              <w:left w:val="single" w:color="auto" w:sz="4" w:space="0"/>
              <w:right w:val="single" w:color="auto" w:sz="4" w:space="0"/>
            </w:tcBorders>
            <w:vAlign w:val="center"/>
          </w:tcPr>
          <w:p w14:paraId="1DCE569D">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12</w:t>
            </w:r>
          </w:p>
        </w:tc>
        <w:tc>
          <w:tcPr>
            <w:tcW w:w="745" w:type="dxa"/>
            <w:vAlign w:val="center"/>
          </w:tcPr>
          <w:p w14:paraId="6F5B435D">
            <w:pPr>
              <w:widowControl/>
              <w:adjustRightInd/>
              <w:spacing w:line="360" w:lineRule="auto"/>
              <w:ind w:firstLine="240"/>
              <w:jc w:val="center"/>
              <w:rPr>
                <w:rFonts w:ascii="宋体" w:hAnsi="宋体" w:eastAsia="宋体" w:cs="仿宋"/>
                <w:color w:val="auto"/>
                <w:kern w:val="0"/>
                <w:sz w:val="21"/>
                <w:szCs w:val="21"/>
                <w:highlight w:val="none"/>
              </w:rPr>
            </w:pPr>
          </w:p>
        </w:tc>
      </w:tr>
      <w:tr w14:paraId="099C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continue"/>
            <w:vAlign w:val="center"/>
          </w:tcPr>
          <w:p w14:paraId="637D0B95">
            <w:pPr>
              <w:widowControl/>
              <w:adjustRightInd/>
              <w:jc w:val="left"/>
              <w:rPr>
                <w:rFonts w:ascii="宋体" w:hAnsi="宋体" w:eastAsia="宋体" w:cs="宋体"/>
                <w:color w:val="auto"/>
                <w:kern w:val="0"/>
                <w:sz w:val="24"/>
                <w:highlight w:val="none"/>
              </w:rPr>
            </w:pPr>
          </w:p>
        </w:tc>
        <w:tc>
          <w:tcPr>
            <w:tcW w:w="660" w:type="dxa"/>
            <w:vMerge w:val="continue"/>
            <w:tcBorders>
              <w:top w:val="single" w:color="auto" w:sz="4" w:space="0"/>
              <w:left w:val="single" w:color="auto" w:sz="4" w:space="0"/>
              <w:right w:val="single" w:color="auto" w:sz="4" w:space="0"/>
            </w:tcBorders>
            <w:vAlign w:val="center"/>
          </w:tcPr>
          <w:p w14:paraId="7C9A8051">
            <w:pPr>
              <w:widowControl/>
              <w:adjustRightInd/>
              <w:jc w:val="left"/>
              <w:rPr>
                <w:rFonts w:ascii="宋体" w:hAnsi="宋体" w:eastAsia="宋体" w:cs="宋体"/>
                <w:color w:val="auto"/>
                <w:kern w:val="0"/>
                <w:sz w:val="24"/>
                <w:highlight w:val="none"/>
              </w:rPr>
            </w:pPr>
          </w:p>
        </w:tc>
        <w:tc>
          <w:tcPr>
            <w:tcW w:w="1151" w:type="dxa"/>
            <w:tcBorders>
              <w:top w:val="single" w:color="auto" w:sz="4" w:space="0"/>
              <w:left w:val="single" w:color="auto" w:sz="4" w:space="0"/>
              <w:right w:val="single" w:color="auto" w:sz="4" w:space="0"/>
            </w:tcBorders>
            <w:vAlign w:val="center"/>
          </w:tcPr>
          <w:p w14:paraId="57FEEDE9">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理赔服务</w:t>
            </w:r>
          </w:p>
        </w:tc>
        <w:tc>
          <w:tcPr>
            <w:tcW w:w="4550" w:type="dxa"/>
            <w:tcBorders>
              <w:top w:val="single" w:color="auto" w:sz="4" w:space="0"/>
              <w:left w:val="single" w:color="auto" w:sz="4" w:space="0"/>
              <w:right w:val="single" w:color="auto" w:sz="4" w:space="0"/>
            </w:tcBorders>
            <w:vAlign w:val="center"/>
          </w:tcPr>
          <w:p w14:paraId="7AEF4C31">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按照保险合同“单证审核时限”规定进行单证审核，超出合同约定时间完成单证审核的每次扣</w:t>
            </w:r>
            <w:r>
              <w:rPr>
                <w:rFonts w:ascii="宋体" w:hAnsi="宋体" w:eastAsia="宋体" w:cs="仿宋"/>
                <w:color w:val="auto"/>
                <w:kern w:val="0"/>
                <w:sz w:val="21"/>
                <w:szCs w:val="21"/>
                <w:highlight w:val="none"/>
              </w:rPr>
              <w:t xml:space="preserve"> 3 </w:t>
            </w:r>
            <w:r>
              <w:rPr>
                <w:rFonts w:hint="eastAsia" w:ascii="宋体" w:hAnsi="宋体" w:eastAsia="宋体" w:cs="仿宋"/>
                <w:color w:val="auto"/>
                <w:kern w:val="0"/>
                <w:sz w:val="21"/>
                <w:szCs w:val="21"/>
                <w:highlight w:val="none"/>
              </w:rPr>
              <w:t>分，扣完本项得分为止；</w:t>
            </w:r>
          </w:p>
        </w:tc>
        <w:tc>
          <w:tcPr>
            <w:tcW w:w="748" w:type="dxa"/>
            <w:tcBorders>
              <w:top w:val="single" w:color="auto" w:sz="4" w:space="0"/>
              <w:left w:val="single" w:color="auto" w:sz="4" w:space="0"/>
              <w:right w:val="single" w:color="auto" w:sz="4" w:space="0"/>
            </w:tcBorders>
            <w:vAlign w:val="center"/>
          </w:tcPr>
          <w:p w14:paraId="187F64A3">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15</w:t>
            </w:r>
          </w:p>
        </w:tc>
        <w:tc>
          <w:tcPr>
            <w:tcW w:w="745" w:type="dxa"/>
            <w:vAlign w:val="center"/>
          </w:tcPr>
          <w:p w14:paraId="5A2443C8">
            <w:pPr>
              <w:widowControl/>
              <w:adjustRightInd/>
              <w:spacing w:line="360" w:lineRule="auto"/>
              <w:ind w:firstLine="240"/>
              <w:jc w:val="center"/>
              <w:rPr>
                <w:rFonts w:ascii="宋体" w:hAnsi="宋体" w:eastAsia="宋体" w:cs="仿宋"/>
                <w:color w:val="auto"/>
                <w:kern w:val="0"/>
                <w:sz w:val="21"/>
                <w:szCs w:val="21"/>
                <w:highlight w:val="none"/>
              </w:rPr>
            </w:pPr>
          </w:p>
        </w:tc>
      </w:tr>
      <w:tr w14:paraId="4B23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continue"/>
            <w:vAlign w:val="center"/>
          </w:tcPr>
          <w:p w14:paraId="2A08AF69">
            <w:pPr>
              <w:widowControl/>
              <w:adjustRightInd/>
              <w:jc w:val="left"/>
              <w:rPr>
                <w:rFonts w:ascii="宋体" w:hAnsi="宋体" w:eastAsia="宋体" w:cs="宋体"/>
                <w:color w:val="auto"/>
                <w:kern w:val="0"/>
                <w:sz w:val="24"/>
                <w:highlight w:val="none"/>
              </w:rPr>
            </w:pPr>
          </w:p>
        </w:tc>
        <w:tc>
          <w:tcPr>
            <w:tcW w:w="660" w:type="dxa"/>
            <w:vMerge w:val="continue"/>
            <w:tcBorders>
              <w:top w:val="single" w:color="auto" w:sz="4" w:space="0"/>
              <w:left w:val="single" w:color="auto" w:sz="4" w:space="0"/>
              <w:right w:val="single" w:color="auto" w:sz="4" w:space="0"/>
            </w:tcBorders>
            <w:vAlign w:val="center"/>
          </w:tcPr>
          <w:p w14:paraId="70D1485C">
            <w:pPr>
              <w:widowControl/>
              <w:adjustRightInd/>
              <w:jc w:val="left"/>
              <w:rPr>
                <w:rFonts w:ascii="宋体" w:hAnsi="宋体" w:eastAsia="宋体" w:cs="宋体"/>
                <w:color w:val="auto"/>
                <w:kern w:val="0"/>
                <w:sz w:val="24"/>
                <w:highlight w:val="none"/>
              </w:rPr>
            </w:pPr>
          </w:p>
        </w:tc>
        <w:tc>
          <w:tcPr>
            <w:tcW w:w="1151" w:type="dxa"/>
            <w:tcBorders>
              <w:top w:val="single" w:color="auto" w:sz="4" w:space="0"/>
              <w:left w:val="single" w:color="auto" w:sz="4" w:space="0"/>
              <w:right w:val="single" w:color="auto" w:sz="4" w:space="0"/>
            </w:tcBorders>
            <w:vAlign w:val="center"/>
          </w:tcPr>
          <w:p w14:paraId="5A068983">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理赔时限</w:t>
            </w:r>
          </w:p>
        </w:tc>
        <w:tc>
          <w:tcPr>
            <w:tcW w:w="4550" w:type="dxa"/>
            <w:tcBorders>
              <w:top w:val="single" w:color="auto" w:sz="4" w:space="0"/>
              <w:left w:val="single" w:color="auto" w:sz="4" w:space="0"/>
              <w:right w:val="single" w:color="auto" w:sz="4" w:space="0"/>
            </w:tcBorders>
            <w:vAlign w:val="center"/>
          </w:tcPr>
          <w:p w14:paraId="72BC2D47">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赔款金额确定后，超出合同规定时间支付赔款的，每拖延一天扣</w:t>
            </w:r>
            <w:r>
              <w:rPr>
                <w:rFonts w:ascii="宋体" w:hAnsi="宋体" w:eastAsia="宋体" w:cs="仿宋"/>
                <w:color w:val="auto"/>
                <w:kern w:val="0"/>
                <w:sz w:val="21"/>
                <w:szCs w:val="21"/>
                <w:highlight w:val="none"/>
              </w:rPr>
              <w:t>1分，</w:t>
            </w:r>
            <w:r>
              <w:rPr>
                <w:rFonts w:hint="eastAsia" w:ascii="宋体" w:hAnsi="宋体" w:eastAsia="宋体" w:cs="仿宋"/>
                <w:color w:val="auto"/>
                <w:kern w:val="0"/>
                <w:sz w:val="21"/>
                <w:szCs w:val="21"/>
                <w:highlight w:val="none"/>
              </w:rPr>
              <w:t>扣完本项得分为止</w:t>
            </w:r>
            <w:r>
              <w:rPr>
                <w:rFonts w:ascii="宋体" w:hAnsi="宋体" w:eastAsia="宋体" w:cs="仿宋"/>
                <w:color w:val="auto"/>
                <w:kern w:val="0"/>
                <w:sz w:val="21"/>
                <w:szCs w:val="21"/>
                <w:highlight w:val="none"/>
              </w:rPr>
              <w:t>；</w:t>
            </w:r>
          </w:p>
        </w:tc>
        <w:tc>
          <w:tcPr>
            <w:tcW w:w="748" w:type="dxa"/>
            <w:tcBorders>
              <w:top w:val="single" w:color="auto" w:sz="4" w:space="0"/>
              <w:left w:val="single" w:color="auto" w:sz="4" w:space="0"/>
              <w:right w:val="single" w:color="auto" w:sz="4" w:space="0"/>
            </w:tcBorders>
            <w:vAlign w:val="center"/>
          </w:tcPr>
          <w:p w14:paraId="1FE6B4F0">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11</w:t>
            </w:r>
          </w:p>
        </w:tc>
        <w:tc>
          <w:tcPr>
            <w:tcW w:w="745" w:type="dxa"/>
            <w:vAlign w:val="center"/>
          </w:tcPr>
          <w:p w14:paraId="5B434804">
            <w:pPr>
              <w:widowControl/>
              <w:adjustRightInd/>
              <w:spacing w:line="360" w:lineRule="auto"/>
              <w:ind w:firstLine="240"/>
              <w:jc w:val="center"/>
              <w:rPr>
                <w:rFonts w:ascii="宋体" w:hAnsi="宋体" w:eastAsia="宋体" w:cs="仿宋"/>
                <w:color w:val="auto"/>
                <w:kern w:val="0"/>
                <w:sz w:val="21"/>
                <w:szCs w:val="21"/>
                <w:highlight w:val="none"/>
              </w:rPr>
            </w:pPr>
          </w:p>
        </w:tc>
      </w:tr>
      <w:tr w14:paraId="5B79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continue"/>
            <w:vAlign w:val="center"/>
          </w:tcPr>
          <w:p w14:paraId="01B880B0">
            <w:pPr>
              <w:widowControl/>
              <w:adjustRightInd/>
              <w:jc w:val="left"/>
              <w:rPr>
                <w:rFonts w:ascii="宋体" w:hAnsi="宋体" w:eastAsia="宋体" w:cs="宋体"/>
                <w:color w:val="auto"/>
                <w:kern w:val="0"/>
                <w:sz w:val="24"/>
                <w:highlight w:val="none"/>
              </w:rPr>
            </w:pPr>
          </w:p>
        </w:tc>
        <w:tc>
          <w:tcPr>
            <w:tcW w:w="660" w:type="dxa"/>
            <w:vMerge w:val="continue"/>
            <w:tcBorders>
              <w:top w:val="single" w:color="auto" w:sz="4" w:space="0"/>
              <w:left w:val="single" w:color="auto" w:sz="4" w:space="0"/>
              <w:right w:val="single" w:color="auto" w:sz="4" w:space="0"/>
            </w:tcBorders>
            <w:vAlign w:val="center"/>
          </w:tcPr>
          <w:p w14:paraId="0A7608C8">
            <w:pPr>
              <w:widowControl/>
              <w:adjustRightInd/>
              <w:jc w:val="left"/>
              <w:rPr>
                <w:rFonts w:ascii="宋体" w:hAnsi="宋体" w:eastAsia="宋体" w:cs="宋体"/>
                <w:color w:val="auto"/>
                <w:kern w:val="0"/>
                <w:sz w:val="24"/>
                <w:highlight w:val="none"/>
              </w:rPr>
            </w:pPr>
          </w:p>
        </w:tc>
        <w:tc>
          <w:tcPr>
            <w:tcW w:w="1151" w:type="dxa"/>
            <w:tcBorders>
              <w:top w:val="single" w:color="auto" w:sz="4" w:space="0"/>
              <w:left w:val="single" w:color="auto" w:sz="4" w:space="0"/>
              <w:right w:val="single" w:color="auto" w:sz="4" w:space="0"/>
            </w:tcBorders>
            <w:vAlign w:val="center"/>
          </w:tcPr>
          <w:p w14:paraId="2EA83C3C">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预付赔款</w:t>
            </w:r>
          </w:p>
        </w:tc>
        <w:tc>
          <w:tcPr>
            <w:tcW w:w="4550" w:type="dxa"/>
            <w:tcBorders>
              <w:top w:val="single" w:color="auto" w:sz="4" w:space="0"/>
              <w:left w:val="single" w:color="auto" w:sz="4" w:space="0"/>
              <w:right w:val="single" w:color="auto" w:sz="4" w:space="0"/>
            </w:tcBorders>
            <w:vAlign w:val="center"/>
          </w:tcPr>
          <w:p w14:paraId="2836DFE2">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满足预付条件时，在被保险人提出书面要求后，超出合同规定时间履行预付的，每拖延一次扣</w:t>
            </w:r>
            <w:r>
              <w:rPr>
                <w:rFonts w:ascii="宋体" w:hAnsi="宋体" w:eastAsia="宋体" w:cs="仿宋"/>
                <w:color w:val="auto"/>
                <w:kern w:val="0"/>
                <w:sz w:val="21"/>
                <w:szCs w:val="21"/>
                <w:highlight w:val="none"/>
              </w:rPr>
              <w:t>1分，</w:t>
            </w:r>
            <w:r>
              <w:rPr>
                <w:rFonts w:hint="eastAsia" w:ascii="宋体" w:hAnsi="宋体" w:eastAsia="宋体" w:cs="仿宋"/>
                <w:color w:val="auto"/>
                <w:kern w:val="0"/>
                <w:sz w:val="21"/>
                <w:szCs w:val="21"/>
                <w:highlight w:val="none"/>
              </w:rPr>
              <w:t>扣完本项得分为止；</w:t>
            </w:r>
          </w:p>
        </w:tc>
        <w:tc>
          <w:tcPr>
            <w:tcW w:w="748" w:type="dxa"/>
            <w:tcBorders>
              <w:top w:val="single" w:color="auto" w:sz="4" w:space="0"/>
              <w:left w:val="single" w:color="auto" w:sz="4" w:space="0"/>
              <w:right w:val="single" w:color="auto" w:sz="4" w:space="0"/>
            </w:tcBorders>
            <w:vAlign w:val="center"/>
          </w:tcPr>
          <w:p w14:paraId="31C93782">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5</w:t>
            </w:r>
          </w:p>
        </w:tc>
        <w:tc>
          <w:tcPr>
            <w:tcW w:w="745" w:type="dxa"/>
            <w:vAlign w:val="center"/>
          </w:tcPr>
          <w:p w14:paraId="47937AC8">
            <w:pPr>
              <w:widowControl/>
              <w:adjustRightInd/>
              <w:spacing w:line="360" w:lineRule="auto"/>
              <w:ind w:firstLine="240"/>
              <w:jc w:val="center"/>
              <w:rPr>
                <w:rFonts w:ascii="宋体" w:hAnsi="宋体" w:eastAsia="宋体" w:cs="仿宋"/>
                <w:color w:val="auto"/>
                <w:kern w:val="0"/>
                <w:sz w:val="21"/>
                <w:szCs w:val="21"/>
                <w:highlight w:val="none"/>
              </w:rPr>
            </w:pPr>
          </w:p>
        </w:tc>
      </w:tr>
      <w:tr w14:paraId="1362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Align w:val="center"/>
          </w:tcPr>
          <w:p w14:paraId="38A5268B">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6</w:t>
            </w:r>
          </w:p>
        </w:tc>
        <w:tc>
          <w:tcPr>
            <w:tcW w:w="660" w:type="dxa"/>
            <w:tcBorders>
              <w:top w:val="single" w:color="auto" w:sz="4" w:space="0"/>
              <w:left w:val="single" w:color="auto" w:sz="4" w:space="0"/>
              <w:right w:val="single" w:color="auto" w:sz="4" w:space="0"/>
            </w:tcBorders>
            <w:vAlign w:val="center"/>
          </w:tcPr>
          <w:p w14:paraId="4AF34AB2">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保险会议</w:t>
            </w:r>
          </w:p>
        </w:tc>
        <w:tc>
          <w:tcPr>
            <w:tcW w:w="1151" w:type="dxa"/>
            <w:tcBorders>
              <w:top w:val="single" w:color="auto" w:sz="4" w:space="0"/>
              <w:left w:val="single" w:color="auto" w:sz="4" w:space="0"/>
              <w:right w:val="single" w:color="auto" w:sz="4" w:space="0"/>
            </w:tcBorders>
            <w:vAlign w:val="center"/>
          </w:tcPr>
          <w:p w14:paraId="7BBD68AD">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参加保险会议</w:t>
            </w:r>
          </w:p>
        </w:tc>
        <w:tc>
          <w:tcPr>
            <w:tcW w:w="4550" w:type="dxa"/>
            <w:tcBorders>
              <w:top w:val="single" w:color="auto" w:sz="4" w:space="0"/>
              <w:left w:val="single" w:color="auto" w:sz="4" w:space="0"/>
              <w:right w:val="single" w:color="auto" w:sz="4" w:space="0"/>
            </w:tcBorders>
            <w:vAlign w:val="center"/>
          </w:tcPr>
          <w:p w14:paraId="04C866D9">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服务人员未及时参加保险例会的，每有一次扣</w:t>
            </w:r>
            <w:r>
              <w:rPr>
                <w:rFonts w:ascii="宋体" w:hAnsi="宋体" w:eastAsia="宋体" w:cs="仿宋"/>
                <w:color w:val="auto"/>
                <w:kern w:val="0"/>
                <w:sz w:val="21"/>
                <w:szCs w:val="21"/>
                <w:highlight w:val="none"/>
              </w:rPr>
              <w:t xml:space="preserve">1 </w:t>
            </w:r>
            <w:r>
              <w:rPr>
                <w:rFonts w:hint="eastAsia" w:ascii="宋体" w:hAnsi="宋体" w:eastAsia="宋体" w:cs="仿宋"/>
                <w:color w:val="auto"/>
                <w:kern w:val="0"/>
                <w:sz w:val="21"/>
                <w:szCs w:val="21"/>
                <w:highlight w:val="none"/>
              </w:rPr>
              <w:t>分，扣完本项得分为止；</w:t>
            </w:r>
          </w:p>
        </w:tc>
        <w:tc>
          <w:tcPr>
            <w:tcW w:w="748" w:type="dxa"/>
            <w:tcBorders>
              <w:top w:val="single" w:color="auto" w:sz="4" w:space="0"/>
              <w:left w:val="single" w:color="auto" w:sz="4" w:space="0"/>
              <w:right w:val="single" w:color="auto" w:sz="4" w:space="0"/>
            </w:tcBorders>
            <w:vAlign w:val="center"/>
          </w:tcPr>
          <w:p w14:paraId="1C06EA55">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3</w:t>
            </w:r>
          </w:p>
        </w:tc>
        <w:tc>
          <w:tcPr>
            <w:tcW w:w="745" w:type="dxa"/>
            <w:vAlign w:val="center"/>
          </w:tcPr>
          <w:p w14:paraId="4AA7CCE3">
            <w:pPr>
              <w:widowControl/>
              <w:adjustRightInd/>
              <w:spacing w:line="360" w:lineRule="auto"/>
              <w:ind w:firstLine="240"/>
              <w:jc w:val="center"/>
              <w:rPr>
                <w:rFonts w:ascii="宋体" w:hAnsi="宋体" w:eastAsia="宋体" w:cs="仿宋"/>
                <w:color w:val="auto"/>
                <w:kern w:val="0"/>
                <w:sz w:val="21"/>
                <w:szCs w:val="21"/>
                <w:highlight w:val="none"/>
              </w:rPr>
            </w:pPr>
          </w:p>
        </w:tc>
      </w:tr>
      <w:tr w14:paraId="48D2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restart"/>
            <w:vAlign w:val="center"/>
          </w:tcPr>
          <w:p w14:paraId="1E471EBD">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7</w:t>
            </w:r>
          </w:p>
        </w:tc>
        <w:tc>
          <w:tcPr>
            <w:tcW w:w="660" w:type="dxa"/>
            <w:vMerge w:val="restart"/>
            <w:tcBorders>
              <w:top w:val="single" w:color="auto" w:sz="4" w:space="0"/>
              <w:left w:val="single" w:color="auto" w:sz="4" w:space="0"/>
              <w:right w:val="single" w:color="auto" w:sz="4" w:space="0"/>
            </w:tcBorders>
            <w:vAlign w:val="center"/>
          </w:tcPr>
          <w:p w14:paraId="136EF6E8">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服务满意度</w:t>
            </w:r>
          </w:p>
        </w:tc>
        <w:tc>
          <w:tcPr>
            <w:tcW w:w="1151" w:type="dxa"/>
            <w:tcBorders>
              <w:top w:val="single" w:color="auto" w:sz="4" w:space="0"/>
              <w:left w:val="single" w:color="auto" w:sz="4" w:space="0"/>
              <w:right w:val="single" w:color="auto" w:sz="4" w:space="0"/>
            </w:tcBorders>
            <w:vAlign w:val="center"/>
          </w:tcPr>
          <w:p w14:paraId="35B37FCA">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投诉率</w:t>
            </w:r>
          </w:p>
        </w:tc>
        <w:tc>
          <w:tcPr>
            <w:tcW w:w="4550" w:type="dxa"/>
            <w:tcBorders>
              <w:top w:val="single" w:color="auto" w:sz="4" w:space="0"/>
              <w:left w:val="single" w:color="auto" w:sz="4" w:space="0"/>
              <w:right w:val="single" w:color="auto" w:sz="4" w:space="0"/>
            </w:tcBorders>
            <w:vAlign w:val="center"/>
          </w:tcPr>
          <w:p w14:paraId="5617852C">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全年无投诉得</w:t>
            </w:r>
            <w:r>
              <w:rPr>
                <w:rFonts w:ascii="宋体" w:hAnsi="宋体" w:eastAsia="宋体" w:cs="仿宋"/>
                <w:color w:val="auto"/>
                <w:kern w:val="0"/>
                <w:sz w:val="21"/>
                <w:szCs w:val="21"/>
                <w:highlight w:val="none"/>
              </w:rPr>
              <w:t>3分，每收到一次投诉扣1分，</w:t>
            </w:r>
            <w:r>
              <w:rPr>
                <w:rFonts w:hint="eastAsia" w:ascii="宋体" w:hAnsi="宋体" w:eastAsia="宋体" w:cs="仿宋"/>
                <w:color w:val="auto"/>
                <w:kern w:val="0"/>
                <w:sz w:val="21"/>
                <w:szCs w:val="21"/>
                <w:highlight w:val="none"/>
              </w:rPr>
              <w:t>扣完本项得分为止；</w:t>
            </w:r>
          </w:p>
        </w:tc>
        <w:tc>
          <w:tcPr>
            <w:tcW w:w="748" w:type="dxa"/>
            <w:tcBorders>
              <w:top w:val="single" w:color="auto" w:sz="4" w:space="0"/>
              <w:left w:val="single" w:color="auto" w:sz="4" w:space="0"/>
              <w:right w:val="single" w:color="auto" w:sz="4" w:space="0"/>
            </w:tcBorders>
            <w:vAlign w:val="center"/>
          </w:tcPr>
          <w:p w14:paraId="05CB8FB4">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3</w:t>
            </w:r>
          </w:p>
        </w:tc>
        <w:tc>
          <w:tcPr>
            <w:tcW w:w="745" w:type="dxa"/>
            <w:vAlign w:val="center"/>
          </w:tcPr>
          <w:p w14:paraId="1D07DE29">
            <w:pPr>
              <w:widowControl/>
              <w:adjustRightInd/>
              <w:spacing w:line="360" w:lineRule="auto"/>
              <w:ind w:firstLine="240"/>
              <w:jc w:val="center"/>
              <w:rPr>
                <w:rFonts w:ascii="宋体" w:hAnsi="宋体" w:eastAsia="宋体" w:cs="仿宋"/>
                <w:color w:val="auto"/>
                <w:kern w:val="0"/>
                <w:sz w:val="21"/>
                <w:szCs w:val="21"/>
                <w:highlight w:val="none"/>
              </w:rPr>
            </w:pPr>
          </w:p>
        </w:tc>
      </w:tr>
      <w:tr w14:paraId="5810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65" w:type="dxa"/>
            <w:vMerge w:val="continue"/>
            <w:vAlign w:val="center"/>
          </w:tcPr>
          <w:p w14:paraId="4F44F4FF">
            <w:pPr>
              <w:widowControl/>
              <w:adjustRightInd/>
              <w:jc w:val="left"/>
              <w:rPr>
                <w:rFonts w:ascii="宋体" w:hAnsi="宋体" w:eastAsia="宋体" w:cs="宋体"/>
                <w:color w:val="auto"/>
                <w:kern w:val="0"/>
                <w:sz w:val="24"/>
                <w:highlight w:val="none"/>
              </w:rPr>
            </w:pPr>
          </w:p>
        </w:tc>
        <w:tc>
          <w:tcPr>
            <w:tcW w:w="660" w:type="dxa"/>
            <w:vMerge w:val="continue"/>
            <w:tcBorders>
              <w:top w:val="single" w:color="auto" w:sz="4" w:space="0"/>
              <w:left w:val="single" w:color="auto" w:sz="4" w:space="0"/>
              <w:right w:val="single" w:color="auto" w:sz="4" w:space="0"/>
            </w:tcBorders>
            <w:vAlign w:val="center"/>
          </w:tcPr>
          <w:p w14:paraId="01AD94AC">
            <w:pPr>
              <w:widowControl/>
              <w:adjustRightInd/>
              <w:jc w:val="left"/>
              <w:rPr>
                <w:rFonts w:ascii="宋体" w:hAnsi="宋体" w:eastAsia="宋体" w:cs="宋体"/>
                <w:color w:val="auto"/>
                <w:kern w:val="0"/>
                <w:sz w:val="24"/>
                <w:highlight w:val="none"/>
              </w:rPr>
            </w:pPr>
          </w:p>
        </w:tc>
        <w:tc>
          <w:tcPr>
            <w:tcW w:w="1151" w:type="dxa"/>
            <w:tcBorders>
              <w:top w:val="single" w:color="auto" w:sz="4" w:space="0"/>
              <w:left w:val="single" w:color="auto" w:sz="4" w:space="0"/>
              <w:right w:val="single" w:color="auto" w:sz="4" w:space="0"/>
            </w:tcBorders>
            <w:vAlign w:val="center"/>
          </w:tcPr>
          <w:p w14:paraId="42CF5F61">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客户满意度</w:t>
            </w:r>
          </w:p>
        </w:tc>
        <w:tc>
          <w:tcPr>
            <w:tcW w:w="4550" w:type="dxa"/>
            <w:tcBorders>
              <w:top w:val="single" w:color="auto" w:sz="4" w:space="0"/>
              <w:left w:val="single" w:color="auto" w:sz="4" w:space="0"/>
              <w:right w:val="single" w:color="auto" w:sz="4" w:space="0"/>
            </w:tcBorders>
            <w:vAlign w:val="center"/>
          </w:tcPr>
          <w:p w14:paraId="6F15046E">
            <w:pPr>
              <w:widowControl/>
              <w:adjustRightInd/>
              <w:spacing w:line="360" w:lineRule="auto"/>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被保险人认可全年服务且</w:t>
            </w:r>
            <w:r>
              <w:rPr>
                <w:rFonts w:ascii="宋体" w:hAnsi="宋体" w:eastAsia="宋体" w:cs="仿宋"/>
                <w:color w:val="auto"/>
                <w:kern w:val="0"/>
                <w:sz w:val="21"/>
                <w:szCs w:val="21"/>
                <w:highlight w:val="none"/>
              </w:rPr>
              <w:t>得到被保险人书面表扬</w:t>
            </w:r>
            <w:r>
              <w:rPr>
                <w:rFonts w:hint="eastAsia" w:ascii="宋体" w:hAnsi="宋体" w:eastAsia="宋体" w:cs="仿宋"/>
                <w:color w:val="auto"/>
                <w:kern w:val="0"/>
                <w:sz w:val="21"/>
                <w:szCs w:val="21"/>
                <w:highlight w:val="none"/>
              </w:rPr>
              <w:t>，得</w:t>
            </w:r>
            <w:r>
              <w:rPr>
                <w:rFonts w:ascii="宋体" w:hAnsi="宋体" w:eastAsia="宋体" w:cs="仿宋"/>
                <w:color w:val="auto"/>
                <w:kern w:val="0"/>
                <w:sz w:val="21"/>
                <w:szCs w:val="21"/>
                <w:highlight w:val="none"/>
              </w:rPr>
              <w:t>3分。</w:t>
            </w:r>
          </w:p>
        </w:tc>
        <w:tc>
          <w:tcPr>
            <w:tcW w:w="748" w:type="dxa"/>
            <w:tcBorders>
              <w:top w:val="single" w:color="auto" w:sz="4" w:space="0"/>
              <w:left w:val="single" w:color="auto" w:sz="4" w:space="0"/>
              <w:right w:val="single" w:color="auto" w:sz="4" w:space="0"/>
            </w:tcBorders>
            <w:vAlign w:val="center"/>
          </w:tcPr>
          <w:p w14:paraId="42BADFCE">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3</w:t>
            </w:r>
          </w:p>
        </w:tc>
        <w:tc>
          <w:tcPr>
            <w:tcW w:w="745" w:type="dxa"/>
            <w:vAlign w:val="center"/>
          </w:tcPr>
          <w:p w14:paraId="64ED78E7">
            <w:pPr>
              <w:widowControl/>
              <w:adjustRightInd/>
              <w:spacing w:line="360" w:lineRule="auto"/>
              <w:ind w:firstLine="240"/>
              <w:jc w:val="center"/>
              <w:rPr>
                <w:rFonts w:ascii="宋体" w:hAnsi="宋体" w:eastAsia="宋体" w:cs="仿宋"/>
                <w:color w:val="auto"/>
                <w:kern w:val="0"/>
                <w:sz w:val="21"/>
                <w:szCs w:val="21"/>
                <w:highlight w:val="none"/>
              </w:rPr>
            </w:pPr>
          </w:p>
        </w:tc>
      </w:tr>
      <w:tr w14:paraId="50E9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6" w:type="dxa"/>
            <w:gridSpan w:val="4"/>
            <w:vAlign w:val="center"/>
          </w:tcPr>
          <w:p w14:paraId="0B7D59ED">
            <w:pPr>
              <w:widowControl/>
              <w:adjustRightInd/>
              <w:spacing w:line="360" w:lineRule="auto"/>
              <w:jc w:val="center"/>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合计</w:t>
            </w:r>
          </w:p>
        </w:tc>
        <w:tc>
          <w:tcPr>
            <w:tcW w:w="748" w:type="dxa"/>
            <w:tcBorders>
              <w:top w:val="single" w:color="auto" w:sz="4" w:space="0"/>
              <w:left w:val="single" w:color="auto" w:sz="4" w:space="0"/>
              <w:right w:val="single" w:color="auto" w:sz="4" w:space="0"/>
            </w:tcBorders>
            <w:vAlign w:val="center"/>
          </w:tcPr>
          <w:p w14:paraId="5806AB68">
            <w:pPr>
              <w:widowControl/>
              <w:adjustRightInd/>
              <w:spacing w:line="360" w:lineRule="auto"/>
              <w:jc w:val="center"/>
              <w:rPr>
                <w:rFonts w:ascii="宋体" w:hAnsi="宋体" w:eastAsia="宋体" w:cs="仿宋"/>
                <w:color w:val="auto"/>
                <w:kern w:val="0"/>
                <w:sz w:val="21"/>
                <w:szCs w:val="21"/>
                <w:highlight w:val="none"/>
              </w:rPr>
            </w:pPr>
            <w:r>
              <w:rPr>
                <w:rFonts w:ascii="宋体" w:hAnsi="宋体" w:eastAsia="宋体" w:cs="仿宋"/>
                <w:color w:val="auto"/>
                <w:kern w:val="0"/>
                <w:sz w:val="21"/>
                <w:szCs w:val="21"/>
                <w:highlight w:val="none"/>
              </w:rPr>
              <w:t>100</w:t>
            </w:r>
          </w:p>
        </w:tc>
        <w:tc>
          <w:tcPr>
            <w:tcW w:w="745" w:type="dxa"/>
            <w:vAlign w:val="center"/>
          </w:tcPr>
          <w:p w14:paraId="14153E1E">
            <w:pPr>
              <w:widowControl/>
              <w:adjustRightInd/>
              <w:spacing w:line="360" w:lineRule="auto"/>
              <w:ind w:firstLine="240"/>
              <w:jc w:val="center"/>
              <w:rPr>
                <w:rFonts w:ascii="宋体" w:hAnsi="宋体" w:eastAsia="宋体" w:cs="仿宋"/>
                <w:color w:val="auto"/>
                <w:kern w:val="0"/>
                <w:sz w:val="21"/>
                <w:szCs w:val="21"/>
                <w:highlight w:val="none"/>
              </w:rPr>
            </w:pPr>
          </w:p>
        </w:tc>
      </w:tr>
    </w:tbl>
    <w:p w14:paraId="18ABD753">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宋体" w:eastAsia="宋体" w:cs="仿宋"/>
          <w:b/>
          <w:bCs/>
          <w:caps/>
          <w:color w:val="auto"/>
          <w:sz w:val="21"/>
          <w:szCs w:val="21"/>
          <w:highlight w:val="none"/>
          <w:lang w:val="en-US" w:eastAsia="zh-CN" w:bidi="ar-SA"/>
        </w:rPr>
      </w:pPr>
      <w:bookmarkStart w:id="85" w:name="_Toc459200618"/>
      <w:r>
        <w:rPr>
          <w:rFonts w:hint="eastAsia" w:ascii="宋体" w:hAnsi="宋体" w:eastAsia="宋体" w:cs="仿宋"/>
          <w:b/>
          <w:bCs/>
          <w:caps/>
          <w:color w:val="auto"/>
          <w:sz w:val="21"/>
          <w:szCs w:val="21"/>
          <w:highlight w:val="none"/>
          <w:lang w:val="en-US" w:eastAsia="zh-CN" w:bidi="ar-SA"/>
        </w:rPr>
        <w:t>注：若保险人考核结果不满 70 分的，被保险人可以通报批评保险人、撤换保险人项目负责人、向保险人收取违约金（考核年度总保险费的 3%）或终止合同。</w:t>
      </w:r>
    </w:p>
    <w:p w14:paraId="62906DD6">
      <w:pPr>
        <w:tabs>
          <w:tab w:val="right" w:leader="dot" w:pos="8306"/>
        </w:tabs>
        <w:overflowPunct w:val="0"/>
        <w:autoSpaceDE w:val="0"/>
        <w:autoSpaceDN w:val="0"/>
        <w:adjustRightInd w:val="0"/>
        <w:spacing w:before="120" w:after="120" w:line="360" w:lineRule="auto"/>
        <w:ind w:firstLine="422" w:firstLineChars="200"/>
        <w:textAlignment w:val="baseline"/>
        <w:outlineLvl w:val="0"/>
        <w:rPr>
          <w:rFonts w:ascii="宋体" w:hAnsi="Book Antiqua" w:eastAsia="宋体" w:cs="宋体"/>
          <w:b w:val="0"/>
          <w:bCs/>
          <w:caps/>
          <w:color w:val="auto"/>
          <w:sz w:val="21"/>
          <w:szCs w:val="21"/>
          <w:highlight w:val="none"/>
          <w:lang w:val="en-US" w:eastAsia="zh-CN" w:bidi="ar-SA"/>
        </w:rPr>
      </w:pPr>
      <w:bookmarkStart w:id="86" w:name="_Toc381151970"/>
      <w:r>
        <w:rPr>
          <w:rFonts w:hint="eastAsia" w:ascii="宋体" w:hAnsi="Book Antiqua" w:eastAsia="宋体" w:cs="宋体"/>
          <w:b/>
          <w:bCs w:val="0"/>
          <w:caps/>
          <w:color w:val="auto"/>
          <w:sz w:val="21"/>
          <w:szCs w:val="21"/>
          <w:highlight w:val="none"/>
          <w:lang w:val="en-US" w:eastAsia="zh-CN" w:bidi="ar-SA"/>
        </w:rPr>
        <w:t>六、其他重要约定</w:t>
      </w:r>
      <w:bookmarkEnd w:id="85"/>
      <w:bookmarkEnd w:id="86"/>
    </w:p>
    <w:p w14:paraId="6CE8F6D5">
      <w:pPr>
        <w:tabs>
          <w:tab w:val="right" w:leader="dot" w:pos="8306"/>
        </w:tabs>
        <w:overflowPunct w:val="0"/>
        <w:autoSpaceDE w:val="0"/>
        <w:autoSpaceDN w:val="0"/>
        <w:adjustRightInd w:val="0"/>
        <w:spacing w:before="120" w:after="120" w:line="360" w:lineRule="auto"/>
        <w:ind w:firstLine="422" w:firstLineChars="200"/>
        <w:textAlignment w:val="baseline"/>
        <w:outlineLvl w:val="1"/>
        <w:rPr>
          <w:rFonts w:ascii="宋体" w:hAnsi="Book Antiqua" w:eastAsia="宋体" w:cs="宋体"/>
          <w:b/>
          <w:bCs w:val="0"/>
          <w:caps/>
          <w:color w:val="auto"/>
          <w:sz w:val="21"/>
          <w:szCs w:val="21"/>
          <w:highlight w:val="none"/>
          <w:lang w:val="en-US" w:eastAsia="zh-CN" w:bidi="ar-SA"/>
        </w:rPr>
      </w:pPr>
      <w:bookmarkStart w:id="87" w:name="_Toc1217026279"/>
      <w:r>
        <w:rPr>
          <w:rFonts w:hint="eastAsia" w:ascii="宋体" w:hAnsi="Book Antiqua" w:eastAsia="宋体" w:cs="宋体"/>
          <w:b/>
          <w:bCs/>
          <w:caps/>
          <w:color w:val="auto"/>
          <w:sz w:val="21"/>
          <w:szCs w:val="21"/>
          <w:highlight w:val="none"/>
          <w:lang w:val="en-US" w:eastAsia="zh-CN" w:bidi="ar-SA"/>
        </w:rPr>
        <w:t>（一）争议处理</w:t>
      </w:r>
      <w:bookmarkEnd w:id="87"/>
    </w:p>
    <w:p w14:paraId="7B882F64">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val="0"/>
          <w:caps/>
          <w:color w:val="auto"/>
          <w:sz w:val="21"/>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被保险人与保险人因履行保险合同发生的争议，由当事人协商解决。协商不成的，向绍兴仲裁委员会申请仲裁。</w:t>
      </w:r>
    </w:p>
    <w:p w14:paraId="0D4B35DE">
      <w:pPr>
        <w:tabs>
          <w:tab w:val="right" w:leader="dot" w:pos="8306"/>
        </w:tabs>
        <w:overflowPunct w:val="0"/>
        <w:autoSpaceDE w:val="0"/>
        <w:autoSpaceDN w:val="0"/>
        <w:adjustRightInd w:val="0"/>
        <w:spacing w:before="120" w:after="120" w:line="360" w:lineRule="auto"/>
        <w:ind w:firstLine="422" w:firstLineChars="200"/>
        <w:textAlignment w:val="baseline"/>
        <w:outlineLvl w:val="1"/>
        <w:rPr>
          <w:rFonts w:ascii="宋体" w:hAnsi="Book Antiqua" w:eastAsia="宋体" w:cs="宋体"/>
          <w:b/>
          <w:bCs w:val="0"/>
          <w:caps/>
          <w:color w:val="auto"/>
          <w:sz w:val="21"/>
          <w:szCs w:val="21"/>
          <w:highlight w:val="none"/>
          <w:lang w:val="en-US" w:eastAsia="zh-CN" w:bidi="ar-SA"/>
        </w:rPr>
      </w:pPr>
      <w:bookmarkStart w:id="88" w:name="_Toc78898135"/>
      <w:r>
        <w:rPr>
          <w:rFonts w:hint="eastAsia" w:ascii="宋体" w:hAnsi="Book Antiqua" w:eastAsia="宋体" w:cs="宋体"/>
          <w:b/>
          <w:bCs/>
          <w:caps/>
          <w:color w:val="auto"/>
          <w:sz w:val="21"/>
          <w:szCs w:val="21"/>
          <w:highlight w:val="none"/>
          <w:lang w:val="en-US" w:eastAsia="zh-CN" w:bidi="ar-SA"/>
        </w:rPr>
        <w:t>（二）合同的调整和取消</w:t>
      </w:r>
      <w:bookmarkEnd w:id="88"/>
    </w:p>
    <w:p w14:paraId="05FC6B72">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val="0"/>
          <w:caps/>
          <w:color w:val="auto"/>
          <w:sz w:val="21"/>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在保险合同正常执行期间，合同内容的任何修改、变更、取消，经由被保险人和保险人一致同意即可进行。</w:t>
      </w:r>
    </w:p>
    <w:p w14:paraId="43FC90A5">
      <w:pPr>
        <w:tabs>
          <w:tab w:val="right" w:leader="dot" w:pos="8306"/>
        </w:tabs>
        <w:overflowPunct w:val="0"/>
        <w:autoSpaceDE w:val="0"/>
        <w:autoSpaceDN w:val="0"/>
        <w:adjustRightInd w:val="0"/>
        <w:spacing w:before="120" w:after="120" w:line="360" w:lineRule="auto"/>
        <w:ind w:firstLine="422" w:firstLineChars="200"/>
        <w:textAlignment w:val="baseline"/>
        <w:outlineLvl w:val="1"/>
        <w:rPr>
          <w:rFonts w:ascii="宋体" w:hAnsi="Book Antiqua" w:eastAsia="宋体" w:cs="宋体"/>
          <w:b/>
          <w:bCs w:val="0"/>
          <w:caps/>
          <w:color w:val="auto"/>
          <w:sz w:val="21"/>
          <w:szCs w:val="21"/>
          <w:highlight w:val="none"/>
          <w:lang w:val="en-US" w:eastAsia="zh-CN" w:bidi="ar-SA"/>
        </w:rPr>
      </w:pPr>
      <w:bookmarkStart w:id="89" w:name="_Toc1308045306"/>
      <w:r>
        <w:rPr>
          <w:rFonts w:hint="eastAsia" w:ascii="宋体" w:hAnsi="Book Antiqua" w:eastAsia="宋体" w:cs="宋体"/>
          <w:b/>
          <w:bCs/>
          <w:caps/>
          <w:color w:val="auto"/>
          <w:sz w:val="21"/>
          <w:szCs w:val="21"/>
          <w:highlight w:val="none"/>
          <w:lang w:val="en-US" w:eastAsia="zh-CN" w:bidi="ar-SA"/>
        </w:rPr>
        <w:t>（三）合同期限</w:t>
      </w:r>
      <w:bookmarkEnd w:id="89"/>
      <w:r>
        <w:rPr>
          <w:rFonts w:ascii="宋体" w:hAnsi="Book Antiqua" w:eastAsia="宋体" w:cs="宋体"/>
          <w:b/>
          <w:bCs/>
          <w:caps/>
          <w:color w:val="auto"/>
          <w:sz w:val="21"/>
          <w:szCs w:val="21"/>
          <w:highlight w:val="none"/>
          <w:lang w:val="en-US" w:eastAsia="zh-CN" w:bidi="ar-SA"/>
        </w:rPr>
        <w:t>及保险条件调整</w:t>
      </w:r>
    </w:p>
    <w:p w14:paraId="1FF67CDD">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caps/>
          <w:color w:val="auto"/>
          <w:sz w:val="21"/>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保险合同在各方法定代表人或其委托代理人签名并盖单位公章后生效，</w:t>
      </w:r>
      <w:r>
        <w:rPr>
          <w:rFonts w:hint="eastAsia" w:ascii="宋体" w:hAnsi="宋体" w:eastAsia="宋体" w:cs="仿宋"/>
          <w:b/>
          <w:bCs/>
          <w:caps/>
          <w:color w:val="auto"/>
          <w:sz w:val="21"/>
          <w:szCs w:val="21"/>
          <w:highlight w:val="none"/>
          <w:lang w:val="en-US" w:eastAsia="zh-CN" w:bidi="ar-SA"/>
        </w:rPr>
        <w:t>合同有效期至本项目保险期满且本保单遗留索赔事件处理完成为止</w:t>
      </w:r>
      <w:r>
        <w:rPr>
          <w:rFonts w:hint="eastAsia" w:ascii="宋体" w:hAnsi="Book Antiqua" w:eastAsia="宋体" w:cs="宋体"/>
          <w:b/>
          <w:bCs/>
          <w:caps/>
          <w:color w:val="auto"/>
          <w:sz w:val="21"/>
          <w:szCs w:val="21"/>
          <w:highlight w:val="none"/>
          <w:lang w:val="en-US" w:eastAsia="zh-CN" w:bidi="ar-SA"/>
        </w:rPr>
        <w:t>。如果合同有效期结束后存在未决问题，则合同将持续有效，至与保险合同相关的保单涉及各项未决事宜最终处理完毕时为止。</w:t>
      </w:r>
    </w:p>
    <w:p w14:paraId="432DDC79">
      <w:pPr>
        <w:widowControl/>
        <w:adjustRightInd/>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ascii="宋体" w:hAnsi="宋体" w:eastAsia="宋体" w:cs="宋体"/>
          <w:color w:val="auto"/>
          <w:kern w:val="0"/>
          <w:sz w:val="21"/>
          <w:szCs w:val="21"/>
          <w:highlight w:val="none"/>
        </w:rPr>
        <w:t>投保</w:t>
      </w:r>
      <w:r>
        <w:rPr>
          <w:rFonts w:hint="eastAsia" w:ascii="宋体" w:hAnsi="宋体" w:eastAsia="宋体" w:cs="宋体"/>
          <w:color w:val="auto"/>
          <w:kern w:val="0"/>
          <w:sz w:val="21"/>
          <w:szCs w:val="21"/>
          <w:highlight w:val="none"/>
        </w:rPr>
        <w:t>金额调整</w:t>
      </w:r>
    </w:p>
    <w:p w14:paraId="638F2D37">
      <w:pPr>
        <w:widowControl/>
        <w:adjustRightInd/>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被保险人有权调整投保金额；次年保单出具前，被保险人重新提供调整后的投保清单（如有），保险人根据该清单重新出具保单。</w:t>
      </w:r>
    </w:p>
    <w:p w14:paraId="734F5897">
      <w:pPr>
        <w:widowControl/>
        <w:adjustRightInd/>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2、保险保障条件调整</w:t>
      </w:r>
    </w:p>
    <w:p w14:paraId="723656D8">
      <w:pPr>
        <w:widowControl/>
        <w:adjustRightInd/>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本项目每年续保的保险保障条件可以根</w:t>
      </w:r>
      <w:r>
        <w:rPr>
          <w:rFonts w:ascii="宋体" w:hAnsi="宋体" w:eastAsia="宋体" w:cs="宋体"/>
          <w:color w:val="auto"/>
          <w:kern w:val="0"/>
          <w:sz w:val="21"/>
          <w:szCs w:val="21"/>
          <w:highlight w:val="none"/>
        </w:rPr>
        <w:t>据</w:t>
      </w:r>
      <w:r>
        <w:rPr>
          <w:rFonts w:hint="eastAsia" w:ascii="宋体" w:hAnsi="宋体" w:eastAsia="宋体" w:cs="宋体"/>
          <w:color w:val="auto"/>
          <w:kern w:val="0"/>
          <w:sz w:val="21"/>
          <w:szCs w:val="21"/>
          <w:highlight w:val="none"/>
        </w:rPr>
        <w:t>被保险人要求进行调整，如调整后的保险保障条件对现行费率产生重大影响时，费率调整另行协商。</w:t>
      </w:r>
    </w:p>
    <w:p w14:paraId="38B0E343">
      <w:pPr>
        <w:widowControl/>
        <w:adjustRightInd/>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3、保险费率调整</w:t>
      </w:r>
    </w:p>
    <w:p w14:paraId="4C0B5B1F">
      <w:pPr>
        <w:widowControl/>
        <w:adjustRightInd/>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本项目每年续保的保险费率根据往年几个险种的综合赔付情况进行调整，每年保险费率的计算方式：</w:t>
      </w:r>
    </w:p>
    <w:p w14:paraId="665B2358">
      <w:pPr>
        <w:widowControl/>
        <w:adjustRightInd/>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X年保险费率=（X-1）年保险费率*赔付率调整因子</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64CE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Borders>
              <w:top w:val="single" w:color="auto" w:sz="4" w:space="0"/>
              <w:left w:val="single" w:color="auto" w:sz="4" w:space="0"/>
              <w:bottom w:val="single" w:color="auto" w:sz="4" w:space="0"/>
              <w:right w:val="single" w:color="auto" w:sz="4" w:space="0"/>
            </w:tcBorders>
            <w:vAlign w:val="center"/>
          </w:tcPr>
          <w:p w14:paraId="5C992F17">
            <w:pPr>
              <w:widowControl/>
              <w:pBdr>
                <w:top w:val="none" w:color="auto" w:sz="0" w:space="0"/>
                <w:left w:val="none" w:color="auto" w:sz="0" w:space="0"/>
                <w:bottom w:val="none" w:color="auto" w:sz="0" w:space="0"/>
                <w:right w:val="none" w:color="auto" w:sz="0" w:space="0"/>
                <w:between w:val="none" w:color="auto" w:sz="0" w:space="0"/>
              </w:pBdr>
              <w:adjustRightInd/>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历年累计赔付率</w:t>
            </w:r>
          </w:p>
        </w:tc>
        <w:tc>
          <w:tcPr>
            <w:tcW w:w="4643" w:type="dxa"/>
            <w:tcBorders>
              <w:top w:val="single" w:color="auto" w:sz="4" w:space="0"/>
              <w:left w:val="single" w:color="auto" w:sz="4" w:space="0"/>
              <w:bottom w:val="single" w:color="auto" w:sz="4" w:space="0"/>
              <w:right w:val="single" w:color="auto" w:sz="4" w:space="0"/>
            </w:tcBorders>
            <w:vAlign w:val="center"/>
          </w:tcPr>
          <w:p w14:paraId="49F7C6F5">
            <w:pPr>
              <w:widowControl/>
              <w:pBdr>
                <w:top w:val="none" w:color="auto" w:sz="0" w:space="0"/>
                <w:left w:val="none" w:color="auto" w:sz="0" w:space="0"/>
                <w:bottom w:val="none" w:color="auto" w:sz="0" w:space="0"/>
                <w:right w:val="none" w:color="auto" w:sz="0" w:space="0"/>
                <w:between w:val="none" w:color="auto" w:sz="0" w:space="0"/>
              </w:pBdr>
              <w:adjustRightInd/>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调整因子</w:t>
            </w:r>
          </w:p>
        </w:tc>
      </w:tr>
      <w:tr w14:paraId="1718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Borders>
              <w:top w:val="single" w:color="auto" w:sz="4" w:space="0"/>
              <w:left w:val="single" w:color="auto" w:sz="4" w:space="0"/>
              <w:bottom w:val="single" w:color="auto" w:sz="4" w:space="0"/>
              <w:right w:val="single" w:color="auto" w:sz="4" w:space="0"/>
            </w:tcBorders>
            <w:vAlign w:val="center"/>
          </w:tcPr>
          <w:p w14:paraId="5364E8AE">
            <w:pPr>
              <w:widowControl/>
              <w:pBdr>
                <w:top w:val="none" w:color="auto" w:sz="0" w:space="0"/>
                <w:left w:val="none" w:color="auto" w:sz="0" w:space="0"/>
                <w:bottom w:val="none" w:color="auto" w:sz="0" w:space="0"/>
                <w:right w:val="none" w:color="auto" w:sz="0" w:space="0"/>
                <w:between w:val="none" w:color="auto" w:sz="0" w:space="0"/>
              </w:pBdr>
              <w:adjustRightInd/>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&lt;50％</w:t>
            </w:r>
          </w:p>
        </w:tc>
        <w:tc>
          <w:tcPr>
            <w:tcW w:w="4643" w:type="dxa"/>
            <w:tcBorders>
              <w:top w:val="single" w:color="auto" w:sz="4" w:space="0"/>
              <w:left w:val="single" w:color="auto" w:sz="4" w:space="0"/>
              <w:bottom w:val="single" w:color="auto" w:sz="4" w:space="0"/>
              <w:right w:val="single" w:color="auto" w:sz="4" w:space="0"/>
            </w:tcBorders>
            <w:vAlign w:val="center"/>
          </w:tcPr>
          <w:p w14:paraId="5626C8A8">
            <w:pPr>
              <w:widowControl/>
              <w:pBdr>
                <w:top w:val="none" w:color="auto" w:sz="0" w:space="0"/>
                <w:left w:val="none" w:color="auto" w:sz="0" w:space="0"/>
                <w:bottom w:val="none" w:color="auto" w:sz="0" w:space="0"/>
                <w:right w:val="none" w:color="auto" w:sz="0" w:space="0"/>
                <w:between w:val="none" w:color="auto" w:sz="0" w:space="0"/>
              </w:pBdr>
              <w:adjustRightInd/>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0.90</w:t>
            </w:r>
          </w:p>
        </w:tc>
      </w:tr>
      <w:tr w14:paraId="51A7C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Borders>
              <w:top w:val="single" w:color="auto" w:sz="4" w:space="0"/>
              <w:left w:val="single" w:color="auto" w:sz="4" w:space="0"/>
              <w:bottom w:val="single" w:color="auto" w:sz="4" w:space="0"/>
              <w:right w:val="single" w:color="auto" w:sz="4" w:space="0"/>
            </w:tcBorders>
            <w:vAlign w:val="center"/>
          </w:tcPr>
          <w:p w14:paraId="4A8B3A6D">
            <w:pPr>
              <w:widowControl/>
              <w:pBdr>
                <w:top w:val="none" w:color="auto" w:sz="0" w:space="0"/>
                <w:left w:val="none" w:color="auto" w:sz="0" w:space="0"/>
                <w:bottom w:val="none" w:color="auto" w:sz="0" w:space="0"/>
                <w:right w:val="none" w:color="auto" w:sz="0" w:space="0"/>
                <w:between w:val="none" w:color="auto" w:sz="0" w:space="0"/>
              </w:pBdr>
              <w:adjustRightInd/>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[50％,70％)</w:t>
            </w:r>
          </w:p>
        </w:tc>
        <w:tc>
          <w:tcPr>
            <w:tcW w:w="4643" w:type="dxa"/>
            <w:tcBorders>
              <w:top w:val="single" w:color="auto" w:sz="4" w:space="0"/>
              <w:left w:val="single" w:color="auto" w:sz="4" w:space="0"/>
              <w:bottom w:val="single" w:color="auto" w:sz="4" w:space="0"/>
              <w:right w:val="single" w:color="auto" w:sz="4" w:space="0"/>
            </w:tcBorders>
            <w:vAlign w:val="center"/>
          </w:tcPr>
          <w:p w14:paraId="3E086CDB">
            <w:pPr>
              <w:widowControl/>
              <w:pBdr>
                <w:top w:val="none" w:color="auto" w:sz="0" w:space="0"/>
                <w:left w:val="none" w:color="auto" w:sz="0" w:space="0"/>
                <w:bottom w:val="none" w:color="auto" w:sz="0" w:space="0"/>
                <w:right w:val="none" w:color="auto" w:sz="0" w:space="0"/>
                <w:between w:val="none" w:color="auto" w:sz="0" w:space="0"/>
              </w:pBdr>
              <w:adjustRightInd/>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0.95</w:t>
            </w:r>
          </w:p>
        </w:tc>
      </w:tr>
      <w:tr w14:paraId="1D4C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Borders>
              <w:top w:val="single" w:color="auto" w:sz="4" w:space="0"/>
              <w:left w:val="single" w:color="auto" w:sz="4" w:space="0"/>
              <w:bottom w:val="single" w:color="auto" w:sz="4" w:space="0"/>
              <w:right w:val="single" w:color="auto" w:sz="4" w:space="0"/>
            </w:tcBorders>
            <w:vAlign w:val="center"/>
          </w:tcPr>
          <w:p w14:paraId="09BFCEC6">
            <w:pPr>
              <w:widowControl/>
              <w:pBdr>
                <w:top w:val="none" w:color="auto" w:sz="0" w:space="0"/>
                <w:left w:val="none" w:color="auto" w:sz="0" w:space="0"/>
                <w:bottom w:val="none" w:color="auto" w:sz="0" w:space="0"/>
                <w:right w:val="none" w:color="auto" w:sz="0" w:space="0"/>
                <w:between w:val="none" w:color="auto" w:sz="0" w:space="0"/>
              </w:pBdr>
              <w:adjustRightInd/>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[70％,100％)</w:t>
            </w:r>
          </w:p>
        </w:tc>
        <w:tc>
          <w:tcPr>
            <w:tcW w:w="4643" w:type="dxa"/>
            <w:tcBorders>
              <w:top w:val="single" w:color="auto" w:sz="4" w:space="0"/>
              <w:left w:val="single" w:color="auto" w:sz="4" w:space="0"/>
              <w:bottom w:val="single" w:color="auto" w:sz="4" w:space="0"/>
              <w:right w:val="single" w:color="auto" w:sz="4" w:space="0"/>
            </w:tcBorders>
            <w:vAlign w:val="center"/>
          </w:tcPr>
          <w:p w14:paraId="24895444">
            <w:pPr>
              <w:widowControl/>
              <w:pBdr>
                <w:top w:val="none" w:color="auto" w:sz="0" w:space="0"/>
                <w:left w:val="none" w:color="auto" w:sz="0" w:space="0"/>
                <w:bottom w:val="none" w:color="auto" w:sz="0" w:space="0"/>
                <w:right w:val="none" w:color="auto" w:sz="0" w:space="0"/>
                <w:between w:val="none" w:color="auto" w:sz="0" w:space="0"/>
              </w:pBdr>
              <w:adjustRightInd/>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w:t>
            </w:r>
          </w:p>
        </w:tc>
      </w:tr>
      <w:tr w14:paraId="2CCB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Borders>
              <w:top w:val="single" w:color="auto" w:sz="4" w:space="0"/>
              <w:left w:val="single" w:color="auto" w:sz="4" w:space="0"/>
              <w:bottom w:val="single" w:color="auto" w:sz="4" w:space="0"/>
              <w:right w:val="single" w:color="auto" w:sz="4" w:space="0"/>
            </w:tcBorders>
            <w:vAlign w:val="center"/>
          </w:tcPr>
          <w:p w14:paraId="11B0822B">
            <w:pPr>
              <w:widowControl/>
              <w:pBdr>
                <w:top w:val="none" w:color="auto" w:sz="0" w:space="0"/>
                <w:left w:val="none" w:color="auto" w:sz="0" w:space="0"/>
                <w:bottom w:val="none" w:color="auto" w:sz="0" w:space="0"/>
                <w:right w:val="none" w:color="auto" w:sz="0" w:space="0"/>
                <w:between w:val="none" w:color="auto" w:sz="0" w:space="0"/>
              </w:pBdr>
              <w:adjustRightInd/>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[100％,110％)</w:t>
            </w:r>
          </w:p>
        </w:tc>
        <w:tc>
          <w:tcPr>
            <w:tcW w:w="4643" w:type="dxa"/>
            <w:tcBorders>
              <w:top w:val="single" w:color="auto" w:sz="4" w:space="0"/>
              <w:left w:val="single" w:color="auto" w:sz="4" w:space="0"/>
              <w:bottom w:val="single" w:color="auto" w:sz="4" w:space="0"/>
              <w:right w:val="single" w:color="auto" w:sz="4" w:space="0"/>
            </w:tcBorders>
            <w:vAlign w:val="center"/>
          </w:tcPr>
          <w:p w14:paraId="228C39E3">
            <w:pPr>
              <w:widowControl/>
              <w:pBdr>
                <w:top w:val="none" w:color="auto" w:sz="0" w:space="0"/>
                <w:left w:val="none" w:color="auto" w:sz="0" w:space="0"/>
                <w:bottom w:val="none" w:color="auto" w:sz="0" w:space="0"/>
                <w:right w:val="none" w:color="auto" w:sz="0" w:space="0"/>
                <w:between w:val="none" w:color="auto" w:sz="0" w:space="0"/>
              </w:pBdr>
              <w:adjustRightInd/>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1.05</w:t>
            </w:r>
          </w:p>
        </w:tc>
      </w:tr>
      <w:tr w14:paraId="096F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Borders>
              <w:top w:val="single" w:color="auto" w:sz="4" w:space="0"/>
              <w:left w:val="single" w:color="auto" w:sz="4" w:space="0"/>
              <w:bottom w:val="single" w:color="auto" w:sz="4" w:space="0"/>
              <w:right w:val="single" w:color="auto" w:sz="4" w:space="0"/>
            </w:tcBorders>
            <w:vAlign w:val="center"/>
          </w:tcPr>
          <w:p w14:paraId="2063088E">
            <w:pPr>
              <w:widowControl/>
              <w:pBdr>
                <w:top w:val="none" w:color="auto" w:sz="0" w:space="0"/>
                <w:left w:val="none" w:color="auto" w:sz="0" w:space="0"/>
                <w:bottom w:val="none" w:color="auto" w:sz="0" w:space="0"/>
                <w:right w:val="none" w:color="auto" w:sz="0" w:space="0"/>
                <w:between w:val="none" w:color="auto" w:sz="0" w:space="0"/>
              </w:pBdr>
              <w:adjustRightInd/>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[110％,130％)</w:t>
            </w:r>
          </w:p>
        </w:tc>
        <w:tc>
          <w:tcPr>
            <w:tcW w:w="4643" w:type="dxa"/>
            <w:tcBorders>
              <w:top w:val="single" w:color="auto" w:sz="4" w:space="0"/>
              <w:left w:val="single" w:color="auto" w:sz="4" w:space="0"/>
              <w:bottom w:val="single" w:color="auto" w:sz="4" w:space="0"/>
              <w:right w:val="single" w:color="auto" w:sz="4" w:space="0"/>
            </w:tcBorders>
            <w:vAlign w:val="center"/>
          </w:tcPr>
          <w:p w14:paraId="7E130FA2">
            <w:pPr>
              <w:widowControl/>
              <w:pBdr>
                <w:top w:val="none" w:color="auto" w:sz="0" w:space="0"/>
                <w:left w:val="none" w:color="auto" w:sz="0" w:space="0"/>
                <w:bottom w:val="none" w:color="auto" w:sz="0" w:space="0"/>
                <w:right w:val="none" w:color="auto" w:sz="0" w:space="0"/>
                <w:between w:val="none" w:color="auto" w:sz="0" w:space="0"/>
              </w:pBdr>
              <w:adjustRightInd/>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w:t>
            </w:r>
          </w:p>
        </w:tc>
      </w:tr>
      <w:tr w14:paraId="070A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43" w:type="dxa"/>
            <w:tcBorders>
              <w:top w:val="single" w:color="auto" w:sz="4" w:space="0"/>
              <w:left w:val="single" w:color="auto" w:sz="4" w:space="0"/>
              <w:bottom w:val="single" w:color="auto" w:sz="4" w:space="0"/>
              <w:right w:val="single" w:color="auto" w:sz="4" w:space="0"/>
            </w:tcBorders>
            <w:vAlign w:val="center"/>
          </w:tcPr>
          <w:p w14:paraId="257CB09B">
            <w:pPr>
              <w:widowControl/>
              <w:pBdr>
                <w:top w:val="none" w:color="auto" w:sz="0" w:space="0"/>
                <w:left w:val="none" w:color="auto" w:sz="0" w:space="0"/>
                <w:bottom w:val="none" w:color="auto" w:sz="0" w:space="0"/>
                <w:right w:val="none" w:color="auto" w:sz="0" w:space="0"/>
                <w:between w:val="none" w:color="auto" w:sz="0" w:space="0"/>
              </w:pBdr>
              <w:adjustRightInd/>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≥130％</w:t>
            </w:r>
          </w:p>
        </w:tc>
        <w:tc>
          <w:tcPr>
            <w:tcW w:w="4643" w:type="dxa"/>
            <w:tcBorders>
              <w:top w:val="single" w:color="auto" w:sz="4" w:space="0"/>
              <w:left w:val="single" w:color="auto" w:sz="4" w:space="0"/>
              <w:bottom w:val="single" w:color="auto" w:sz="4" w:space="0"/>
              <w:right w:val="single" w:color="auto" w:sz="4" w:space="0"/>
            </w:tcBorders>
            <w:vAlign w:val="center"/>
          </w:tcPr>
          <w:p w14:paraId="5302A3E5">
            <w:pPr>
              <w:widowControl/>
              <w:pBdr>
                <w:top w:val="none" w:color="auto" w:sz="0" w:space="0"/>
                <w:left w:val="none" w:color="auto" w:sz="0" w:space="0"/>
                <w:bottom w:val="none" w:color="auto" w:sz="0" w:space="0"/>
                <w:right w:val="none" w:color="auto" w:sz="0" w:space="0"/>
                <w:between w:val="none" w:color="auto" w:sz="0" w:space="0"/>
              </w:pBdr>
              <w:adjustRightInd/>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另行商议</w:t>
            </w:r>
          </w:p>
        </w:tc>
      </w:tr>
    </w:tbl>
    <w:p w14:paraId="22632EA2">
      <w:pPr>
        <w:widowControl/>
        <w:adjustRightInd/>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26D8F4B2">
      <w:pPr>
        <w:widowControl/>
        <w:adjustRightInd/>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历年累计赔付率＝</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历年累计已决赔款金额+历年累计未决预估赔款金额</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历年累计保费×100%</w:t>
      </w:r>
    </w:p>
    <w:p w14:paraId="15DC1EE6">
      <w:pPr>
        <w:tabs>
          <w:tab w:val="right" w:leader="dot" w:pos="8306"/>
        </w:tabs>
        <w:overflowPunct w:val="0"/>
        <w:autoSpaceDE w:val="0"/>
        <w:autoSpaceDN w:val="0"/>
        <w:adjustRightInd w:val="0"/>
        <w:spacing w:before="120" w:after="120" w:line="360" w:lineRule="auto"/>
        <w:ind w:firstLine="422" w:firstLineChars="200"/>
        <w:textAlignment w:val="baseline"/>
        <w:outlineLvl w:val="1"/>
        <w:rPr>
          <w:rFonts w:ascii="宋体" w:hAnsi="Book Antiqua" w:eastAsia="宋体" w:cs="宋体"/>
          <w:b/>
          <w:bCs w:val="0"/>
          <w:caps/>
          <w:color w:val="auto"/>
          <w:sz w:val="20"/>
          <w:szCs w:val="21"/>
          <w:highlight w:val="none"/>
          <w:lang w:val="en-US" w:eastAsia="zh-CN" w:bidi="ar-SA"/>
        </w:rPr>
      </w:pPr>
      <w:bookmarkStart w:id="90" w:name="_Toc193183560"/>
      <w:r>
        <w:rPr>
          <w:rFonts w:hint="eastAsia" w:ascii="宋体" w:hAnsi="Book Antiqua" w:eastAsia="宋体" w:cs="宋体"/>
          <w:b/>
          <w:bCs/>
          <w:caps/>
          <w:color w:val="auto"/>
          <w:sz w:val="21"/>
          <w:szCs w:val="21"/>
          <w:highlight w:val="none"/>
          <w:lang w:val="en-US" w:eastAsia="zh-CN" w:bidi="ar-SA"/>
        </w:rPr>
        <w:t>（四）保密条款</w:t>
      </w:r>
      <w:bookmarkEnd w:id="90"/>
    </w:p>
    <w:p w14:paraId="56532652">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val="0"/>
          <w:caps/>
          <w:color w:val="auto"/>
          <w:sz w:val="20"/>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除非下列情况，自保险合同生效之日起，保险人不得将保险合同涉及的所有有形、无形的信息及资料（包括但不限于各方的往来书面文字文件、电子邮件及信息、U盘资料等）泄露给其他团体或个人：</w:t>
      </w:r>
    </w:p>
    <w:p w14:paraId="123C2A35">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val="0"/>
          <w:caps/>
          <w:color w:val="auto"/>
          <w:sz w:val="20"/>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1、提供给与执行合同服务内容有关的雇员；</w:t>
      </w:r>
    </w:p>
    <w:p w14:paraId="0E3F966F">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val="0"/>
          <w:caps/>
          <w:color w:val="auto"/>
          <w:sz w:val="20"/>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2、应法律或司法管辖要求而提供；</w:t>
      </w:r>
    </w:p>
    <w:p w14:paraId="30E54167">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val="0"/>
          <w:caps/>
          <w:color w:val="auto"/>
          <w:sz w:val="20"/>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3、经被保险人或被保险人的委托代理人书面同意。</w:t>
      </w:r>
    </w:p>
    <w:p w14:paraId="5CE41DC9">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val="0"/>
          <w:caps/>
          <w:color w:val="auto"/>
          <w:sz w:val="20"/>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保险合同一方因过错造成泄密而给其他方造成损失的，过错一方承担经济赔偿责任。</w:t>
      </w:r>
    </w:p>
    <w:p w14:paraId="5DB19A18">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val="0"/>
          <w:caps/>
          <w:color w:val="auto"/>
          <w:sz w:val="20"/>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保险合同终止本保密条款继续有效。</w:t>
      </w:r>
    </w:p>
    <w:p w14:paraId="3EF38243">
      <w:pPr>
        <w:tabs>
          <w:tab w:val="right" w:leader="dot" w:pos="8306"/>
        </w:tabs>
        <w:overflowPunct w:val="0"/>
        <w:autoSpaceDE w:val="0"/>
        <w:autoSpaceDN w:val="0"/>
        <w:adjustRightInd w:val="0"/>
        <w:spacing w:before="120" w:after="120" w:line="360" w:lineRule="auto"/>
        <w:ind w:firstLine="422" w:firstLineChars="200"/>
        <w:textAlignment w:val="baseline"/>
        <w:outlineLvl w:val="1"/>
        <w:rPr>
          <w:rFonts w:ascii="宋体" w:hAnsi="Book Antiqua" w:eastAsia="宋体" w:cs="宋体"/>
          <w:b/>
          <w:bCs w:val="0"/>
          <w:caps/>
          <w:color w:val="auto"/>
          <w:sz w:val="20"/>
          <w:szCs w:val="21"/>
          <w:highlight w:val="none"/>
          <w:lang w:val="en-US" w:eastAsia="zh-CN" w:bidi="ar-SA"/>
        </w:rPr>
      </w:pPr>
      <w:bookmarkStart w:id="91" w:name="_Toc1521305452"/>
      <w:r>
        <w:rPr>
          <w:rFonts w:hint="eastAsia" w:ascii="宋体" w:hAnsi="Book Antiqua" w:eastAsia="宋体" w:cs="宋体"/>
          <w:b/>
          <w:bCs/>
          <w:caps/>
          <w:color w:val="auto"/>
          <w:sz w:val="21"/>
          <w:szCs w:val="21"/>
          <w:highlight w:val="none"/>
          <w:lang w:val="en-US" w:eastAsia="zh-CN" w:bidi="ar-SA"/>
        </w:rPr>
        <w:t>（五）合同份数</w:t>
      </w:r>
      <w:bookmarkEnd w:id="91"/>
    </w:p>
    <w:p w14:paraId="4C59FE26">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val="0"/>
          <w:caps/>
          <w:color w:val="auto"/>
          <w:sz w:val="20"/>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保险合同正本2份、副本8份，被保险人执正本1份、副本7份，保险人执正本1份、副本1份。</w:t>
      </w:r>
    </w:p>
    <w:p w14:paraId="556ACE2B">
      <w:pPr>
        <w:tabs>
          <w:tab w:val="right" w:leader="dot" w:pos="8306"/>
        </w:tabs>
        <w:overflowPunct w:val="0"/>
        <w:autoSpaceDE w:val="0"/>
        <w:autoSpaceDN w:val="0"/>
        <w:adjustRightInd w:val="0"/>
        <w:spacing w:before="120" w:after="120" w:line="360" w:lineRule="auto"/>
        <w:ind w:firstLine="422" w:firstLineChars="200"/>
        <w:textAlignment w:val="baseline"/>
        <w:outlineLvl w:val="1"/>
        <w:rPr>
          <w:rFonts w:ascii="宋体" w:hAnsi="Book Antiqua" w:eastAsia="宋体" w:cs="宋体"/>
          <w:b/>
          <w:bCs w:val="0"/>
          <w:caps/>
          <w:color w:val="auto"/>
          <w:sz w:val="20"/>
          <w:szCs w:val="21"/>
          <w:highlight w:val="none"/>
          <w:lang w:val="en-US" w:eastAsia="zh-CN" w:bidi="ar-SA"/>
        </w:rPr>
      </w:pPr>
      <w:bookmarkStart w:id="92" w:name="_Toc1357298528"/>
      <w:r>
        <w:rPr>
          <w:rFonts w:hint="eastAsia" w:ascii="宋体" w:hAnsi="Book Antiqua" w:eastAsia="宋体" w:cs="宋体"/>
          <w:b/>
          <w:bCs/>
          <w:caps/>
          <w:color w:val="auto"/>
          <w:sz w:val="21"/>
          <w:szCs w:val="21"/>
          <w:highlight w:val="none"/>
          <w:lang w:val="en-US" w:eastAsia="zh-CN" w:bidi="ar-SA"/>
        </w:rPr>
        <w:t>（六）法律责任</w:t>
      </w:r>
      <w:bookmarkEnd w:id="92"/>
    </w:p>
    <w:p w14:paraId="6054338C">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caps/>
          <w:color w:val="auto"/>
          <w:sz w:val="21"/>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由于保险合同任何一方当事人的过错，造成保险合同不能履行或者不能完全履行的，由有过错的一方依法承担违约责任；如属各方当事人的过错，则根据各方当事人过错的实际情况，由各方当事人分别承担各自应负的违约责任；若发生违约情形，违约方依法依约承担其相应法律责任后，除非守约方同意终止保险合同的，保险合同仍须继续履行。</w:t>
      </w:r>
    </w:p>
    <w:p w14:paraId="59432B0C">
      <w:pPr>
        <w:tabs>
          <w:tab w:val="right" w:leader="dot" w:pos="8306"/>
        </w:tabs>
        <w:overflowPunct w:val="0"/>
        <w:autoSpaceDE w:val="0"/>
        <w:autoSpaceDN w:val="0"/>
        <w:adjustRightInd w:val="0"/>
        <w:spacing w:before="120" w:after="120" w:line="360" w:lineRule="auto"/>
        <w:ind w:firstLine="422" w:firstLineChars="200"/>
        <w:textAlignment w:val="baseline"/>
        <w:outlineLvl w:val="1"/>
        <w:rPr>
          <w:rFonts w:ascii="宋体" w:hAnsi="Book Antiqua" w:eastAsia="宋体" w:cs="宋体"/>
          <w:b/>
          <w:bCs/>
          <w:caps/>
          <w:color w:val="auto"/>
          <w:sz w:val="21"/>
          <w:szCs w:val="21"/>
          <w:highlight w:val="none"/>
          <w:lang w:val="en-US" w:eastAsia="zh-CN" w:bidi="ar-SA"/>
        </w:rPr>
      </w:pPr>
      <w:bookmarkStart w:id="93" w:name="_Toc119522462"/>
      <w:bookmarkStart w:id="94" w:name="_Toc118833706"/>
      <w:bookmarkStart w:id="95" w:name="_Toc119522766"/>
      <w:bookmarkStart w:id="96" w:name="_Toc2689"/>
      <w:bookmarkStart w:id="97" w:name="_Toc119178687"/>
      <w:bookmarkStart w:id="98" w:name="_Toc119659004"/>
      <w:r>
        <w:rPr>
          <w:rFonts w:hint="eastAsia" w:ascii="宋体" w:hAnsi="Book Antiqua" w:eastAsia="宋体" w:cs="宋体"/>
          <w:b/>
          <w:bCs/>
          <w:caps/>
          <w:color w:val="auto"/>
          <w:sz w:val="21"/>
          <w:szCs w:val="21"/>
          <w:highlight w:val="none"/>
          <w:lang w:val="en-US" w:eastAsia="zh-CN" w:bidi="ar-SA"/>
        </w:rPr>
        <w:t>（七）合同期后短期续保</w:t>
      </w:r>
      <w:bookmarkEnd w:id="93"/>
      <w:bookmarkEnd w:id="94"/>
      <w:bookmarkEnd w:id="95"/>
      <w:bookmarkEnd w:id="96"/>
      <w:bookmarkEnd w:id="97"/>
      <w:bookmarkEnd w:id="98"/>
    </w:p>
    <w:p w14:paraId="6CC1B016">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caps/>
          <w:color w:val="auto"/>
          <w:sz w:val="21"/>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在获被保险人通知后，本保单会按原有承保方案自动延期。被保险人于本保险到期日前5天通知续保情况。其保费按日比例收取，自动延长期限不超过6个月。</w:t>
      </w:r>
    </w:p>
    <w:p w14:paraId="19F1BE7C">
      <w:pPr>
        <w:tabs>
          <w:tab w:val="right" w:leader="dot" w:pos="8306"/>
        </w:tabs>
        <w:overflowPunct w:val="0"/>
        <w:autoSpaceDE w:val="0"/>
        <w:autoSpaceDN w:val="0"/>
        <w:adjustRightInd w:val="0"/>
        <w:spacing w:before="120" w:after="120" w:line="360" w:lineRule="auto"/>
        <w:ind w:firstLine="422" w:firstLineChars="200"/>
        <w:textAlignment w:val="baseline"/>
        <w:outlineLvl w:val="1"/>
        <w:rPr>
          <w:rFonts w:ascii="宋体" w:hAnsi="Book Antiqua" w:eastAsia="宋体" w:cs="宋体"/>
          <w:b/>
          <w:bCs/>
          <w:caps/>
          <w:color w:val="auto"/>
          <w:sz w:val="21"/>
          <w:szCs w:val="21"/>
          <w:highlight w:val="none"/>
          <w:lang w:val="en-US" w:eastAsia="zh-CN" w:bidi="ar-SA"/>
        </w:rPr>
      </w:pPr>
      <w:bookmarkStart w:id="99" w:name="_Toc119522463"/>
      <w:bookmarkStart w:id="100" w:name="_Toc119522767"/>
      <w:bookmarkStart w:id="101" w:name="_Toc118833707"/>
      <w:bookmarkStart w:id="102" w:name="_Toc34"/>
      <w:bookmarkStart w:id="103" w:name="_Toc119178688"/>
      <w:bookmarkStart w:id="104" w:name="_Toc119659005"/>
      <w:r>
        <w:rPr>
          <w:rFonts w:hint="eastAsia" w:ascii="宋体" w:hAnsi="Book Antiqua" w:eastAsia="宋体" w:cs="宋体"/>
          <w:b/>
          <w:bCs/>
          <w:caps/>
          <w:color w:val="auto"/>
          <w:sz w:val="21"/>
          <w:szCs w:val="21"/>
          <w:highlight w:val="none"/>
          <w:lang w:val="en-US" w:eastAsia="zh-CN" w:bidi="ar-SA"/>
        </w:rPr>
        <w:t>（八）再保安排</w:t>
      </w:r>
      <w:bookmarkEnd w:id="99"/>
      <w:bookmarkEnd w:id="100"/>
      <w:bookmarkEnd w:id="101"/>
      <w:bookmarkEnd w:id="102"/>
      <w:bookmarkEnd w:id="103"/>
      <w:bookmarkEnd w:id="104"/>
    </w:p>
    <w:p w14:paraId="2F255CBB">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caps/>
          <w:color w:val="auto"/>
          <w:sz w:val="21"/>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保险人在获取正式保单承保条件后的15个工作日内，须将最后已安排的再保情况告知本项目的被保险人备案。</w:t>
      </w:r>
    </w:p>
    <w:p w14:paraId="4E26368A">
      <w:pPr>
        <w:tabs>
          <w:tab w:val="right" w:leader="dot" w:pos="8306"/>
        </w:tabs>
        <w:overflowPunct w:val="0"/>
        <w:autoSpaceDE w:val="0"/>
        <w:autoSpaceDN w:val="0"/>
        <w:adjustRightInd w:val="0"/>
        <w:spacing w:before="120" w:after="120" w:line="360" w:lineRule="auto"/>
        <w:ind w:firstLine="422" w:firstLineChars="200"/>
        <w:textAlignment w:val="baseline"/>
        <w:outlineLvl w:val="1"/>
        <w:rPr>
          <w:rFonts w:ascii="宋体" w:hAnsi="Book Antiqua" w:eastAsia="宋体" w:cs="宋体"/>
          <w:b/>
          <w:bCs/>
          <w:caps/>
          <w:color w:val="auto"/>
          <w:sz w:val="21"/>
          <w:szCs w:val="21"/>
          <w:highlight w:val="none"/>
          <w:lang w:val="en-US" w:eastAsia="zh-CN" w:bidi="ar-SA"/>
        </w:rPr>
      </w:pPr>
      <w:bookmarkStart w:id="105" w:name="_Toc119522768"/>
      <w:bookmarkStart w:id="106" w:name="_Toc6290"/>
      <w:bookmarkStart w:id="107" w:name="_Toc119178689"/>
      <w:bookmarkStart w:id="108" w:name="_Toc118833708"/>
      <w:bookmarkStart w:id="109" w:name="_Toc119522464"/>
      <w:bookmarkStart w:id="110" w:name="_Toc119659006"/>
      <w:r>
        <w:rPr>
          <w:rFonts w:hint="eastAsia" w:ascii="宋体" w:hAnsi="Book Antiqua" w:eastAsia="宋体" w:cs="宋体"/>
          <w:b/>
          <w:bCs/>
          <w:caps/>
          <w:color w:val="auto"/>
          <w:sz w:val="21"/>
          <w:szCs w:val="21"/>
          <w:highlight w:val="none"/>
          <w:lang w:val="en-US" w:eastAsia="zh-CN" w:bidi="ar-SA"/>
        </w:rPr>
        <w:t>（九）变更情况</w:t>
      </w:r>
      <w:bookmarkEnd w:id="105"/>
      <w:bookmarkEnd w:id="106"/>
      <w:bookmarkEnd w:id="107"/>
      <w:bookmarkEnd w:id="108"/>
      <w:bookmarkEnd w:id="109"/>
      <w:bookmarkEnd w:id="110"/>
    </w:p>
    <w:p w14:paraId="7CBDE345">
      <w:pPr>
        <w:tabs>
          <w:tab w:val="right" w:leader="dot" w:pos="8306"/>
        </w:tabs>
        <w:overflowPunct w:val="0"/>
        <w:autoSpaceDE w:val="0"/>
        <w:autoSpaceDN w:val="0"/>
        <w:adjustRightInd w:val="0"/>
        <w:spacing w:before="120" w:after="120" w:line="360" w:lineRule="auto"/>
        <w:ind w:firstLine="422" w:firstLineChars="200"/>
        <w:textAlignment w:val="baseline"/>
        <w:rPr>
          <w:rFonts w:ascii="宋体" w:hAnsi="Book Antiqua" w:eastAsia="宋体" w:cs="宋体"/>
          <w:b/>
          <w:bCs/>
          <w:caps/>
          <w:color w:val="auto"/>
          <w:sz w:val="21"/>
          <w:szCs w:val="21"/>
          <w:highlight w:val="none"/>
          <w:lang w:val="en-US" w:eastAsia="zh-CN" w:bidi="ar-SA"/>
        </w:rPr>
      </w:pPr>
      <w:r>
        <w:rPr>
          <w:rFonts w:hint="eastAsia" w:ascii="宋体" w:hAnsi="Book Antiqua" w:eastAsia="宋体" w:cs="宋体"/>
          <w:b/>
          <w:bCs/>
          <w:caps/>
          <w:color w:val="auto"/>
          <w:sz w:val="21"/>
          <w:szCs w:val="21"/>
          <w:highlight w:val="none"/>
          <w:lang w:val="en-US" w:eastAsia="zh-CN" w:bidi="ar-SA"/>
        </w:rPr>
        <w:t>在合同履行期间，被保险人因可能发生的主体变更、资产整合、经营管理或政府行为等任何需要或情况，有权将本合同相关权利义务部分或全部转让其他第三方履行，该转让行为在被保险人发出书面通知后，保险人应当配合被保险人办理相关合同主体变更等手续，并向相关第三方继续履行合同。</w:t>
      </w:r>
    </w:p>
    <w:p w14:paraId="6D98C530">
      <w:pPr>
        <w:tabs>
          <w:tab w:val="right" w:leader="dot" w:pos="8306"/>
        </w:tabs>
        <w:overflowPunct w:val="0"/>
        <w:autoSpaceDE w:val="0"/>
        <w:autoSpaceDN w:val="0"/>
        <w:adjustRightInd w:val="0"/>
        <w:spacing w:before="120" w:after="120" w:line="360" w:lineRule="auto"/>
        <w:ind w:firstLine="422" w:firstLineChars="200"/>
        <w:textAlignment w:val="baseline"/>
        <w:outlineLvl w:val="0"/>
        <w:rPr>
          <w:rFonts w:ascii="宋体" w:hAnsi="Book Antiqua" w:eastAsia="宋体" w:cs="宋体"/>
          <w:b w:val="0"/>
          <w:bCs/>
          <w:caps/>
          <w:color w:val="auto"/>
          <w:sz w:val="20"/>
          <w:szCs w:val="21"/>
          <w:highlight w:val="none"/>
          <w:lang w:val="en-US" w:eastAsia="zh-CN" w:bidi="ar-SA"/>
        </w:rPr>
      </w:pPr>
      <w:bookmarkStart w:id="111" w:name="_Toc1569183765"/>
      <w:r>
        <w:rPr>
          <w:rFonts w:hint="eastAsia" w:ascii="宋体" w:hAnsi="Book Antiqua" w:eastAsia="宋体" w:cs="宋体"/>
          <w:b/>
          <w:bCs w:val="0"/>
          <w:caps/>
          <w:color w:val="auto"/>
          <w:sz w:val="21"/>
          <w:szCs w:val="21"/>
          <w:highlight w:val="none"/>
          <w:lang w:val="en-US" w:eastAsia="zh-CN" w:bidi="ar-SA"/>
        </w:rPr>
        <w:t>七、保险方案及条款</w:t>
      </w:r>
      <w:bookmarkEnd w:id="111"/>
    </w:p>
    <w:p w14:paraId="093A98F0">
      <w:pPr>
        <w:widowControl/>
        <w:adjustRightInd/>
        <w:spacing w:line="360" w:lineRule="auto"/>
        <w:ind w:firstLine="420" w:firstLineChars="200"/>
        <w:jc w:val="left"/>
        <w:outlineLvl w:val="1"/>
        <w:rPr>
          <w:rFonts w:ascii="宋体" w:hAnsi="宋体" w:eastAsia="宋体" w:cs="宋体"/>
          <w:bCs/>
          <w:color w:val="auto"/>
          <w:kern w:val="0"/>
          <w:sz w:val="24"/>
          <w:szCs w:val="21"/>
          <w:highlight w:val="none"/>
        </w:rPr>
      </w:pPr>
      <w:bookmarkStart w:id="112" w:name="_Toc394389394"/>
      <w:bookmarkStart w:id="113" w:name="_Toc8331"/>
      <w:bookmarkStart w:id="114" w:name="_Toc98443912"/>
      <w:bookmarkStart w:id="115" w:name="_Toc15807"/>
      <w:bookmarkStart w:id="116" w:name="_Toc447119827"/>
      <w:bookmarkStart w:id="117" w:name="_Toc17367"/>
      <w:bookmarkStart w:id="118" w:name="_Toc23621"/>
      <w:r>
        <w:rPr>
          <w:rFonts w:hint="eastAsia" w:ascii="宋体" w:hAnsi="宋体" w:eastAsia="宋体" w:cs="宋体"/>
          <w:bCs/>
          <w:color w:val="auto"/>
          <w:kern w:val="0"/>
          <w:sz w:val="21"/>
          <w:szCs w:val="21"/>
          <w:highlight w:val="none"/>
        </w:rPr>
        <w:t>（一）财产一切险（附加机器损坏险、现金险）</w:t>
      </w:r>
      <w:bookmarkEnd w:id="112"/>
      <w:bookmarkEnd w:id="113"/>
      <w:bookmarkEnd w:id="114"/>
      <w:bookmarkEnd w:id="115"/>
      <w:bookmarkEnd w:id="116"/>
      <w:bookmarkEnd w:id="117"/>
      <w:bookmarkEnd w:id="118"/>
    </w:p>
    <w:tbl>
      <w:tblPr>
        <w:tblStyle w:val="64"/>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7566"/>
      </w:tblGrid>
      <w:tr w14:paraId="3A40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238" w:type="dxa"/>
            <w:vAlign w:val="center"/>
          </w:tcPr>
          <w:p w14:paraId="5BF15DB0">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保险条款</w:t>
            </w:r>
          </w:p>
        </w:tc>
        <w:tc>
          <w:tcPr>
            <w:tcW w:w="7566" w:type="dxa"/>
            <w:vAlign w:val="center"/>
          </w:tcPr>
          <w:p w14:paraId="3276A98A">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财产一切险基本条款、特别约定条款及其附加条款</w:t>
            </w:r>
          </w:p>
        </w:tc>
      </w:tr>
      <w:tr w14:paraId="52D0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38" w:type="dxa"/>
            <w:vAlign w:val="center"/>
          </w:tcPr>
          <w:p w14:paraId="6D4D3262">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被保险人</w:t>
            </w:r>
          </w:p>
        </w:tc>
        <w:tc>
          <w:tcPr>
            <w:tcW w:w="7566" w:type="dxa"/>
            <w:vAlign w:val="center"/>
          </w:tcPr>
          <w:p w14:paraId="1129A247">
            <w:pPr>
              <w:widowControl w:val="0"/>
              <w:spacing w:line="360" w:lineRule="auto"/>
              <w:jc w:val="both"/>
              <w:rPr>
                <w:rFonts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绍兴市轨道交通集团有限公司及其分公司</w:t>
            </w:r>
          </w:p>
        </w:tc>
      </w:tr>
      <w:tr w14:paraId="6368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71143FB9">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地</w:t>
            </w:r>
            <w:r>
              <w:rPr>
                <w:rFonts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rPr>
              <w:t>址</w:t>
            </w:r>
          </w:p>
        </w:tc>
        <w:tc>
          <w:tcPr>
            <w:tcW w:w="7566" w:type="dxa"/>
            <w:vAlign w:val="center"/>
          </w:tcPr>
          <w:p w14:paraId="582427E1">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浙江省绍兴市越城区解放大道</w:t>
            </w:r>
            <w:r>
              <w:rPr>
                <w:rFonts w:ascii="宋体" w:hAnsi="宋体" w:eastAsia="宋体" w:cs="宋体"/>
                <w:color w:val="auto"/>
                <w:kern w:val="0"/>
                <w:sz w:val="21"/>
                <w:szCs w:val="21"/>
                <w:highlight w:val="none"/>
              </w:rPr>
              <w:t>386号地铁大厦</w:t>
            </w:r>
          </w:p>
        </w:tc>
      </w:tr>
      <w:tr w14:paraId="6BDF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238" w:type="dxa"/>
            <w:vAlign w:val="center"/>
          </w:tcPr>
          <w:p w14:paraId="4C11362B">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保险期限</w:t>
            </w:r>
          </w:p>
        </w:tc>
        <w:tc>
          <w:tcPr>
            <w:tcW w:w="7566" w:type="dxa"/>
            <w:vAlign w:val="center"/>
          </w:tcPr>
          <w:p w14:paraId="7E0CAD2C">
            <w:pPr>
              <w:widowControl/>
              <w:adjustRightInd/>
              <w:spacing w:line="360" w:lineRule="auto"/>
              <w:jc w:val="left"/>
              <w:rPr>
                <w:rFonts w:ascii="宋体" w:hAnsi="宋体" w:eastAsia="宋体" w:cs="宋体"/>
                <w:strike/>
                <w:dstrike w:val="0"/>
                <w:color w:val="auto"/>
                <w:kern w:val="0"/>
                <w:sz w:val="21"/>
                <w:szCs w:val="21"/>
                <w:highlight w:val="none"/>
              </w:rPr>
            </w:pPr>
            <w:r>
              <w:rPr>
                <w:rFonts w:hint="eastAsia" w:ascii="宋体" w:hAnsi="宋体" w:eastAsia="宋体" w:cs="宋体"/>
                <w:color w:val="auto"/>
                <w:kern w:val="0"/>
                <w:sz w:val="21"/>
                <w:szCs w:val="21"/>
                <w:highlight w:val="none"/>
              </w:rPr>
              <w:t>约</w:t>
            </w:r>
            <w:r>
              <w:rPr>
                <w:rFonts w:ascii="宋体" w:hAnsi="宋体" w:eastAsia="宋体" w:cs="宋体"/>
                <w:color w:val="auto"/>
                <w:kern w:val="0"/>
                <w:sz w:val="21"/>
                <w:szCs w:val="21"/>
                <w:highlight w:val="none"/>
              </w:rPr>
              <w:t>24个月，</w:t>
            </w:r>
            <w:r>
              <w:rPr>
                <w:rFonts w:hint="eastAsia" w:ascii="宋体" w:hAnsi="宋体" w:eastAsia="宋体" w:cs="宋体"/>
                <w:bCs/>
                <w:color w:val="auto"/>
                <w:kern w:val="0"/>
                <w:sz w:val="21"/>
                <w:szCs w:val="21"/>
                <w:highlight w:val="none"/>
              </w:rPr>
              <w:t>自</w:t>
            </w:r>
            <w:r>
              <w:rPr>
                <w:rFonts w:ascii="宋体" w:hAnsi="宋体" w:eastAsia="宋体" w:cs="宋体"/>
                <w:bCs/>
                <w:color w:val="auto"/>
                <w:kern w:val="0"/>
                <w:sz w:val="21"/>
                <w:szCs w:val="21"/>
                <w:highlight w:val="none"/>
              </w:rPr>
              <w:t>2024年12月29日0：00起至2026年12月31日24：00止。</w:t>
            </w:r>
          </w:p>
        </w:tc>
      </w:tr>
      <w:tr w14:paraId="2CDE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55E27FCC">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保险地点</w:t>
            </w:r>
          </w:p>
        </w:tc>
        <w:tc>
          <w:tcPr>
            <w:tcW w:w="7566" w:type="dxa"/>
            <w:vAlign w:val="center"/>
          </w:tcPr>
          <w:p w14:paraId="6541CE5F">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被保险人所有经营、生产、调试、运输、办公等各项活动所涉及的区域，包括但不限于运营区域，调试区域，机车车辆存放、检修等场所、运输区域和办公场所等。</w:t>
            </w:r>
          </w:p>
        </w:tc>
      </w:tr>
      <w:tr w14:paraId="2B3F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38" w:type="dxa"/>
            <w:vAlign w:val="center"/>
          </w:tcPr>
          <w:p w14:paraId="67B72DA9">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营业性质</w:t>
            </w:r>
          </w:p>
        </w:tc>
        <w:tc>
          <w:tcPr>
            <w:tcW w:w="7566" w:type="dxa"/>
            <w:vAlign w:val="center"/>
          </w:tcPr>
          <w:p w14:paraId="4D661BFD">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以营业执照登记为准</w:t>
            </w:r>
          </w:p>
        </w:tc>
      </w:tr>
      <w:tr w14:paraId="00D7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60D2D8A2">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保险项目</w:t>
            </w:r>
          </w:p>
        </w:tc>
        <w:tc>
          <w:tcPr>
            <w:tcW w:w="7566" w:type="dxa"/>
            <w:vAlign w:val="center"/>
          </w:tcPr>
          <w:p w14:paraId="7D4DAF3F">
            <w:pPr>
              <w:widowControl/>
              <w:adjustRightInd/>
              <w:spacing w:line="360" w:lineRule="auto"/>
              <w:jc w:val="left"/>
              <w:rPr>
                <w:rFonts w:ascii="宋体" w:hAnsi="宋体" w:eastAsia="宋体" w:cs="宋体"/>
                <w:bCs/>
                <w:color w:val="auto"/>
                <w:kern w:val="0"/>
                <w:sz w:val="21"/>
                <w:szCs w:val="21"/>
                <w:highlight w:val="none"/>
                <w:lang w:val="en-GB"/>
              </w:rPr>
            </w:pPr>
            <w:r>
              <w:rPr>
                <w:rFonts w:hint="eastAsia" w:ascii="宋体" w:hAnsi="宋体" w:eastAsia="宋体" w:cs="宋体"/>
                <w:bCs/>
                <w:color w:val="auto"/>
                <w:kern w:val="0"/>
                <w:sz w:val="21"/>
                <w:szCs w:val="21"/>
                <w:highlight w:val="none"/>
                <w:lang w:val="en-GB"/>
              </w:rPr>
              <w:t>绍兴市轨道交通2号线一期运营项目，包括但不限于车站、区间、联络线、</w:t>
            </w:r>
            <w:r>
              <w:rPr>
                <w:rFonts w:ascii="宋体" w:hAnsi="宋体" w:eastAsia="宋体" w:cs="宋体"/>
                <w:bCs/>
                <w:color w:val="auto"/>
                <w:kern w:val="0"/>
                <w:sz w:val="21"/>
                <w:szCs w:val="21"/>
                <w:highlight w:val="none"/>
                <w:lang w:val="en-GB"/>
              </w:rPr>
              <w:t>轨道、</w:t>
            </w:r>
            <w:r>
              <w:rPr>
                <w:rFonts w:hint="eastAsia" w:ascii="宋体" w:hAnsi="宋体" w:eastAsia="宋体" w:cs="宋体"/>
                <w:bCs/>
                <w:color w:val="auto"/>
                <w:kern w:val="0"/>
                <w:sz w:val="21"/>
                <w:szCs w:val="21"/>
                <w:highlight w:val="none"/>
                <w:lang w:val="en-GB"/>
              </w:rPr>
              <w:t>万绣路车辆基地（含</w:t>
            </w:r>
            <w:r>
              <w:rPr>
                <w:rFonts w:ascii="宋体" w:hAnsi="宋体" w:eastAsia="宋体" w:cs="宋体"/>
                <w:bCs/>
                <w:color w:val="auto"/>
                <w:kern w:val="0"/>
                <w:sz w:val="21"/>
                <w:szCs w:val="21"/>
                <w:highlight w:val="none"/>
                <w:lang w:val="en-GB"/>
              </w:rPr>
              <w:t>使用的检修库、运用库、物资库、综合楼、</w:t>
            </w:r>
            <w:r>
              <w:rPr>
                <w:rFonts w:hint="eastAsia" w:ascii="宋体" w:hAnsi="宋体" w:eastAsia="宋体" w:cs="宋体"/>
                <w:bCs/>
                <w:color w:val="auto"/>
                <w:kern w:val="0"/>
                <w:sz w:val="21"/>
                <w:szCs w:val="21"/>
                <w:highlight w:val="none"/>
                <w:lang w:val="en-GB"/>
              </w:rPr>
              <w:t>维修中心、培训中心、备用控制中心</w:t>
            </w:r>
            <w:r>
              <w:rPr>
                <w:rFonts w:ascii="宋体" w:hAnsi="宋体" w:eastAsia="宋体" w:cs="宋体"/>
                <w:bCs/>
                <w:color w:val="auto"/>
                <w:kern w:val="0"/>
                <w:sz w:val="21"/>
                <w:szCs w:val="21"/>
                <w:highlight w:val="none"/>
                <w:lang w:val="en-GB"/>
              </w:rPr>
              <w:t>、</w:t>
            </w:r>
            <w:r>
              <w:rPr>
                <w:rFonts w:hint="eastAsia" w:ascii="宋体" w:hAnsi="宋体" w:eastAsia="宋体" w:cs="宋体"/>
                <w:bCs/>
                <w:color w:val="auto"/>
                <w:kern w:val="0"/>
                <w:sz w:val="21"/>
                <w:szCs w:val="21"/>
                <w:highlight w:val="none"/>
                <w:lang w:val="en-GB"/>
              </w:rPr>
              <w:t>试车线等）、万绣路车辆基地至1、2号线联络线区段（含杭州至绍兴城际铁路及绍兴市城市轨道交通1号线主线区段）、镜湖控制中心、豆姜站停车列检线、镜湖控制中心、越兴路主变电所、</w:t>
            </w:r>
            <w:r>
              <w:rPr>
                <w:rFonts w:ascii="宋体" w:hAnsi="宋体" w:eastAsia="宋体" w:cs="宋体"/>
                <w:bCs/>
                <w:color w:val="auto"/>
                <w:kern w:val="0"/>
                <w:sz w:val="21"/>
                <w:szCs w:val="21"/>
                <w:highlight w:val="none"/>
                <w:lang w:val="en-GB"/>
              </w:rPr>
              <w:t>工程</w:t>
            </w:r>
            <w:r>
              <w:rPr>
                <w:rFonts w:hint="eastAsia" w:ascii="宋体" w:hAnsi="宋体" w:eastAsia="宋体" w:cs="宋体"/>
                <w:bCs/>
                <w:color w:val="auto"/>
                <w:kern w:val="0"/>
                <w:sz w:val="21"/>
                <w:szCs w:val="21"/>
                <w:highlight w:val="none"/>
                <w:lang w:val="en-GB"/>
              </w:rPr>
              <w:t>车辆、</w:t>
            </w:r>
            <w:r>
              <w:rPr>
                <w:rFonts w:ascii="宋体" w:hAnsi="宋体" w:eastAsia="宋体" w:cs="宋体"/>
                <w:bCs/>
                <w:color w:val="auto"/>
                <w:kern w:val="0"/>
                <w:sz w:val="21"/>
                <w:szCs w:val="21"/>
                <w:highlight w:val="none"/>
                <w:lang w:val="en-GB"/>
              </w:rPr>
              <w:t>所有线路设施及</w:t>
            </w:r>
            <w:r>
              <w:rPr>
                <w:rFonts w:hint="eastAsia" w:ascii="宋体" w:hAnsi="宋体" w:eastAsia="宋体" w:cs="宋体"/>
                <w:bCs/>
                <w:color w:val="auto"/>
                <w:kern w:val="0"/>
                <w:sz w:val="21"/>
                <w:szCs w:val="21"/>
                <w:highlight w:val="none"/>
                <w:lang w:val="en-GB"/>
              </w:rPr>
              <w:t>机电设备、备品备件</w:t>
            </w:r>
            <w:r>
              <w:rPr>
                <w:rFonts w:ascii="宋体" w:hAnsi="宋体" w:eastAsia="宋体" w:cs="宋体"/>
                <w:bCs/>
                <w:color w:val="auto"/>
                <w:kern w:val="0"/>
                <w:sz w:val="21"/>
                <w:szCs w:val="21"/>
                <w:highlight w:val="none"/>
                <w:lang w:val="en-GB"/>
              </w:rPr>
              <w:t>和工器具等物资库存</w:t>
            </w:r>
            <w:r>
              <w:rPr>
                <w:rFonts w:hint="eastAsia" w:ascii="宋体" w:hAnsi="宋体" w:eastAsia="宋体" w:cs="宋体"/>
                <w:bCs/>
                <w:color w:val="auto"/>
                <w:kern w:val="0"/>
                <w:sz w:val="21"/>
                <w:szCs w:val="21"/>
                <w:highlight w:val="none"/>
                <w:lang w:val="en-GB"/>
              </w:rPr>
              <w:t>、</w:t>
            </w:r>
            <w:r>
              <w:rPr>
                <w:rFonts w:ascii="宋体" w:hAnsi="宋体" w:eastAsia="宋体" w:cs="宋体"/>
                <w:bCs/>
                <w:color w:val="auto"/>
                <w:kern w:val="0"/>
                <w:sz w:val="21"/>
                <w:szCs w:val="21"/>
                <w:highlight w:val="none"/>
                <w:lang w:val="en-GB"/>
              </w:rPr>
              <w:t>生产</w:t>
            </w:r>
            <w:r>
              <w:rPr>
                <w:rFonts w:hint="eastAsia" w:ascii="宋体" w:hAnsi="宋体" w:eastAsia="宋体" w:cs="宋体"/>
                <w:bCs/>
                <w:color w:val="auto"/>
                <w:kern w:val="0"/>
                <w:sz w:val="21"/>
                <w:szCs w:val="21"/>
                <w:highlight w:val="none"/>
                <w:lang w:val="en-GB"/>
              </w:rPr>
              <w:t>办公场所</w:t>
            </w:r>
            <w:r>
              <w:rPr>
                <w:rFonts w:ascii="宋体" w:hAnsi="宋体" w:eastAsia="宋体" w:cs="宋体"/>
                <w:bCs/>
                <w:color w:val="auto"/>
                <w:kern w:val="0"/>
                <w:sz w:val="21"/>
                <w:szCs w:val="21"/>
                <w:highlight w:val="none"/>
                <w:lang w:val="en-GB"/>
              </w:rPr>
              <w:t>家具和其他设施设备</w:t>
            </w:r>
            <w:r>
              <w:rPr>
                <w:rFonts w:hint="eastAsia" w:ascii="宋体" w:hAnsi="宋体" w:eastAsia="宋体" w:cs="宋体"/>
                <w:bCs/>
                <w:color w:val="auto"/>
                <w:kern w:val="0"/>
                <w:sz w:val="21"/>
                <w:szCs w:val="21"/>
                <w:highlight w:val="none"/>
                <w:lang w:val="en-GB"/>
              </w:rPr>
              <w:t>等。</w:t>
            </w:r>
          </w:p>
        </w:tc>
      </w:tr>
      <w:tr w14:paraId="2D17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5A262A60">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保险金额</w:t>
            </w:r>
          </w:p>
        </w:tc>
        <w:tc>
          <w:tcPr>
            <w:tcW w:w="7566" w:type="dxa"/>
            <w:vAlign w:val="center"/>
          </w:tcPr>
          <w:p w14:paraId="493B5751">
            <w:pPr>
              <w:widowControl/>
              <w:adjustRightInd/>
              <w:spacing w:line="360" w:lineRule="auto"/>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GB"/>
              </w:rPr>
              <w:t>总保险金额：</w:t>
            </w:r>
            <w:r>
              <w:rPr>
                <w:rFonts w:ascii="宋体" w:hAnsi="宋体" w:eastAsia="宋体" w:cs="宋体"/>
                <w:bCs/>
                <w:color w:val="auto"/>
                <w:kern w:val="0"/>
                <w:sz w:val="21"/>
                <w:szCs w:val="21"/>
                <w:highlight w:val="none"/>
                <w:lang w:val="en-GB"/>
              </w:rPr>
              <w:t>RMB</w:t>
            </w:r>
            <w:r>
              <w:rPr>
                <w:rFonts w:ascii="宋体" w:hAnsi="宋体" w:eastAsia="宋体" w:cs="宋体"/>
                <w:bCs/>
                <w:color w:val="auto"/>
                <w:kern w:val="0"/>
                <w:sz w:val="21"/>
                <w:szCs w:val="21"/>
                <w:highlight w:val="none"/>
                <w:u w:val="single"/>
              </w:rPr>
              <w:t>628613.12</w:t>
            </w:r>
            <w:r>
              <w:rPr>
                <w:rFonts w:hint="eastAsia" w:ascii="宋体" w:hAnsi="宋体" w:eastAsia="宋体" w:cs="宋体"/>
                <w:bCs/>
                <w:color w:val="auto"/>
                <w:kern w:val="0"/>
                <w:sz w:val="21"/>
                <w:szCs w:val="21"/>
                <w:highlight w:val="none"/>
              </w:rPr>
              <w:t>万</w:t>
            </w:r>
            <w:r>
              <w:rPr>
                <w:rFonts w:hint="eastAsia" w:ascii="宋体" w:hAnsi="宋体" w:eastAsia="宋体" w:cs="宋体"/>
                <w:bCs/>
                <w:color w:val="auto"/>
                <w:kern w:val="0"/>
                <w:sz w:val="21"/>
                <w:szCs w:val="21"/>
                <w:highlight w:val="none"/>
                <w:lang w:val="en-GB"/>
              </w:rPr>
              <w:t>元</w:t>
            </w:r>
          </w:p>
        </w:tc>
      </w:tr>
      <w:tr w14:paraId="41DE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2F8B5452">
            <w:pPr>
              <w:widowControl/>
              <w:adjustRightInd/>
              <w:spacing w:line="360" w:lineRule="auto"/>
              <w:jc w:val="left"/>
              <w:rPr>
                <w:rFonts w:ascii="宋体" w:hAnsi="宋体" w:eastAsia="宋体" w:cs="宋体"/>
                <w:b/>
                <w:bCs/>
                <w:color w:val="auto"/>
                <w:kern w:val="0"/>
                <w:sz w:val="21"/>
                <w:szCs w:val="21"/>
                <w:highlight w:val="none"/>
                <w:lang w:val="en-GB"/>
              </w:rPr>
            </w:pPr>
            <w:r>
              <w:rPr>
                <w:rFonts w:hint="eastAsia" w:ascii="宋体" w:hAnsi="宋体" w:eastAsia="宋体" w:cs="宋体"/>
                <w:b/>
                <w:bCs/>
                <w:color w:val="auto"/>
                <w:kern w:val="0"/>
                <w:sz w:val="21"/>
                <w:szCs w:val="21"/>
                <w:highlight w:val="none"/>
                <w:lang w:val="en-GB"/>
              </w:rPr>
              <w:t>免赔额</w:t>
            </w:r>
          </w:p>
        </w:tc>
        <w:tc>
          <w:tcPr>
            <w:tcW w:w="7566" w:type="dxa"/>
            <w:vAlign w:val="center"/>
          </w:tcPr>
          <w:p w14:paraId="41DE785E">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1、地震、海啸：每次事故损失金额的3%；</w:t>
            </w:r>
          </w:p>
          <w:p w14:paraId="544E5482">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2、玻璃破碎：无免赔；</w:t>
            </w:r>
          </w:p>
          <w:p w14:paraId="619D5BEC">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3、其他财产一切险事故：无免赔；</w:t>
            </w:r>
          </w:p>
          <w:p w14:paraId="10E9AE98">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4、附加机器损坏险事故：无免赔。</w:t>
            </w:r>
          </w:p>
          <w:p w14:paraId="13A90186">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注：每次事故指一次事故或一个事件引起的一系列事故，一次事故中多项保险财产同时遭受损失，免赔计算以高者为准。</w:t>
            </w:r>
          </w:p>
        </w:tc>
      </w:tr>
      <w:tr w14:paraId="5769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13D2362F">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保险费率</w:t>
            </w:r>
          </w:p>
        </w:tc>
        <w:tc>
          <w:tcPr>
            <w:tcW w:w="7566" w:type="dxa"/>
            <w:vAlign w:val="center"/>
          </w:tcPr>
          <w:p w14:paraId="410C6389">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待报价（年费率）</w:t>
            </w:r>
          </w:p>
        </w:tc>
      </w:tr>
      <w:tr w14:paraId="0F7D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3DEEF25E">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保险费</w:t>
            </w:r>
          </w:p>
        </w:tc>
        <w:tc>
          <w:tcPr>
            <w:tcW w:w="7566" w:type="dxa"/>
            <w:vAlign w:val="center"/>
          </w:tcPr>
          <w:p w14:paraId="509017D1">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年保险费</w:t>
            </w:r>
            <w:r>
              <w:rPr>
                <w:rFonts w:ascii="宋体" w:hAnsi="宋体" w:eastAsia="宋体" w:cs="宋体"/>
                <w:color w:val="auto"/>
                <w:kern w:val="0"/>
                <w:sz w:val="21"/>
                <w:szCs w:val="21"/>
                <w:highlight w:val="none"/>
              </w:rPr>
              <w:t>=</w:t>
            </w:r>
            <w:r>
              <w:rPr>
                <w:rFonts w:hint="eastAsia" w:ascii="宋体" w:hAnsi="宋体" w:eastAsia="宋体" w:cs="宋体"/>
                <w:bCs/>
                <w:color w:val="auto"/>
                <w:kern w:val="0"/>
                <w:sz w:val="21"/>
                <w:szCs w:val="21"/>
                <w:highlight w:val="none"/>
                <w:lang w:val="en-GB"/>
              </w:rPr>
              <w:t>总保险金额</w:t>
            </w:r>
            <w:r>
              <w:rPr>
                <w:rFonts w:ascii="宋体" w:hAnsi="宋体" w:eastAsia="宋体" w:cs="宋体"/>
                <w:color w:val="auto"/>
                <w:kern w:val="0"/>
                <w:sz w:val="21"/>
                <w:szCs w:val="21"/>
                <w:highlight w:val="none"/>
              </w:rPr>
              <w:t>×年保险费率；</w:t>
            </w:r>
          </w:p>
          <w:p w14:paraId="1CC4CF5D">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r>
              <w:rPr>
                <w:rFonts w:ascii="宋体" w:hAnsi="宋体" w:eastAsia="宋体" w:cs="宋体"/>
                <w:color w:val="auto"/>
                <w:kern w:val="0"/>
                <w:sz w:val="21"/>
                <w:szCs w:val="21"/>
                <w:highlight w:val="none"/>
              </w:rPr>
              <w:t>不足一年的天数参照短期保单的方式按日比例计算保费。</w:t>
            </w:r>
          </w:p>
        </w:tc>
      </w:tr>
      <w:tr w14:paraId="495B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078988F6">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保费支付</w:t>
            </w:r>
          </w:p>
        </w:tc>
        <w:tc>
          <w:tcPr>
            <w:tcW w:w="7566" w:type="dxa"/>
            <w:vAlign w:val="center"/>
          </w:tcPr>
          <w:p w14:paraId="36A27E51">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在保险期限内分五期支付保费：</w:t>
            </w:r>
          </w:p>
          <w:p w14:paraId="3A72CC0A">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1.第一期保费：第一年保单生效后支付年保险费的50%；</w:t>
            </w:r>
          </w:p>
          <w:p w14:paraId="4FCF4DB8">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2.第二期保费：第一年保单生效6个月后支付年保险费的50%；</w:t>
            </w:r>
          </w:p>
          <w:p w14:paraId="04E8C9F5">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3.第三期保费：第二年保单生效后支付当期保险费的50%；</w:t>
            </w:r>
          </w:p>
          <w:p w14:paraId="7FF26578">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4.第四期保费：第二年保单生效6个月后支付当期保险费的20%；</w:t>
            </w:r>
          </w:p>
          <w:p w14:paraId="3209A6B5">
            <w:pPr>
              <w:widowControl/>
              <w:adjustRightInd/>
              <w:spacing w:line="360" w:lineRule="auto"/>
              <w:jc w:val="left"/>
              <w:rPr>
                <w:rFonts w:hint="eastAsia" w:ascii="宋体" w:hAnsi="宋体" w:eastAsia="宋体" w:cs="宋体"/>
                <w:bCs/>
                <w:color w:val="auto"/>
                <w:kern w:val="0"/>
                <w:sz w:val="21"/>
                <w:szCs w:val="21"/>
                <w:highlight w:val="none"/>
                <w:lang w:eastAsia="zh-CN"/>
              </w:rPr>
            </w:pPr>
            <w:r>
              <w:rPr>
                <w:rFonts w:ascii="宋体" w:hAnsi="宋体" w:eastAsia="宋体" w:cs="宋体"/>
                <w:color w:val="auto"/>
                <w:kern w:val="0"/>
                <w:sz w:val="21"/>
                <w:szCs w:val="21"/>
                <w:highlight w:val="none"/>
              </w:rPr>
              <w:t>5.第五期保费：服务期结束，无赔案或所有赔案涉及赔款付清后，且保单对应期限内合同相关条款履约完毕，投保人向保险人结清余款。</w:t>
            </w:r>
          </w:p>
          <w:p w14:paraId="3BED752D">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上述保费款项自被保险人账户划出即视为实际支付的履行。</w:t>
            </w:r>
            <w:r>
              <w:rPr>
                <w:rFonts w:ascii="宋体" w:hAnsi="宋体" w:eastAsia="宋体" w:cs="宋体"/>
                <w:color w:val="auto"/>
                <w:kern w:val="0"/>
                <w:sz w:val="21"/>
                <w:szCs w:val="21"/>
                <w:highlight w:val="none"/>
              </w:rPr>
              <w:t>被保险人</w:t>
            </w:r>
            <w:r>
              <w:rPr>
                <w:rFonts w:hint="eastAsia" w:ascii="宋体" w:hAnsi="宋体" w:eastAsia="宋体" w:cs="宋体"/>
                <w:bCs/>
                <w:color w:val="auto"/>
                <w:kern w:val="0"/>
                <w:sz w:val="21"/>
                <w:szCs w:val="21"/>
                <w:highlight w:val="none"/>
              </w:rPr>
              <w:t>在保险人提交符合投保人要求的支付申请资料</w:t>
            </w:r>
            <w:r>
              <w:rPr>
                <w:rFonts w:ascii="宋体" w:hAnsi="宋体" w:eastAsia="宋体" w:cs="宋体"/>
                <w:bCs/>
                <w:color w:val="auto"/>
                <w:kern w:val="0"/>
                <w:sz w:val="21"/>
                <w:szCs w:val="21"/>
                <w:highlight w:val="none"/>
              </w:rPr>
              <w:t>后安排</w:t>
            </w:r>
            <w:r>
              <w:rPr>
                <w:rFonts w:ascii="宋体" w:hAnsi="宋体" w:eastAsia="宋体" w:cs="宋体"/>
                <w:color w:val="auto"/>
                <w:kern w:val="0"/>
                <w:sz w:val="21"/>
                <w:szCs w:val="21"/>
                <w:highlight w:val="none"/>
              </w:rPr>
              <w:t>保费支付。</w:t>
            </w:r>
            <w:r>
              <w:rPr>
                <w:rFonts w:hint="eastAsia" w:ascii="宋体" w:hAnsi="宋体" w:eastAsia="宋体" w:cs="宋体"/>
                <w:color w:val="auto"/>
                <w:kern w:val="0"/>
                <w:sz w:val="21"/>
                <w:szCs w:val="21"/>
                <w:highlight w:val="none"/>
                <w:lang w:eastAsia="zh-CN"/>
              </w:rPr>
              <w:t>以上付款条件设置，</w:t>
            </w:r>
            <w:r>
              <w:rPr>
                <w:rFonts w:hint="eastAsia" w:ascii="宋体" w:hAnsi="宋体" w:eastAsia="宋体" w:cs="宋体"/>
                <w:color w:val="auto"/>
                <w:kern w:val="0"/>
                <w:sz w:val="21"/>
                <w:szCs w:val="21"/>
                <w:highlight w:val="none"/>
              </w:rPr>
              <w:t>保险人不得以未及时支付保险费为由，而拒绝或减轻承担赔偿责任。</w:t>
            </w:r>
          </w:p>
        </w:tc>
      </w:tr>
      <w:tr w14:paraId="15411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3F5E526E">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司法管辖</w:t>
            </w:r>
          </w:p>
        </w:tc>
        <w:tc>
          <w:tcPr>
            <w:tcW w:w="7566" w:type="dxa"/>
            <w:vAlign w:val="center"/>
          </w:tcPr>
          <w:p w14:paraId="7B9ABA21">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lang w:val="en-US" w:eastAsia="zh-CN"/>
              </w:rPr>
              <w:t>因履行本保险合同发生的争议，由当事人协商解决。协商不成的，向绍兴仲裁委员会申请仲裁</w:t>
            </w:r>
            <w:r>
              <w:rPr>
                <w:rFonts w:hint="eastAsia" w:ascii="宋体" w:hAnsi="宋体" w:eastAsia="宋体" w:cs="宋体"/>
                <w:color w:val="auto"/>
                <w:kern w:val="0"/>
                <w:sz w:val="21"/>
                <w:szCs w:val="21"/>
                <w:highlight w:val="none"/>
                <w:lang w:val="en-US" w:eastAsia="zh-CN"/>
              </w:rPr>
              <w:t>。</w:t>
            </w:r>
          </w:p>
        </w:tc>
      </w:tr>
      <w:tr w14:paraId="4CAB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Align w:val="center"/>
          </w:tcPr>
          <w:p w14:paraId="0CE22469">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基本条款</w:t>
            </w:r>
          </w:p>
        </w:tc>
        <w:tc>
          <w:tcPr>
            <w:tcW w:w="7566" w:type="dxa"/>
            <w:vAlign w:val="center"/>
          </w:tcPr>
          <w:p w14:paraId="57C8D85B">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财产一切险基本条款</w:t>
            </w:r>
          </w:p>
        </w:tc>
      </w:tr>
      <w:tr w14:paraId="5FEA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8" w:type="dxa"/>
            <w:vAlign w:val="center"/>
          </w:tcPr>
          <w:p w14:paraId="0D14D800">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附加条款</w:t>
            </w:r>
          </w:p>
        </w:tc>
        <w:tc>
          <w:tcPr>
            <w:tcW w:w="7566" w:type="dxa"/>
            <w:vAlign w:val="center"/>
          </w:tcPr>
          <w:p w14:paraId="14871C87">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机器损坏险条款</w:t>
            </w:r>
          </w:p>
          <w:p w14:paraId="70906134">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错误与遗漏条款</w:t>
            </w:r>
          </w:p>
          <w:p w14:paraId="23B761D9">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不受控制条款</w:t>
            </w:r>
          </w:p>
          <w:p w14:paraId="331CB8DB">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不使失效条款</w:t>
            </w:r>
          </w:p>
          <w:p w14:paraId="77E5EC1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指定理算师条款</w:t>
            </w:r>
          </w:p>
          <w:p w14:paraId="6F014A9B">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预付赔款条款</w:t>
            </w:r>
            <w:r>
              <w:rPr>
                <w:rFonts w:hint="eastAsia" w:ascii="宋体" w:hAnsi="宋体" w:eastAsia="宋体" w:cs="宋体"/>
                <w:color w:val="auto"/>
                <w:kern w:val="0"/>
                <w:sz w:val="21"/>
                <w:szCs w:val="21"/>
                <w:highlight w:val="none"/>
              </w:rPr>
              <w:t>（预付比例：</w:t>
            </w:r>
            <w:r>
              <w:rPr>
                <w:rFonts w:ascii="宋体" w:hAnsi="宋体" w:eastAsia="宋体" w:cs="宋体"/>
                <w:color w:val="auto"/>
                <w:kern w:val="0"/>
                <w:sz w:val="21"/>
                <w:szCs w:val="21"/>
                <w:highlight w:val="none"/>
              </w:rPr>
              <w:t>85%</w:t>
            </w:r>
            <w:r>
              <w:rPr>
                <w:rFonts w:hint="eastAsia" w:ascii="宋体" w:hAnsi="宋体" w:eastAsia="宋体" w:cs="宋体"/>
                <w:color w:val="auto"/>
                <w:kern w:val="0"/>
                <w:sz w:val="21"/>
                <w:szCs w:val="21"/>
                <w:highlight w:val="none"/>
              </w:rPr>
              <w:t>）</w:t>
            </w:r>
          </w:p>
          <w:p w14:paraId="7FCF03B1">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违反条件条款</w:t>
            </w:r>
          </w:p>
          <w:p w14:paraId="37A88AB1">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重置价值条款</w:t>
            </w:r>
          </w:p>
          <w:p w14:paraId="58A4279D">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自动恢复保险金额条款</w:t>
            </w:r>
          </w:p>
          <w:p w14:paraId="367837EA">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保单终止条款</w:t>
            </w:r>
          </w:p>
          <w:p w14:paraId="7BEE9592">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放弃代位追偿权利条款</w:t>
            </w:r>
          </w:p>
          <w:p w14:paraId="3C3736A2">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意外污染条款</w:t>
            </w:r>
            <w:r>
              <w:rPr>
                <w:rFonts w:hint="eastAsia" w:ascii="宋体" w:hAnsi="宋体" w:eastAsia="宋体" w:cs="宋体"/>
                <w:color w:val="auto"/>
                <w:kern w:val="0"/>
                <w:sz w:val="21"/>
                <w:szCs w:val="21"/>
                <w:highlight w:val="none"/>
              </w:rPr>
              <w:t>（每次事故赔偿限额：</w:t>
            </w:r>
            <w:r>
              <w:rPr>
                <w:rFonts w:ascii="宋体" w:hAnsi="宋体" w:eastAsia="宋体" w:cs="宋体"/>
                <w:color w:val="auto"/>
                <w:kern w:val="0"/>
                <w:sz w:val="21"/>
                <w:szCs w:val="21"/>
                <w:highlight w:val="none"/>
              </w:rPr>
              <w:t>RMB 1,000万元，累计赔偿限额：RMB 2,000</w:t>
            </w:r>
            <w:r>
              <w:rPr>
                <w:rFonts w:hint="eastAsia" w:ascii="宋体" w:hAnsi="宋体" w:eastAsia="宋体" w:cs="宋体"/>
                <w:color w:val="auto"/>
                <w:kern w:val="0"/>
                <w:sz w:val="21"/>
                <w:szCs w:val="21"/>
                <w:highlight w:val="none"/>
              </w:rPr>
              <w:t>万元）</w:t>
            </w:r>
          </w:p>
          <w:p w14:paraId="6034A3F5">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财产防护及保存条款</w:t>
            </w:r>
          </w:p>
          <w:p w14:paraId="64CB45D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灭火费用条款（限额：RMB 5,000</w:t>
            </w:r>
            <w:r>
              <w:rPr>
                <w:rFonts w:hint="eastAsia" w:ascii="宋体" w:hAnsi="宋体" w:eastAsia="宋体" w:cs="宋体"/>
                <w:color w:val="auto"/>
                <w:kern w:val="0"/>
                <w:sz w:val="21"/>
                <w:szCs w:val="21"/>
                <w:highlight w:val="none"/>
              </w:rPr>
              <w:t>万</w:t>
            </w:r>
            <w:r>
              <w:rPr>
                <w:rFonts w:ascii="宋体" w:hAnsi="宋体" w:eastAsia="宋体" w:cs="宋体"/>
                <w:color w:val="auto"/>
                <w:kern w:val="0"/>
                <w:sz w:val="21"/>
                <w:szCs w:val="21"/>
                <w:highlight w:val="none"/>
              </w:rPr>
              <w:t>元）</w:t>
            </w:r>
          </w:p>
          <w:p w14:paraId="6DCB3EAD">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清理费用条款（限额：RMB 15,000</w:t>
            </w:r>
            <w:r>
              <w:rPr>
                <w:rFonts w:hint="eastAsia" w:ascii="宋体" w:hAnsi="宋体" w:eastAsia="宋体" w:cs="宋体"/>
                <w:color w:val="auto"/>
                <w:kern w:val="0"/>
                <w:sz w:val="21"/>
                <w:szCs w:val="21"/>
                <w:highlight w:val="none"/>
              </w:rPr>
              <w:t>万</w:t>
            </w:r>
            <w:r>
              <w:rPr>
                <w:rFonts w:ascii="宋体" w:hAnsi="宋体" w:eastAsia="宋体" w:cs="宋体"/>
                <w:color w:val="auto"/>
                <w:kern w:val="0"/>
                <w:sz w:val="21"/>
                <w:szCs w:val="21"/>
                <w:highlight w:val="none"/>
              </w:rPr>
              <w:t>元）</w:t>
            </w:r>
          </w:p>
          <w:p w14:paraId="5FB4C63D">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额外费用条款（含空运费，限额：损失的50%）</w:t>
            </w:r>
          </w:p>
          <w:p w14:paraId="6150FC9A">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专业费用条款（限额：明细表所属项保险金额的35%）</w:t>
            </w:r>
          </w:p>
          <w:p w14:paraId="4942BE79">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锅炉及压力容器爆炸扩展条款</w:t>
            </w:r>
          </w:p>
          <w:p w14:paraId="67304586">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场所外财产条款</w:t>
            </w:r>
          </w:p>
          <w:p w14:paraId="6652E046">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临时移动条款（限额：明细表所属项保险金额的30%）</w:t>
            </w:r>
          </w:p>
          <w:p w14:paraId="30E42F55">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公共当局扩展条款</w:t>
            </w:r>
          </w:p>
          <w:p w14:paraId="00423322">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罢工、暴动、民众骚乱条款</w:t>
            </w:r>
          </w:p>
          <w:p w14:paraId="3AE12A68">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机车车辆保险条款</w:t>
            </w:r>
          </w:p>
          <w:p w14:paraId="7D357879">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地震、海啸条款（限额：总保险金额的100%</w:t>
            </w:r>
            <w:r>
              <w:rPr>
                <w:rFonts w:hint="eastAsia" w:ascii="宋体" w:hAnsi="宋体" w:eastAsia="宋体" w:cs="宋体"/>
                <w:color w:val="auto"/>
                <w:kern w:val="0"/>
                <w:sz w:val="21"/>
                <w:szCs w:val="21"/>
                <w:highlight w:val="none"/>
              </w:rPr>
              <w:t>；每次事故免赔：损失金额的</w:t>
            </w:r>
            <w:r>
              <w:rPr>
                <w:rFonts w:ascii="宋体" w:hAnsi="宋体" w:eastAsia="宋体" w:cs="宋体"/>
                <w:color w:val="auto"/>
                <w:kern w:val="0"/>
                <w:sz w:val="21"/>
                <w:szCs w:val="21"/>
                <w:highlight w:val="none"/>
              </w:rPr>
              <w:t>3%）</w:t>
            </w:r>
          </w:p>
          <w:p w14:paraId="7ACF1D1E">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内陆运输条款（限额：每次事故RMB 3,000</w:t>
            </w:r>
            <w:r>
              <w:rPr>
                <w:rFonts w:hint="eastAsia" w:ascii="宋体" w:hAnsi="宋体" w:eastAsia="宋体" w:cs="宋体"/>
                <w:color w:val="auto"/>
                <w:kern w:val="0"/>
                <w:sz w:val="21"/>
                <w:szCs w:val="21"/>
                <w:highlight w:val="none"/>
              </w:rPr>
              <w:t>万</w:t>
            </w:r>
            <w:r>
              <w:rPr>
                <w:rFonts w:ascii="宋体" w:hAnsi="宋体" w:eastAsia="宋体" w:cs="宋体"/>
                <w:color w:val="auto"/>
                <w:kern w:val="0"/>
                <w:sz w:val="21"/>
                <w:szCs w:val="21"/>
                <w:highlight w:val="none"/>
              </w:rPr>
              <w:t>元）</w:t>
            </w:r>
          </w:p>
          <w:p w14:paraId="340C2F32">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资产增加条款</w:t>
            </w:r>
          </w:p>
          <w:p w14:paraId="05B4DAD8">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重新安装条款（每次事故及年累计赔偿限额：保险金额的35%）</w:t>
            </w:r>
          </w:p>
          <w:p w14:paraId="608365BC">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露堆财产保险条款</w:t>
            </w:r>
          </w:p>
          <w:p w14:paraId="2F5D78EC">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成对成套项目赔偿条款</w:t>
            </w:r>
          </w:p>
          <w:p w14:paraId="4C19C71E">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恶意破坏条款</w:t>
            </w:r>
          </w:p>
          <w:p w14:paraId="747B1458">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清除污染费用扩展条款（限额：明细表所属项保险金额的40%）</w:t>
            </w:r>
          </w:p>
          <w:p w14:paraId="4D97D8D2">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车辆试车条款</w:t>
            </w:r>
          </w:p>
          <w:p w14:paraId="698837EE">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重大过失扩展条款</w:t>
            </w:r>
          </w:p>
          <w:p w14:paraId="5984BB48">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陆地运动条款</w:t>
            </w:r>
          </w:p>
          <w:p w14:paraId="6BDE52F4">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洪水条款</w:t>
            </w:r>
          </w:p>
          <w:p w14:paraId="0E12A74D">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公共设施条款</w:t>
            </w:r>
          </w:p>
          <w:p w14:paraId="06224CFF">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盗窃险条款</w:t>
            </w:r>
          </w:p>
          <w:p w14:paraId="000A4D6B">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自动喷淋损失条款</w:t>
            </w:r>
          </w:p>
          <w:p w14:paraId="6E7382A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广告霓虹灯扩展条款</w:t>
            </w:r>
          </w:p>
          <w:p w14:paraId="5850D95A">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车辆跨线调配条款</w:t>
            </w:r>
          </w:p>
          <w:p w14:paraId="444D585C">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自动承保条款</w:t>
            </w:r>
          </w:p>
          <w:p w14:paraId="27EEE834">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玻璃破碎扩展条款</w:t>
            </w:r>
          </w:p>
          <w:p w14:paraId="40A0AE8F">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碰撞</w:t>
            </w:r>
            <w:r>
              <w:rPr>
                <w:rFonts w:hint="eastAsia" w:ascii="宋体" w:hAnsi="宋体" w:eastAsia="宋体" w:cs="宋体"/>
                <w:color w:val="auto"/>
                <w:kern w:val="0"/>
                <w:sz w:val="21"/>
                <w:szCs w:val="21"/>
                <w:highlight w:val="none"/>
              </w:rPr>
              <w:t>扩展</w:t>
            </w:r>
            <w:r>
              <w:rPr>
                <w:rFonts w:ascii="宋体" w:hAnsi="宋体" w:eastAsia="宋体" w:cs="宋体"/>
                <w:color w:val="auto"/>
                <w:kern w:val="0"/>
                <w:sz w:val="21"/>
                <w:szCs w:val="21"/>
                <w:highlight w:val="none"/>
              </w:rPr>
              <w:t>条款</w:t>
            </w:r>
          </w:p>
          <w:p w14:paraId="0DC9263C">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财产名义条款</w:t>
            </w:r>
          </w:p>
          <w:p w14:paraId="0C6E0019">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自动保障接管财产条款</w:t>
            </w:r>
          </w:p>
          <w:p w14:paraId="7DDEFED5">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自动承保新地址条款</w:t>
            </w:r>
          </w:p>
          <w:p w14:paraId="6EC0B0B2">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自动延期条款</w:t>
            </w:r>
          </w:p>
          <w:p w14:paraId="2CF7A34B">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扩展变动和修理条款（每次扩建、改建、维修、装修的最高金额：</w:t>
            </w:r>
            <w:r>
              <w:rPr>
                <w:rFonts w:ascii="宋体" w:hAnsi="宋体" w:eastAsia="宋体" w:cs="宋体"/>
                <w:color w:val="auto"/>
                <w:kern w:val="0"/>
                <w:sz w:val="21"/>
                <w:szCs w:val="21"/>
                <w:highlight w:val="none"/>
              </w:rPr>
              <w:t>RMB 3,000</w:t>
            </w:r>
            <w:r>
              <w:rPr>
                <w:rFonts w:hint="eastAsia" w:ascii="宋体" w:hAnsi="宋体" w:eastAsia="宋体" w:cs="宋体"/>
                <w:color w:val="auto"/>
                <w:kern w:val="0"/>
                <w:sz w:val="21"/>
                <w:szCs w:val="21"/>
                <w:highlight w:val="none"/>
              </w:rPr>
              <w:t>万元）</w:t>
            </w:r>
          </w:p>
          <w:p w14:paraId="49BCDF34">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鼠咬及虫蛀条款</w:t>
            </w:r>
          </w:p>
          <w:p w14:paraId="025D976B">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特权准许条款</w:t>
            </w:r>
          </w:p>
          <w:p w14:paraId="4329FC01">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恐怖活动扩展条款（每次事故赔偿限额为</w:t>
            </w:r>
            <w:r>
              <w:rPr>
                <w:rFonts w:ascii="宋体" w:hAnsi="宋体" w:eastAsia="宋体" w:cs="宋体"/>
                <w:color w:val="auto"/>
                <w:kern w:val="0"/>
                <w:sz w:val="21"/>
                <w:szCs w:val="21"/>
                <w:highlight w:val="none"/>
              </w:rPr>
              <w:t>RMB 2</w:t>
            </w:r>
            <w:r>
              <w:rPr>
                <w:rFonts w:hint="eastAsia" w:ascii="宋体" w:hAnsi="宋体" w:eastAsia="宋体" w:cs="宋体"/>
                <w:color w:val="auto"/>
                <w:kern w:val="0"/>
                <w:sz w:val="21"/>
                <w:szCs w:val="21"/>
                <w:highlight w:val="none"/>
              </w:rPr>
              <w:t>亿元，无免赔额）</w:t>
            </w:r>
          </w:p>
          <w:p w14:paraId="529ADA7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关税条款</w:t>
            </w:r>
          </w:p>
          <w:p w14:paraId="4062CC9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第一受益人条款</w:t>
            </w:r>
          </w:p>
          <w:p w14:paraId="39766994">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自燃扩展条款</w:t>
            </w:r>
          </w:p>
          <w:p w14:paraId="3B73AC47">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雇员/委托人物品条款</w:t>
            </w:r>
          </w:p>
          <w:p w14:paraId="49E7EAA0">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“三停”损失保险条款</w:t>
            </w:r>
          </w:p>
          <w:p w14:paraId="09BD4F25">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现金及有价证券扩展条款</w:t>
            </w:r>
          </w:p>
          <w:p w14:paraId="205230D6">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烟熏扩展条款</w:t>
            </w:r>
          </w:p>
          <w:p w14:paraId="7B0304B8">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仓库、库房储存保管条款</w:t>
            </w:r>
          </w:p>
          <w:p w14:paraId="4667129A">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委托加工扩展条款</w:t>
            </w:r>
          </w:p>
          <w:p w14:paraId="16C2CE3E">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免检条款</w:t>
            </w:r>
          </w:p>
          <w:p w14:paraId="7E6CCCCB">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重写记录费用条款</w:t>
            </w:r>
          </w:p>
          <w:p w14:paraId="7DC500A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贵重文件条款</w:t>
            </w:r>
          </w:p>
          <w:p w14:paraId="52928A2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所有其他物品条款</w:t>
            </w:r>
          </w:p>
          <w:p w14:paraId="49499C26">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雇员个人物品扩展条款</w:t>
            </w:r>
            <w:r>
              <w:rPr>
                <w:rFonts w:ascii="宋体" w:hAnsi="宋体" w:eastAsia="宋体" w:cs="宋体"/>
                <w:bCs/>
                <w:color w:val="auto"/>
                <w:kern w:val="0"/>
                <w:sz w:val="21"/>
                <w:szCs w:val="21"/>
                <w:highlight w:val="none"/>
              </w:rPr>
              <w:t>B</w:t>
            </w:r>
          </w:p>
          <w:p w14:paraId="068C3B94">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疏散费用扩展条款</w:t>
            </w:r>
          </w:p>
          <w:p w14:paraId="424F99FA">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改建、保养、修补及装修条款</w:t>
            </w:r>
          </w:p>
          <w:p w14:paraId="7FF4C3F7">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弃权与禁止反言条款</w:t>
            </w:r>
          </w:p>
          <w:p w14:paraId="06CB305C">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液体泄漏、渗漏条款</w:t>
            </w:r>
          </w:p>
          <w:p w14:paraId="280AE09B">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交叉责任条款</w:t>
            </w:r>
          </w:p>
          <w:p w14:paraId="272F9DCF">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索赔费用条款（每次事故赔偿限额：RMB 1,000万元</w:t>
            </w:r>
            <w:r>
              <w:rPr>
                <w:rFonts w:hint="eastAsia" w:ascii="宋体" w:hAnsi="宋体" w:eastAsia="宋体" w:cs="宋体"/>
                <w:color w:val="auto"/>
                <w:kern w:val="0"/>
                <w:sz w:val="21"/>
                <w:szCs w:val="21"/>
                <w:highlight w:val="none"/>
              </w:rPr>
              <w:t>）</w:t>
            </w:r>
          </w:p>
          <w:p w14:paraId="0DD02C5F">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时间调整条款</w:t>
            </w: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 xml:space="preserve">72 </w:t>
            </w:r>
            <w:r>
              <w:rPr>
                <w:rFonts w:hint="eastAsia" w:ascii="宋体" w:hAnsi="宋体" w:eastAsia="宋体" w:cs="宋体"/>
                <w:color w:val="auto"/>
                <w:kern w:val="0"/>
                <w:sz w:val="21"/>
                <w:szCs w:val="21"/>
                <w:highlight w:val="none"/>
              </w:rPr>
              <w:t>小时）</w:t>
            </w:r>
          </w:p>
          <w:p w14:paraId="0DE176A0">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共同被保险人条款</w:t>
            </w:r>
          </w:p>
          <w:p w14:paraId="480200EE">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测试、重新测试、试验条款</w:t>
            </w:r>
          </w:p>
          <w:p w14:paraId="1638AAC5">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调查费用扩展条款（限额：每次事故RMB 50</w:t>
            </w:r>
            <w:r>
              <w:rPr>
                <w:rFonts w:hint="eastAsia" w:ascii="宋体" w:hAnsi="宋体" w:eastAsia="宋体" w:cs="宋体"/>
                <w:color w:val="auto"/>
                <w:kern w:val="0"/>
                <w:sz w:val="21"/>
                <w:szCs w:val="21"/>
                <w:highlight w:val="none"/>
              </w:rPr>
              <w:t>万</w:t>
            </w:r>
            <w:r>
              <w:rPr>
                <w:rFonts w:ascii="宋体" w:hAnsi="宋体" w:eastAsia="宋体" w:cs="宋体"/>
                <w:color w:val="auto"/>
                <w:kern w:val="0"/>
                <w:sz w:val="21"/>
                <w:szCs w:val="21"/>
                <w:highlight w:val="none"/>
              </w:rPr>
              <w:t>元）</w:t>
            </w:r>
          </w:p>
          <w:p w14:paraId="6019319D">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附加租金条款</w:t>
            </w:r>
          </w:p>
          <w:p w14:paraId="39656C6D">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“污闪”损失扩展条款</w:t>
            </w:r>
          </w:p>
          <w:p w14:paraId="0C726FF6">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车辆装载物扩展条款</w:t>
            </w:r>
          </w:p>
          <w:p w14:paraId="5C78161B">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合同价格扩展条款</w:t>
            </w:r>
          </w:p>
          <w:p w14:paraId="1B38B795">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原供应商优先条款</w:t>
            </w:r>
          </w:p>
          <w:p w14:paraId="006EF2D6">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建筑物未受损部分额外费用扩展条款</w:t>
            </w:r>
          </w:p>
          <w:p w14:paraId="036D3388">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媒介物扩展条款</w:t>
            </w:r>
          </w:p>
          <w:p w14:paraId="5111DAD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清理排水道费用条款</w:t>
            </w:r>
          </w:p>
          <w:p w14:paraId="522A431D">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烟损条款</w:t>
            </w:r>
          </w:p>
          <w:p w14:paraId="2990DA9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水箱、水管爆裂扩展条款</w:t>
            </w:r>
          </w:p>
          <w:p w14:paraId="39F66A02">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复制费用扩展条款</w:t>
            </w:r>
          </w:p>
          <w:p w14:paraId="054DABD3">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重大过失条款</w:t>
            </w:r>
          </w:p>
          <w:p w14:paraId="1F652CDB">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供应中断扩展条款</w:t>
            </w:r>
            <w:r>
              <w:rPr>
                <w:rFonts w:ascii="宋体" w:hAnsi="宋体" w:eastAsia="宋体" w:cs="宋体"/>
                <w:color w:val="auto"/>
                <w:kern w:val="0"/>
                <w:sz w:val="21"/>
                <w:szCs w:val="21"/>
                <w:highlight w:val="none"/>
              </w:rPr>
              <w:t>D</w:t>
            </w:r>
          </w:p>
          <w:p w14:paraId="1DF1D4C1">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供水、供气管道破裂损失险条款</w:t>
            </w:r>
          </w:p>
          <w:p w14:paraId="6823F7C1">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特种设备及不需注册车辆条款</w:t>
            </w:r>
          </w:p>
          <w:p w14:paraId="2B70FDF9">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地域调整特别条款</w:t>
            </w:r>
          </w:p>
          <w:p w14:paraId="60230ABE">
            <w:pPr>
              <w:widowControl/>
              <w:numPr>
                <w:ilvl w:val="0"/>
                <w:numId w:val="3"/>
              </w:numPr>
              <w:adjustRightInd/>
              <w:spacing w:line="360" w:lineRule="auto"/>
              <w:ind w:left="454" w:hanging="454"/>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建筑物外部附属设施扩展条款</w:t>
            </w:r>
          </w:p>
          <w:p w14:paraId="3C909D71">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动物侵袭扩展条款</w:t>
            </w:r>
          </w:p>
          <w:p w14:paraId="4404076F">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铲除、清除积雪或积冰扩展条款</w:t>
            </w:r>
          </w:p>
          <w:p w14:paraId="4EB3B4DE">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建筑物盗窃损失条款</w:t>
            </w:r>
          </w:p>
          <w:p w14:paraId="49F00D71">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地下电缆条款</w:t>
            </w:r>
          </w:p>
          <w:p w14:paraId="7E642A2C">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非营业时间扩展条款（每次事故赔偿限额：</w:t>
            </w:r>
            <w:r>
              <w:rPr>
                <w:rFonts w:ascii="宋体" w:hAnsi="宋体" w:eastAsia="宋体" w:cs="宋体"/>
                <w:color w:val="auto"/>
                <w:kern w:val="0"/>
                <w:sz w:val="21"/>
                <w:szCs w:val="21"/>
                <w:highlight w:val="none"/>
              </w:rPr>
              <w:t>RMB 200万元，其中每个站点 RMB 20万元）</w:t>
            </w:r>
          </w:p>
          <w:p w14:paraId="3FCC44FC">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重新启动机器设备费用条款（每次事故赔偿限额：</w:t>
            </w:r>
            <w:r>
              <w:rPr>
                <w:rFonts w:ascii="宋体" w:hAnsi="宋体" w:eastAsia="宋体" w:cs="宋体"/>
                <w:color w:val="auto"/>
                <w:kern w:val="0"/>
                <w:sz w:val="21"/>
                <w:szCs w:val="21"/>
                <w:highlight w:val="none"/>
              </w:rPr>
              <w:t>RMB 1,000万元）</w:t>
            </w:r>
          </w:p>
          <w:p w14:paraId="657E656B">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检修扩展条款</w:t>
            </w:r>
          </w:p>
          <w:p w14:paraId="64CAC601">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未入账财产条款</w:t>
            </w:r>
          </w:p>
          <w:p w14:paraId="779112ED">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索赔单据条款</w:t>
            </w:r>
          </w:p>
          <w:p w14:paraId="0DC2A017">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阻止损失条款</w:t>
            </w:r>
          </w:p>
          <w:p w14:paraId="6D4A6EE1">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动物条款</w:t>
            </w:r>
          </w:p>
          <w:p w14:paraId="0A4DC69A">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渐变原因扩展条款</w:t>
            </w:r>
          </w:p>
          <w:p w14:paraId="12069CFB">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导线“舞动”损失条款</w:t>
            </w:r>
          </w:p>
          <w:p w14:paraId="1A6E2FC5">
            <w:pPr>
              <w:widowControl w:val="0"/>
              <w:numPr>
                <w:ilvl w:val="0"/>
                <w:numId w:val="3"/>
              </w:numPr>
              <w:adjustRightInd/>
              <w:spacing w:line="360" w:lineRule="auto"/>
              <w:ind w:left="454" w:hanging="454"/>
              <w:jc w:val="both"/>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追查及通路条款</w:t>
            </w:r>
          </w:p>
        </w:tc>
      </w:tr>
      <w:tr w14:paraId="4CAC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38" w:type="dxa"/>
            <w:vAlign w:val="center"/>
          </w:tcPr>
          <w:p w14:paraId="211D1702">
            <w:pPr>
              <w:widowControl/>
              <w:adjustRightInd/>
              <w:spacing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特别约定</w:t>
            </w:r>
          </w:p>
        </w:tc>
        <w:tc>
          <w:tcPr>
            <w:tcW w:w="7566" w:type="dxa"/>
            <w:vAlign w:val="center"/>
          </w:tcPr>
          <w:p w14:paraId="51BC7AB5">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经保险双方协商一致同意订立下列特别约定，下列特别约定如与基本条款冲突，以下列特别约定为准。</w:t>
            </w:r>
          </w:p>
          <w:p w14:paraId="755E91F7">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1、关于被保险财产的说明：</w:t>
            </w:r>
          </w:p>
          <w:p w14:paraId="5550CF88">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本保单下财产包括：</w:t>
            </w:r>
          </w:p>
          <w:p w14:paraId="0D8B0EE2">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1）被保险人已办理产权。</w:t>
            </w:r>
          </w:p>
          <w:p w14:paraId="5372A2AE">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2）以被保险人名义建成但尚未办理产权。</w:t>
            </w:r>
          </w:p>
          <w:p w14:paraId="1316D619">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3）产权虽不属于被保险人但实质由被保险人使用的财产（包括但不限于融资租赁财产）。</w:t>
            </w:r>
          </w:p>
          <w:p w14:paraId="71BF0341">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并且，保险人同意承保以下财产：</w:t>
            </w:r>
          </w:p>
          <w:p w14:paraId="785EFCDB">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A．便携式通讯装置、便携式计算机设备、便携式照相摄像器材以及其他便携式装置、设备，但对于上述装置、设备，保险人仅负责上述财产在保单明细表列明的保险地点所发生的保险责任范围内的损失。</w:t>
            </w:r>
          </w:p>
          <w:p w14:paraId="450C161A">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B．</w:t>
            </w:r>
            <w:r>
              <w:rPr>
                <w:rFonts w:hint="eastAsia" w:ascii="宋体" w:hAnsi="宋体" w:eastAsia="宋体" w:cs="宋体"/>
                <w:color w:val="auto"/>
                <w:kern w:val="0"/>
                <w:sz w:val="21"/>
                <w:szCs w:val="21"/>
                <w:highlight w:val="none"/>
              </w:rPr>
              <w:t>除领取公共行驶执照在公路行驶的机动车辆外，被保险人用于自身生产经营需要的车辆（包括但不限于清扫车、登高车、电瓶车等）。</w:t>
            </w:r>
          </w:p>
          <w:p w14:paraId="0318FF11">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C．已经包含在保险金额内的铁路、道路、涵洞、隧道、桥梁等相关财产。</w:t>
            </w:r>
          </w:p>
          <w:p w14:paraId="02BC5B8E">
            <w:pPr>
              <w:widowControl/>
              <w:adjustRightInd/>
              <w:spacing w:line="360" w:lineRule="auto"/>
              <w:jc w:val="left"/>
              <w:rPr>
                <w:rFonts w:ascii="宋体" w:hAnsi="宋体" w:eastAsia="宋体" w:cs="宋体"/>
                <w:color w:val="auto"/>
                <w:kern w:val="0"/>
                <w:sz w:val="21"/>
                <w:szCs w:val="21"/>
                <w:highlight w:val="none"/>
              </w:rPr>
            </w:pPr>
            <w:bookmarkStart w:id="119" w:name="_Hlk66194626"/>
            <w:r>
              <w:rPr>
                <w:rFonts w:ascii="宋体" w:hAnsi="宋体" w:eastAsia="宋体" w:cs="宋体"/>
                <w:color w:val="auto"/>
                <w:kern w:val="0"/>
                <w:sz w:val="21"/>
                <w:szCs w:val="21"/>
                <w:highlight w:val="none"/>
              </w:rPr>
              <w:t>2、删除基本条款第三条的第（五）款“尚未交付使用或验收的工程”。</w:t>
            </w:r>
          </w:p>
          <w:bookmarkEnd w:id="119"/>
          <w:p w14:paraId="0F118673">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被保险财产的保险金额按照投保时的各被保险财产项目项下的所有财产的总重置价值确定，各类被保险财产项目的保险金额确定方式仅适用于各类被保险财产的总体保额确定，而不适用于各类被保险财产项下的单件财产保额确定。保险人同意被保险人对各被保险财产项目的重置价值的确定，并认可在整个保险期限内为足额投保；被保险财产出险时，保险人承诺不予以比例赔付。</w:t>
            </w:r>
            <w:r>
              <w:rPr>
                <w:rFonts w:hint="eastAsia" w:ascii="宋体" w:hAnsi="宋体" w:eastAsia="宋体" w:cs="宋体"/>
                <w:color w:val="auto"/>
                <w:kern w:val="0"/>
                <w:sz w:val="21"/>
                <w:szCs w:val="21"/>
                <w:highlight w:val="none"/>
              </w:rPr>
              <w:t>当重置价值低于保险金额时，以采购价格为依据进行赔付。</w:t>
            </w:r>
          </w:p>
          <w:p w14:paraId="7965E1CA">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4、如果在</w:t>
            </w:r>
            <w:r>
              <w:rPr>
                <w:rFonts w:hint="eastAsia" w:ascii="宋体" w:hAnsi="宋体" w:eastAsia="宋体" w:cs="宋体"/>
                <w:color w:val="auto"/>
                <w:kern w:val="0"/>
                <w:sz w:val="21"/>
                <w:szCs w:val="21"/>
                <w:highlight w:val="none"/>
              </w:rPr>
              <w:t>绍兴市轨道交通</w:t>
            </w:r>
            <w:r>
              <w:rPr>
                <w:rFonts w:ascii="宋体" w:hAnsi="宋体" w:eastAsia="宋体" w:cs="宋体"/>
                <w:color w:val="auto"/>
                <w:kern w:val="0"/>
                <w:sz w:val="21"/>
                <w:szCs w:val="21"/>
                <w:highlight w:val="none"/>
              </w:rPr>
              <w:t>2号线一期运营期间发生保险事故，可由被保险人及其代表自行拍照、取证，及时抢修，同时保留有关的实物证据。被保险人应在恢复运营后第一时间内通知保险人，进行报案。</w:t>
            </w:r>
          </w:p>
          <w:p w14:paraId="0F4D2996">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5</w:t>
            </w:r>
            <w:r>
              <w:rPr>
                <w:rFonts w:hint="eastAsia" w:ascii="宋体" w:hAnsi="宋体" w:eastAsia="宋体" w:cs="宋体"/>
                <w:caps/>
                <w:smallCaps w:val="0"/>
                <w:color w:val="auto"/>
                <w:kern w:val="0"/>
                <w:sz w:val="21"/>
                <w:szCs w:val="21"/>
                <w:highlight w:val="none"/>
              </w:rPr>
              <w:t>、基本条款第二十二条的措辞调整为：</w:t>
            </w:r>
          </w:p>
          <w:p w14:paraId="36DCA207">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“保险标的转让的，被保险人或者受让人应当及时通知保险人。一旦发生保险事故，保险人不得以投保人未及时履行通知义务为由，而拒绝或减轻承担赔偿责任。”</w:t>
            </w:r>
          </w:p>
          <w:p w14:paraId="28C9AECF">
            <w:pPr>
              <w:widowControl w:val="0"/>
              <w:numPr>
                <w:ilvl w:val="0"/>
                <w:numId w:val="4"/>
              </w:numPr>
              <w:adjustRightInd/>
              <w:spacing w:line="360" w:lineRule="auto"/>
              <w:ind w:left="482" w:hanging="482"/>
              <w:jc w:val="both"/>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基本条款第二十三条的措辞调整为：</w:t>
            </w:r>
          </w:p>
          <w:p w14:paraId="393830D5">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在本合同有效期内，如保险标的占用与使用性质、保险标的地址及其他可能导致保险标的危险程度显著增加的、或其他足以影响保险人决定是否继续承保或是否增加保险费的保险合同重要事项变更，被保险人应及时书面通知保险人。一旦发生保险事故，保险人不得以投保人未及时履行通知义务为由，而拒绝或减轻承担赔偿责任。”</w:t>
            </w:r>
          </w:p>
          <w:p w14:paraId="4E3A2451">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7</w:t>
            </w:r>
            <w:r>
              <w:rPr>
                <w:rFonts w:hint="eastAsia" w:ascii="宋体" w:hAnsi="宋体" w:eastAsia="宋体" w:cs="宋体"/>
                <w:caps/>
                <w:smallCaps w:val="0"/>
                <w:color w:val="auto"/>
                <w:kern w:val="0"/>
                <w:sz w:val="21"/>
                <w:szCs w:val="21"/>
                <w:highlight w:val="none"/>
              </w:rPr>
              <w:t>、基本条款第二十四条的措辞调整为：</w:t>
            </w:r>
          </w:p>
          <w:p w14:paraId="4E906B00">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“知道保险事故发生后，被保险人应该：</w:t>
            </w:r>
          </w:p>
          <w:p w14:paraId="3D26D199">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（一）尽力采取必要的措施，防止或减少损失；</w:t>
            </w:r>
          </w:p>
          <w:p w14:paraId="655B9006">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二）及时通知保险人，并书面说明事故发生的原因、经过和损失情况；故意或者因重大过失未及时通知，致使保险事故的性质、原因、损失程度等难以确定的，保险人对无法确定的部分，不承担赔偿责任，但保险人通过其他途径已经及时知道或者应当及时知道保险事故发生的除外；</w:t>
            </w:r>
          </w:p>
          <w:p w14:paraId="139191D8">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（三）在保险人的代表或检验师进行勘查之前，保留事故现场及有关实物证据。”</w:t>
            </w:r>
          </w:p>
          <w:p w14:paraId="6689E402">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8</w:t>
            </w:r>
            <w:r>
              <w:rPr>
                <w:rFonts w:hint="eastAsia" w:ascii="宋体" w:hAnsi="宋体" w:eastAsia="宋体" w:cs="宋体"/>
                <w:caps/>
                <w:smallCaps w:val="0"/>
                <w:color w:val="auto"/>
                <w:kern w:val="0"/>
                <w:sz w:val="21"/>
                <w:szCs w:val="21"/>
                <w:highlight w:val="none"/>
              </w:rPr>
              <w:t>、基本条款第二十五条的措辞调整为：</w:t>
            </w:r>
          </w:p>
          <w:p w14:paraId="1B974FAA">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“被保险人请求赔偿时，应根据保险人的要求提供其所能提供的与确认保险事故的性质、原因、损失程度等有关的证明和资料。</w:t>
            </w:r>
          </w:p>
          <w:p w14:paraId="28D018DC">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9、基本条款第二十九条的措辞调整为：</w:t>
            </w:r>
          </w:p>
          <w:p w14:paraId="770152A4">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“保险标的发生保险责任范围内的损失，保险人按以下方式计算赔偿：</w:t>
            </w:r>
          </w:p>
          <w:p w14:paraId="544606BA">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（一）保险金额等于或高于保险价值时，按实际损失计算赔偿，最高不超过保险价值；</w:t>
            </w:r>
          </w:p>
          <w:p w14:paraId="18C6C726">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（二）保险金额低于保险价值时，按实际损失计算赔偿，最高不超过保险价值；但可自动调整保险金额至等同保险价值，并追收附加保费；</w:t>
            </w:r>
          </w:p>
          <w:p w14:paraId="78E0770C">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（三）若本保险合同所列标的不止一项时，应分项按照本条约定处理。”</w:t>
            </w:r>
          </w:p>
          <w:p w14:paraId="777B3337">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10、基本条款第三十条的措辞调整为：</w:t>
            </w:r>
          </w:p>
          <w:p w14:paraId="0B99975D">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“保险事故发生后，被保险人为防止或者减少保险标的的损失所支付的必要的、合理的费用，由保险人承担；保险人所承担的费用数额在保险标的损失赔偿金额以外另行计算，最高不超过保险金额的数额。”</w:t>
            </w:r>
          </w:p>
          <w:p w14:paraId="561B1BCC">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11</w:t>
            </w:r>
            <w:r>
              <w:rPr>
                <w:rFonts w:hint="eastAsia" w:ascii="宋体" w:hAnsi="宋体" w:eastAsia="宋体" w:cs="宋体"/>
                <w:caps/>
                <w:smallCaps w:val="0"/>
                <w:color w:val="auto"/>
                <w:kern w:val="0"/>
                <w:sz w:val="21"/>
                <w:szCs w:val="21"/>
                <w:highlight w:val="none"/>
              </w:rPr>
              <w:t>、本保险单中关于日比例费率的定义如下：</w:t>
            </w:r>
          </w:p>
          <w:p w14:paraId="7727515B">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日比例费率＝保险费÷保险金额÷保险期限规定的承保天数</w:t>
            </w:r>
          </w:p>
          <w:p w14:paraId="5921F745">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12</w:t>
            </w:r>
            <w:r>
              <w:rPr>
                <w:rFonts w:hint="eastAsia" w:ascii="宋体" w:hAnsi="宋体" w:eastAsia="宋体" w:cs="宋体"/>
                <w:caps/>
                <w:smallCaps w:val="0"/>
                <w:color w:val="auto"/>
                <w:kern w:val="0"/>
                <w:sz w:val="21"/>
                <w:szCs w:val="21"/>
                <w:highlight w:val="none"/>
              </w:rPr>
              <w:t>、保险人同意赔偿被保险人财产</w:t>
            </w:r>
            <w:r>
              <w:rPr>
                <w:rFonts w:ascii="宋体" w:hAnsi="宋体" w:eastAsia="宋体" w:cs="宋体"/>
                <w:caps/>
                <w:smallCaps w:val="0"/>
                <w:color w:val="auto"/>
                <w:kern w:val="0"/>
                <w:sz w:val="21"/>
                <w:szCs w:val="21"/>
                <w:highlight w:val="none"/>
              </w:rPr>
              <w:t>/场所或租赁、代管财产/场所范围内发生的因地面塌坑塌陷造成的损失以及相关的修复费用。</w:t>
            </w:r>
          </w:p>
          <w:p w14:paraId="03AF876C">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13</w:t>
            </w:r>
            <w:r>
              <w:rPr>
                <w:rFonts w:hint="eastAsia" w:ascii="宋体" w:hAnsi="宋体" w:eastAsia="宋体" w:cs="宋体"/>
                <w:caps/>
                <w:smallCaps w:val="0"/>
                <w:color w:val="auto"/>
                <w:kern w:val="0"/>
                <w:sz w:val="21"/>
                <w:szCs w:val="21"/>
                <w:highlight w:val="none"/>
              </w:rPr>
              <w:t>、兹经双方同意并约定，本保险单中关于“故意行为”、“重大过失”、的定义如下：</w:t>
            </w:r>
          </w:p>
          <w:p w14:paraId="05BEEA15">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“故意行为”是指任何人在有完全认知的、有意向的、有目的的、有支配其行为能力的或故意的情况下作出的行为；</w:t>
            </w:r>
          </w:p>
          <w:p w14:paraId="02B40973">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“重大过失”是指故意并且极端地违背了通常、合理的行为准则的行为。“重大过失”不包括任何无心的错误、遗漏与疏忽。</w:t>
            </w:r>
          </w:p>
          <w:p w14:paraId="41254370">
            <w:pPr>
              <w:widowControl w:val="0"/>
              <w:numPr>
                <w:ilvl w:val="0"/>
                <w:numId w:val="5"/>
              </w:numPr>
              <w:adjustRightInd/>
              <w:spacing w:line="360" w:lineRule="auto"/>
              <w:jc w:val="both"/>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兹经双方同意并约定，保险标的发生保险责任范围内的损失，被保险人有权选择下列方式赔偿：实物赔偿：保险人以实物替换受损标的，该实物应具有保险标的出险前同等的类型、结构、状态和性能。</w:t>
            </w:r>
          </w:p>
          <w:p w14:paraId="288DD7CC">
            <w:pPr>
              <w:widowControl w:val="0"/>
              <w:numPr>
                <w:ilvl w:val="0"/>
                <w:numId w:val="5"/>
              </w:numPr>
              <w:adjustRightInd/>
              <w:spacing w:line="360" w:lineRule="auto"/>
              <w:jc w:val="both"/>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无论本保险单中其他条款如何规定，本保险单为第一保险单。对于责任归属不明确的事故，保险人同意在处理本保险项目赔案时不论被保险人是否存在相关的其他保险单，本保险单对无法界定的损失项目首先承担完全赔偿责任。</w:t>
            </w:r>
          </w:p>
          <w:p w14:paraId="4BF82342">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如果发生保险责任范围内的损失，应由有关责任方负责赔偿的，保险人同意先按照定损金额向被保险人赔偿保险金，然后在赔偿金额范围内代位行使被保险人对有关责任方请求赔偿的权利。</w:t>
            </w:r>
          </w:p>
          <w:p w14:paraId="6F14D056">
            <w:pPr>
              <w:overflowPunct w:val="0"/>
              <w:autoSpaceDE w:val="0"/>
              <w:autoSpaceDN w:val="0"/>
              <w:adjustRightInd w:val="0"/>
              <w:spacing w:before="120" w:after="0" w:line="360" w:lineRule="auto"/>
              <w:ind w:left="0"/>
              <w:textAlignment w:val="baseline"/>
              <w:rPr>
                <w:rFonts w:ascii="宋体" w:hAnsi="宋体" w:eastAsia="宋体" w:cs="Times New Roman"/>
                <w:color w:val="auto"/>
                <w:sz w:val="21"/>
                <w:szCs w:val="21"/>
                <w:highlight w:val="none"/>
                <w:lang w:val="en-US" w:eastAsia="zh-CN" w:bidi="ar-SA"/>
              </w:rPr>
            </w:pPr>
            <w:bookmarkStart w:id="120" w:name="_Hlk66195500"/>
            <w:r>
              <w:rPr>
                <w:rFonts w:hint="eastAsia" w:ascii="宋体" w:hAnsi="宋体" w:eastAsia="宋体" w:cs="Times New Roman"/>
                <w:color w:val="auto"/>
                <w:sz w:val="21"/>
                <w:szCs w:val="21"/>
                <w:highlight w:val="none"/>
                <w:lang w:val="en-US" w:eastAsia="zh-CN" w:bidi="ar-SA"/>
              </w:rPr>
              <w:t>16、关于资产证明：以《</w:t>
            </w:r>
            <w:r>
              <w:rPr>
                <w:rFonts w:ascii="宋体" w:hAnsi="宋体" w:eastAsia="宋体" w:cs="Times New Roman"/>
                <w:color w:val="auto"/>
                <w:sz w:val="21"/>
                <w:szCs w:val="21"/>
                <w:highlight w:val="none"/>
                <w:lang w:val="en-US" w:eastAsia="zh-CN" w:bidi="ar-SA"/>
              </w:rPr>
              <w:t>财产一切险附加机器损坏险、现金险投保</w:t>
            </w:r>
            <w:r>
              <w:rPr>
                <w:rFonts w:hint="eastAsia" w:ascii="宋体" w:hAnsi="宋体" w:eastAsia="宋体" w:cs="Times New Roman"/>
                <w:color w:val="auto"/>
                <w:sz w:val="21"/>
                <w:szCs w:val="21"/>
                <w:highlight w:val="none"/>
                <w:lang w:val="en-US" w:eastAsia="zh-CN" w:bidi="ar-SA"/>
              </w:rPr>
              <w:t>明细表》为准，投保时需提供资产负债表，实际理赔时按投保时提供的凭证为准。</w:t>
            </w:r>
          </w:p>
          <w:p w14:paraId="2E4E3C86">
            <w:pPr>
              <w:overflowPunct w:val="0"/>
              <w:autoSpaceDE w:val="0"/>
              <w:autoSpaceDN w:val="0"/>
              <w:adjustRightInd w:val="0"/>
              <w:spacing w:before="120" w:after="0" w:line="360" w:lineRule="auto"/>
              <w:ind w:left="0"/>
              <w:textAlignment w:val="baseline"/>
              <w:rPr>
                <w:rFonts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17、按照被保险人的要求，保险人将本保险合同项下的赔款优先支付给绍兴市轨道交通集团有限公司及其分公司。如本保险单承保的被保险标的中的租赁资产/租赁物因本保险单承保风险导致损失，保险人同意将相应的出租人作为上述租赁资产/租赁物的第一赔款受益人，并由绍兴市轨道交通集团有限公司及其分公司进行赔款分配。</w:t>
            </w:r>
          </w:p>
          <w:bookmarkEnd w:id="120"/>
          <w:p w14:paraId="2A84C07C">
            <w:pPr>
              <w:widowControl/>
              <w:adjustRightInd/>
              <w:spacing w:line="360" w:lineRule="auto"/>
              <w:jc w:val="left"/>
              <w:rPr>
                <w:rFonts w:ascii="宋体" w:hAnsi="宋体" w:eastAsia="宋体" w:cs="宋体"/>
                <w:color w:val="auto"/>
                <w:kern w:val="0"/>
                <w:sz w:val="21"/>
                <w:szCs w:val="21"/>
                <w:highlight w:val="none"/>
              </w:rPr>
            </w:pPr>
            <w:bookmarkStart w:id="121" w:name="_Hlk66195546"/>
            <w:r>
              <w:rPr>
                <w:rFonts w:hint="eastAsia" w:ascii="宋体" w:hAnsi="宋体" w:eastAsia="宋体" w:cs="宋体"/>
                <w:color w:val="auto"/>
                <w:kern w:val="0"/>
                <w:sz w:val="21"/>
                <w:szCs w:val="21"/>
                <w:highlight w:val="none"/>
              </w:rPr>
              <w:t>本保单下的设施、设备以及涉及第三者安全的相关资产（含各类型玻璃）发生损失后，被保险人有权指定该损失标的现有的服务商作为损失核定、修复更换的唯一机构并认可其报价；相关工时费标准可以参照服务商与被保险人的相关合同。</w:t>
            </w:r>
            <w:bookmarkEnd w:id="121"/>
            <w:r>
              <w:rPr>
                <w:rFonts w:hint="eastAsia" w:ascii="宋体" w:hAnsi="宋体" w:eastAsia="宋体" w:cs="宋体"/>
                <w:color w:val="auto"/>
                <w:kern w:val="0"/>
                <w:sz w:val="21"/>
                <w:szCs w:val="21"/>
                <w:highlight w:val="none"/>
              </w:rPr>
              <w:t>保险设备发生部分损失需要修复，该设备原则上应送原供应厂家修理，修复后应恢复到该设备的原有性能状态（进口设备如果外商同意在国内修复，则可以在国内找厂家修理），受损金额按修理厂家最终报价确定。</w:t>
            </w:r>
          </w:p>
          <w:p w14:paraId="519F50F3">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18、针对财产一切险及机器损坏险，如果在绍兴市轨道交通2号线一期运营期间发生保险事故，对于损失确认在RMB 5万元之内的，</w:t>
            </w:r>
            <w:r>
              <w:rPr>
                <w:rFonts w:hint="eastAsia" w:ascii="宋体" w:hAnsi="宋体" w:eastAsia="宋体" w:cs="宋体"/>
                <w:caps/>
                <w:smallCaps w:val="0"/>
                <w:color w:val="auto"/>
                <w:kern w:val="0"/>
                <w:sz w:val="21"/>
                <w:szCs w:val="21"/>
                <w:highlight w:val="none"/>
              </w:rPr>
              <w:t>请第一时间拨打保险人报案电话，待与保险人理赔员电话联系后，双方共同认可属于保险责任无争议的，保险人同意绍兴市轨道交通集团有限公司及其分公司直接抢修，并自行拍照、取证，无需等待保险人理赔员到场，后续将相应索赔单证存放赔案信封中，由保险人理赔服务人员按照约定的单证收集方式收取。保险人在收到该类赔案资料后，</w:t>
            </w:r>
            <w:r>
              <w:rPr>
                <w:rFonts w:ascii="宋体" w:hAnsi="宋体" w:eastAsia="宋体" w:cs="宋体"/>
                <w:caps/>
                <w:smallCaps w:val="0"/>
                <w:color w:val="auto"/>
                <w:kern w:val="0"/>
                <w:sz w:val="21"/>
                <w:szCs w:val="21"/>
                <w:highlight w:val="none"/>
              </w:rPr>
              <w:t>3个工作日内结案并支付相应赔款。但被保险人应严格控制该类赔案，该类赔案的年累计赔偿限额为RMB 200</w:t>
            </w:r>
            <w:r>
              <w:rPr>
                <w:rFonts w:hint="eastAsia" w:ascii="宋体" w:hAnsi="宋体" w:eastAsia="宋体" w:cs="宋体"/>
                <w:caps/>
                <w:smallCaps w:val="0"/>
                <w:color w:val="auto"/>
                <w:kern w:val="0"/>
                <w:sz w:val="21"/>
                <w:szCs w:val="21"/>
                <w:highlight w:val="none"/>
              </w:rPr>
              <w:t>万元。</w:t>
            </w:r>
          </w:p>
          <w:p w14:paraId="0E6A62E5">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19、</w:t>
            </w:r>
            <w:r>
              <w:rPr>
                <w:rFonts w:hint="eastAsia" w:ascii="宋体" w:hAnsi="宋体" w:eastAsia="宋体" w:cs="宋体"/>
                <w:color w:val="auto"/>
                <w:kern w:val="0"/>
                <w:sz w:val="21"/>
                <w:szCs w:val="21"/>
                <w:highlight w:val="none"/>
              </w:rPr>
              <w:t>保险人同意，被保险人在保险期限内增购的地铁列车或新接收使用的其他财产，属于本保险单保障范围，双方同意按增购地铁列车或新财产投入使用的实际投保天数，按日比例费率计算保险费。</w:t>
            </w:r>
          </w:p>
          <w:p w14:paraId="56B722AC">
            <w:pPr>
              <w:overflowPunct w:val="0"/>
              <w:autoSpaceDE w:val="0"/>
              <w:autoSpaceDN w:val="0"/>
              <w:adjustRightInd w:val="0"/>
              <w:spacing w:before="120" w:after="0" w:line="360" w:lineRule="auto"/>
              <w:ind w:left="0"/>
              <w:textAlignment w:val="baseline"/>
              <w:rPr>
                <w:rFonts w:ascii="宋体" w:hAnsi="宋体" w:eastAsia="宋体" w:cs="Times New Roman"/>
                <w:color w:val="auto"/>
                <w:sz w:val="21"/>
                <w:szCs w:val="21"/>
                <w:highlight w:val="none"/>
                <w:lang w:val="en-US" w:eastAsia="zh-CN" w:bidi="ar-SA"/>
              </w:rPr>
            </w:pPr>
            <w:r>
              <w:rPr>
                <w:rFonts w:hint="eastAsia" w:ascii="宋体" w:hAnsi="宋体" w:eastAsia="宋体" w:cs="Times New Roman"/>
                <w:caps/>
                <w:smallCaps w:val="0"/>
                <w:color w:val="auto"/>
                <w:sz w:val="21"/>
                <w:szCs w:val="21"/>
                <w:highlight w:val="none"/>
                <w:lang w:val="en-US" w:eastAsia="zh-CN" w:bidi="ar-SA"/>
              </w:rPr>
              <w:t>20、兹经双方同意，发生保险事故的索赔过程中，保险人认可被保险人提供的其在重置或维修受损财产后获得发票的票种。</w:t>
            </w:r>
          </w:p>
          <w:p w14:paraId="4DF1161D">
            <w:pPr>
              <w:overflowPunct w:val="0"/>
              <w:autoSpaceDE w:val="0"/>
              <w:autoSpaceDN w:val="0"/>
              <w:adjustRightInd w:val="0"/>
              <w:spacing w:before="120" w:after="0" w:line="360" w:lineRule="auto"/>
              <w:ind w:left="0"/>
              <w:textAlignment w:val="baseline"/>
              <w:rPr>
                <w:rFonts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21、实习驾驶员在未取得地铁机车驾驶证时由于工作需要驾驶地铁机车造成机车损坏的，保险人不得以未取得地铁机车驾驶证为由拒绝赔付，但实习驾驶员在驾驶过程中需有教练陪同。</w:t>
            </w:r>
          </w:p>
          <w:p w14:paraId="322675CE">
            <w:pPr>
              <w:overflowPunct w:val="0"/>
              <w:autoSpaceDE w:val="0"/>
              <w:autoSpaceDN w:val="0"/>
              <w:adjustRightInd w:val="0"/>
              <w:spacing w:before="120" w:after="0" w:line="360" w:lineRule="auto"/>
              <w:ind w:left="0"/>
              <w:textAlignment w:val="baseline"/>
              <w:rPr>
                <w:rFonts w:ascii="宋体" w:hAnsi="宋体" w:eastAsia="宋体" w:cs="Times New Roman"/>
                <w:color w:val="auto"/>
                <w:sz w:val="21"/>
                <w:szCs w:val="21"/>
                <w:highlight w:val="none"/>
                <w:lang w:val="en-US" w:eastAsia="zh-CN" w:bidi="ar-SA"/>
              </w:rPr>
            </w:pPr>
            <w:r>
              <w:rPr>
                <w:rFonts w:hint="eastAsia" w:ascii="宋体" w:hAnsi="宋体" w:eastAsia="宋体" w:cs="Times New Roman"/>
                <w:color w:val="auto"/>
                <w:sz w:val="21"/>
                <w:szCs w:val="21"/>
                <w:highlight w:val="none"/>
                <w:lang w:val="en-US" w:eastAsia="zh-CN" w:bidi="ar-SA"/>
              </w:rPr>
              <w:t>22、财产一切险的投保价值为含设备、运保、安装、调试、技术服务费等在内的一切费用；“机损险”应定义为“设备系统损坏险”，投保金额包含出厂价、运保费、安装、安装材料、调试、开通、技术联络等服务费。</w:t>
            </w:r>
          </w:p>
        </w:tc>
      </w:tr>
    </w:tbl>
    <w:p w14:paraId="3B2A1011">
      <w:pPr>
        <w:spacing w:line="360" w:lineRule="auto"/>
        <w:ind w:firstLine="241"/>
        <w:jc w:val="center"/>
        <w:outlineLvl w:val="2"/>
        <w:rPr>
          <w:b/>
          <w:bCs/>
          <w:color w:val="auto"/>
          <w:szCs w:val="21"/>
          <w:highlight w:val="none"/>
        </w:rPr>
        <w:sectPr>
          <w:headerReference r:id="rId9" w:type="default"/>
          <w:footerReference r:id="rId10" w:type="default"/>
          <w:pgSz w:w="11905" w:h="16838"/>
          <w:pgMar w:top="1417" w:right="1417" w:bottom="1417" w:left="1417" w:header="720" w:footer="720" w:gutter="0"/>
          <w:cols w:space="720" w:num="1"/>
          <w:titlePg/>
          <w:docGrid w:linePitch="286" w:charSpace="0"/>
        </w:sectPr>
      </w:pPr>
    </w:p>
    <w:p w14:paraId="1D78F742">
      <w:pPr>
        <w:widowControl/>
        <w:adjustRightInd/>
        <w:spacing w:before="120" w:beforeLines="50" w:after="120" w:afterLines="50" w:line="580" w:lineRule="exact"/>
        <w:ind w:firstLine="244"/>
        <w:jc w:val="left"/>
        <w:rPr>
          <w:rFonts w:ascii="宋体" w:hAnsi="宋体" w:eastAsia="宋体" w:cs="宋体"/>
          <w:color w:val="auto"/>
          <w:kern w:val="0"/>
          <w:sz w:val="21"/>
          <w:szCs w:val="21"/>
          <w:highlight w:val="none"/>
        </w:rPr>
      </w:pPr>
      <w:bookmarkStart w:id="122" w:name="_Toc15415"/>
      <w:r>
        <w:rPr>
          <w:rFonts w:hint="eastAsia" w:ascii="宋体" w:hAnsi="宋体" w:eastAsia="宋体" w:cs="仿宋"/>
          <w:color w:val="auto"/>
          <w:kern w:val="0"/>
          <w:sz w:val="21"/>
          <w:szCs w:val="21"/>
          <w:highlight w:val="none"/>
        </w:rPr>
        <w:t>附表：“财产一切险”（附加机器损坏险、现金险）资产投保明细表</w:t>
      </w:r>
      <w:bookmarkEnd w:id="122"/>
    </w:p>
    <w:tbl>
      <w:tblPr>
        <w:tblStyle w:val="64"/>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948"/>
        <w:gridCol w:w="2447"/>
        <w:gridCol w:w="2409"/>
        <w:gridCol w:w="1175"/>
      </w:tblGrid>
      <w:tr w14:paraId="141E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176" w:type="dxa"/>
            <w:vAlign w:val="center"/>
          </w:tcPr>
          <w:p w14:paraId="2F81FD6A">
            <w:pPr>
              <w:widowControl/>
              <w:adjustRightInd/>
              <w:jc w:val="center"/>
              <w:textAlignment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1948" w:type="dxa"/>
            <w:vAlign w:val="center"/>
          </w:tcPr>
          <w:p w14:paraId="250F286D">
            <w:pPr>
              <w:widowControl/>
              <w:adjustRightInd/>
              <w:jc w:val="center"/>
              <w:textAlignment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保险标的</w:t>
            </w:r>
          </w:p>
        </w:tc>
        <w:tc>
          <w:tcPr>
            <w:tcW w:w="2447" w:type="dxa"/>
            <w:vAlign w:val="center"/>
          </w:tcPr>
          <w:p w14:paraId="021F0202">
            <w:pPr>
              <w:widowControl/>
              <w:adjustRightInd/>
              <w:jc w:val="center"/>
              <w:textAlignment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“财产一切险”</w:t>
            </w:r>
          </w:p>
          <w:p w14:paraId="65A4315A">
            <w:pPr>
              <w:widowControl/>
              <w:adjustRightInd/>
              <w:jc w:val="center"/>
              <w:textAlignment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金额（万元）</w:t>
            </w:r>
          </w:p>
        </w:tc>
        <w:tc>
          <w:tcPr>
            <w:tcW w:w="2409" w:type="dxa"/>
            <w:vAlign w:val="center"/>
          </w:tcPr>
          <w:p w14:paraId="0B6D152A">
            <w:pPr>
              <w:widowControl/>
              <w:adjustRightInd/>
              <w:jc w:val="center"/>
              <w:textAlignment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附加“机器损坏险”的项目及金额（万元）</w:t>
            </w:r>
          </w:p>
        </w:tc>
        <w:tc>
          <w:tcPr>
            <w:tcW w:w="1175" w:type="dxa"/>
            <w:vAlign w:val="center"/>
          </w:tcPr>
          <w:p w14:paraId="026DB9B2">
            <w:pPr>
              <w:widowControl/>
              <w:adjustRightInd/>
              <w:jc w:val="center"/>
              <w:textAlignment w:val="center"/>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现金险保额（万元）</w:t>
            </w:r>
          </w:p>
        </w:tc>
      </w:tr>
      <w:tr w14:paraId="0E94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2B4354E">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w:t>
            </w:r>
          </w:p>
        </w:tc>
        <w:tc>
          <w:tcPr>
            <w:tcW w:w="1948" w:type="dxa"/>
            <w:tcBorders>
              <w:top w:val="single" w:color="auto" w:sz="4" w:space="0"/>
              <w:left w:val="single" w:color="auto" w:sz="4" w:space="0"/>
              <w:right w:val="single" w:color="auto" w:sz="4" w:space="0"/>
            </w:tcBorders>
            <w:vAlign w:val="center"/>
          </w:tcPr>
          <w:p w14:paraId="704C85A6">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车站</w:t>
            </w:r>
            <w:r>
              <w:rPr>
                <w:rFonts w:ascii="宋体" w:hAnsi="宋体" w:eastAsia="宋体" w:cs="宋体"/>
                <w:color w:val="auto"/>
                <w:kern w:val="0"/>
                <w:sz w:val="21"/>
                <w:szCs w:val="21"/>
                <w:highlight w:val="none"/>
              </w:rPr>
              <w:t>（含联络线）</w:t>
            </w:r>
          </w:p>
        </w:tc>
        <w:tc>
          <w:tcPr>
            <w:tcW w:w="2447" w:type="dxa"/>
            <w:tcBorders>
              <w:top w:val="single" w:color="auto" w:sz="4" w:space="0"/>
              <w:left w:val="single" w:color="auto" w:sz="4" w:space="0"/>
              <w:right w:val="single" w:color="auto" w:sz="4" w:space="0"/>
            </w:tcBorders>
            <w:vAlign w:val="center"/>
          </w:tcPr>
          <w:p w14:paraId="2556CF79">
            <w:pPr>
              <w:widowControl/>
              <w:adjustRightInd/>
              <w:jc w:val="center"/>
              <w:textAlignment w:val="center"/>
              <w:rPr>
                <w:rFonts w:ascii="宋体" w:hAnsi="宋体" w:eastAsia="宋体" w:cs="宋体"/>
                <w:strike/>
                <w:dstrike w:val="0"/>
                <w:color w:val="auto"/>
                <w:kern w:val="0"/>
                <w:sz w:val="21"/>
                <w:szCs w:val="21"/>
                <w:highlight w:val="none"/>
              </w:rPr>
            </w:pPr>
            <w:r>
              <w:rPr>
                <w:rFonts w:ascii="宋体" w:hAnsi="宋体" w:eastAsia="宋体" w:cs="宋体"/>
                <w:color w:val="auto"/>
                <w:kern w:val="0"/>
                <w:sz w:val="21"/>
                <w:szCs w:val="21"/>
                <w:highlight w:val="none"/>
              </w:rPr>
              <w:t>278270.44</w:t>
            </w:r>
          </w:p>
        </w:tc>
        <w:tc>
          <w:tcPr>
            <w:tcW w:w="2409" w:type="dxa"/>
            <w:tcBorders>
              <w:top w:val="single" w:color="auto" w:sz="4" w:space="0"/>
              <w:left w:val="single" w:color="auto" w:sz="4" w:space="0"/>
              <w:right w:val="single" w:color="auto" w:sz="4" w:space="0"/>
            </w:tcBorders>
            <w:vAlign w:val="center"/>
          </w:tcPr>
          <w:p w14:paraId="5E180A35">
            <w:pPr>
              <w:widowControl/>
              <w:adjustRightInd/>
              <w:jc w:val="center"/>
              <w:textAlignment w:val="center"/>
              <w:rPr>
                <w:rFonts w:ascii="宋体" w:hAnsi="宋体" w:eastAsia="宋体" w:cs="宋体"/>
                <w:color w:val="auto"/>
                <w:kern w:val="0"/>
                <w:sz w:val="21"/>
                <w:szCs w:val="21"/>
                <w:highlight w:val="none"/>
              </w:rPr>
            </w:pPr>
          </w:p>
        </w:tc>
        <w:tc>
          <w:tcPr>
            <w:tcW w:w="1175" w:type="dxa"/>
            <w:vAlign w:val="center"/>
          </w:tcPr>
          <w:p w14:paraId="172E7D78">
            <w:pPr>
              <w:widowControl/>
              <w:adjustRightInd/>
              <w:jc w:val="center"/>
              <w:textAlignment w:val="center"/>
              <w:rPr>
                <w:rFonts w:ascii="宋体" w:hAnsi="宋体" w:eastAsia="宋体" w:cs="宋体"/>
                <w:color w:val="auto"/>
                <w:kern w:val="0"/>
                <w:sz w:val="21"/>
                <w:szCs w:val="21"/>
                <w:highlight w:val="none"/>
              </w:rPr>
            </w:pPr>
          </w:p>
        </w:tc>
      </w:tr>
      <w:tr w14:paraId="27FD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1B055DE2">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w:t>
            </w:r>
          </w:p>
        </w:tc>
        <w:tc>
          <w:tcPr>
            <w:tcW w:w="1948" w:type="dxa"/>
            <w:tcBorders>
              <w:top w:val="single" w:color="auto" w:sz="4" w:space="0"/>
              <w:left w:val="single" w:color="auto" w:sz="4" w:space="0"/>
              <w:right w:val="single" w:color="auto" w:sz="4" w:space="0"/>
            </w:tcBorders>
            <w:vAlign w:val="center"/>
          </w:tcPr>
          <w:p w14:paraId="6FBC5291">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区间</w:t>
            </w:r>
          </w:p>
        </w:tc>
        <w:tc>
          <w:tcPr>
            <w:tcW w:w="2447" w:type="dxa"/>
            <w:tcBorders>
              <w:top w:val="single" w:color="auto" w:sz="4" w:space="0"/>
              <w:left w:val="single" w:color="auto" w:sz="4" w:space="0"/>
              <w:right w:val="single" w:color="auto" w:sz="4" w:space="0"/>
            </w:tcBorders>
            <w:vAlign w:val="center"/>
          </w:tcPr>
          <w:p w14:paraId="1C63FD2A">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103593.98</w:t>
            </w:r>
          </w:p>
        </w:tc>
        <w:tc>
          <w:tcPr>
            <w:tcW w:w="2409" w:type="dxa"/>
            <w:tcBorders>
              <w:top w:val="single" w:color="auto" w:sz="4" w:space="0"/>
              <w:left w:val="single" w:color="auto" w:sz="4" w:space="0"/>
              <w:right w:val="single" w:color="auto" w:sz="4" w:space="0"/>
            </w:tcBorders>
            <w:vAlign w:val="center"/>
          </w:tcPr>
          <w:p w14:paraId="76A3CACC">
            <w:pPr>
              <w:widowControl/>
              <w:adjustRightInd/>
              <w:jc w:val="center"/>
              <w:textAlignment w:val="center"/>
              <w:rPr>
                <w:rFonts w:ascii="宋体" w:hAnsi="宋体" w:eastAsia="宋体" w:cs="宋体"/>
                <w:color w:val="auto"/>
                <w:kern w:val="0"/>
                <w:sz w:val="21"/>
                <w:szCs w:val="21"/>
                <w:highlight w:val="none"/>
              </w:rPr>
            </w:pPr>
          </w:p>
        </w:tc>
        <w:tc>
          <w:tcPr>
            <w:tcW w:w="1175" w:type="dxa"/>
            <w:vAlign w:val="center"/>
          </w:tcPr>
          <w:p w14:paraId="236691E8">
            <w:pPr>
              <w:widowControl/>
              <w:adjustRightInd/>
              <w:jc w:val="center"/>
              <w:textAlignment w:val="center"/>
              <w:rPr>
                <w:rFonts w:ascii="宋体" w:hAnsi="宋体" w:eastAsia="宋体" w:cs="宋体"/>
                <w:color w:val="auto"/>
                <w:kern w:val="0"/>
                <w:sz w:val="21"/>
                <w:szCs w:val="21"/>
                <w:highlight w:val="none"/>
              </w:rPr>
            </w:pPr>
          </w:p>
        </w:tc>
      </w:tr>
      <w:tr w14:paraId="314D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4628526F">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w:t>
            </w:r>
          </w:p>
        </w:tc>
        <w:tc>
          <w:tcPr>
            <w:tcW w:w="1948" w:type="dxa"/>
            <w:tcBorders>
              <w:top w:val="single" w:color="auto" w:sz="4" w:space="0"/>
              <w:left w:val="single" w:color="auto" w:sz="4" w:space="0"/>
              <w:right w:val="single" w:color="auto" w:sz="4" w:space="0"/>
            </w:tcBorders>
            <w:vAlign w:val="center"/>
          </w:tcPr>
          <w:p w14:paraId="439CF74A">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轨道</w:t>
            </w:r>
          </w:p>
        </w:tc>
        <w:tc>
          <w:tcPr>
            <w:tcW w:w="2447" w:type="dxa"/>
            <w:tcBorders>
              <w:top w:val="single" w:color="auto" w:sz="4" w:space="0"/>
              <w:left w:val="single" w:color="auto" w:sz="4" w:space="0"/>
              <w:right w:val="single" w:color="auto" w:sz="4" w:space="0"/>
            </w:tcBorders>
            <w:vAlign w:val="center"/>
          </w:tcPr>
          <w:p w14:paraId="45D65835">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19860.36</w:t>
            </w:r>
          </w:p>
        </w:tc>
        <w:tc>
          <w:tcPr>
            <w:tcW w:w="2409" w:type="dxa"/>
            <w:tcBorders>
              <w:top w:val="single" w:color="auto" w:sz="4" w:space="0"/>
              <w:left w:val="single" w:color="auto" w:sz="4" w:space="0"/>
              <w:right w:val="single" w:color="auto" w:sz="4" w:space="0"/>
            </w:tcBorders>
            <w:vAlign w:val="center"/>
          </w:tcPr>
          <w:p w14:paraId="2D7C2D10">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19860.36</w:t>
            </w:r>
          </w:p>
        </w:tc>
        <w:tc>
          <w:tcPr>
            <w:tcW w:w="1175" w:type="dxa"/>
            <w:vAlign w:val="center"/>
          </w:tcPr>
          <w:p w14:paraId="1EC491F2">
            <w:pPr>
              <w:widowControl/>
              <w:adjustRightInd/>
              <w:jc w:val="center"/>
              <w:textAlignment w:val="center"/>
              <w:rPr>
                <w:rFonts w:ascii="宋体" w:hAnsi="宋体" w:eastAsia="宋体" w:cs="宋体"/>
                <w:color w:val="auto"/>
                <w:kern w:val="0"/>
                <w:sz w:val="21"/>
                <w:szCs w:val="21"/>
                <w:highlight w:val="none"/>
              </w:rPr>
            </w:pPr>
          </w:p>
        </w:tc>
      </w:tr>
      <w:tr w14:paraId="1FAD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660527E6">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w:t>
            </w:r>
          </w:p>
        </w:tc>
        <w:tc>
          <w:tcPr>
            <w:tcW w:w="1948" w:type="dxa"/>
            <w:tcBorders>
              <w:top w:val="single" w:color="auto" w:sz="4" w:space="0"/>
              <w:left w:val="single" w:color="auto" w:sz="4" w:space="0"/>
              <w:right w:val="single" w:color="auto" w:sz="4" w:space="0"/>
            </w:tcBorders>
            <w:vAlign w:val="center"/>
          </w:tcPr>
          <w:p w14:paraId="7CCA7255">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通信</w:t>
            </w:r>
          </w:p>
        </w:tc>
        <w:tc>
          <w:tcPr>
            <w:tcW w:w="2447" w:type="dxa"/>
            <w:tcBorders>
              <w:top w:val="single" w:color="auto" w:sz="4" w:space="0"/>
              <w:left w:val="single" w:color="auto" w:sz="4" w:space="0"/>
              <w:right w:val="single" w:color="auto" w:sz="4" w:space="0"/>
            </w:tcBorders>
            <w:vAlign w:val="center"/>
          </w:tcPr>
          <w:p w14:paraId="17DA5FA5">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19788.29</w:t>
            </w:r>
          </w:p>
        </w:tc>
        <w:tc>
          <w:tcPr>
            <w:tcW w:w="2409" w:type="dxa"/>
            <w:tcBorders>
              <w:top w:val="single" w:color="auto" w:sz="4" w:space="0"/>
              <w:left w:val="single" w:color="auto" w:sz="4" w:space="0"/>
              <w:right w:val="single" w:color="auto" w:sz="4" w:space="0"/>
            </w:tcBorders>
            <w:vAlign w:val="center"/>
          </w:tcPr>
          <w:p w14:paraId="53B0C7B6">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19788.29</w:t>
            </w:r>
          </w:p>
        </w:tc>
        <w:tc>
          <w:tcPr>
            <w:tcW w:w="1175" w:type="dxa"/>
            <w:vAlign w:val="center"/>
          </w:tcPr>
          <w:p w14:paraId="6FD65030">
            <w:pPr>
              <w:widowControl/>
              <w:adjustRightInd/>
              <w:jc w:val="center"/>
              <w:textAlignment w:val="center"/>
              <w:rPr>
                <w:rFonts w:ascii="宋体" w:hAnsi="宋体" w:eastAsia="宋体" w:cs="宋体"/>
                <w:color w:val="auto"/>
                <w:kern w:val="0"/>
                <w:sz w:val="21"/>
                <w:szCs w:val="21"/>
                <w:highlight w:val="none"/>
              </w:rPr>
            </w:pPr>
          </w:p>
        </w:tc>
      </w:tr>
      <w:tr w14:paraId="6474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47A26758">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w:t>
            </w:r>
          </w:p>
        </w:tc>
        <w:tc>
          <w:tcPr>
            <w:tcW w:w="1948" w:type="dxa"/>
            <w:tcBorders>
              <w:top w:val="single" w:color="auto" w:sz="4" w:space="0"/>
              <w:left w:val="single" w:color="auto" w:sz="4" w:space="0"/>
              <w:right w:val="single" w:color="auto" w:sz="4" w:space="0"/>
            </w:tcBorders>
            <w:vAlign w:val="center"/>
          </w:tcPr>
          <w:p w14:paraId="7BD71B55">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信号</w:t>
            </w:r>
          </w:p>
        </w:tc>
        <w:tc>
          <w:tcPr>
            <w:tcW w:w="2447" w:type="dxa"/>
            <w:tcBorders>
              <w:top w:val="single" w:color="auto" w:sz="4" w:space="0"/>
              <w:left w:val="single" w:color="auto" w:sz="4" w:space="0"/>
              <w:right w:val="single" w:color="auto" w:sz="4" w:space="0"/>
            </w:tcBorders>
            <w:vAlign w:val="center"/>
          </w:tcPr>
          <w:p w14:paraId="21D16DD1">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19141.31</w:t>
            </w:r>
          </w:p>
        </w:tc>
        <w:tc>
          <w:tcPr>
            <w:tcW w:w="2409" w:type="dxa"/>
            <w:tcBorders>
              <w:top w:val="single" w:color="auto" w:sz="4" w:space="0"/>
              <w:left w:val="single" w:color="auto" w:sz="4" w:space="0"/>
              <w:right w:val="single" w:color="auto" w:sz="4" w:space="0"/>
            </w:tcBorders>
            <w:vAlign w:val="center"/>
          </w:tcPr>
          <w:p w14:paraId="7F287E40">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19141.31</w:t>
            </w:r>
          </w:p>
        </w:tc>
        <w:tc>
          <w:tcPr>
            <w:tcW w:w="1175" w:type="dxa"/>
            <w:vAlign w:val="center"/>
          </w:tcPr>
          <w:p w14:paraId="5BCF3CD9">
            <w:pPr>
              <w:widowControl/>
              <w:adjustRightInd/>
              <w:jc w:val="center"/>
              <w:textAlignment w:val="center"/>
              <w:rPr>
                <w:rFonts w:ascii="宋体" w:hAnsi="宋体" w:eastAsia="宋体" w:cs="宋体"/>
                <w:color w:val="auto"/>
                <w:kern w:val="0"/>
                <w:sz w:val="21"/>
                <w:szCs w:val="21"/>
                <w:highlight w:val="none"/>
              </w:rPr>
            </w:pPr>
          </w:p>
        </w:tc>
      </w:tr>
      <w:tr w14:paraId="37B6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7365DEB3">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w:t>
            </w:r>
          </w:p>
        </w:tc>
        <w:tc>
          <w:tcPr>
            <w:tcW w:w="1948" w:type="dxa"/>
            <w:tcBorders>
              <w:top w:val="single" w:color="auto" w:sz="4" w:space="0"/>
              <w:left w:val="single" w:color="auto" w:sz="4" w:space="0"/>
              <w:right w:val="single" w:color="auto" w:sz="4" w:space="0"/>
            </w:tcBorders>
            <w:vAlign w:val="center"/>
          </w:tcPr>
          <w:p w14:paraId="2234C674">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供电</w:t>
            </w:r>
          </w:p>
        </w:tc>
        <w:tc>
          <w:tcPr>
            <w:tcW w:w="2447" w:type="dxa"/>
            <w:tcBorders>
              <w:top w:val="single" w:color="auto" w:sz="4" w:space="0"/>
              <w:left w:val="single" w:color="auto" w:sz="4" w:space="0"/>
              <w:right w:val="single" w:color="auto" w:sz="4" w:space="0"/>
            </w:tcBorders>
            <w:vAlign w:val="center"/>
          </w:tcPr>
          <w:p w14:paraId="05702C2F">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54545.18</w:t>
            </w:r>
          </w:p>
        </w:tc>
        <w:tc>
          <w:tcPr>
            <w:tcW w:w="2409" w:type="dxa"/>
            <w:tcBorders>
              <w:top w:val="single" w:color="auto" w:sz="4" w:space="0"/>
              <w:left w:val="single" w:color="auto" w:sz="4" w:space="0"/>
              <w:right w:val="single" w:color="auto" w:sz="4" w:space="0"/>
            </w:tcBorders>
            <w:vAlign w:val="center"/>
          </w:tcPr>
          <w:p w14:paraId="62E294AA">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54545.18</w:t>
            </w:r>
          </w:p>
        </w:tc>
        <w:tc>
          <w:tcPr>
            <w:tcW w:w="1175" w:type="dxa"/>
            <w:vAlign w:val="center"/>
          </w:tcPr>
          <w:p w14:paraId="708AC64C">
            <w:pPr>
              <w:widowControl/>
              <w:adjustRightInd/>
              <w:jc w:val="center"/>
              <w:textAlignment w:val="center"/>
              <w:rPr>
                <w:rFonts w:ascii="宋体" w:hAnsi="宋体" w:eastAsia="宋体" w:cs="宋体"/>
                <w:color w:val="auto"/>
                <w:kern w:val="0"/>
                <w:sz w:val="21"/>
                <w:szCs w:val="21"/>
                <w:highlight w:val="none"/>
              </w:rPr>
            </w:pPr>
          </w:p>
        </w:tc>
      </w:tr>
      <w:tr w14:paraId="48BA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4FFEC29E">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w:t>
            </w:r>
          </w:p>
        </w:tc>
        <w:tc>
          <w:tcPr>
            <w:tcW w:w="1948" w:type="dxa"/>
            <w:tcBorders>
              <w:top w:val="single" w:color="auto" w:sz="4" w:space="0"/>
              <w:left w:val="single" w:color="auto" w:sz="4" w:space="0"/>
              <w:right w:val="single" w:color="auto" w:sz="4" w:space="0"/>
            </w:tcBorders>
            <w:vAlign w:val="center"/>
          </w:tcPr>
          <w:p w14:paraId="4D68758A">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综合监控</w:t>
            </w:r>
          </w:p>
        </w:tc>
        <w:tc>
          <w:tcPr>
            <w:tcW w:w="2447" w:type="dxa"/>
            <w:tcBorders>
              <w:top w:val="single" w:color="auto" w:sz="4" w:space="0"/>
              <w:left w:val="single" w:color="auto" w:sz="4" w:space="0"/>
              <w:right w:val="single" w:color="auto" w:sz="4" w:space="0"/>
            </w:tcBorders>
            <w:vAlign w:val="center"/>
          </w:tcPr>
          <w:p w14:paraId="647F16D6">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8951.68</w:t>
            </w:r>
          </w:p>
        </w:tc>
        <w:tc>
          <w:tcPr>
            <w:tcW w:w="2409" w:type="dxa"/>
            <w:tcBorders>
              <w:top w:val="single" w:color="auto" w:sz="4" w:space="0"/>
              <w:left w:val="single" w:color="auto" w:sz="4" w:space="0"/>
              <w:right w:val="single" w:color="auto" w:sz="4" w:space="0"/>
            </w:tcBorders>
            <w:vAlign w:val="center"/>
          </w:tcPr>
          <w:p w14:paraId="470C9337">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8951.68</w:t>
            </w:r>
          </w:p>
        </w:tc>
        <w:tc>
          <w:tcPr>
            <w:tcW w:w="1175" w:type="dxa"/>
            <w:vAlign w:val="center"/>
          </w:tcPr>
          <w:p w14:paraId="26ED2018">
            <w:pPr>
              <w:widowControl/>
              <w:adjustRightInd/>
              <w:jc w:val="center"/>
              <w:textAlignment w:val="center"/>
              <w:rPr>
                <w:rFonts w:ascii="宋体" w:hAnsi="宋体" w:eastAsia="宋体" w:cs="宋体"/>
                <w:color w:val="auto"/>
                <w:kern w:val="0"/>
                <w:sz w:val="21"/>
                <w:szCs w:val="21"/>
                <w:highlight w:val="none"/>
              </w:rPr>
            </w:pPr>
          </w:p>
        </w:tc>
      </w:tr>
      <w:tr w14:paraId="6FB3C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31D14E55">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八</w:t>
            </w:r>
          </w:p>
        </w:tc>
        <w:tc>
          <w:tcPr>
            <w:tcW w:w="1948" w:type="dxa"/>
            <w:tcBorders>
              <w:top w:val="single" w:color="auto" w:sz="4" w:space="0"/>
              <w:left w:val="single" w:color="auto" w:sz="4" w:space="0"/>
              <w:right w:val="single" w:color="auto" w:sz="4" w:space="0"/>
            </w:tcBorders>
            <w:vAlign w:val="center"/>
          </w:tcPr>
          <w:p w14:paraId="1E7D2FD4">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火灾自动报警、环境与设备监控</w:t>
            </w:r>
          </w:p>
        </w:tc>
        <w:tc>
          <w:tcPr>
            <w:tcW w:w="2447" w:type="dxa"/>
            <w:tcBorders>
              <w:top w:val="single" w:color="auto" w:sz="4" w:space="0"/>
              <w:left w:val="single" w:color="auto" w:sz="4" w:space="0"/>
              <w:right w:val="single" w:color="auto" w:sz="4" w:space="0"/>
            </w:tcBorders>
            <w:vAlign w:val="center"/>
          </w:tcPr>
          <w:p w14:paraId="7E20F7FD">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7117.96</w:t>
            </w:r>
          </w:p>
        </w:tc>
        <w:tc>
          <w:tcPr>
            <w:tcW w:w="2409" w:type="dxa"/>
            <w:tcBorders>
              <w:top w:val="single" w:color="auto" w:sz="4" w:space="0"/>
              <w:left w:val="single" w:color="auto" w:sz="4" w:space="0"/>
              <w:right w:val="single" w:color="auto" w:sz="4" w:space="0"/>
            </w:tcBorders>
            <w:vAlign w:val="center"/>
          </w:tcPr>
          <w:p w14:paraId="6F3DB163">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7117.96</w:t>
            </w:r>
          </w:p>
        </w:tc>
        <w:tc>
          <w:tcPr>
            <w:tcW w:w="1175" w:type="dxa"/>
            <w:vAlign w:val="center"/>
          </w:tcPr>
          <w:p w14:paraId="509E7E56">
            <w:pPr>
              <w:widowControl/>
              <w:adjustRightInd/>
              <w:jc w:val="center"/>
              <w:textAlignment w:val="center"/>
              <w:rPr>
                <w:rFonts w:ascii="宋体" w:hAnsi="宋体" w:eastAsia="宋体" w:cs="宋体"/>
                <w:color w:val="auto"/>
                <w:kern w:val="0"/>
                <w:sz w:val="21"/>
                <w:szCs w:val="21"/>
                <w:highlight w:val="none"/>
              </w:rPr>
            </w:pPr>
          </w:p>
        </w:tc>
      </w:tr>
      <w:tr w14:paraId="50E7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03F4005B">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九</w:t>
            </w:r>
          </w:p>
        </w:tc>
        <w:tc>
          <w:tcPr>
            <w:tcW w:w="1948" w:type="dxa"/>
            <w:tcBorders>
              <w:top w:val="single" w:color="auto" w:sz="4" w:space="0"/>
              <w:left w:val="single" w:color="auto" w:sz="4" w:space="0"/>
              <w:right w:val="single" w:color="auto" w:sz="4" w:space="0"/>
            </w:tcBorders>
            <w:vAlign w:val="center"/>
          </w:tcPr>
          <w:p w14:paraId="3D67389B">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安防及门禁</w:t>
            </w:r>
          </w:p>
        </w:tc>
        <w:tc>
          <w:tcPr>
            <w:tcW w:w="2447" w:type="dxa"/>
            <w:tcBorders>
              <w:top w:val="single" w:color="auto" w:sz="4" w:space="0"/>
              <w:left w:val="single" w:color="auto" w:sz="4" w:space="0"/>
              <w:right w:val="single" w:color="auto" w:sz="4" w:space="0"/>
            </w:tcBorders>
            <w:vAlign w:val="center"/>
          </w:tcPr>
          <w:p w14:paraId="25168BDF">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2825.83</w:t>
            </w:r>
          </w:p>
        </w:tc>
        <w:tc>
          <w:tcPr>
            <w:tcW w:w="2409" w:type="dxa"/>
            <w:tcBorders>
              <w:top w:val="single" w:color="auto" w:sz="4" w:space="0"/>
              <w:left w:val="single" w:color="auto" w:sz="4" w:space="0"/>
              <w:right w:val="single" w:color="auto" w:sz="4" w:space="0"/>
            </w:tcBorders>
            <w:vAlign w:val="center"/>
          </w:tcPr>
          <w:p w14:paraId="3322820B">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2825.83</w:t>
            </w:r>
          </w:p>
        </w:tc>
        <w:tc>
          <w:tcPr>
            <w:tcW w:w="1175" w:type="dxa"/>
            <w:vAlign w:val="center"/>
          </w:tcPr>
          <w:p w14:paraId="24823530">
            <w:pPr>
              <w:widowControl/>
              <w:adjustRightInd/>
              <w:jc w:val="center"/>
              <w:textAlignment w:val="center"/>
              <w:rPr>
                <w:rFonts w:ascii="宋体" w:hAnsi="宋体" w:eastAsia="宋体" w:cs="宋体"/>
                <w:color w:val="auto"/>
                <w:kern w:val="0"/>
                <w:sz w:val="21"/>
                <w:szCs w:val="21"/>
                <w:highlight w:val="none"/>
              </w:rPr>
            </w:pPr>
          </w:p>
        </w:tc>
      </w:tr>
      <w:tr w14:paraId="194F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3E7A5F1">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w:t>
            </w:r>
          </w:p>
        </w:tc>
        <w:tc>
          <w:tcPr>
            <w:tcW w:w="1948" w:type="dxa"/>
            <w:tcBorders>
              <w:top w:val="single" w:color="auto" w:sz="4" w:space="0"/>
              <w:left w:val="single" w:color="auto" w:sz="4" w:space="0"/>
              <w:right w:val="single" w:color="auto" w:sz="4" w:space="0"/>
            </w:tcBorders>
            <w:vAlign w:val="center"/>
          </w:tcPr>
          <w:p w14:paraId="735C4C90">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通风、空调与供暖</w:t>
            </w:r>
          </w:p>
        </w:tc>
        <w:tc>
          <w:tcPr>
            <w:tcW w:w="2447" w:type="dxa"/>
            <w:tcBorders>
              <w:top w:val="single" w:color="auto" w:sz="4" w:space="0"/>
              <w:left w:val="single" w:color="auto" w:sz="4" w:space="0"/>
              <w:right w:val="single" w:color="auto" w:sz="4" w:space="0"/>
            </w:tcBorders>
            <w:vAlign w:val="center"/>
          </w:tcPr>
          <w:p w14:paraId="7C28E12B">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11731.93</w:t>
            </w:r>
          </w:p>
        </w:tc>
        <w:tc>
          <w:tcPr>
            <w:tcW w:w="2409" w:type="dxa"/>
            <w:tcBorders>
              <w:top w:val="single" w:color="auto" w:sz="4" w:space="0"/>
              <w:left w:val="single" w:color="auto" w:sz="4" w:space="0"/>
              <w:right w:val="single" w:color="auto" w:sz="4" w:space="0"/>
            </w:tcBorders>
            <w:vAlign w:val="center"/>
          </w:tcPr>
          <w:p w14:paraId="57D19141">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11731.93</w:t>
            </w:r>
          </w:p>
        </w:tc>
        <w:tc>
          <w:tcPr>
            <w:tcW w:w="1175" w:type="dxa"/>
            <w:vAlign w:val="center"/>
          </w:tcPr>
          <w:p w14:paraId="364DEA15">
            <w:pPr>
              <w:widowControl/>
              <w:adjustRightInd/>
              <w:jc w:val="center"/>
              <w:textAlignment w:val="center"/>
              <w:rPr>
                <w:rFonts w:ascii="宋体" w:hAnsi="宋体" w:eastAsia="宋体" w:cs="宋体"/>
                <w:color w:val="auto"/>
                <w:kern w:val="0"/>
                <w:sz w:val="21"/>
                <w:szCs w:val="21"/>
                <w:highlight w:val="none"/>
              </w:rPr>
            </w:pPr>
          </w:p>
        </w:tc>
      </w:tr>
      <w:tr w14:paraId="5D69B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86828E6">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十一</w:t>
            </w:r>
          </w:p>
        </w:tc>
        <w:tc>
          <w:tcPr>
            <w:tcW w:w="1948" w:type="dxa"/>
            <w:tcBorders>
              <w:top w:val="single" w:color="auto" w:sz="4" w:space="0"/>
              <w:left w:val="single" w:color="auto" w:sz="4" w:space="0"/>
              <w:right w:val="single" w:color="auto" w:sz="4" w:space="0"/>
            </w:tcBorders>
            <w:vAlign w:val="center"/>
          </w:tcPr>
          <w:p w14:paraId="7B79B37D">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给水排水与消防</w:t>
            </w:r>
          </w:p>
        </w:tc>
        <w:tc>
          <w:tcPr>
            <w:tcW w:w="2447" w:type="dxa"/>
            <w:tcBorders>
              <w:top w:val="single" w:color="auto" w:sz="4" w:space="0"/>
              <w:left w:val="single" w:color="auto" w:sz="4" w:space="0"/>
              <w:right w:val="single" w:color="auto" w:sz="4" w:space="0"/>
            </w:tcBorders>
            <w:vAlign w:val="center"/>
          </w:tcPr>
          <w:p w14:paraId="3EEFE59C">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7394.05</w:t>
            </w:r>
          </w:p>
        </w:tc>
        <w:tc>
          <w:tcPr>
            <w:tcW w:w="2409" w:type="dxa"/>
            <w:tcBorders>
              <w:top w:val="single" w:color="auto" w:sz="4" w:space="0"/>
              <w:left w:val="single" w:color="auto" w:sz="4" w:space="0"/>
              <w:right w:val="single" w:color="auto" w:sz="4" w:space="0"/>
            </w:tcBorders>
            <w:vAlign w:val="center"/>
          </w:tcPr>
          <w:p w14:paraId="4191BECA">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7394.05</w:t>
            </w:r>
          </w:p>
        </w:tc>
        <w:tc>
          <w:tcPr>
            <w:tcW w:w="1175" w:type="dxa"/>
            <w:vAlign w:val="center"/>
          </w:tcPr>
          <w:p w14:paraId="2119842F">
            <w:pPr>
              <w:widowControl/>
              <w:adjustRightInd/>
              <w:jc w:val="center"/>
              <w:textAlignment w:val="center"/>
              <w:rPr>
                <w:rFonts w:ascii="宋体" w:hAnsi="宋体" w:eastAsia="宋体" w:cs="宋体"/>
                <w:color w:val="auto"/>
                <w:kern w:val="0"/>
                <w:sz w:val="21"/>
                <w:szCs w:val="21"/>
                <w:highlight w:val="none"/>
              </w:rPr>
            </w:pPr>
          </w:p>
        </w:tc>
      </w:tr>
      <w:tr w14:paraId="6C301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68E12352">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十二</w:t>
            </w:r>
          </w:p>
        </w:tc>
        <w:tc>
          <w:tcPr>
            <w:tcW w:w="1948" w:type="dxa"/>
            <w:tcBorders>
              <w:top w:val="single" w:color="auto" w:sz="4" w:space="0"/>
              <w:left w:val="single" w:color="auto" w:sz="4" w:space="0"/>
              <w:right w:val="single" w:color="auto" w:sz="4" w:space="0"/>
            </w:tcBorders>
            <w:vAlign w:val="center"/>
          </w:tcPr>
          <w:p w14:paraId="5C50050A">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自动售检票</w:t>
            </w:r>
          </w:p>
        </w:tc>
        <w:tc>
          <w:tcPr>
            <w:tcW w:w="2447" w:type="dxa"/>
            <w:tcBorders>
              <w:top w:val="single" w:color="auto" w:sz="4" w:space="0"/>
              <w:left w:val="single" w:color="auto" w:sz="4" w:space="0"/>
              <w:right w:val="single" w:color="auto" w:sz="4" w:space="0"/>
            </w:tcBorders>
            <w:vAlign w:val="center"/>
          </w:tcPr>
          <w:p w14:paraId="0DE21A6C">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6962.38</w:t>
            </w:r>
          </w:p>
        </w:tc>
        <w:tc>
          <w:tcPr>
            <w:tcW w:w="2409" w:type="dxa"/>
            <w:tcBorders>
              <w:top w:val="single" w:color="auto" w:sz="4" w:space="0"/>
              <w:left w:val="single" w:color="auto" w:sz="4" w:space="0"/>
              <w:right w:val="single" w:color="auto" w:sz="4" w:space="0"/>
            </w:tcBorders>
            <w:vAlign w:val="center"/>
          </w:tcPr>
          <w:p w14:paraId="3A2374F2">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6962.38</w:t>
            </w:r>
          </w:p>
        </w:tc>
        <w:tc>
          <w:tcPr>
            <w:tcW w:w="1175" w:type="dxa"/>
            <w:vAlign w:val="center"/>
          </w:tcPr>
          <w:p w14:paraId="6F6C0EB4">
            <w:pPr>
              <w:widowControl/>
              <w:adjustRightInd/>
              <w:jc w:val="center"/>
              <w:textAlignment w:val="center"/>
              <w:rPr>
                <w:rFonts w:ascii="宋体" w:hAnsi="宋体" w:eastAsia="宋体" w:cs="宋体"/>
                <w:color w:val="auto"/>
                <w:kern w:val="0"/>
                <w:sz w:val="21"/>
                <w:szCs w:val="21"/>
                <w:highlight w:val="none"/>
              </w:rPr>
            </w:pPr>
          </w:p>
        </w:tc>
      </w:tr>
      <w:tr w14:paraId="0E60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101A3A6A">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十三</w:t>
            </w:r>
          </w:p>
        </w:tc>
        <w:tc>
          <w:tcPr>
            <w:tcW w:w="1948" w:type="dxa"/>
            <w:tcBorders>
              <w:top w:val="single" w:color="auto" w:sz="4" w:space="0"/>
              <w:left w:val="single" w:color="auto" w:sz="4" w:space="0"/>
              <w:right w:val="single" w:color="auto" w:sz="4" w:space="0"/>
            </w:tcBorders>
            <w:vAlign w:val="center"/>
          </w:tcPr>
          <w:p w14:paraId="35226CF0">
            <w:pPr>
              <w:widowControl/>
              <w:adjustRightInd/>
              <w:jc w:val="left"/>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站内客运设备、站台门</w:t>
            </w:r>
          </w:p>
        </w:tc>
        <w:tc>
          <w:tcPr>
            <w:tcW w:w="2447" w:type="dxa"/>
            <w:tcBorders>
              <w:top w:val="single" w:color="auto" w:sz="4" w:space="0"/>
              <w:left w:val="single" w:color="auto" w:sz="4" w:space="0"/>
              <w:right w:val="single" w:color="auto" w:sz="4" w:space="0"/>
            </w:tcBorders>
            <w:vAlign w:val="center"/>
          </w:tcPr>
          <w:p w14:paraId="2100FDB0">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14056.74</w:t>
            </w:r>
          </w:p>
        </w:tc>
        <w:tc>
          <w:tcPr>
            <w:tcW w:w="2409" w:type="dxa"/>
            <w:tcBorders>
              <w:top w:val="single" w:color="auto" w:sz="4" w:space="0"/>
              <w:left w:val="single" w:color="auto" w:sz="4" w:space="0"/>
              <w:right w:val="single" w:color="auto" w:sz="4" w:space="0"/>
            </w:tcBorders>
            <w:vAlign w:val="center"/>
          </w:tcPr>
          <w:p w14:paraId="2613926E">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14056.74</w:t>
            </w:r>
          </w:p>
        </w:tc>
        <w:tc>
          <w:tcPr>
            <w:tcW w:w="1175" w:type="dxa"/>
            <w:vAlign w:val="center"/>
          </w:tcPr>
          <w:p w14:paraId="131B26F2">
            <w:pPr>
              <w:widowControl/>
              <w:adjustRightInd/>
              <w:jc w:val="center"/>
              <w:textAlignment w:val="center"/>
              <w:rPr>
                <w:rFonts w:ascii="宋体" w:hAnsi="宋体" w:eastAsia="宋体" w:cs="宋体"/>
                <w:color w:val="auto"/>
                <w:kern w:val="0"/>
                <w:sz w:val="21"/>
                <w:szCs w:val="21"/>
                <w:highlight w:val="none"/>
              </w:rPr>
            </w:pPr>
          </w:p>
        </w:tc>
      </w:tr>
      <w:tr w14:paraId="6D94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7867C9CB">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十四</w:t>
            </w:r>
          </w:p>
        </w:tc>
        <w:tc>
          <w:tcPr>
            <w:tcW w:w="1948" w:type="dxa"/>
            <w:tcBorders>
              <w:top w:val="single" w:color="auto" w:sz="4" w:space="0"/>
              <w:left w:val="single" w:color="auto" w:sz="4" w:space="0"/>
              <w:right w:val="single" w:color="auto" w:sz="4" w:space="0"/>
            </w:tcBorders>
            <w:vAlign w:val="center"/>
          </w:tcPr>
          <w:p w14:paraId="333170B3">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运营控制中心</w:t>
            </w:r>
          </w:p>
        </w:tc>
        <w:tc>
          <w:tcPr>
            <w:tcW w:w="2447" w:type="dxa"/>
            <w:tcBorders>
              <w:top w:val="single" w:color="auto" w:sz="4" w:space="0"/>
              <w:left w:val="single" w:color="auto" w:sz="4" w:space="0"/>
              <w:right w:val="single" w:color="auto" w:sz="4" w:space="0"/>
            </w:tcBorders>
            <w:vAlign w:val="center"/>
          </w:tcPr>
          <w:p w14:paraId="4152909E">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22857.74</w:t>
            </w:r>
          </w:p>
        </w:tc>
        <w:tc>
          <w:tcPr>
            <w:tcW w:w="2409" w:type="dxa"/>
            <w:tcBorders>
              <w:top w:val="single" w:color="auto" w:sz="4" w:space="0"/>
              <w:left w:val="single" w:color="auto" w:sz="4" w:space="0"/>
              <w:right w:val="single" w:color="auto" w:sz="4" w:space="0"/>
            </w:tcBorders>
            <w:vAlign w:val="center"/>
          </w:tcPr>
          <w:p w14:paraId="2B9B3702">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3134.9</w:t>
            </w:r>
          </w:p>
        </w:tc>
        <w:tc>
          <w:tcPr>
            <w:tcW w:w="1175" w:type="dxa"/>
            <w:vAlign w:val="center"/>
          </w:tcPr>
          <w:p w14:paraId="749E4C76">
            <w:pPr>
              <w:widowControl/>
              <w:adjustRightInd/>
              <w:jc w:val="center"/>
              <w:textAlignment w:val="center"/>
              <w:rPr>
                <w:rFonts w:ascii="宋体" w:hAnsi="宋体" w:eastAsia="宋体" w:cs="宋体"/>
                <w:color w:val="auto"/>
                <w:kern w:val="0"/>
                <w:sz w:val="21"/>
                <w:szCs w:val="21"/>
                <w:highlight w:val="none"/>
              </w:rPr>
            </w:pPr>
          </w:p>
        </w:tc>
      </w:tr>
      <w:tr w14:paraId="0D22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0C5EE1A4">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十五</w:t>
            </w:r>
          </w:p>
        </w:tc>
        <w:tc>
          <w:tcPr>
            <w:tcW w:w="1948" w:type="dxa"/>
            <w:tcBorders>
              <w:top w:val="single" w:color="auto" w:sz="4" w:space="0"/>
              <w:left w:val="single" w:color="auto" w:sz="4" w:space="0"/>
              <w:right w:val="single" w:color="auto" w:sz="4" w:space="0"/>
            </w:tcBorders>
            <w:vAlign w:val="center"/>
          </w:tcPr>
          <w:p w14:paraId="0252B09F">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车辆基地</w:t>
            </w:r>
          </w:p>
        </w:tc>
        <w:tc>
          <w:tcPr>
            <w:tcW w:w="2447" w:type="dxa"/>
            <w:tcBorders>
              <w:top w:val="single" w:color="auto" w:sz="4" w:space="0"/>
              <w:left w:val="single" w:color="auto" w:sz="4" w:space="0"/>
              <w:right w:val="single" w:color="auto" w:sz="4" w:space="0"/>
            </w:tcBorders>
            <w:vAlign w:val="center"/>
          </w:tcPr>
          <w:p w14:paraId="3486F6EA">
            <w:pPr>
              <w:widowControl/>
              <w:adjustRightInd/>
              <w:jc w:val="center"/>
              <w:textAlignment w:val="center"/>
              <w:rPr>
                <w:rFonts w:hint="eastAsia"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11585.02</w:t>
            </w:r>
          </w:p>
        </w:tc>
        <w:tc>
          <w:tcPr>
            <w:tcW w:w="2409" w:type="dxa"/>
            <w:tcBorders>
              <w:top w:val="single" w:color="auto" w:sz="4" w:space="0"/>
              <w:left w:val="single" w:color="auto" w:sz="4" w:space="0"/>
              <w:right w:val="single" w:color="auto" w:sz="4" w:space="0"/>
            </w:tcBorders>
            <w:vAlign w:val="center"/>
          </w:tcPr>
          <w:p w14:paraId="661D6E74">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11585.02</w:t>
            </w:r>
          </w:p>
        </w:tc>
        <w:tc>
          <w:tcPr>
            <w:tcW w:w="1175" w:type="dxa"/>
            <w:vAlign w:val="center"/>
          </w:tcPr>
          <w:p w14:paraId="1778252E">
            <w:pPr>
              <w:widowControl/>
              <w:adjustRightInd/>
              <w:jc w:val="center"/>
              <w:textAlignment w:val="center"/>
              <w:rPr>
                <w:rFonts w:ascii="宋体" w:hAnsi="宋体" w:eastAsia="宋体" w:cs="宋体"/>
                <w:color w:val="auto"/>
                <w:kern w:val="0"/>
                <w:sz w:val="21"/>
                <w:szCs w:val="21"/>
                <w:highlight w:val="none"/>
              </w:rPr>
            </w:pPr>
          </w:p>
        </w:tc>
      </w:tr>
      <w:tr w14:paraId="6720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5992F2EC">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十六</w:t>
            </w:r>
          </w:p>
        </w:tc>
        <w:tc>
          <w:tcPr>
            <w:tcW w:w="1948" w:type="dxa"/>
            <w:tcBorders>
              <w:top w:val="single" w:color="auto" w:sz="4" w:space="0"/>
              <w:left w:val="single" w:color="auto" w:sz="4" w:space="0"/>
              <w:right w:val="single" w:color="auto" w:sz="4" w:space="0"/>
            </w:tcBorders>
            <w:vAlign w:val="center"/>
          </w:tcPr>
          <w:p w14:paraId="3CA27F4C">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人防</w:t>
            </w:r>
          </w:p>
        </w:tc>
        <w:tc>
          <w:tcPr>
            <w:tcW w:w="2447" w:type="dxa"/>
            <w:tcBorders>
              <w:top w:val="single" w:color="auto" w:sz="4" w:space="0"/>
              <w:left w:val="single" w:color="auto" w:sz="4" w:space="0"/>
              <w:right w:val="single" w:color="auto" w:sz="4" w:space="0"/>
            </w:tcBorders>
            <w:vAlign w:val="center"/>
          </w:tcPr>
          <w:p w14:paraId="46993505">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5260.23</w:t>
            </w:r>
          </w:p>
        </w:tc>
        <w:tc>
          <w:tcPr>
            <w:tcW w:w="2409" w:type="dxa"/>
            <w:tcBorders>
              <w:top w:val="single" w:color="auto" w:sz="4" w:space="0"/>
              <w:left w:val="single" w:color="auto" w:sz="4" w:space="0"/>
              <w:right w:val="single" w:color="auto" w:sz="4" w:space="0"/>
            </w:tcBorders>
            <w:vAlign w:val="center"/>
          </w:tcPr>
          <w:p w14:paraId="408DDCA5">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5260.23</w:t>
            </w:r>
          </w:p>
        </w:tc>
        <w:tc>
          <w:tcPr>
            <w:tcW w:w="1175" w:type="dxa"/>
            <w:vAlign w:val="center"/>
          </w:tcPr>
          <w:p w14:paraId="11630615">
            <w:pPr>
              <w:widowControl/>
              <w:adjustRightInd/>
              <w:jc w:val="center"/>
              <w:textAlignment w:val="center"/>
              <w:rPr>
                <w:rFonts w:ascii="宋体" w:hAnsi="宋体" w:eastAsia="宋体" w:cs="宋体"/>
                <w:color w:val="auto"/>
                <w:kern w:val="0"/>
                <w:sz w:val="21"/>
                <w:szCs w:val="21"/>
                <w:highlight w:val="none"/>
              </w:rPr>
            </w:pPr>
          </w:p>
        </w:tc>
      </w:tr>
      <w:tr w14:paraId="7A57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6BBA3675">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十七</w:t>
            </w:r>
          </w:p>
        </w:tc>
        <w:tc>
          <w:tcPr>
            <w:tcW w:w="1948" w:type="dxa"/>
            <w:tcBorders>
              <w:top w:val="single" w:color="auto" w:sz="4" w:space="0"/>
              <w:left w:val="single" w:color="auto" w:sz="4" w:space="0"/>
              <w:right w:val="single" w:color="auto" w:sz="4" w:space="0"/>
            </w:tcBorders>
            <w:vAlign w:val="center"/>
          </w:tcPr>
          <w:p w14:paraId="6B2523B8">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车辆购置费</w:t>
            </w:r>
          </w:p>
        </w:tc>
        <w:tc>
          <w:tcPr>
            <w:tcW w:w="2447" w:type="dxa"/>
            <w:tcBorders>
              <w:top w:val="single" w:color="auto" w:sz="4" w:space="0"/>
              <w:left w:val="single" w:color="auto" w:sz="4" w:space="0"/>
              <w:right w:val="single" w:color="auto" w:sz="4" w:space="0"/>
            </w:tcBorders>
            <w:vAlign w:val="center"/>
          </w:tcPr>
          <w:p w14:paraId="70331B2A">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33</w:t>
            </w:r>
            <w:r>
              <w:rPr>
                <w:rFonts w:hint="eastAsia" w:ascii="宋体" w:hAnsi="宋体" w:eastAsia="宋体" w:cs="宋体"/>
                <w:color w:val="auto"/>
                <w:kern w:val="0"/>
                <w:sz w:val="21"/>
                <w:szCs w:val="21"/>
                <w:highlight w:val="none"/>
              </w:rPr>
              <w:t>88</w:t>
            </w:r>
            <w:r>
              <w:rPr>
                <w:rFonts w:ascii="宋体" w:hAnsi="宋体" w:eastAsia="宋体" w:cs="宋体"/>
                <w:color w:val="auto"/>
                <w:kern w:val="0"/>
                <w:sz w:val="21"/>
                <w:szCs w:val="21"/>
                <w:highlight w:val="none"/>
              </w:rPr>
              <w:t>0.00</w:t>
            </w:r>
          </w:p>
        </w:tc>
        <w:tc>
          <w:tcPr>
            <w:tcW w:w="2409" w:type="dxa"/>
            <w:tcBorders>
              <w:top w:val="single" w:color="auto" w:sz="4" w:space="0"/>
              <w:left w:val="single" w:color="auto" w:sz="4" w:space="0"/>
              <w:right w:val="single" w:color="auto" w:sz="4" w:space="0"/>
            </w:tcBorders>
            <w:vAlign w:val="center"/>
          </w:tcPr>
          <w:p w14:paraId="04F4E2F1">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33</w:t>
            </w:r>
            <w:r>
              <w:rPr>
                <w:rFonts w:hint="eastAsia" w:ascii="宋体" w:hAnsi="宋体" w:eastAsia="宋体" w:cs="宋体"/>
                <w:color w:val="auto"/>
                <w:kern w:val="0"/>
                <w:sz w:val="21"/>
                <w:szCs w:val="21"/>
                <w:highlight w:val="none"/>
              </w:rPr>
              <w:t>880</w:t>
            </w:r>
            <w:r>
              <w:rPr>
                <w:rFonts w:ascii="宋体" w:hAnsi="宋体" w:eastAsia="宋体" w:cs="宋体"/>
                <w:color w:val="auto"/>
                <w:kern w:val="0"/>
                <w:sz w:val="21"/>
                <w:szCs w:val="21"/>
                <w:highlight w:val="none"/>
              </w:rPr>
              <w:t>.00</w:t>
            </w:r>
          </w:p>
        </w:tc>
        <w:tc>
          <w:tcPr>
            <w:tcW w:w="1175" w:type="dxa"/>
            <w:vAlign w:val="center"/>
          </w:tcPr>
          <w:p w14:paraId="62365A65">
            <w:pPr>
              <w:widowControl/>
              <w:adjustRightInd/>
              <w:jc w:val="center"/>
              <w:textAlignment w:val="center"/>
              <w:rPr>
                <w:rFonts w:ascii="宋体" w:hAnsi="宋体" w:eastAsia="宋体" w:cs="宋体"/>
                <w:color w:val="auto"/>
                <w:kern w:val="0"/>
                <w:sz w:val="21"/>
                <w:szCs w:val="21"/>
                <w:highlight w:val="none"/>
              </w:rPr>
            </w:pPr>
          </w:p>
        </w:tc>
      </w:tr>
      <w:tr w14:paraId="01EB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1E4A4104">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十八</w:t>
            </w:r>
          </w:p>
        </w:tc>
        <w:tc>
          <w:tcPr>
            <w:tcW w:w="1948" w:type="dxa"/>
            <w:tcBorders>
              <w:top w:val="single" w:color="auto" w:sz="4" w:space="0"/>
              <w:left w:val="single" w:color="auto" w:sz="4" w:space="0"/>
              <w:right w:val="single" w:color="auto" w:sz="4" w:space="0"/>
            </w:tcBorders>
            <w:vAlign w:val="center"/>
          </w:tcPr>
          <w:p w14:paraId="09FCBB1E">
            <w:pPr>
              <w:widowControl/>
              <w:adjustRightInd/>
              <w:jc w:val="center"/>
              <w:textAlignment w:val="center"/>
              <w:rPr>
                <w:rFonts w:ascii="宋体" w:hAnsi="宋体" w:eastAsia="宋体" w:cs="宋体"/>
                <w:strike/>
                <w:dstrike w:val="0"/>
                <w:color w:val="auto"/>
                <w:kern w:val="0"/>
                <w:sz w:val="21"/>
                <w:szCs w:val="21"/>
                <w:highlight w:val="none"/>
              </w:rPr>
            </w:pPr>
            <w:r>
              <w:rPr>
                <w:rFonts w:hint="eastAsia" w:ascii="宋体" w:hAnsi="宋体" w:eastAsia="宋体" w:cs="宋体"/>
                <w:color w:val="auto"/>
                <w:kern w:val="0"/>
                <w:sz w:val="21"/>
                <w:szCs w:val="21"/>
                <w:highlight w:val="none"/>
              </w:rPr>
              <w:t>其他</w:t>
            </w:r>
            <w:r>
              <w:rPr>
                <w:rFonts w:ascii="宋体" w:hAnsi="宋体" w:eastAsia="宋体" w:cs="宋体"/>
                <w:color w:val="auto"/>
                <w:kern w:val="0"/>
                <w:sz w:val="21"/>
                <w:szCs w:val="21"/>
                <w:highlight w:val="none"/>
              </w:rPr>
              <w:t>物资和资产</w:t>
            </w:r>
          </w:p>
        </w:tc>
        <w:tc>
          <w:tcPr>
            <w:tcW w:w="2447" w:type="dxa"/>
            <w:tcBorders>
              <w:top w:val="single" w:color="auto" w:sz="4" w:space="0"/>
              <w:left w:val="single" w:color="auto" w:sz="4" w:space="0"/>
              <w:right w:val="single" w:color="auto" w:sz="4" w:space="0"/>
            </w:tcBorders>
            <w:vAlign w:val="center"/>
          </w:tcPr>
          <w:p w14:paraId="11B204A1">
            <w:pPr>
              <w:widowControl/>
              <w:adjustRightInd/>
              <w:jc w:val="center"/>
              <w:textAlignment w:val="center"/>
              <w:rPr>
                <w:rFonts w:ascii="宋体" w:hAnsi="宋体" w:eastAsia="宋体" w:cs="宋体"/>
                <w:strike/>
                <w:dstrike w:val="0"/>
                <w:color w:val="auto"/>
                <w:kern w:val="0"/>
                <w:sz w:val="21"/>
                <w:szCs w:val="21"/>
                <w:highlight w:val="none"/>
              </w:rPr>
            </w:pPr>
            <w:r>
              <w:rPr>
                <w:rFonts w:ascii="宋体" w:hAnsi="宋体" w:eastAsia="宋体" w:cs="宋体"/>
                <w:color w:val="auto"/>
                <w:kern w:val="0"/>
                <w:sz w:val="21"/>
                <w:szCs w:val="21"/>
                <w:highlight w:val="none"/>
              </w:rPr>
              <w:t>700.00</w:t>
            </w:r>
          </w:p>
        </w:tc>
        <w:tc>
          <w:tcPr>
            <w:tcW w:w="2409" w:type="dxa"/>
            <w:tcBorders>
              <w:top w:val="single" w:color="auto" w:sz="4" w:space="0"/>
              <w:left w:val="single" w:color="auto" w:sz="4" w:space="0"/>
              <w:right w:val="single" w:color="auto" w:sz="4" w:space="0"/>
            </w:tcBorders>
            <w:vAlign w:val="center"/>
          </w:tcPr>
          <w:p w14:paraId="3142AB55">
            <w:pPr>
              <w:widowControl/>
              <w:adjustRightInd/>
              <w:jc w:val="center"/>
              <w:textAlignment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700</w:t>
            </w:r>
            <w:r>
              <w:rPr>
                <w:rFonts w:ascii="宋体" w:hAnsi="宋体" w:eastAsia="宋体" w:cs="宋体"/>
                <w:color w:val="auto"/>
                <w:kern w:val="0"/>
                <w:sz w:val="21"/>
                <w:szCs w:val="21"/>
                <w:highlight w:val="none"/>
              </w:rPr>
              <w:t>.00</w:t>
            </w:r>
          </w:p>
        </w:tc>
        <w:tc>
          <w:tcPr>
            <w:tcW w:w="1175" w:type="dxa"/>
            <w:vAlign w:val="center"/>
          </w:tcPr>
          <w:p w14:paraId="7F7534BE">
            <w:pPr>
              <w:widowControl/>
              <w:adjustRightInd/>
              <w:jc w:val="center"/>
              <w:textAlignment w:val="center"/>
              <w:rPr>
                <w:rFonts w:ascii="宋体" w:hAnsi="宋体" w:eastAsia="宋体" w:cs="宋体"/>
                <w:color w:val="auto"/>
                <w:kern w:val="0"/>
                <w:sz w:val="21"/>
                <w:szCs w:val="21"/>
                <w:highlight w:val="none"/>
              </w:rPr>
            </w:pPr>
          </w:p>
        </w:tc>
      </w:tr>
      <w:tr w14:paraId="7426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Align w:val="center"/>
          </w:tcPr>
          <w:p w14:paraId="30E8EF13">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十八</w:t>
            </w:r>
          </w:p>
        </w:tc>
        <w:tc>
          <w:tcPr>
            <w:tcW w:w="1948" w:type="dxa"/>
            <w:tcBorders>
              <w:top w:val="single" w:color="auto" w:sz="4" w:space="0"/>
              <w:left w:val="single" w:color="auto" w:sz="4" w:space="0"/>
              <w:right w:val="single" w:color="auto" w:sz="4" w:space="0"/>
            </w:tcBorders>
            <w:vAlign w:val="center"/>
          </w:tcPr>
          <w:p w14:paraId="3B775D67">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现金及有价证券</w:t>
            </w:r>
          </w:p>
        </w:tc>
        <w:tc>
          <w:tcPr>
            <w:tcW w:w="2447" w:type="dxa"/>
            <w:tcBorders>
              <w:top w:val="single" w:color="auto" w:sz="4" w:space="0"/>
              <w:left w:val="single" w:color="auto" w:sz="4" w:space="0"/>
              <w:right w:val="single" w:color="auto" w:sz="4" w:space="0"/>
            </w:tcBorders>
            <w:vAlign w:val="center"/>
          </w:tcPr>
          <w:p w14:paraId="70670DCC">
            <w:pPr>
              <w:widowControl/>
              <w:adjustRightInd/>
              <w:jc w:val="center"/>
              <w:textAlignment w:val="center"/>
              <w:rPr>
                <w:rFonts w:ascii="宋体" w:hAnsi="宋体" w:eastAsia="宋体" w:cs="宋体"/>
                <w:strike/>
                <w:dstrike w:val="0"/>
                <w:color w:val="auto"/>
                <w:kern w:val="0"/>
                <w:sz w:val="21"/>
                <w:szCs w:val="21"/>
                <w:highlight w:val="none"/>
              </w:rPr>
            </w:pPr>
            <w:r>
              <w:rPr>
                <w:rFonts w:ascii="宋体" w:hAnsi="宋体" w:eastAsia="宋体" w:cs="宋体"/>
                <w:color w:val="auto"/>
                <w:kern w:val="0"/>
                <w:sz w:val="21"/>
                <w:szCs w:val="21"/>
                <w:highlight w:val="none"/>
              </w:rPr>
              <w:t>90.00</w:t>
            </w:r>
          </w:p>
        </w:tc>
        <w:tc>
          <w:tcPr>
            <w:tcW w:w="2409" w:type="dxa"/>
            <w:tcBorders>
              <w:top w:val="single" w:color="auto" w:sz="4" w:space="0"/>
              <w:left w:val="single" w:color="auto" w:sz="4" w:space="0"/>
              <w:right w:val="single" w:color="auto" w:sz="4" w:space="0"/>
            </w:tcBorders>
            <w:vAlign w:val="center"/>
          </w:tcPr>
          <w:p w14:paraId="73F8628A">
            <w:pPr>
              <w:widowControl/>
              <w:adjustRightInd/>
              <w:jc w:val="center"/>
              <w:textAlignment w:val="center"/>
              <w:rPr>
                <w:rFonts w:ascii="宋体" w:hAnsi="宋体" w:eastAsia="宋体" w:cs="宋体"/>
                <w:color w:val="auto"/>
                <w:kern w:val="0"/>
                <w:sz w:val="21"/>
                <w:szCs w:val="21"/>
                <w:highlight w:val="none"/>
              </w:rPr>
            </w:pPr>
          </w:p>
        </w:tc>
        <w:tc>
          <w:tcPr>
            <w:tcW w:w="1175" w:type="dxa"/>
            <w:vAlign w:val="center"/>
          </w:tcPr>
          <w:p w14:paraId="4762F35E">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90.00（按每站RMB10万元投保）</w:t>
            </w:r>
          </w:p>
        </w:tc>
      </w:tr>
      <w:tr w14:paraId="6366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4" w:type="dxa"/>
            <w:gridSpan w:val="2"/>
            <w:vAlign w:val="center"/>
          </w:tcPr>
          <w:p w14:paraId="4D8161A3">
            <w:pPr>
              <w:widowControl/>
              <w:adjustRightInd/>
              <w:jc w:val="center"/>
              <w:textAlignment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投保总金额</w:t>
            </w:r>
          </w:p>
        </w:tc>
        <w:tc>
          <w:tcPr>
            <w:tcW w:w="2447" w:type="dxa"/>
            <w:tcBorders>
              <w:top w:val="single" w:color="auto" w:sz="4" w:space="0"/>
              <w:left w:val="single" w:color="auto" w:sz="4" w:space="0"/>
              <w:right w:val="single" w:color="auto" w:sz="4" w:space="0"/>
            </w:tcBorders>
            <w:vAlign w:val="center"/>
          </w:tcPr>
          <w:p w14:paraId="369F41FF">
            <w:pPr>
              <w:widowControl/>
              <w:adjustRightInd/>
              <w:jc w:val="center"/>
              <w:textAlignment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628613.12</w:t>
            </w:r>
          </w:p>
        </w:tc>
        <w:tc>
          <w:tcPr>
            <w:tcW w:w="2409" w:type="dxa"/>
            <w:tcBorders>
              <w:top w:val="single" w:color="auto" w:sz="4" w:space="0"/>
              <w:left w:val="single" w:color="auto" w:sz="4" w:space="0"/>
              <w:right w:val="single" w:color="auto" w:sz="4" w:space="0"/>
            </w:tcBorders>
            <w:vAlign w:val="center"/>
          </w:tcPr>
          <w:p w14:paraId="1D178581">
            <w:pPr>
              <w:widowControl/>
              <w:adjustRightInd/>
              <w:jc w:val="center"/>
              <w:textAlignment w:val="center"/>
              <w:rPr>
                <w:rFonts w:ascii="宋体" w:hAnsi="宋体" w:eastAsia="宋体" w:cs="宋体"/>
                <w:strike/>
                <w:dstrike w:val="0"/>
                <w:color w:val="auto"/>
                <w:kern w:val="0"/>
                <w:sz w:val="21"/>
                <w:szCs w:val="21"/>
                <w:highlight w:val="none"/>
              </w:rPr>
            </w:pPr>
            <w:r>
              <w:rPr>
                <w:rFonts w:ascii="宋体" w:hAnsi="宋体" w:eastAsia="宋体" w:cs="宋体"/>
                <w:color w:val="auto"/>
                <w:kern w:val="0"/>
                <w:sz w:val="21"/>
                <w:szCs w:val="21"/>
                <w:highlight w:val="none"/>
              </w:rPr>
              <w:t>226935.86</w:t>
            </w:r>
          </w:p>
        </w:tc>
        <w:tc>
          <w:tcPr>
            <w:tcW w:w="1175" w:type="dxa"/>
            <w:vAlign w:val="center"/>
          </w:tcPr>
          <w:p w14:paraId="34218C72">
            <w:pPr>
              <w:widowControl/>
              <w:adjustRightInd/>
              <w:jc w:val="center"/>
              <w:textAlignment w:val="center"/>
              <w:rPr>
                <w:rFonts w:ascii="宋体" w:hAnsi="宋体" w:eastAsia="宋体" w:cs="宋体"/>
                <w:strike/>
                <w:dstrike w:val="0"/>
                <w:color w:val="auto"/>
                <w:kern w:val="0"/>
                <w:sz w:val="21"/>
                <w:szCs w:val="21"/>
                <w:highlight w:val="none"/>
              </w:rPr>
            </w:pPr>
            <w:r>
              <w:rPr>
                <w:rFonts w:ascii="宋体" w:hAnsi="宋体" w:eastAsia="宋体" w:cs="宋体"/>
                <w:color w:val="auto"/>
                <w:kern w:val="0"/>
                <w:sz w:val="21"/>
                <w:szCs w:val="21"/>
                <w:highlight w:val="none"/>
              </w:rPr>
              <w:t>90.00</w:t>
            </w:r>
          </w:p>
        </w:tc>
      </w:tr>
      <w:tr w14:paraId="7C82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55" w:type="dxa"/>
            <w:gridSpan w:val="5"/>
            <w:vAlign w:val="center"/>
          </w:tcPr>
          <w:p w14:paraId="518A9309">
            <w:pPr>
              <w:widowControl/>
              <w:adjustRightInd/>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rPr>
              <w:t>财产一切险的投保价值为含设备、运保、安装、调试、技术服务费在内的一切费用。</w:t>
            </w:r>
          </w:p>
          <w:p w14:paraId="7106D7DB">
            <w:pPr>
              <w:widowControl/>
              <w:adjustRightInd/>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rPr>
              <w:t>、“机损险”应定义为“设备系统损坏险”，投保金额包含出厂价、运保费、安装、安装材料、调试、开通、技术联络等服务费。</w:t>
            </w:r>
          </w:p>
        </w:tc>
      </w:tr>
    </w:tbl>
    <w:p w14:paraId="1825DF13">
      <w:pPr>
        <w:rPr>
          <w:color w:val="auto"/>
          <w:szCs w:val="21"/>
          <w:highlight w:val="none"/>
        </w:rPr>
        <w:sectPr>
          <w:pgSz w:w="11905" w:h="16838"/>
          <w:pgMar w:top="1417" w:right="1417" w:bottom="1417" w:left="1417" w:header="720" w:footer="720" w:gutter="0"/>
          <w:cols w:space="720" w:num="1"/>
          <w:docGrid w:linePitch="286" w:charSpace="0"/>
        </w:sectPr>
      </w:pPr>
    </w:p>
    <w:p w14:paraId="0CF9FE96">
      <w:pPr>
        <w:widowControl/>
        <w:adjustRightInd/>
        <w:spacing w:line="360" w:lineRule="auto"/>
        <w:jc w:val="center"/>
        <w:rPr>
          <w:rFonts w:ascii="宋体" w:hAnsi="宋体" w:eastAsia="宋体" w:cs="宋体"/>
          <w:b/>
          <w:bCs/>
          <w:color w:val="auto"/>
          <w:kern w:val="0"/>
          <w:sz w:val="24"/>
          <w:szCs w:val="21"/>
          <w:highlight w:val="none"/>
        </w:rPr>
      </w:pPr>
      <w:bookmarkStart w:id="123" w:name="_Toc10968"/>
      <w:bookmarkStart w:id="124" w:name="_Toc98443913"/>
      <w:bookmarkStart w:id="125" w:name="_Toc4887"/>
      <w:bookmarkStart w:id="126" w:name="_Toc32132"/>
      <w:r>
        <w:rPr>
          <w:rFonts w:hint="eastAsia" w:ascii="宋体" w:hAnsi="宋体" w:eastAsia="宋体" w:cs="宋体"/>
          <w:b/>
          <w:bCs/>
          <w:color w:val="auto"/>
          <w:kern w:val="0"/>
          <w:sz w:val="21"/>
          <w:szCs w:val="21"/>
          <w:highlight w:val="none"/>
        </w:rPr>
        <w:t>财产一切险基本条款</w:t>
      </w:r>
      <w:bookmarkEnd w:id="123"/>
      <w:bookmarkEnd w:id="124"/>
      <w:bookmarkEnd w:id="125"/>
      <w:bookmarkEnd w:id="126"/>
    </w:p>
    <w:p w14:paraId="4FDD48A7">
      <w:pPr>
        <w:widowControl/>
        <w:adjustRightInd/>
        <w:spacing w:line="360" w:lineRule="auto"/>
        <w:ind w:firstLine="241"/>
        <w:jc w:val="center"/>
        <w:rPr>
          <w:rFonts w:ascii="宋体" w:hAnsi="宋体" w:eastAsia="宋体" w:cs="宋体"/>
          <w:b/>
          <w:bCs/>
          <w:color w:val="auto"/>
          <w:kern w:val="0"/>
          <w:sz w:val="24"/>
          <w:szCs w:val="21"/>
          <w:highlight w:val="none"/>
        </w:rPr>
      </w:pPr>
      <w:bookmarkStart w:id="127" w:name="总则"/>
      <w:r>
        <w:rPr>
          <w:rFonts w:hint="eastAsia" w:ascii="宋体" w:hAnsi="宋体" w:eastAsia="宋体" w:cs="宋体"/>
          <w:b/>
          <w:bCs/>
          <w:color w:val="auto"/>
          <w:kern w:val="0"/>
          <w:sz w:val="21"/>
          <w:szCs w:val="21"/>
          <w:highlight w:val="none"/>
        </w:rPr>
        <w:t>总则</w:t>
      </w:r>
      <w:bookmarkEnd w:id="127"/>
    </w:p>
    <w:p w14:paraId="37B4CE4E">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第一条</w:t>
      </w:r>
      <w:r>
        <w:rPr>
          <w:rFonts w:hint="eastAsia" w:ascii="宋体" w:hAnsi="宋体" w:eastAsia="宋体" w:cs="宋体"/>
          <w:color w:val="auto"/>
          <w:kern w:val="0"/>
          <w:sz w:val="21"/>
          <w:szCs w:val="21"/>
          <w:highlight w:val="none"/>
        </w:rPr>
        <w:t xml:space="preserve">  本保险合同由保险条款、投保单、保险单或其他保险凭证以及批单组成。凡涉及本保险合同的约定，均应采用书面形式。</w:t>
      </w:r>
    </w:p>
    <w:p w14:paraId="632F845F">
      <w:pPr>
        <w:widowControl/>
        <w:adjustRightInd/>
        <w:spacing w:line="360" w:lineRule="auto"/>
        <w:ind w:firstLine="241"/>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保险标的</w:t>
      </w:r>
    </w:p>
    <w:p w14:paraId="3880349C">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第二条</w:t>
      </w:r>
      <w:r>
        <w:rPr>
          <w:rFonts w:hint="eastAsia" w:ascii="宋体" w:hAnsi="宋体" w:eastAsia="宋体" w:cs="宋体"/>
          <w:color w:val="auto"/>
          <w:kern w:val="0"/>
          <w:sz w:val="21"/>
          <w:szCs w:val="21"/>
          <w:highlight w:val="none"/>
        </w:rPr>
        <w:t xml:space="preserve">  本保险合同载明地址内的下列财产可作为保险标的：</w:t>
      </w:r>
    </w:p>
    <w:p w14:paraId="1DE55CAB">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（一）属于被保险人所有或与他人共有而由被保险人负责的财产；</w:t>
      </w:r>
    </w:p>
    <w:p w14:paraId="5A7EA1A2">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（二）由被保险人经营管理或替他人保管的财产；</w:t>
      </w:r>
    </w:p>
    <w:p w14:paraId="0F4F0215">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（三）其他具有法律上承认的与被保险人有经济利害关系的财产。</w:t>
      </w:r>
    </w:p>
    <w:p w14:paraId="6382E49B">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第三条</w:t>
      </w:r>
      <w:r>
        <w:rPr>
          <w:rFonts w:hint="eastAsia" w:ascii="宋体" w:hAnsi="宋体" w:eastAsia="宋体" w:cs="宋体"/>
          <w:color w:val="auto"/>
          <w:kern w:val="0"/>
          <w:sz w:val="21"/>
          <w:szCs w:val="21"/>
          <w:highlight w:val="none"/>
        </w:rPr>
        <w:t xml:space="preserve">  本保险合同载明地址内的下列财产未经保险合同双方特别约定并在保险合同中载明保险价值的，不属于本保险合同的保险标的：</w:t>
      </w:r>
    </w:p>
    <w:p w14:paraId="58E00A51">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（一）金银、珠宝、钻石、玉器、首饰、古币、古玩、古书、古画、邮票、字画、艺术品、稀有金属等珍贵财物；</w:t>
      </w:r>
    </w:p>
    <w:p w14:paraId="0EC51E60">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（二）堤堰、水闸、铁路、道路、涵洞、隧道、桥梁、码头；</w:t>
      </w:r>
    </w:p>
    <w:p w14:paraId="772A8CF3">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（三）矿井（坑）内的设备和物资；</w:t>
      </w:r>
    </w:p>
    <w:p w14:paraId="1BB4C4E4">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（四）便携式通讯装置、便携式计算机设备、便携式照相摄像器材以及其他便携式装置、设备；</w:t>
      </w:r>
    </w:p>
    <w:p w14:paraId="12A43C2B">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（五）尚未交付使用或验收的工程。</w:t>
      </w:r>
    </w:p>
    <w:p w14:paraId="7882A370">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第四条</w:t>
      </w:r>
      <w:r>
        <w:rPr>
          <w:rFonts w:hint="eastAsia" w:ascii="宋体" w:hAnsi="宋体" w:eastAsia="宋体" w:cs="宋体"/>
          <w:color w:val="auto"/>
          <w:kern w:val="0"/>
          <w:sz w:val="21"/>
          <w:szCs w:val="21"/>
          <w:highlight w:val="none"/>
        </w:rPr>
        <w:t xml:space="preserve">  下列财产不属于本保险合同的保险标的：</w:t>
      </w:r>
    </w:p>
    <w:p w14:paraId="29A06CA5">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（一）土地、矿藏、水资源及其他自然资源；</w:t>
      </w:r>
    </w:p>
    <w:p w14:paraId="382A11B4">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（二）矿井、矿坑；</w:t>
      </w:r>
    </w:p>
    <w:p w14:paraId="13B6034A">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 xml:space="preserve">（三）货币、票证、有价证券以及有现金价值的磁卡、集成电路（IC）卡等卡类； </w:t>
      </w:r>
    </w:p>
    <w:p w14:paraId="2F58A94D">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（四）文件、账册、图表、技术资料、计算机软件、计算机数据资料等无法鉴定价值的财产；</w:t>
      </w:r>
    </w:p>
    <w:p w14:paraId="09E8A206">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 xml:space="preserve">（五）枪支弹药； </w:t>
      </w:r>
    </w:p>
    <w:p w14:paraId="0AFF3390">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（六）违章建筑、危险建筑、非法占用的财产；</w:t>
      </w:r>
    </w:p>
    <w:p w14:paraId="35C9A081">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（七）领取公共行驶执照的机动车辆；</w:t>
      </w:r>
    </w:p>
    <w:p w14:paraId="428D27BB">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（八）动物、植物、农作物。</w:t>
      </w:r>
    </w:p>
    <w:p w14:paraId="0B1EC8B9">
      <w:pPr>
        <w:widowControl/>
        <w:adjustRightInd/>
        <w:spacing w:line="360" w:lineRule="auto"/>
        <w:ind w:firstLine="241"/>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保险责任</w:t>
      </w:r>
    </w:p>
    <w:p w14:paraId="67AC2AA5">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第五条</w:t>
      </w:r>
      <w:r>
        <w:rPr>
          <w:rFonts w:hint="eastAsia" w:ascii="宋体" w:hAnsi="宋体" w:eastAsia="宋体" w:cs="宋体"/>
          <w:color w:val="auto"/>
          <w:kern w:val="0"/>
          <w:sz w:val="21"/>
          <w:szCs w:val="21"/>
          <w:highlight w:val="none"/>
        </w:rPr>
        <w:t xml:space="preserve">  在保险期间内，由于自然灾害或意外事故造成</w:t>
      </w:r>
      <w:r>
        <w:rPr>
          <w:rFonts w:hint="eastAsia" w:ascii="宋体" w:hAnsi="宋体" w:eastAsia="宋体" w:cs="宋体"/>
          <w:bCs/>
          <w:color w:val="auto"/>
          <w:kern w:val="0"/>
          <w:sz w:val="21"/>
          <w:szCs w:val="21"/>
          <w:highlight w:val="none"/>
        </w:rPr>
        <w:t>保险标的直接物质损坏或灭失（以下简称“损失”）</w:t>
      </w:r>
      <w:r>
        <w:rPr>
          <w:rFonts w:hint="eastAsia" w:ascii="宋体" w:hAnsi="宋体" w:eastAsia="宋体" w:cs="宋体"/>
          <w:color w:val="auto"/>
          <w:kern w:val="0"/>
          <w:sz w:val="21"/>
          <w:szCs w:val="21"/>
          <w:highlight w:val="none"/>
        </w:rPr>
        <w:t>，保险人按照本保险合同的约定负责赔偿。</w:t>
      </w:r>
    </w:p>
    <w:p w14:paraId="4BF9BEEB">
      <w:pPr>
        <w:spacing w:after="120" w:afterLines="0" w:line="360" w:lineRule="auto"/>
        <w:ind w:firstLine="422" w:firstLineChars="200"/>
        <w:jc w:val="both"/>
        <w:rPr>
          <w:rFonts w:ascii="宋体" w:hAnsi="Times New Roman" w:eastAsia="宋体" w:cs="宋体"/>
          <w:b/>
          <w:bCs/>
          <w:color w:val="auto"/>
          <w:sz w:val="72"/>
          <w:szCs w:val="21"/>
          <w:highlight w:val="none"/>
          <w:lang w:val="en-US" w:eastAsia="zh-CN" w:bidi="ar-SA"/>
        </w:rPr>
      </w:pPr>
      <w:r>
        <w:rPr>
          <w:rFonts w:hint="eastAsia" w:ascii="宋体" w:hAnsi="Times New Roman" w:eastAsia="宋体" w:cs="宋体"/>
          <w:b/>
          <w:bCs/>
          <w:color w:val="auto"/>
          <w:sz w:val="21"/>
          <w:szCs w:val="21"/>
          <w:highlight w:val="none"/>
          <w:lang w:val="en-US" w:eastAsia="zh-CN" w:bidi="ar-SA"/>
        </w:rPr>
        <w:t>前款原因造成的保险事故发生时，为抢救保险标的或防止灾害蔓延，采取必要的、合理的措施而造成保险标的的损失，保险人按照本保险合同的约定也负责赔偿。</w:t>
      </w:r>
    </w:p>
    <w:p w14:paraId="30CA34FC">
      <w:pPr>
        <w:spacing w:after="120" w:afterLines="0" w:line="360" w:lineRule="auto"/>
        <w:ind w:firstLine="422" w:firstLineChars="200"/>
        <w:jc w:val="both"/>
        <w:rPr>
          <w:rFonts w:ascii="宋体" w:hAnsi="Times New Roman" w:eastAsia="宋体" w:cs="宋体"/>
          <w:b/>
          <w:bCs/>
          <w:color w:val="auto"/>
          <w:sz w:val="72"/>
          <w:szCs w:val="21"/>
          <w:highlight w:val="none"/>
          <w:lang w:val="en-US" w:eastAsia="zh-CN" w:bidi="ar-SA"/>
        </w:rPr>
      </w:pPr>
      <w:r>
        <w:rPr>
          <w:rFonts w:hint="eastAsia" w:ascii="宋体" w:hAnsi="Times New Roman" w:eastAsia="宋体" w:cs="宋体"/>
          <w:b/>
          <w:bCs/>
          <w:color w:val="auto"/>
          <w:sz w:val="21"/>
          <w:szCs w:val="21"/>
          <w:highlight w:val="none"/>
          <w:lang w:val="en-US" w:eastAsia="zh-CN" w:bidi="ar-SA"/>
        </w:rPr>
        <w:t>第六条  保险事故发生后，被保险人为防止或减少保险标的的损失所支付的必要的、合理的费用，保险人按照本保险合同的约定也负责赔偿。</w:t>
      </w:r>
    </w:p>
    <w:p w14:paraId="22E43286">
      <w:pPr>
        <w:widowControl/>
        <w:adjustRightInd/>
        <w:spacing w:line="360" w:lineRule="auto"/>
        <w:ind w:firstLine="241"/>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责任免除</w:t>
      </w:r>
    </w:p>
    <w:p w14:paraId="5F6958D2">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第七条 下列原因造成的损失、费用，保险人不负责赔偿：</w:t>
      </w:r>
    </w:p>
    <w:p w14:paraId="2176BCD1">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（一）投保人、被保险人及其代表的故意或重大过失行为；</w:t>
      </w:r>
    </w:p>
    <w:p w14:paraId="7CF7D56A">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 xml:space="preserve">（二）行政行为或司法行为； </w:t>
      </w:r>
    </w:p>
    <w:p w14:paraId="10FE50E4">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 xml:space="preserve">（三）战争、类似战争行为、敌对行动、军事行动、武装冲突、罢工、骚乱、暴动、政变、谋反、恐怖活动； </w:t>
      </w:r>
    </w:p>
    <w:p w14:paraId="25AF0E7C">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（四）地震、海啸及其次生灾害；</w:t>
      </w:r>
    </w:p>
    <w:p w14:paraId="741CA87E">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（五）核辐射、核裂变、核聚变、核污染及其他放射性污染；</w:t>
      </w:r>
    </w:p>
    <w:p w14:paraId="5750D114">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（六）大气污染、土地污染、水污染及其他非放射性污染，但因保险事故造成的非放射性污染不在此限；</w:t>
      </w:r>
    </w:p>
    <w:p w14:paraId="0B7BB695">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（七）保险标的的内在或潜在缺陷、自然磨损、自然损耗，大气（气候或气温）变化、正常水位变化或其他渐变原因，物质本身变化、霉烂、受潮、鼠咬、虫蛀、鸟啄、氧化、锈蚀、渗漏、烘焙；</w:t>
      </w:r>
    </w:p>
    <w:p w14:paraId="1285C4A1">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（八）盗窃、抢劫。</w:t>
      </w:r>
    </w:p>
    <w:p w14:paraId="7AD69F12">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第八条  下列损失、费用，保险人也不负责赔偿：</w:t>
      </w:r>
    </w:p>
    <w:p w14:paraId="243C4B79">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（一）保险标的遭受保险事故引起的各种间接损失；</w:t>
      </w:r>
    </w:p>
    <w:p w14:paraId="369328D0">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（二）设计错误、原材料缺陷或工艺不善造成保险标的本身的损失；</w:t>
      </w:r>
    </w:p>
    <w:p w14:paraId="10F4D3CF">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三）广告牌、天线、霓虹灯、太阳能装置等建筑物外部附属设施，存放于露天或简易建筑物内的保险标的以及简易建筑，由于雷电、暴雨、洪水、暴风、龙卷风、冰雹、台风、飓风、暴雪、冰凌、沙尘暴造成的损失；</w:t>
      </w:r>
    </w:p>
    <w:p w14:paraId="30621BFF">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（四）锅炉及压力容器爆炸造成其本身的损失；</w:t>
      </w:r>
    </w:p>
    <w:p w14:paraId="7585E4E9">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（五）非外力造成机械或电气设备本身的损失；</w:t>
      </w:r>
    </w:p>
    <w:p w14:paraId="21A810CE">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（六）被保险人及其雇员的操作不当、技术缺陷造成被操作的机械或电气设备的损失；</w:t>
      </w:r>
    </w:p>
    <w:p w14:paraId="50239100">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（七）盘点时发现的短缺；</w:t>
      </w:r>
    </w:p>
    <w:p w14:paraId="47C74D58">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（八）任何原因导致公共供电、供水、供气及其他能源供应中断造成的损失和费用；</w:t>
      </w:r>
    </w:p>
    <w:p w14:paraId="0670A5D2">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（九）本保险合同中载明的免赔额或按本保险合同中载明的免赔率计算的免赔额。</w:t>
      </w:r>
    </w:p>
    <w:p w14:paraId="57F20F84">
      <w:pPr>
        <w:widowControl/>
        <w:adjustRightInd/>
        <w:spacing w:line="360" w:lineRule="auto"/>
        <w:ind w:firstLine="241"/>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保险价值、保险金额与免赔额（率）</w:t>
      </w:r>
    </w:p>
    <w:p w14:paraId="53AE2A40">
      <w:pPr>
        <w:widowControl/>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color w:val="auto"/>
          <w:kern w:val="0"/>
          <w:sz w:val="21"/>
          <w:szCs w:val="21"/>
          <w:highlight w:val="none"/>
        </w:rPr>
        <w:t xml:space="preserve">第九条  </w:t>
      </w:r>
      <w:r>
        <w:rPr>
          <w:rFonts w:hint="eastAsia" w:ascii="宋体" w:hAnsi="宋体" w:eastAsia="宋体" w:cs="宋体"/>
          <w:bCs/>
          <w:color w:val="auto"/>
          <w:kern w:val="0"/>
          <w:sz w:val="21"/>
          <w:szCs w:val="21"/>
          <w:highlight w:val="none"/>
        </w:rPr>
        <w:t>保险标的的保险价值可以为出险时的重置价值、出险时的账面余额、出险时的市场价值或其他价值，由投保人与保险人协商确定，并在本保险合同中载明。</w:t>
      </w:r>
    </w:p>
    <w:p w14:paraId="2D7066BF">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第十条</w:t>
      </w:r>
      <w:r>
        <w:rPr>
          <w:rFonts w:hint="eastAsia" w:ascii="宋体" w:hAnsi="宋体" w:eastAsia="宋体" w:cs="宋体"/>
          <w:color w:val="auto"/>
          <w:kern w:val="0"/>
          <w:sz w:val="21"/>
          <w:szCs w:val="21"/>
          <w:highlight w:val="none"/>
        </w:rPr>
        <w:t xml:space="preserve">  保险金额由投保人参照保险价值自行确定，并在保险合同中载明。保险金额不得超过保险价值。超过保险价值的，超过部分无效，保险人应当退还相应的保险费。</w:t>
      </w:r>
    </w:p>
    <w:p w14:paraId="54DEA00A">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bCs/>
          <w:color w:val="auto"/>
          <w:kern w:val="0"/>
          <w:sz w:val="21"/>
          <w:szCs w:val="21"/>
          <w:highlight w:val="none"/>
        </w:rPr>
        <w:t>第十一条</w:t>
      </w:r>
      <w:r>
        <w:rPr>
          <w:rFonts w:hint="eastAsia" w:ascii="宋体" w:hAnsi="宋体" w:eastAsia="宋体" w:cs="宋体"/>
          <w:color w:val="auto"/>
          <w:kern w:val="0"/>
          <w:sz w:val="21"/>
          <w:szCs w:val="21"/>
          <w:highlight w:val="none"/>
        </w:rPr>
        <w:t xml:space="preserve">  免赔额（率）由投保人与保险人在订立保险合同时协商确定，并在保险合同中载明。</w:t>
      </w:r>
    </w:p>
    <w:p w14:paraId="789B39CC">
      <w:pPr>
        <w:widowControl/>
        <w:adjustRightInd/>
        <w:spacing w:line="360" w:lineRule="auto"/>
        <w:ind w:firstLine="241"/>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保险期间</w:t>
      </w:r>
    </w:p>
    <w:p w14:paraId="450D4EEF">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 xml:space="preserve">第十二条  </w:t>
      </w:r>
      <w:r>
        <w:rPr>
          <w:rFonts w:hint="eastAsia" w:ascii="宋体" w:hAnsi="宋体" w:eastAsia="宋体" w:cs="宋体"/>
          <w:color w:val="auto"/>
          <w:kern w:val="0"/>
          <w:sz w:val="21"/>
          <w:szCs w:val="21"/>
          <w:highlight w:val="none"/>
        </w:rPr>
        <w:t>除另有约定外，保险期间为一年，以保险单载明的起讫时间为准。</w:t>
      </w:r>
    </w:p>
    <w:p w14:paraId="07B0501E">
      <w:pPr>
        <w:widowControl/>
        <w:adjustRightInd/>
        <w:spacing w:line="360" w:lineRule="auto"/>
        <w:ind w:firstLine="241"/>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保险人义务</w:t>
      </w:r>
    </w:p>
    <w:p w14:paraId="76176CD5">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bCs/>
          <w:color w:val="auto"/>
          <w:kern w:val="0"/>
          <w:sz w:val="21"/>
          <w:szCs w:val="21"/>
          <w:highlight w:val="none"/>
        </w:rPr>
        <w:t xml:space="preserve">第十三条 </w:t>
      </w:r>
      <w:r>
        <w:rPr>
          <w:rFonts w:hint="eastAsia" w:ascii="宋体" w:hAnsi="宋体" w:eastAsia="宋体" w:cs="宋体"/>
          <w:color w:val="auto"/>
          <w:kern w:val="0"/>
          <w:sz w:val="21"/>
          <w:szCs w:val="21"/>
          <w:highlight w:val="none"/>
        </w:rPr>
        <w:t xml:space="preserve"> 订立保险合同时，采用保险人提供的格式条款的，保险人向投保人提供的投保单应当附格式条款，保险人应当向投保人说明保险合同的内容。对保险合同中免除保险人责任的条款，保险人在订立合同时应当在投保单、保险单或者其他保险凭证上作出足以引起投保人注意的提示，并对该条款的内容以书面或者口头形式向投保人作出明确说明；未作提示或者明确说明的，该条款不产生效力。</w:t>
      </w:r>
    </w:p>
    <w:p w14:paraId="03CF810D">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bCs/>
          <w:color w:val="auto"/>
          <w:kern w:val="0"/>
          <w:sz w:val="21"/>
          <w:szCs w:val="21"/>
          <w:highlight w:val="none"/>
        </w:rPr>
        <w:t xml:space="preserve">第十四条 </w:t>
      </w:r>
      <w:r>
        <w:rPr>
          <w:rFonts w:hint="eastAsia" w:ascii="宋体" w:hAnsi="宋体" w:eastAsia="宋体" w:cs="宋体"/>
          <w:color w:val="auto"/>
          <w:kern w:val="0"/>
          <w:sz w:val="21"/>
          <w:szCs w:val="21"/>
          <w:highlight w:val="none"/>
        </w:rPr>
        <w:t xml:space="preserve"> 本保险合同成立后，保险人应当及时向投保人签发保险单或其他保险凭证。</w:t>
      </w:r>
    </w:p>
    <w:p w14:paraId="2ECAA372">
      <w:pPr>
        <w:widowControl/>
        <w:autoSpaceDE w:val="0"/>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bCs/>
          <w:color w:val="auto"/>
          <w:kern w:val="0"/>
          <w:sz w:val="21"/>
          <w:szCs w:val="21"/>
          <w:highlight w:val="none"/>
        </w:rPr>
        <w:t xml:space="preserve">第十五条 </w:t>
      </w:r>
      <w:r>
        <w:rPr>
          <w:rFonts w:hint="eastAsia" w:ascii="宋体" w:hAnsi="宋体" w:eastAsia="宋体" w:cs="宋体"/>
          <w:color w:val="auto"/>
          <w:kern w:val="0"/>
          <w:sz w:val="21"/>
          <w:szCs w:val="21"/>
          <w:highlight w:val="none"/>
        </w:rPr>
        <w:t xml:space="preserve"> 保险人依据第十九条所取得的保险合同解除权，自保险人知道有解除事由之日起，超过三十日不行使而消灭。自保险合同成立之日起超过二年的，保险人不得解除合同；发生保险事故的，保险人承担赔偿责任。</w:t>
      </w:r>
    </w:p>
    <w:p w14:paraId="43248DDF">
      <w:pPr>
        <w:widowControl/>
        <w:autoSpaceDE w:val="0"/>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保险人在合同订立时已经知道投保人未如实告知的情况的，保险人不得解除合同；发生保险事故的，保险人应当承担赔偿责任。</w:t>
      </w:r>
    </w:p>
    <w:p w14:paraId="7449DCE4">
      <w:pPr>
        <w:widowControl/>
        <w:autoSpaceDE w:val="0"/>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bCs/>
          <w:color w:val="auto"/>
          <w:kern w:val="0"/>
          <w:sz w:val="21"/>
          <w:szCs w:val="21"/>
          <w:highlight w:val="none"/>
        </w:rPr>
        <w:t xml:space="preserve">第十六条 </w:t>
      </w:r>
      <w:r>
        <w:rPr>
          <w:rFonts w:hint="eastAsia" w:ascii="宋体" w:hAnsi="宋体" w:eastAsia="宋体" w:cs="宋体"/>
          <w:color w:val="auto"/>
          <w:kern w:val="0"/>
          <w:sz w:val="21"/>
          <w:szCs w:val="21"/>
          <w:highlight w:val="none"/>
        </w:rPr>
        <w:t>保险人按照第二十五条的约定，认为被保险人提供的有关索赔的证明和资料不完整的，应当及时一次性通知投保人、被保险人补充提供。</w:t>
      </w:r>
    </w:p>
    <w:p w14:paraId="441C20E0">
      <w:pPr>
        <w:widowControl/>
        <w:adjustRightInd w:val="0"/>
        <w:snapToGrid w:val="0"/>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bCs/>
          <w:color w:val="auto"/>
          <w:kern w:val="0"/>
          <w:sz w:val="21"/>
          <w:szCs w:val="21"/>
          <w:highlight w:val="none"/>
        </w:rPr>
        <w:t xml:space="preserve">第十七条 </w:t>
      </w:r>
      <w:r>
        <w:rPr>
          <w:rFonts w:hint="eastAsia" w:ascii="宋体" w:hAnsi="宋体" w:eastAsia="宋体" w:cs="宋体"/>
          <w:color w:val="auto"/>
          <w:kern w:val="0"/>
          <w:sz w:val="21"/>
          <w:szCs w:val="21"/>
          <w:highlight w:val="none"/>
        </w:rPr>
        <w:t xml:space="preserve"> 保险人收到被保险人的赔偿保险金的请求后，应当及时作出是否属于保险责任的核定；情形复杂的，应当在三十日内作出核定，但保险合同另有约定的除外。</w:t>
      </w:r>
    </w:p>
    <w:p w14:paraId="55A49FD8">
      <w:pPr>
        <w:widowControl/>
        <w:autoSpaceDE w:val="0"/>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人应当将核定结果通知被保险人；对属于保险责任的，在与被保险人达成赔偿保险金的协议后十日内，履行赔偿保险金义务。保险合同对赔偿保险金的期限有约定的，保险人应当按照约定履行赔偿保险金的义务。保险人依照前款约定作出核定后，对不属于保险责任的，应当自作出核定之日起三日内向被保险人发出拒绝赔偿保险金通知书，并说明理由。</w:t>
      </w:r>
    </w:p>
    <w:p w14:paraId="2B06B27A">
      <w:pPr>
        <w:widowControl/>
        <w:autoSpaceDE w:val="0"/>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bCs/>
          <w:color w:val="auto"/>
          <w:kern w:val="0"/>
          <w:sz w:val="21"/>
          <w:szCs w:val="21"/>
          <w:highlight w:val="none"/>
        </w:rPr>
        <w:t xml:space="preserve">第十八条 </w:t>
      </w:r>
      <w:r>
        <w:rPr>
          <w:rFonts w:hint="eastAsia" w:ascii="宋体" w:hAnsi="宋体" w:eastAsia="宋体" w:cs="宋体"/>
          <w:color w:val="auto"/>
          <w:kern w:val="0"/>
          <w:sz w:val="21"/>
          <w:szCs w:val="21"/>
          <w:highlight w:val="none"/>
        </w:rPr>
        <w:t>保险人自收到赔偿的请求和有关证明、资料之日起六十日内，对其赔偿保险金的数额不能确定的，应当根据已有证明和资料可以确定的数额先予支付；保险人最终确定赔偿的数额后，应当支付相应的差额。</w:t>
      </w:r>
    </w:p>
    <w:p w14:paraId="1F89348A">
      <w:pPr>
        <w:widowControl/>
        <w:adjustRightInd/>
        <w:spacing w:line="360" w:lineRule="auto"/>
        <w:ind w:firstLine="422" w:firstLineChars="200"/>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投保人、被保险人义务</w:t>
      </w:r>
    </w:p>
    <w:p w14:paraId="7057DF45">
      <w:pPr>
        <w:widowControl/>
        <w:autoSpaceDE w:val="0"/>
        <w:adjustRightInd/>
        <w:spacing w:line="360" w:lineRule="auto"/>
        <w:ind w:firstLine="422" w:firstLineChars="200"/>
        <w:jc w:val="left"/>
        <w:rPr>
          <w:rFonts w:ascii="宋体" w:hAnsi="宋体" w:eastAsia="宋体" w:cs="宋体"/>
          <w:bCs/>
          <w:color w:val="auto"/>
          <w:kern w:val="0"/>
          <w:sz w:val="24"/>
          <w:szCs w:val="21"/>
          <w:highlight w:val="none"/>
        </w:rPr>
      </w:pPr>
      <w:r>
        <w:rPr>
          <w:rFonts w:hint="eastAsia" w:ascii="宋体" w:hAnsi="宋体" w:eastAsia="宋体" w:cs="宋体"/>
          <w:b/>
          <w:bCs/>
          <w:color w:val="auto"/>
          <w:kern w:val="0"/>
          <w:sz w:val="21"/>
          <w:szCs w:val="21"/>
          <w:highlight w:val="none"/>
        </w:rPr>
        <w:t xml:space="preserve">第十九条 </w:t>
      </w:r>
      <w:r>
        <w:rPr>
          <w:rFonts w:hint="eastAsia" w:ascii="宋体" w:hAnsi="宋体" w:eastAsia="宋体" w:cs="宋体"/>
          <w:bCs/>
          <w:color w:val="auto"/>
          <w:kern w:val="0"/>
          <w:sz w:val="21"/>
          <w:szCs w:val="21"/>
          <w:highlight w:val="none"/>
        </w:rPr>
        <w:t xml:space="preserve"> 订立保险合同，保险人就保险标的或者被保险人的有关情况提出询问的，投保人应当如实告知，并如实填写投保单。</w:t>
      </w:r>
    </w:p>
    <w:p w14:paraId="318853BC">
      <w:pPr>
        <w:widowControl/>
        <w:autoSpaceDE w:val="0"/>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投保人故意或者因重大过失未履行前款规定的如实告知义务，足以影响保险人决定是否同意承保或者提高保险费率的，保险人有权解除合同。</w:t>
      </w:r>
    </w:p>
    <w:p w14:paraId="66983CC2">
      <w:pPr>
        <w:widowControl w:val="0"/>
        <w:spacing w:after="0" w:line="360" w:lineRule="auto"/>
        <w:ind w:left="420" w:leftChars="200" w:firstLine="422"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b/>
          <w:color w:val="auto"/>
          <w:kern w:val="2"/>
          <w:sz w:val="21"/>
          <w:szCs w:val="21"/>
          <w:highlight w:val="none"/>
          <w:lang w:val="en-US" w:eastAsia="zh-CN" w:bidi="ar-SA"/>
        </w:rPr>
        <w:t>投保人故意不履行如实告知义务的，保险人对于合同解除前发生的保险事故，不承担赔偿责任，并不退还保险费。</w:t>
      </w:r>
    </w:p>
    <w:p w14:paraId="16EF79EF">
      <w:pPr>
        <w:widowControl w:val="0"/>
        <w:spacing w:after="0" w:line="360" w:lineRule="auto"/>
        <w:ind w:left="420" w:leftChars="200" w:firstLine="422" w:firstLineChars="200"/>
        <w:jc w:val="both"/>
        <w:rPr>
          <w:rFonts w:ascii="宋体" w:hAnsi="Times New Roman" w:eastAsia="宋体" w:cs="宋体"/>
          <w:bCs/>
          <w:color w:val="auto"/>
          <w:kern w:val="2"/>
          <w:sz w:val="21"/>
          <w:szCs w:val="21"/>
          <w:highlight w:val="none"/>
          <w:lang w:val="en-US" w:eastAsia="zh-CN" w:bidi="ar-SA"/>
        </w:rPr>
      </w:pPr>
      <w:r>
        <w:rPr>
          <w:rFonts w:hint="eastAsia" w:ascii="宋体" w:hAnsi="Times New Roman" w:eastAsia="宋体" w:cs="宋体"/>
          <w:b/>
          <w:color w:val="auto"/>
          <w:kern w:val="2"/>
          <w:sz w:val="21"/>
          <w:szCs w:val="21"/>
          <w:highlight w:val="none"/>
          <w:lang w:val="en-US" w:eastAsia="zh-CN" w:bidi="ar-SA"/>
        </w:rPr>
        <w:t>投保人因重大过失未履行如实告知义务，对保险事故的发生有严重影响的，保险人对于合同解除前发生的保险事故，不承担赔偿责任，</w:t>
      </w:r>
      <w:r>
        <w:rPr>
          <w:rFonts w:hint="eastAsia" w:ascii="宋体" w:hAnsi="Times New Roman" w:eastAsia="宋体" w:cs="宋体"/>
          <w:b/>
          <w:bCs/>
          <w:color w:val="auto"/>
          <w:kern w:val="2"/>
          <w:sz w:val="21"/>
          <w:szCs w:val="21"/>
          <w:highlight w:val="none"/>
          <w:lang w:val="en-US" w:eastAsia="zh-CN" w:bidi="ar-SA"/>
        </w:rPr>
        <w:t>但应当退还保险费。</w:t>
      </w:r>
    </w:p>
    <w:p w14:paraId="538FA637">
      <w:pPr>
        <w:widowControl/>
        <w:autoSpaceDE w:val="0"/>
        <w:adjustRightInd/>
        <w:spacing w:line="360" w:lineRule="auto"/>
        <w:ind w:firstLine="422" w:firstLineChars="200"/>
        <w:jc w:val="left"/>
        <w:rPr>
          <w:rFonts w:ascii="宋体" w:hAnsi="宋体" w:eastAsia="宋体" w:cs="宋体"/>
          <w:bCs/>
          <w:color w:val="auto"/>
          <w:kern w:val="0"/>
          <w:sz w:val="24"/>
          <w:szCs w:val="21"/>
          <w:highlight w:val="none"/>
        </w:rPr>
      </w:pPr>
      <w:r>
        <w:rPr>
          <w:rFonts w:hint="eastAsia" w:ascii="宋体" w:hAnsi="宋体" w:eastAsia="宋体" w:cs="宋体"/>
          <w:b/>
          <w:bCs/>
          <w:color w:val="auto"/>
          <w:kern w:val="0"/>
          <w:sz w:val="21"/>
          <w:szCs w:val="21"/>
          <w:highlight w:val="none"/>
        </w:rPr>
        <w:t>第二十条</w:t>
      </w:r>
      <w:r>
        <w:rPr>
          <w:rFonts w:hint="eastAsia" w:ascii="宋体" w:hAnsi="宋体" w:eastAsia="宋体" w:cs="宋体"/>
          <w:bCs/>
          <w:color w:val="auto"/>
          <w:kern w:val="0"/>
          <w:sz w:val="21"/>
          <w:szCs w:val="21"/>
          <w:highlight w:val="none"/>
        </w:rPr>
        <w:t xml:space="preserve">  投保人应按约定交付保险费。</w:t>
      </w:r>
    </w:p>
    <w:p w14:paraId="32B310AE">
      <w:pPr>
        <w:widowControl/>
        <w:autoSpaceDE w:val="0"/>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约定一次性交付保险费的，</w:t>
      </w:r>
      <w:r>
        <w:rPr>
          <w:rFonts w:hint="eastAsia" w:ascii="宋体" w:hAnsi="宋体" w:eastAsia="宋体" w:cs="宋体"/>
          <w:b/>
          <w:bCs/>
          <w:color w:val="auto"/>
          <w:kern w:val="0"/>
          <w:sz w:val="21"/>
          <w:szCs w:val="21"/>
          <w:highlight w:val="none"/>
        </w:rPr>
        <w:t>投保人在约定交费日后交付保险费的，保险人对交费之前发生的保险事故不承担保险责任。</w:t>
      </w:r>
    </w:p>
    <w:p w14:paraId="6BEE9AAE">
      <w:pPr>
        <w:widowControl/>
        <w:autoSpaceDE w:val="0"/>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约定分期交付保险费的，</w:t>
      </w:r>
      <w:r>
        <w:rPr>
          <w:rFonts w:hint="eastAsia" w:ascii="宋体" w:hAnsi="宋体" w:eastAsia="宋体" w:cs="宋体"/>
          <w:b/>
          <w:bCs/>
          <w:color w:val="auto"/>
          <w:kern w:val="0"/>
          <w:sz w:val="21"/>
          <w:szCs w:val="21"/>
          <w:highlight w:val="none"/>
        </w:rPr>
        <w:t>保险人按照保险事故发生前保险人实际收取保险费总额与投保人应当交付的保险费的比例承担保险责任</w:t>
      </w:r>
      <w:r>
        <w:rPr>
          <w:rFonts w:hint="eastAsia" w:ascii="宋体" w:hAnsi="宋体" w:eastAsia="宋体" w:cs="宋体"/>
          <w:bCs/>
          <w:color w:val="auto"/>
          <w:kern w:val="0"/>
          <w:sz w:val="21"/>
          <w:szCs w:val="21"/>
          <w:highlight w:val="none"/>
        </w:rPr>
        <w:t>，投保人应当交付的保险费是指截至保险事故发生时投保人按约定分期应该缴纳的保费总额。</w:t>
      </w:r>
    </w:p>
    <w:p w14:paraId="28A25D6F">
      <w:pPr>
        <w:widowControl w:val="0"/>
        <w:spacing w:after="0" w:line="360" w:lineRule="auto"/>
        <w:ind w:left="0" w:leftChars="0" w:firstLine="422"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b/>
          <w:bCs/>
          <w:color w:val="auto"/>
          <w:kern w:val="2"/>
          <w:sz w:val="21"/>
          <w:szCs w:val="21"/>
          <w:highlight w:val="none"/>
          <w:lang w:val="en-US" w:eastAsia="zh-CN" w:bidi="ar-SA"/>
        </w:rPr>
        <w:t>第二十一条</w:t>
      </w:r>
      <w:r>
        <w:rPr>
          <w:rFonts w:hint="eastAsia" w:ascii="宋体" w:hAnsi="Times New Roman" w:eastAsia="宋体" w:cs="宋体"/>
          <w:color w:val="auto"/>
          <w:kern w:val="2"/>
          <w:sz w:val="21"/>
          <w:szCs w:val="21"/>
          <w:highlight w:val="none"/>
          <w:lang w:val="en-US" w:eastAsia="zh-CN" w:bidi="ar-SA"/>
        </w:rPr>
        <w:t xml:space="preserve">  被保险人应当遵守国家有关消防、安全、生产操作、劳动保护等方面的相关法律、法规及规定，加强管理，采取合理的预防措施，尽力避免或减少责任事故的发生，维护保险标的的安全。</w:t>
      </w:r>
    </w:p>
    <w:p w14:paraId="7CBA7338">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保险人可以对被保险人遵守前款约定的情况进行检查，向投保人、被保险人提出消除不安全因素和隐患的书面建议，投保人、被保险人应该认真付诸实施。</w:t>
      </w:r>
    </w:p>
    <w:p w14:paraId="78B7C599">
      <w:pPr>
        <w:widowControl w:val="0"/>
        <w:spacing w:after="0" w:line="360" w:lineRule="auto"/>
        <w:ind w:left="0" w:leftChars="0" w:firstLine="420"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投保人、被保险人未按照约定履行其对保险标的的安全应尽责任的，保险人有权要求增加保险费或者解除合同。</w:t>
      </w:r>
    </w:p>
    <w:p w14:paraId="28B2F25B">
      <w:pPr>
        <w:widowControl w:val="0"/>
        <w:spacing w:after="0" w:line="360" w:lineRule="auto"/>
        <w:ind w:left="0" w:leftChars="0" w:firstLine="422"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b/>
          <w:bCs/>
          <w:color w:val="auto"/>
          <w:kern w:val="2"/>
          <w:sz w:val="21"/>
          <w:szCs w:val="21"/>
          <w:highlight w:val="none"/>
          <w:lang w:val="en-US" w:eastAsia="zh-CN" w:bidi="ar-SA"/>
        </w:rPr>
        <w:t>第二十二条</w:t>
      </w:r>
      <w:r>
        <w:rPr>
          <w:rFonts w:hint="eastAsia" w:ascii="宋体" w:hAnsi="Times New Roman" w:eastAsia="宋体" w:cs="宋体"/>
          <w:color w:val="auto"/>
          <w:kern w:val="2"/>
          <w:sz w:val="21"/>
          <w:szCs w:val="21"/>
          <w:highlight w:val="none"/>
          <w:lang w:val="en-US" w:eastAsia="zh-CN" w:bidi="ar-SA"/>
        </w:rPr>
        <w:t xml:space="preserve">  保险标的转让的，被保险人或者受让人应当及时通知保险人。</w:t>
      </w:r>
    </w:p>
    <w:p w14:paraId="58A647E1">
      <w:pPr>
        <w:widowControl w:val="0"/>
        <w:spacing w:after="0" w:line="360" w:lineRule="auto"/>
        <w:ind w:left="0" w:leftChars="0" w:firstLine="420"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因保险标的转让导致危险程度显著增加的，保险人自收到前款规定的通知之日起三十日内，可以按照合同约定增加保险费或者解除合同。保险人解除合同的，应当将已收取的保险费，按照合同约定扣除自保险责任开始之日起至合同解除之日止应收的部分后，退还投保人。</w:t>
      </w:r>
    </w:p>
    <w:p w14:paraId="1B2DAB63">
      <w:pPr>
        <w:widowControl w:val="0"/>
        <w:spacing w:after="0" w:line="360" w:lineRule="auto"/>
        <w:ind w:left="0" w:leftChars="0" w:firstLine="422" w:firstLineChars="200"/>
        <w:jc w:val="both"/>
        <w:rPr>
          <w:rFonts w:ascii="宋体" w:hAnsi="Times New Roman" w:eastAsia="宋体" w:cs="宋体"/>
          <w:b/>
          <w:color w:val="auto"/>
          <w:kern w:val="2"/>
          <w:sz w:val="21"/>
          <w:szCs w:val="21"/>
          <w:highlight w:val="none"/>
          <w:lang w:val="en-US" w:eastAsia="zh-CN" w:bidi="ar-SA"/>
        </w:rPr>
      </w:pPr>
      <w:r>
        <w:rPr>
          <w:rFonts w:hint="eastAsia" w:ascii="宋体" w:hAnsi="Times New Roman" w:eastAsia="宋体" w:cs="宋体"/>
          <w:b/>
          <w:color w:val="auto"/>
          <w:kern w:val="2"/>
          <w:sz w:val="21"/>
          <w:szCs w:val="21"/>
          <w:highlight w:val="none"/>
          <w:lang w:val="en-US" w:eastAsia="zh-CN" w:bidi="ar-SA"/>
        </w:rPr>
        <w:t>被保险人、受让人未履行本条规定的通知义务的，因转让导致保险标的危险程度显著增加而发生的保险事故，保险人不承担赔偿责任。</w:t>
      </w:r>
    </w:p>
    <w:p w14:paraId="61763069">
      <w:pPr>
        <w:widowControl w:val="0"/>
        <w:spacing w:after="0" w:line="360" w:lineRule="auto"/>
        <w:ind w:left="0" w:leftChars="0" w:firstLine="422" w:firstLineChars="200"/>
        <w:jc w:val="both"/>
        <w:rPr>
          <w:rFonts w:ascii="宋体" w:hAnsi="Times New Roman" w:eastAsia="宋体" w:cs="宋体"/>
          <w:b/>
          <w:color w:val="auto"/>
          <w:kern w:val="2"/>
          <w:sz w:val="21"/>
          <w:szCs w:val="21"/>
          <w:highlight w:val="none"/>
          <w:lang w:val="en-US" w:eastAsia="zh-CN" w:bidi="ar-SA"/>
        </w:rPr>
      </w:pPr>
      <w:r>
        <w:rPr>
          <w:rFonts w:hint="eastAsia" w:ascii="宋体" w:hAnsi="Times New Roman" w:eastAsia="宋体" w:cs="宋体"/>
          <w:b/>
          <w:color w:val="auto"/>
          <w:kern w:val="2"/>
          <w:sz w:val="21"/>
          <w:szCs w:val="21"/>
          <w:highlight w:val="none"/>
          <w:lang w:val="en-US" w:eastAsia="zh-CN" w:bidi="ar-SA"/>
        </w:rPr>
        <w:t xml:space="preserve">第二十三条  </w:t>
      </w:r>
      <w:r>
        <w:rPr>
          <w:rFonts w:hint="eastAsia" w:ascii="宋体" w:hAnsi="Times New Roman" w:eastAsia="宋体" w:cs="宋体"/>
          <w:color w:val="auto"/>
          <w:kern w:val="2"/>
          <w:sz w:val="21"/>
          <w:szCs w:val="21"/>
          <w:highlight w:val="none"/>
          <w:lang w:val="en-US" w:eastAsia="zh-CN" w:bidi="ar-SA"/>
        </w:rPr>
        <w:t>在合同有效期内，如保险标的占用与使用性质、保险标的地址及其他可能导致保险标的危险程度显著增加的、或其他足以影响保险人决定是否继续承保或是否增加保险费的保险合同重要事项变更，被保险人应及时书面通知保险人，保险人有权要求增加保险费或者解除合同。</w:t>
      </w:r>
    </w:p>
    <w:p w14:paraId="73F85D0D">
      <w:pPr>
        <w:widowControl w:val="0"/>
        <w:spacing w:after="0" w:line="360" w:lineRule="auto"/>
        <w:ind w:left="0" w:leftChars="0" w:firstLine="422" w:firstLineChars="200"/>
        <w:jc w:val="both"/>
        <w:rPr>
          <w:rFonts w:ascii="宋体" w:hAnsi="Times New Roman" w:eastAsia="宋体" w:cs="宋体"/>
          <w:b/>
          <w:color w:val="auto"/>
          <w:kern w:val="2"/>
          <w:sz w:val="21"/>
          <w:szCs w:val="21"/>
          <w:highlight w:val="none"/>
          <w:lang w:val="en-US" w:eastAsia="zh-CN" w:bidi="ar-SA"/>
        </w:rPr>
      </w:pPr>
      <w:r>
        <w:rPr>
          <w:rFonts w:hint="eastAsia" w:ascii="宋体" w:hAnsi="Times New Roman" w:eastAsia="宋体" w:cs="宋体"/>
          <w:b/>
          <w:color w:val="auto"/>
          <w:kern w:val="2"/>
          <w:sz w:val="21"/>
          <w:szCs w:val="21"/>
          <w:highlight w:val="none"/>
          <w:lang w:val="en-US" w:eastAsia="zh-CN" w:bidi="ar-SA"/>
        </w:rPr>
        <w:t>被保险人未履行前款约定的通知义务的，因保险标的的危险程度显著增加而发生的保险事故，保险人不承担赔偿责任。</w:t>
      </w:r>
    </w:p>
    <w:p w14:paraId="3B9A757F">
      <w:pPr>
        <w:widowControl w:val="0"/>
        <w:spacing w:after="0" w:line="360" w:lineRule="auto"/>
        <w:ind w:left="0" w:leftChars="0" w:firstLine="422" w:firstLineChars="200"/>
        <w:jc w:val="both"/>
        <w:rPr>
          <w:rFonts w:ascii="宋体" w:hAnsi="Times New Roman" w:eastAsia="宋体" w:cs="宋体"/>
          <w:b/>
          <w:color w:val="auto"/>
          <w:kern w:val="2"/>
          <w:sz w:val="21"/>
          <w:szCs w:val="21"/>
          <w:highlight w:val="none"/>
          <w:lang w:val="en-US" w:eastAsia="zh-CN" w:bidi="ar-SA"/>
        </w:rPr>
      </w:pPr>
      <w:r>
        <w:rPr>
          <w:rFonts w:hint="eastAsia" w:ascii="宋体" w:hAnsi="Times New Roman" w:eastAsia="宋体" w:cs="宋体"/>
          <w:b/>
          <w:color w:val="auto"/>
          <w:kern w:val="2"/>
          <w:sz w:val="21"/>
          <w:szCs w:val="21"/>
          <w:highlight w:val="none"/>
          <w:lang w:val="en-US" w:eastAsia="zh-CN" w:bidi="ar-SA"/>
        </w:rPr>
        <w:t xml:space="preserve">第二十四条  </w:t>
      </w:r>
      <w:r>
        <w:rPr>
          <w:rFonts w:hint="eastAsia" w:ascii="宋体" w:hAnsi="Times New Roman" w:eastAsia="宋体" w:cs="宋体"/>
          <w:color w:val="auto"/>
          <w:kern w:val="2"/>
          <w:sz w:val="21"/>
          <w:szCs w:val="21"/>
          <w:highlight w:val="none"/>
          <w:lang w:val="en-US" w:eastAsia="zh-CN" w:bidi="ar-SA"/>
        </w:rPr>
        <w:t>知道保险事故发生后，被保险人应该：</w:t>
      </w:r>
    </w:p>
    <w:p w14:paraId="571A75A9">
      <w:pPr>
        <w:widowControl w:val="0"/>
        <w:spacing w:after="0" w:line="360" w:lineRule="auto"/>
        <w:ind w:left="0" w:leftChars="0" w:firstLine="420" w:firstLineChars="200"/>
        <w:jc w:val="both"/>
        <w:rPr>
          <w:rFonts w:ascii="宋体" w:hAnsi="Times New Roman" w:eastAsia="宋体" w:cs="宋体"/>
          <w:b/>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（一）尽力采取必要、合理的措施，防止或减少损失，否则，</w:t>
      </w:r>
      <w:r>
        <w:rPr>
          <w:rFonts w:hint="eastAsia" w:ascii="宋体" w:hAnsi="Times New Roman" w:eastAsia="宋体" w:cs="宋体"/>
          <w:b/>
          <w:color w:val="auto"/>
          <w:kern w:val="2"/>
          <w:sz w:val="21"/>
          <w:szCs w:val="21"/>
          <w:highlight w:val="none"/>
          <w:lang w:val="en-US" w:eastAsia="zh-CN" w:bidi="ar-SA"/>
        </w:rPr>
        <w:t>对因此扩大的损失，保险人不承担赔偿责任；</w:t>
      </w:r>
    </w:p>
    <w:p w14:paraId="4A3BD23A">
      <w:pPr>
        <w:widowControl w:val="0"/>
        <w:spacing w:after="0" w:line="360" w:lineRule="auto"/>
        <w:ind w:left="0" w:leftChars="0" w:firstLine="420"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（二）立即通知保险人，并书面说明事故发生的原因、经过和损失情况；</w:t>
      </w:r>
      <w:r>
        <w:rPr>
          <w:rFonts w:hint="eastAsia" w:ascii="宋体" w:hAnsi="Times New Roman" w:eastAsia="宋体" w:cs="宋体"/>
          <w:b/>
          <w:color w:val="auto"/>
          <w:kern w:val="2"/>
          <w:sz w:val="21"/>
          <w:szCs w:val="21"/>
          <w:highlight w:val="none"/>
          <w:lang w:val="en-US" w:eastAsia="zh-CN" w:bidi="ar-SA"/>
        </w:rPr>
        <w:t>故</w:t>
      </w:r>
      <w:r>
        <w:rPr>
          <w:rFonts w:hint="eastAsia" w:ascii="宋体" w:hAnsi="宋体" w:eastAsia="宋体" w:cs="宋体"/>
          <w:color w:val="auto"/>
          <w:kern w:val="2"/>
          <w:sz w:val="24"/>
          <w:szCs w:val="21"/>
          <w:highlight w:val="none"/>
          <w:lang w:val="en-US" w:eastAsia="zh-CN" w:bidi="ar-SA"/>
        </w:rPr>
        <w:t>意或者因重大过失未及时通知，致使保险事故的性质、原因、损失程度等难以确定的，保险人对无法确定的部分，不承担赔偿责任，但保险人通过其他途径已经及时知道或者应当及时知道保险事故发生的除外；</w:t>
      </w:r>
    </w:p>
    <w:p w14:paraId="4FDCFE9A">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（三）保护事故现场，允许并且协助保险人进行事故调查；</w:t>
      </w:r>
      <w:r>
        <w:rPr>
          <w:rFonts w:hint="eastAsia" w:ascii="宋体" w:hAnsi="宋体" w:eastAsia="宋体" w:cs="宋体"/>
          <w:b/>
          <w:bCs/>
          <w:color w:val="auto"/>
          <w:kern w:val="0"/>
          <w:sz w:val="21"/>
          <w:szCs w:val="21"/>
          <w:highlight w:val="none"/>
        </w:rPr>
        <w:t>对于拒绝或者妨碍保险人进行事故调查导致无法确定事故原因或核实损失情况的，保险人对无法核实的部分不承担赔偿责任。</w:t>
      </w:r>
    </w:p>
    <w:p w14:paraId="7E997C2C">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 xml:space="preserve">第二十五条  </w:t>
      </w:r>
      <w:r>
        <w:rPr>
          <w:rFonts w:hint="eastAsia" w:ascii="宋体" w:hAnsi="宋体" w:eastAsia="宋体" w:cs="宋体"/>
          <w:color w:val="auto"/>
          <w:kern w:val="0"/>
          <w:sz w:val="21"/>
          <w:szCs w:val="21"/>
          <w:highlight w:val="none"/>
        </w:rPr>
        <w:t>被保险人请求赔偿时，应向保险人提供下列证明和资料：</w:t>
      </w:r>
    </w:p>
    <w:p w14:paraId="5F3CFEB0">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（一）保险单正本、索赔申请、财产损失清单、技术鉴定证明、事故报告书、救护费用发票、必要的账簿、单据和有关部门的证明；</w:t>
      </w:r>
    </w:p>
    <w:p w14:paraId="7B186A2C">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（二）投保人、被保险人所能提供的与确认保险事故的性质、原因、损失程度等有关的其他证明和资料。</w:t>
      </w:r>
    </w:p>
    <w:p w14:paraId="19CB64A3">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投保人、被保险人未履行前款约定的单证提供义务，导致保险人无法核实损失情况的，保险人对无法核实的部分不承担赔偿责任。</w:t>
      </w:r>
    </w:p>
    <w:p w14:paraId="50D41105">
      <w:pPr>
        <w:widowControl/>
        <w:adjustRightInd/>
        <w:spacing w:line="360" w:lineRule="auto"/>
        <w:ind w:firstLine="422" w:firstLineChars="200"/>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赔偿处理</w:t>
      </w:r>
    </w:p>
    <w:p w14:paraId="41C8D717">
      <w:pPr>
        <w:widowControl/>
        <w:autoSpaceDE w:val="0"/>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第二十六条</w:t>
      </w:r>
      <w:r>
        <w:rPr>
          <w:rFonts w:hint="eastAsia" w:ascii="宋体" w:hAnsi="宋体" w:eastAsia="宋体" w:cs="宋体"/>
          <w:color w:val="auto"/>
          <w:kern w:val="0"/>
          <w:sz w:val="21"/>
          <w:szCs w:val="21"/>
          <w:highlight w:val="none"/>
        </w:rPr>
        <w:t>保险事故发生时，被保险人对保险标的不具有保险利益的，不得向保险人请求赔偿保险金。</w:t>
      </w:r>
    </w:p>
    <w:p w14:paraId="78D7FF2E">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第二十七条</w:t>
      </w:r>
      <w:r>
        <w:rPr>
          <w:rFonts w:hint="eastAsia" w:ascii="宋体" w:hAnsi="宋体" w:eastAsia="宋体" w:cs="宋体"/>
          <w:color w:val="auto"/>
          <w:kern w:val="0"/>
          <w:sz w:val="21"/>
          <w:szCs w:val="21"/>
          <w:highlight w:val="none"/>
        </w:rPr>
        <w:t xml:space="preserve">  保险标的发生保险责任范围内的损失，保险人有权选择下列方式赔偿：</w:t>
      </w:r>
    </w:p>
    <w:p w14:paraId="3D73EEB8">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（一）货币赔偿：保险人以支付保险金的方式赔偿；</w:t>
      </w:r>
    </w:p>
    <w:p w14:paraId="363AC9CF">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（二）实物赔偿：保险人以实物替换受损标的，该实物应具有保险标的出险前同等的类型、结构、状态和性能；</w:t>
      </w:r>
    </w:p>
    <w:p w14:paraId="26E11293">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（三）实际修复：保险人自行或委托他人修理修复受损标的。</w:t>
      </w:r>
    </w:p>
    <w:p w14:paraId="08020686">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对保险标的在修复或替换过程中，被保险人进行的任何变更、性能增加或改进所产生的额外费用，保险人不负责赔偿。</w:t>
      </w:r>
    </w:p>
    <w:p w14:paraId="3EDAB6A4">
      <w:pPr>
        <w:widowControl w:val="0"/>
        <w:adjustRightInd w:val="0"/>
        <w:snapToGrid w:val="0"/>
        <w:spacing w:after="0" w:line="360" w:lineRule="auto"/>
        <w:ind w:left="0" w:leftChars="0" w:firstLine="422"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b/>
          <w:color w:val="auto"/>
          <w:kern w:val="2"/>
          <w:sz w:val="21"/>
          <w:szCs w:val="21"/>
          <w:highlight w:val="none"/>
          <w:lang w:val="en-US" w:eastAsia="zh-CN" w:bidi="ar-SA"/>
        </w:rPr>
        <w:t>第二十八条</w:t>
      </w:r>
      <w:r>
        <w:rPr>
          <w:rFonts w:hint="eastAsia" w:ascii="宋体" w:hAnsi="Times New Roman" w:eastAsia="宋体" w:cs="宋体"/>
          <w:color w:val="auto"/>
          <w:kern w:val="2"/>
          <w:sz w:val="21"/>
          <w:szCs w:val="21"/>
          <w:highlight w:val="none"/>
          <w:lang w:val="en-US" w:eastAsia="zh-CN" w:bidi="ar-SA"/>
        </w:rPr>
        <w:t xml:space="preserve">  保险标的遭受损失后，如果有残余价值，</w:t>
      </w:r>
      <w:r>
        <w:rPr>
          <w:rFonts w:hint="eastAsia" w:ascii="宋体" w:hAnsi="Times New Roman" w:eastAsia="宋体" w:cs="宋体"/>
          <w:color w:val="auto"/>
          <w:kern w:val="0"/>
          <w:sz w:val="21"/>
          <w:szCs w:val="21"/>
          <w:highlight w:val="none"/>
          <w:lang w:val="en-US" w:eastAsia="zh-CN" w:bidi="ar-SA"/>
        </w:rPr>
        <w:t>应由双方协商处理。如折归被保险人，由双方协商确定其价值，并在保险赔款中扣除。</w:t>
      </w:r>
    </w:p>
    <w:p w14:paraId="573CBE30">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第二十九条</w:t>
      </w:r>
      <w:r>
        <w:rPr>
          <w:rFonts w:hint="eastAsia" w:ascii="宋体" w:hAnsi="宋体" w:eastAsia="宋体" w:cs="宋体"/>
          <w:color w:val="auto"/>
          <w:kern w:val="0"/>
          <w:sz w:val="21"/>
          <w:szCs w:val="21"/>
          <w:highlight w:val="none"/>
        </w:rPr>
        <w:t xml:space="preserve">  保险标的发生保险责任范围内的损失，保险人按以下方式计算赔偿：</w:t>
      </w:r>
    </w:p>
    <w:p w14:paraId="6420D9D7">
      <w:pPr>
        <w:widowControl w:val="0"/>
        <w:spacing w:after="0" w:line="360" w:lineRule="auto"/>
        <w:ind w:left="0" w:leftChars="0" w:firstLine="420"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（一）保险金额等于或高于保险价值时，按实际损失计算赔偿，最高不超过保险价值；</w:t>
      </w:r>
    </w:p>
    <w:p w14:paraId="14CC124B">
      <w:pPr>
        <w:widowControl w:val="0"/>
        <w:spacing w:after="0" w:line="360" w:lineRule="auto"/>
        <w:ind w:left="0" w:leftChars="0" w:firstLine="420"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（二）保险金额低于保险价值时，按保险金额与保险价值的比例乘以实际损失计算赔偿，最高不超过保险金额；</w:t>
      </w:r>
    </w:p>
    <w:p w14:paraId="7AD38D38">
      <w:pPr>
        <w:widowControl w:val="0"/>
        <w:spacing w:after="0" w:line="360" w:lineRule="auto"/>
        <w:ind w:left="0" w:leftChars="0" w:firstLine="420"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（三）若本保险合同所列标的不止一项时，应分项按照本条约定处理。</w:t>
      </w:r>
    </w:p>
    <w:p w14:paraId="024D9EF8">
      <w:pPr>
        <w:widowControl w:val="0"/>
        <w:spacing w:after="0" w:line="360" w:lineRule="auto"/>
        <w:ind w:left="0" w:leftChars="0" w:firstLine="422"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b/>
          <w:color w:val="auto"/>
          <w:kern w:val="2"/>
          <w:sz w:val="21"/>
          <w:szCs w:val="21"/>
          <w:highlight w:val="none"/>
          <w:lang w:val="en-US" w:eastAsia="zh-CN" w:bidi="ar-SA"/>
        </w:rPr>
        <w:t xml:space="preserve">第三十条 </w:t>
      </w:r>
      <w:r>
        <w:rPr>
          <w:rFonts w:hint="eastAsia" w:ascii="宋体" w:hAnsi="Times New Roman" w:eastAsia="宋体" w:cs="宋体"/>
          <w:color w:val="auto"/>
          <w:kern w:val="2"/>
          <w:sz w:val="21"/>
          <w:szCs w:val="21"/>
          <w:highlight w:val="none"/>
          <w:lang w:val="en-US" w:eastAsia="zh-CN" w:bidi="ar-SA"/>
        </w:rPr>
        <w:t xml:space="preserve"> 保险标的的保险金额大于或等于其保险价值时，被保险人为防止或减少保险标的的损失所支付的必要的、合理的费用，在保险标的损失赔偿金额之外另行计算，最高不超过被施救保险标的的保险价值。</w:t>
      </w:r>
    </w:p>
    <w:p w14:paraId="26046622">
      <w:pPr>
        <w:widowControl w:val="0"/>
        <w:spacing w:after="0" w:line="360" w:lineRule="auto"/>
        <w:ind w:left="0" w:leftChars="0" w:firstLine="420"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保险标的的保险金额小于其保险价值时，上述费用按被施救保险标的的保险金额与其保险价值的比例在保险标的损失赔偿金额之外另行计算，最高不超过被施救保险标的的保险金额。</w:t>
      </w:r>
    </w:p>
    <w:p w14:paraId="48563DB0">
      <w:pPr>
        <w:widowControl w:val="0"/>
        <w:spacing w:after="0" w:line="360" w:lineRule="auto"/>
        <w:ind w:left="0" w:leftChars="0" w:firstLine="420"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color w:val="auto"/>
          <w:kern w:val="2"/>
          <w:sz w:val="21"/>
          <w:szCs w:val="21"/>
          <w:highlight w:val="none"/>
          <w:lang w:val="en-US" w:eastAsia="zh-CN" w:bidi="ar-SA"/>
        </w:rPr>
        <w:t>被施救的财产中，含有本保险合同未承保财产的，按被施救保险标的的保险价值与全部被施救财产价值的比例分摊施救费用。</w:t>
      </w:r>
    </w:p>
    <w:p w14:paraId="6D6935E8">
      <w:pPr>
        <w:widowControl w:val="0"/>
        <w:spacing w:after="0" w:line="360" w:lineRule="auto"/>
        <w:ind w:left="0" w:leftChars="0" w:firstLine="422" w:firstLineChars="200"/>
        <w:jc w:val="both"/>
        <w:rPr>
          <w:rFonts w:ascii="宋体" w:hAnsi="Times New Roman" w:eastAsia="宋体" w:cs="宋体"/>
          <w:color w:val="auto"/>
          <w:kern w:val="2"/>
          <w:sz w:val="21"/>
          <w:szCs w:val="21"/>
          <w:highlight w:val="none"/>
          <w:lang w:val="en-US" w:eastAsia="zh-CN" w:bidi="ar-SA"/>
        </w:rPr>
      </w:pPr>
      <w:r>
        <w:rPr>
          <w:rFonts w:hint="eastAsia" w:ascii="宋体" w:hAnsi="Times New Roman" w:eastAsia="宋体" w:cs="宋体"/>
          <w:b/>
          <w:color w:val="auto"/>
          <w:kern w:val="2"/>
          <w:sz w:val="21"/>
          <w:szCs w:val="21"/>
          <w:highlight w:val="none"/>
          <w:lang w:val="en-US" w:eastAsia="zh-CN" w:bidi="ar-SA"/>
        </w:rPr>
        <w:t xml:space="preserve">第三十一条  </w:t>
      </w:r>
      <w:r>
        <w:rPr>
          <w:rFonts w:hint="eastAsia" w:ascii="宋体" w:hAnsi="Times New Roman" w:eastAsia="宋体" w:cs="宋体"/>
          <w:color w:val="auto"/>
          <w:kern w:val="2"/>
          <w:sz w:val="21"/>
          <w:szCs w:val="21"/>
          <w:highlight w:val="none"/>
          <w:lang w:val="en-US" w:eastAsia="zh-CN" w:bidi="ar-SA"/>
        </w:rPr>
        <w:t>每次事故保险人的赔偿金额为根据第二十九条、第三十条约定计算的金额扣除每次事故免赔额后的金额，或者为根据第二十九条、第三十条约定计算的金额扣除该金额与免赔率乘积后的金额。</w:t>
      </w:r>
    </w:p>
    <w:p w14:paraId="2BEAE581">
      <w:pPr>
        <w:widowControl/>
        <w:adjustRightInd w:val="0"/>
        <w:snapToGrid w:val="0"/>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第三十二条</w:t>
      </w:r>
      <w:r>
        <w:rPr>
          <w:rFonts w:hint="eastAsia" w:ascii="宋体" w:hAnsi="宋体" w:eastAsia="宋体" w:cs="宋体"/>
          <w:color w:val="auto"/>
          <w:kern w:val="0"/>
          <w:sz w:val="21"/>
          <w:szCs w:val="21"/>
          <w:highlight w:val="none"/>
        </w:rPr>
        <w:t xml:space="preserve">  保险事故发生时，如果存在重复保险，保险人按照本保险合同的相应保险金额与其他保险合同及本保险合同相应保险金额总和的比例承担赔偿责任。</w:t>
      </w:r>
    </w:p>
    <w:p w14:paraId="2F9A29B6">
      <w:pPr>
        <w:widowControl/>
        <w:adjustRightInd w:val="0"/>
        <w:snapToGrid w:val="0"/>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其他保险人应承担的赔偿金额，本保险人不负责垫付。若被保险人未如实告知导致保险人多支付赔偿金的，保险人有权向被保险人追回多支付的部分。</w:t>
      </w:r>
    </w:p>
    <w:p w14:paraId="7F0A4892">
      <w:pPr>
        <w:widowControl/>
        <w:autoSpaceDE w:val="0"/>
        <w:autoSpaceDN w:val="0"/>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第三十三条</w:t>
      </w:r>
      <w:r>
        <w:rPr>
          <w:rFonts w:hint="eastAsia" w:ascii="宋体" w:hAnsi="宋体" w:eastAsia="宋体" w:cs="宋体"/>
          <w:color w:val="auto"/>
          <w:kern w:val="0"/>
          <w:sz w:val="21"/>
          <w:szCs w:val="21"/>
          <w:highlight w:val="none"/>
        </w:rPr>
        <w:t xml:space="preserve">  保险标的发生部分损失，保险人履行赔偿义务后，本保险合同的保险金额自损失发生之日起按保险人的赔偿金额相应减少，保险人不退还保险金额减少部分的保险费。如投保人请求恢复至原保险金额，应按原约定的保险费率另行支付恢复部分从投保人请求的恢复日期起至保险期间届满之日止按日比例计算的保险费。</w:t>
      </w:r>
    </w:p>
    <w:p w14:paraId="66318921">
      <w:pPr>
        <w:widowControl/>
        <w:tabs>
          <w:tab w:val="left" w:pos="2160"/>
        </w:tabs>
        <w:autoSpaceDE w:val="0"/>
        <w:adjustRightInd w:val="0"/>
        <w:snapToGrid w:val="0"/>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第三十四条</w:t>
      </w:r>
      <w:r>
        <w:rPr>
          <w:rFonts w:hint="eastAsia" w:ascii="宋体" w:hAnsi="宋体" w:eastAsia="宋体" w:cs="宋体"/>
          <w:color w:val="auto"/>
          <w:kern w:val="0"/>
          <w:sz w:val="21"/>
          <w:szCs w:val="21"/>
          <w:highlight w:val="none"/>
        </w:rPr>
        <w:t xml:space="preserve">  发生保险责任范围内的损失，应由有关责任方负责赔偿的，保险人自向被保险人赔偿保险金之日起，在赔偿金额范围内代位行使被保险人对有关责任方请求赔偿的权利，被保险人应当向保险人提供必要的文件和所知道的有关情况。</w:t>
      </w:r>
    </w:p>
    <w:p w14:paraId="788D5354">
      <w:pPr>
        <w:widowControl/>
        <w:tabs>
          <w:tab w:val="left" w:pos="2160"/>
        </w:tabs>
        <w:autoSpaceDE w:val="0"/>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被保险人已经从有关责任方取得赔偿的，保险人赔偿保险金时，可以相应扣减被保险人已从有关责任方取得的赔偿金额。</w:t>
      </w:r>
    </w:p>
    <w:p w14:paraId="5280C697">
      <w:pPr>
        <w:widowControl/>
        <w:autoSpaceDE w:val="0"/>
        <w:adjustRightInd/>
        <w:spacing w:line="360" w:lineRule="auto"/>
        <w:ind w:firstLine="420" w:firstLineChars="200"/>
        <w:jc w:val="left"/>
        <w:rPr>
          <w:rFonts w:ascii="宋体" w:hAnsi="宋体" w:eastAsia="宋体" w:cs="宋体"/>
          <w:b/>
          <w:color w:val="auto"/>
          <w:kern w:val="0"/>
          <w:sz w:val="24"/>
          <w:szCs w:val="21"/>
          <w:highlight w:val="none"/>
        </w:rPr>
      </w:pPr>
      <w:r>
        <w:rPr>
          <w:rFonts w:hint="eastAsia" w:ascii="宋体" w:hAnsi="宋体" w:eastAsia="宋体" w:cs="宋体"/>
          <w:color w:val="auto"/>
          <w:kern w:val="0"/>
          <w:sz w:val="21"/>
          <w:szCs w:val="21"/>
          <w:highlight w:val="none"/>
        </w:rPr>
        <w:t>保险事故发生后，在保险人未赔偿保险金之前，被保险人放弃对有关责任方请求赔偿权利的，保险人不承担赔偿责任；保险人向被保险人赔偿保险金后，被保险人未经保险人同意放弃对有关责任方请求赔偿权利的，该行为无效；由于被保险人故意或者因重大过失致使保险人不能行使代位请求赔偿的权利的，保险人可以扣减或者要求返还相应的保险金。</w:t>
      </w:r>
    </w:p>
    <w:p w14:paraId="58998A6A">
      <w:pPr>
        <w:widowControl/>
        <w:autoSpaceDE w:val="0"/>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第三十五条</w:t>
      </w:r>
      <w:r>
        <w:rPr>
          <w:rFonts w:hint="eastAsia" w:ascii="宋体" w:hAnsi="宋体" w:eastAsia="宋体" w:cs="宋体"/>
          <w:color w:val="auto"/>
          <w:kern w:val="0"/>
          <w:sz w:val="21"/>
          <w:szCs w:val="21"/>
          <w:highlight w:val="none"/>
        </w:rPr>
        <w:t>被保险人向保险人请求赔偿保险金的诉讼时效期间为二年，自其知道或者应当知道保险事故发生之日起计算。</w:t>
      </w:r>
    </w:p>
    <w:p w14:paraId="0AB8F833">
      <w:pPr>
        <w:widowControl/>
        <w:adjustRightInd/>
        <w:spacing w:line="360" w:lineRule="auto"/>
        <w:ind w:firstLine="422" w:firstLineChars="200"/>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争议处理和法律适用</w:t>
      </w:r>
    </w:p>
    <w:p w14:paraId="4E122A92">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第三十六条</w:t>
      </w:r>
      <w:r>
        <w:rPr>
          <w:rFonts w:hint="eastAsia" w:ascii="宋体" w:hAnsi="宋体" w:eastAsia="宋体" w:cs="宋体"/>
          <w:color w:val="auto"/>
          <w:kern w:val="0"/>
          <w:sz w:val="21"/>
          <w:szCs w:val="21"/>
          <w:highlight w:val="none"/>
        </w:rPr>
        <w:t xml:space="preserve">  因履行本保险合同发生的争议，由当事人协商解决。协商不成的，</w:t>
      </w:r>
      <w:r>
        <w:rPr>
          <w:rFonts w:hint="eastAsia" w:ascii="宋体" w:hAnsi="宋体" w:eastAsia="宋体" w:cs="宋体"/>
          <w:color w:val="auto"/>
          <w:kern w:val="0"/>
          <w:sz w:val="21"/>
          <w:szCs w:val="21"/>
          <w:highlight w:val="none"/>
          <w:lang w:val="en-US" w:eastAsia="zh-CN"/>
        </w:rPr>
        <w:t>向绍兴仲裁委员会申请仲裁</w:t>
      </w:r>
      <w:r>
        <w:rPr>
          <w:rFonts w:hint="eastAsia" w:ascii="宋体" w:hAnsi="宋体" w:eastAsia="宋体" w:cs="宋体"/>
          <w:color w:val="auto"/>
          <w:kern w:val="0"/>
          <w:sz w:val="21"/>
          <w:szCs w:val="21"/>
          <w:highlight w:val="none"/>
        </w:rPr>
        <w:t>。</w:t>
      </w:r>
    </w:p>
    <w:p w14:paraId="5FBD2F41">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第三十七条</w:t>
      </w:r>
      <w:r>
        <w:rPr>
          <w:rFonts w:hint="eastAsia" w:ascii="宋体" w:hAnsi="宋体" w:eastAsia="宋体" w:cs="宋体"/>
          <w:color w:val="auto"/>
          <w:kern w:val="0"/>
          <w:sz w:val="21"/>
          <w:szCs w:val="21"/>
          <w:highlight w:val="none"/>
        </w:rPr>
        <w:t xml:space="preserve">  与本保险合同有关的以及履行本保险合同产生的一切争议，适用中华人民共和国法律（不包括港澳台地区法律）。</w:t>
      </w:r>
    </w:p>
    <w:p w14:paraId="1841F970">
      <w:pPr>
        <w:widowControl/>
        <w:adjustRightInd/>
        <w:spacing w:line="360" w:lineRule="auto"/>
        <w:ind w:firstLine="422" w:firstLineChars="200"/>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其他事项</w:t>
      </w:r>
    </w:p>
    <w:p w14:paraId="44E05724">
      <w:pPr>
        <w:widowControl/>
        <w:autoSpaceDE w:val="0"/>
        <w:adjustRightInd/>
        <w:spacing w:line="360" w:lineRule="auto"/>
        <w:ind w:firstLine="422" w:firstLineChars="200"/>
        <w:jc w:val="left"/>
        <w:rPr>
          <w:rStyle w:val="390"/>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第三十八条</w:t>
      </w:r>
      <w:r>
        <w:rPr>
          <w:rFonts w:hint="eastAsia" w:ascii="宋体" w:hAnsi="宋体" w:eastAsia="宋体" w:cs="宋体"/>
          <w:color w:val="auto"/>
          <w:kern w:val="0"/>
          <w:sz w:val="21"/>
          <w:szCs w:val="21"/>
          <w:highlight w:val="none"/>
        </w:rPr>
        <w:t>保险标的发生部分损失的，自保险人赔偿之日起三十日内，投保人可以解除合同；除合同另有约定外，保险人也可以解除合同，但应当提前十五日通知投保人。</w:t>
      </w:r>
    </w:p>
    <w:p w14:paraId="7DDE294B">
      <w:pPr>
        <w:widowControl/>
        <w:autoSpaceDE w:val="0"/>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保险合同依据前款规定解除的，保险人应当将保险标的未受损失部分的保险费，按照合同约定扣除自保险责任开始之日起至合同解除之日止应收的部分后，退还投保人。</w:t>
      </w:r>
    </w:p>
    <w:p w14:paraId="60E868F6">
      <w:pPr>
        <w:widowControl/>
        <w:autoSpaceDE w:val="0"/>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第三十九条</w:t>
      </w:r>
      <w:r>
        <w:rPr>
          <w:rFonts w:hint="eastAsia" w:ascii="宋体" w:hAnsi="宋体" w:eastAsia="宋体" w:cs="宋体"/>
          <w:color w:val="auto"/>
          <w:kern w:val="0"/>
          <w:sz w:val="21"/>
          <w:szCs w:val="21"/>
          <w:highlight w:val="none"/>
        </w:rPr>
        <w:t>保险责任开始前，投保人要求解除保险合同的，应当按本保险合同的约定向保险人支付退保手续费，保险人应当退还剩余部分保险费。</w:t>
      </w:r>
    </w:p>
    <w:p w14:paraId="528B9565">
      <w:pPr>
        <w:widowControl/>
        <w:autoSpaceDE w:val="0"/>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保险责任开始后，投保人要求解除保险合同的，自通知保险人之日起，保险合同解除，保险人按短期费率计收保险责任开始之日起至合同解除之日止期间的保险费，并退还剩余部分保险费。</w:t>
      </w:r>
    </w:p>
    <w:p w14:paraId="740C341A">
      <w:pPr>
        <w:widowControl/>
        <w:autoSpaceDE w:val="0"/>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责任开始后，保险人要求解除保险合同的，可提前十五日向投保人发出解约通知书解除本保险合同，保险人按照保险责任开始之日起至合同解除之日止期间与保险期间的日比例计收保险费，并退还剩余部分保险费。</w:t>
      </w:r>
    </w:p>
    <w:p w14:paraId="4C19AD4A">
      <w:pPr>
        <w:widowControl/>
        <w:adjustRightInd/>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第四十条</w:t>
      </w:r>
      <w:r>
        <w:rPr>
          <w:rFonts w:hint="eastAsia" w:ascii="宋体" w:hAnsi="宋体" w:eastAsia="宋体" w:cs="宋体"/>
          <w:color w:val="auto"/>
          <w:kern w:val="0"/>
          <w:sz w:val="21"/>
          <w:szCs w:val="21"/>
          <w:highlight w:val="none"/>
        </w:rPr>
        <w:t xml:space="preserve">  保险标的发生全部损失，属于保险责任的，保险人在履行赔偿义务后，本保险合同终止；不属于保险责任的，本保险合同终止，保险人按短期费率计收自保险责任开始之日起至损失发生之日止期间的保险费，并退还剩余部分保险费。</w:t>
      </w:r>
    </w:p>
    <w:p w14:paraId="3E47A219">
      <w:pPr>
        <w:widowControl/>
        <w:adjustRightInd/>
        <w:spacing w:line="360" w:lineRule="auto"/>
        <w:ind w:firstLine="422" w:firstLineChars="200"/>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释义</w:t>
      </w:r>
    </w:p>
    <w:p w14:paraId="223EA202">
      <w:pPr>
        <w:widowControl/>
        <w:adjustRightInd/>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第四十一条  本保险合同涉及下列术语时，适用下列释义：</w:t>
      </w:r>
    </w:p>
    <w:p w14:paraId="4BC09910">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（一）火灾</w:t>
      </w:r>
    </w:p>
    <w:p w14:paraId="65D368FD">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在时间或空间上失去控制的燃烧所造成的灾害。构成本保险的火灾责任必须同时具备以下三个条件：</w:t>
      </w:r>
    </w:p>
    <w:p w14:paraId="097C944D">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1．有燃烧现象，即有热有光有火焰；</w:t>
      </w:r>
    </w:p>
    <w:p w14:paraId="79B73BB3">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2．偶然、意外发生的燃烧；</w:t>
      </w:r>
    </w:p>
    <w:p w14:paraId="1F994DB0">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3．燃烧失去控制并有蔓延扩大的趋势。</w:t>
      </w:r>
    </w:p>
    <w:p w14:paraId="3C1B7F43">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因此，仅有燃烧现象并不等于构成本保险中的火灾责任。在生产、生活中有目的用火，如为了防疫而焚毁站污的衣物，点火烧荒等属正常燃烧，不同于火灾责任。</w:t>
      </w:r>
    </w:p>
    <w:p w14:paraId="68DD68A5">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因烘、烤、烫、烙造成焦糊变质等损失，既无燃烧现象，又无蔓延扩大趋势，也不属于火灾责任。</w:t>
      </w:r>
    </w:p>
    <w:p w14:paraId="2B08A346">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电机、电器、电气设备因使用过度、超电压、碰线、孤花、漏电、自身发热所造成的本身损毁，不属于火灾责任。但如果发生了燃烧并失去控制蔓延扩大，才构成火灾责任，并对电机、电器、电气设备本身的损失负责赔偿。</w:t>
      </w:r>
    </w:p>
    <w:p w14:paraId="0C4025E0">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（二）爆炸</w:t>
      </w:r>
    </w:p>
    <w:p w14:paraId="5F9D711B">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爆炸分物理性爆炸和化学性爆炸。</w:t>
      </w:r>
    </w:p>
    <w:p w14:paraId="71D3F404">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1．物理性爆炸：由于液体变为蒸汽或气体膨胀，压力急剧增加并大大超过容器所能承受的极限压力，因而发生爆炸。如锅炉、空气压缩机、压缩气体钢瓶、液化气罐爆炸等。关于锅炉、压力容器爆炸的定义是：‘锅炉或区力容器在使用中或试压时发生破裂，使压力瞬时降到等于外界大气压力的事故，称为“爆炸事故”。</w:t>
      </w:r>
    </w:p>
    <w:p w14:paraId="1B0C8F57">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2．化学性爆炸：物体在瞬息分解或燃烧时放出大量的热和气体，并以很大的压力向四周扩散的现象。如火药爆炸、可燃性粉尘纤维爆炸、可燃气体爆炸及各种化学物品的爆炸等。</w:t>
      </w:r>
    </w:p>
    <w:p w14:paraId="276A6DAD">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因物体本身的瑕疵，使用损耗或产品质量低劣以及由于容器内部承受“负压’（内压比外压小）造成的损失，不属于爆炸责任。</w:t>
      </w:r>
    </w:p>
    <w:p w14:paraId="4DCAB95F">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（三）雷击</w:t>
      </w:r>
    </w:p>
    <w:p w14:paraId="2FA38B25">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雷击指由雷电造成的灾害。雷电为积雨云中、云间或云地之间产生的放电现象。雷击的破坏形式分直接雷击与感应雷击两种。</w:t>
      </w:r>
    </w:p>
    <w:p w14:paraId="783678B4">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1．直接雷击：由于雷电直接击中保险标的造成损失，属直接雷击责任。</w:t>
      </w:r>
    </w:p>
    <w:p w14:paraId="4269B7A7">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 xml:space="preserve">2．感应雷击：由于雷击产生的静电感应或电磁感应使屋内对地绝缘金属物体产生高电位放出火花引起的火灾，导致电器本身的损毁，或因雷电的高电压感应，致使电器部件的损毁，属感应雷击责任。    </w:t>
      </w:r>
    </w:p>
    <w:p w14:paraId="1FAF2F8C">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（四）暴雨：指每小时降雨量达16毫米以上，或连续12小时降雨量达30毫米以上，或连续24小时降雨量达50毫米以上的降雨。</w:t>
      </w:r>
    </w:p>
    <w:p w14:paraId="4A387535">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（五）洪水：指山洪暴发、江河泛滥、潮水上岸及倒灌。但规律性的涨潮、自动灭火设施漏水以及在常年水位以下或地下渗水、水管暴裂不属于洪水责任。</w:t>
      </w:r>
    </w:p>
    <w:p w14:paraId="72438B65">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（六）暴风：指风力达8级、风速在17.2米/秒以上的自然风。</w:t>
      </w:r>
    </w:p>
    <w:p w14:paraId="23DAF663">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（七）龙卷风：指一种范围小而时间短的猛烈旋风，陆地上平均最大风速在79米/秒-103米/秒，极端最大风速在100米/秒以上。</w:t>
      </w:r>
    </w:p>
    <w:p w14:paraId="58E36B2C">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（八）冰雹：指从强烈对流的积雨云中降落到地面的冰块或冰球，直径大于5毫米，核心坚硬的固体降水。</w:t>
      </w:r>
    </w:p>
    <w:p w14:paraId="78D06ACF">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九）台风、飓风：台风指中心附近最大平均风力12级或以上，即风速在32.6米/秒以上的热带气旋；飓风是一种与台风性质相同、但出现的位置区域不同的热带气旋，台风出现在西北太平洋海域，而飓风出现在印度洋、大西洋海域。</w:t>
      </w:r>
    </w:p>
    <w:p w14:paraId="7612FEC7">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（十）沙尘暴：指强风将地面大量尘沙吹起，使空气很混浊，水平能见度小于1公里的天气现象。</w:t>
      </w:r>
    </w:p>
    <w:p w14:paraId="080D0951">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（十一）暴雪：指连续12小时的降雪量大于或等于10毫米的降雪现象。</w:t>
      </w:r>
    </w:p>
    <w:p w14:paraId="1FB97C76">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（十二）冰凌：指春季江河解冻期时冰块飘浮遇阻，堆积成坝，堵塞江道，造成水位急剧上升，以致江水溢出江道，漫延成灾。</w:t>
      </w:r>
    </w:p>
    <w:p w14:paraId="2FE15073">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陆上有些地区，如山谷风口或酷寒致使雨雪在物体上结成冰块，成下垂形状，越结越厚，重量增加，由于下垂的拉力致使物体毁坏，也属冰凌责任。</w:t>
      </w:r>
    </w:p>
    <w:p w14:paraId="120A1CDA">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（十三）突发性滑坡：斜坡上不稳的岩土体或人为堆积物在重力作用下突然整体向下滑动的现象。</w:t>
      </w:r>
    </w:p>
    <w:p w14:paraId="5A4CC2A6">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（十四）崩塌：石崖、土崖、岩石受自然风化、雨蚀造成崩溃下塌，以及大量积雪在重力作用下从高处突然崩塌滚落。</w:t>
      </w:r>
    </w:p>
    <w:p w14:paraId="58C711CC">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（十五）泥石流：由于雨水、冰雪融化等水源激发的、含有大量泥沙石块的特殊洪流。</w:t>
      </w:r>
    </w:p>
    <w:p w14:paraId="741D307D">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六）地面突然下陷下沉：地壳因为自然变异，地层收缩而发生突然塌陷。对于因海潮、河流、大雨侵蚀或在建筑房屋前没有掌握地层情况，地下有孔穴、矿穴，以致地面突然塌陷，也属地面突然下陷下沉。但未按建筑施工要求导致建筑地基下沉、裂缝、倒塌等，不在此列。</w:t>
      </w:r>
    </w:p>
    <w:p w14:paraId="7DD1CCDF">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七）飞行物体及其他空中运行物体坠落：指空中飞行器、人造卫星、陨石坠落，吊车、行车在运行时发生的物体坠落，人工开凿或爆炸而致石方、石块、土方飞射、塌下，建筑物倒塌、倒落、倾倒，以及其他空中运行物体坠落。</w:t>
      </w:r>
    </w:p>
    <w:p w14:paraId="3EFD05CE">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（十八）自然灾害：指雷击、暴雨、洪水、暴风、龙卷风、冰雹、台风、飓风、沙尘暴、暴雪、冰凌、突发性滑坡、崩塌、泥石流、地面突然下陷下沉及其他人力不可抗拒的破坏力强大的自然现象。</w:t>
      </w:r>
    </w:p>
    <w:p w14:paraId="3DC51882">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（十九）意外事故：指不可预料的以及被保险人无法控制并造成物质损失的突发性事件，包括火灾和爆炸。</w:t>
      </w:r>
    </w:p>
    <w:p w14:paraId="7F30EA6A">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（二十）重大过失行为：指行为人不但没有遵守法律规范对其较高要求，甚至连人们都应当注意并能注意的一般标准也未达到的行为。</w:t>
      </w:r>
    </w:p>
    <w:p w14:paraId="564F2DAB">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（二十一）恐怖活动：指任何人以某一组织的名义或参与某一组织使用武力或暴力对任何政府进行恐吓或施加影响而采取的行动。</w:t>
      </w:r>
    </w:p>
    <w:p w14:paraId="091C1534">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（二十二）地震：地壳发生的震动。</w:t>
      </w:r>
    </w:p>
    <w:p w14:paraId="55B1B845">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（二十三）海啸：海啸是指由海底地震，火山爆发或水下滑坡、塌陷所激发的海洋巨波。</w:t>
      </w:r>
    </w:p>
    <w:p w14:paraId="688A122D">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（二十四）行政行为、司法行为：指各级政府部门、执法机关或依法履行公共管理、社会管理职能的机构下令破坏、征用、罚没保险标的的行为。</w:t>
      </w:r>
    </w:p>
    <w:p w14:paraId="40D42CFB">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十五）简易建筑：指符合下列条件之一的建筑：（1）使用竹木、芦席、蓬布、茅草、油毛毡、塑料膜、尼龙布、玻璃钢瓦等材料为顶或墙体的建筑；（2）顶部封闭，但直立面非封闭部分的面积与直立面总面积的比例超过10%的建筑；（3）屋顶与所有墙体之间的最大距离超过一米的建筑。</w:t>
      </w:r>
    </w:p>
    <w:p w14:paraId="128E65E0">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十六）自燃：指可燃物在没有外部热源直接作用的情况下，由于其内部的物理作用（如吸附、辐射等）、化学作用（如氧化、分解、聚合等）或生物作用（如发酵、细菌腐败等）而发热，热量积聚导致升温，当可燃物达到一定温度时，未与明火直接接触而发生燃烧的现象。</w:t>
      </w:r>
    </w:p>
    <w:p w14:paraId="62461D9F">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（二十七）重置价值：指替换、重建受损保险标的，以使其达到全新状态而发生的费用，但不包括被保险人进行的任何变更、性能增加或改进所产生的额外费用。</w:t>
      </w:r>
    </w:p>
    <w:p w14:paraId="318447E7">
      <w:pPr>
        <w:widowControl/>
        <w:adjustRightInd/>
        <w:spacing w:line="360" w:lineRule="auto"/>
        <w:ind w:firstLine="420" w:firstLineChars="200"/>
        <w:jc w:val="left"/>
        <w:rPr>
          <w:rFonts w:ascii="宋体" w:hAnsi="宋体" w:eastAsia="宋体" w:cs="宋体"/>
          <w:b/>
          <w:color w:val="auto"/>
          <w:kern w:val="0"/>
          <w:sz w:val="24"/>
          <w:szCs w:val="21"/>
          <w:highlight w:val="none"/>
        </w:rPr>
      </w:pPr>
      <w:r>
        <w:rPr>
          <w:rFonts w:hint="eastAsia" w:ascii="宋体" w:hAnsi="宋体" w:eastAsia="宋体" w:cs="宋体"/>
          <w:color w:val="auto"/>
          <w:kern w:val="0"/>
          <w:sz w:val="21"/>
          <w:szCs w:val="21"/>
          <w:highlight w:val="none"/>
        </w:rPr>
        <w:t>（二十八）水箱、水管爆裂：包括冻裂和意外爆裂两种情况。水箱、水管爆裂一般是由水箱、水管本身瑕疵或使用耗损或严寒结冰造成的。</w:t>
      </w:r>
    </w:p>
    <w:p w14:paraId="5929246A">
      <w:pPr>
        <w:widowControl/>
        <w:adjustRightInd/>
        <w:spacing w:line="360" w:lineRule="auto"/>
        <w:ind w:firstLine="241"/>
        <w:jc w:val="left"/>
        <w:rPr>
          <w:rFonts w:ascii="宋体" w:hAnsi="宋体" w:eastAsia="宋体" w:cs="仿宋"/>
          <w:color w:val="auto"/>
          <w:kern w:val="0"/>
          <w:sz w:val="21"/>
          <w:szCs w:val="21"/>
          <w:highlight w:val="none"/>
        </w:rPr>
      </w:pPr>
      <w:r>
        <w:rPr>
          <w:rFonts w:hint="eastAsia" w:ascii="宋体" w:hAnsi="宋体" w:eastAsia="宋体" w:cs="仿宋"/>
          <w:b/>
          <w:color w:val="auto"/>
          <w:kern w:val="0"/>
          <w:sz w:val="21"/>
          <w:szCs w:val="21"/>
          <w:highlight w:val="none"/>
        </w:rPr>
        <w:t>附录：</w:t>
      </w:r>
      <w:r>
        <w:rPr>
          <w:rFonts w:hint="eastAsia" w:ascii="宋体" w:hAnsi="宋体" w:eastAsia="宋体" w:cs="仿宋"/>
          <w:b/>
          <w:bCs/>
          <w:color w:val="auto"/>
          <w:kern w:val="0"/>
          <w:sz w:val="21"/>
          <w:szCs w:val="21"/>
          <w:highlight w:val="none"/>
        </w:rPr>
        <w:t>短期费率表</w:t>
      </w:r>
    </w:p>
    <w:tbl>
      <w:tblPr>
        <w:tblStyle w:val="64"/>
        <w:tblpPr w:leftFromText="180" w:rightFromText="180" w:vertAnchor="text" w:tblpX="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492"/>
        <w:gridCol w:w="492"/>
        <w:gridCol w:w="492"/>
        <w:gridCol w:w="492"/>
        <w:gridCol w:w="492"/>
        <w:gridCol w:w="492"/>
        <w:gridCol w:w="492"/>
        <w:gridCol w:w="492"/>
        <w:gridCol w:w="492"/>
        <w:gridCol w:w="492"/>
        <w:gridCol w:w="492"/>
        <w:gridCol w:w="613"/>
      </w:tblGrid>
      <w:tr w14:paraId="08A6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1949" w:type="dxa"/>
            <w:vAlign w:val="center"/>
          </w:tcPr>
          <w:p w14:paraId="644CB970">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保险期间</w:t>
            </w:r>
          </w:p>
        </w:tc>
        <w:tc>
          <w:tcPr>
            <w:tcW w:w="492" w:type="dxa"/>
            <w:vAlign w:val="center"/>
          </w:tcPr>
          <w:p w14:paraId="3C6029A5">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w:t>
            </w:r>
          </w:p>
          <w:p w14:paraId="2C750049">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659C2DE0">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2332839B">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w:t>
            </w:r>
          </w:p>
          <w:p w14:paraId="0A2B98E3">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31280773">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3007065B">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w:t>
            </w:r>
          </w:p>
          <w:p w14:paraId="1D2F0B88">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537C6E9E">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57F406EB">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w:t>
            </w:r>
          </w:p>
          <w:p w14:paraId="1F048ACA">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7334073C">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618E1127">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w:t>
            </w:r>
          </w:p>
          <w:p w14:paraId="218931FB">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2F7D1D4D">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1724716C">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w:t>
            </w:r>
          </w:p>
          <w:p w14:paraId="6ED0DA99">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65A9D7DB">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0C3B00E8">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w:t>
            </w:r>
          </w:p>
          <w:p w14:paraId="6A69F313">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39052A46">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617CC96D">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八</w:t>
            </w:r>
          </w:p>
          <w:p w14:paraId="2B382148">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1050850D">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74378FEE">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九</w:t>
            </w:r>
          </w:p>
          <w:p w14:paraId="14AEAAFC">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43514CA2">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7072B69E">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w:t>
            </w:r>
          </w:p>
          <w:p w14:paraId="3D1BFF39">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16D835E8">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492" w:type="dxa"/>
            <w:vAlign w:val="center"/>
          </w:tcPr>
          <w:p w14:paraId="0B674E4C">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w:t>
            </w:r>
          </w:p>
          <w:p w14:paraId="721D0271">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w:t>
            </w:r>
          </w:p>
          <w:p w14:paraId="29C21774">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74FCD738">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c>
          <w:tcPr>
            <w:tcW w:w="613" w:type="dxa"/>
            <w:vAlign w:val="center"/>
          </w:tcPr>
          <w:p w14:paraId="5059958A">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w:t>
            </w:r>
          </w:p>
          <w:p w14:paraId="54B25C26">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w:t>
            </w:r>
          </w:p>
          <w:p w14:paraId="4D4E2ABA">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p w14:paraId="4576CD2F">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月</w:t>
            </w:r>
          </w:p>
        </w:tc>
      </w:tr>
      <w:tr w14:paraId="4983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949" w:type="dxa"/>
            <w:vAlign w:val="center"/>
          </w:tcPr>
          <w:p w14:paraId="3248C3F9">
            <w:pPr>
              <w:widowControl/>
              <w:adjustRightInd/>
              <w:spacing w:line="360" w:lineRule="auto"/>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年费率的百分比</w:t>
            </w:r>
          </w:p>
        </w:tc>
        <w:tc>
          <w:tcPr>
            <w:tcW w:w="492" w:type="dxa"/>
            <w:tcBorders>
              <w:top w:val="single" w:color="auto" w:sz="4" w:space="0"/>
              <w:left w:val="single" w:color="auto" w:sz="4" w:space="0"/>
              <w:right w:val="single" w:color="auto" w:sz="4" w:space="0"/>
            </w:tcBorders>
            <w:vAlign w:val="center"/>
          </w:tcPr>
          <w:p w14:paraId="3BE81586">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10</w:t>
            </w:r>
          </w:p>
        </w:tc>
        <w:tc>
          <w:tcPr>
            <w:tcW w:w="492" w:type="dxa"/>
            <w:tcBorders>
              <w:top w:val="single" w:color="auto" w:sz="4" w:space="0"/>
              <w:left w:val="single" w:color="auto" w:sz="4" w:space="0"/>
              <w:right w:val="single" w:color="auto" w:sz="4" w:space="0"/>
            </w:tcBorders>
            <w:vAlign w:val="center"/>
          </w:tcPr>
          <w:p w14:paraId="637D277E">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20</w:t>
            </w:r>
          </w:p>
        </w:tc>
        <w:tc>
          <w:tcPr>
            <w:tcW w:w="492" w:type="dxa"/>
            <w:tcBorders>
              <w:top w:val="single" w:color="auto" w:sz="4" w:space="0"/>
              <w:left w:val="single" w:color="auto" w:sz="4" w:space="0"/>
              <w:right w:val="single" w:color="auto" w:sz="4" w:space="0"/>
            </w:tcBorders>
            <w:vAlign w:val="center"/>
          </w:tcPr>
          <w:p w14:paraId="6B3E4B8D">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30</w:t>
            </w:r>
          </w:p>
        </w:tc>
        <w:tc>
          <w:tcPr>
            <w:tcW w:w="492" w:type="dxa"/>
            <w:tcBorders>
              <w:top w:val="single" w:color="auto" w:sz="4" w:space="0"/>
              <w:left w:val="single" w:color="auto" w:sz="4" w:space="0"/>
              <w:right w:val="single" w:color="auto" w:sz="4" w:space="0"/>
            </w:tcBorders>
            <w:vAlign w:val="center"/>
          </w:tcPr>
          <w:p w14:paraId="54C88D40">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40</w:t>
            </w:r>
          </w:p>
        </w:tc>
        <w:tc>
          <w:tcPr>
            <w:tcW w:w="492" w:type="dxa"/>
            <w:tcBorders>
              <w:top w:val="single" w:color="auto" w:sz="4" w:space="0"/>
              <w:left w:val="single" w:color="auto" w:sz="4" w:space="0"/>
              <w:right w:val="single" w:color="auto" w:sz="4" w:space="0"/>
            </w:tcBorders>
            <w:vAlign w:val="center"/>
          </w:tcPr>
          <w:p w14:paraId="62520FB3">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50</w:t>
            </w:r>
          </w:p>
        </w:tc>
        <w:tc>
          <w:tcPr>
            <w:tcW w:w="492" w:type="dxa"/>
            <w:tcBorders>
              <w:top w:val="single" w:color="auto" w:sz="4" w:space="0"/>
              <w:left w:val="single" w:color="auto" w:sz="4" w:space="0"/>
              <w:right w:val="single" w:color="auto" w:sz="4" w:space="0"/>
            </w:tcBorders>
            <w:vAlign w:val="center"/>
          </w:tcPr>
          <w:p w14:paraId="686B3251">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60</w:t>
            </w:r>
          </w:p>
        </w:tc>
        <w:tc>
          <w:tcPr>
            <w:tcW w:w="492" w:type="dxa"/>
            <w:tcBorders>
              <w:top w:val="single" w:color="auto" w:sz="4" w:space="0"/>
              <w:left w:val="single" w:color="auto" w:sz="4" w:space="0"/>
              <w:right w:val="single" w:color="auto" w:sz="4" w:space="0"/>
            </w:tcBorders>
            <w:vAlign w:val="center"/>
          </w:tcPr>
          <w:p w14:paraId="59D5C331">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70</w:t>
            </w:r>
          </w:p>
        </w:tc>
        <w:tc>
          <w:tcPr>
            <w:tcW w:w="492" w:type="dxa"/>
            <w:tcBorders>
              <w:top w:val="single" w:color="auto" w:sz="4" w:space="0"/>
              <w:left w:val="single" w:color="auto" w:sz="4" w:space="0"/>
              <w:right w:val="single" w:color="auto" w:sz="4" w:space="0"/>
            </w:tcBorders>
            <w:vAlign w:val="center"/>
          </w:tcPr>
          <w:p w14:paraId="7FB82145">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80</w:t>
            </w:r>
          </w:p>
        </w:tc>
        <w:tc>
          <w:tcPr>
            <w:tcW w:w="492" w:type="dxa"/>
            <w:tcBorders>
              <w:top w:val="single" w:color="auto" w:sz="4" w:space="0"/>
              <w:left w:val="single" w:color="auto" w:sz="4" w:space="0"/>
              <w:right w:val="single" w:color="auto" w:sz="4" w:space="0"/>
            </w:tcBorders>
            <w:vAlign w:val="center"/>
          </w:tcPr>
          <w:p w14:paraId="7E6648C6">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85</w:t>
            </w:r>
          </w:p>
        </w:tc>
        <w:tc>
          <w:tcPr>
            <w:tcW w:w="492" w:type="dxa"/>
            <w:tcBorders>
              <w:top w:val="single" w:color="auto" w:sz="4" w:space="0"/>
              <w:left w:val="single" w:color="auto" w:sz="4" w:space="0"/>
              <w:right w:val="single" w:color="auto" w:sz="4" w:space="0"/>
            </w:tcBorders>
            <w:vAlign w:val="center"/>
          </w:tcPr>
          <w:p w14:paraId="0027CF78">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90</w:t>
            </w:r>
          </w:p>
        </w:tc>
        <w:tc>
          <w:tcPr>
            <w:tcW w:w="492" w:type="dxa"/>
            <w:tcBorders>
              <w:top w:val="single" w:color="auto" w:sz="4" w:space="0"/>
              <w:left w:val="single" w:color="auto" w:sz="4" w:space="0"/>
              <w:right w:val="single" w:color="auto" w:sz="4" w:space="0"/>
            </w:tcBorders>
            <w:vAlign w:val="center"/>
          </w:tcPr>
          <w:p w14:paraId="11C1CB85">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95</w:t>
            </w:r>
          </w:p>
        </w:tc>
        <w:tc>
          <w:tcPr>
            <w:tcW w:w="613" w:type="dxa"/>
            <w:vAlign w:val="center"/>
          </w:tcPr>
          <w:p w14:paraId="742497E4">
            <w:pPr>
              <w:widowControl/>
              <w:adjustRightInd/>
              <w:spacing w:line="360" w:lineRule="auto"/>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100</w:t>
            </w:r>
          </w:p>
        </w:tc>
      </w:tr>
    </w:tbl>
    <w:p w14:paraId="5E421C38">
      <w:pPr>
        <w:widowControl/>
        <w:adjustRightInd/>
        <w:spacing w:line="360" w:lineRule="auto"/>
        <w:ind w:firstLine="240"/>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注：不足一个月的部分按一个月计收。</w:t>
      </w:r>
    </w:p>
    <w:p w14:paraId="4232BEB2">
      <w:pPr>
        <w:widowControl/>
        <w:adjustRightInd/>
        <w:spacing w:line="360" w:lineRule="auto"/>
        <w:ind w:firstLine="240"/>
        <w:jc w:val="left"/>
        <w:rPr>
          <w:rFonts w:ascii="宋体" w:hAnsi="宋体" w:eastAsia="宋体" w:cs="仿宋"/>
          <w:color w:val="auto"/>
          <w:kern w:val="0"/>
          <w:sz w:val="24"/>
          <w:szCs w:val="21"/>
          <w:highlight w:val="none"/>
        </w:rPr>
      </w:pPr>
      <w:r>
        <w:rPr>
          <w:rFonts w:ascii="宋体" w:hAnsi="宋体" w:eastAsia="宋体" w:cs="仿宋"/>
          <w:color w:val="auto"/>
          <w:kern w:val="0"/>
          <w:sz w:val="24"/>
          <w:szCs w:val="21"/>
          <w:highlight w:val="none"/>
        </w:rPr>
        <w:br w:type="page"/>
      </w:r>
    </w:p>
    <w:p w14:paraId="01F77507">
      <w:pPr>
        <w:widowControl/>
        <w:adjustRightInd/>
        <w:spacing w:line="360" w:lineRule="auto"/>
        <w:ind w:firstLine="422" w:firstLineChars="200"/>
        <w:jc w:val="center"/>
        <w:rPr>
          <w:rFonts w:ascii="宋体" w:hAnsi="宋体" w:eastAsia="宋体" w:cs="宋体"/>
          <w:b/>
          <w:bCs/>
          <w:color w:val="auto"/>
          <w:kern w:val="0"/>
          <w:sz w:val="24"/>
          <w:szCs w:val="21"/>
          <w:highlight w:val="none"/>
        </w:rPr>
      </w:pPr>
      <w:bookmarkStart w:id="128" w:name="_Toc15403"/>
      <w:bookmarkStart w:id="129" w:name="_Toc7564"/>
      <w:bookmarkStart w:id="130" w:name="_Toc27864"/>
      <w:bookmarkStart w:id="131" w:name="_Toc98443914"/>
      <w:r>
        <w:rPr>
          <w:rFonts w:hint="eastAsia" w:ascii="宋体" w:hAnsi="宋体" w:eastAsia="宋体" w:cs="宋体"/>
          <w:b/>
          <w:bCs/>
          <w:color w:val="auto"/>
          <w:kern w:val="0"/>
          <w:sz w:val="21"/>
          <w:szCs w:val="21"/>
          <w:highlight w:val="none"/>
        </w:rPr>
        <w:t>财产一切险（含机器损坏险、现金险）附加条款</w:t>
      </w:r>
      <w:bookmarkEnd w:id="128"/>
      <w:bookmarkEnd w:id="129"/>
      <w:bookmarkEnd w:id="130"/>
      <w:bookmarkEnd w:id="131"/>
    </w:p>
    <w:p w14:paraId="371DA0C2">
      <w:pPr>
        <w:widowControl w:val="0"/>
        <w:overflowPunct/>
        <w:autoSpaceDE/>
        <w:autoSpaceDN/>
        <w:adjustRightInd/>
        <w:spacing w:before="0" w:after="0" w:line="360" w:lineRule="auto"/>
        <w:ind w:left="0" w:firstLine="420" w:firstLineChars="200"/>
        <w:jc w:val="both"/>
        <w:textAlignment w:val="auto"/>
        <w:rPr>
          <w:rFonts w:ascii="宋体" w:hAnsi="Times New Roman" w:eastAsia="宋体" w:cs="宋体"/>
          <w:bCs/>
          <w:color w:val="auto"/>
          <w:kern w:val="2"/>
          <w:sz w:val="21"/>
          <w:szCs w:val="21"/>
          <w:highlight w:val="none"/>
          <w:lang w:val="en-US" w:eastAsia="zh-CN" w:bidi="ar-SA"/>
        </w:rPr>
      </w:pPr>
      <w:r>
        <w:rPr>
          <w:rFonts w:hint="eastAsia" w:ascii="宋体" w:hAnsi="Times New Roman" w:eastAsia="宋体" w:cs="宋体"/>
          <w:bCs/>
          <w:color w:val="auto"/>
          <w:kern w:val="2"/>
          <w:sz w:val="21"/>
          <w:szCs w:val="21"/>
          <w:highlight w:val="none"/>
          <w:lang w:val="en-US" w:eastAsia="zh-CN" w:bidi="ar-SA"/>
        </w:rPr>
        <w:t>下列附加条款适用于本保险单的各个部分，若其与本保险单的其他规定相冲突，则以下列附加条款为准。</w:t>
      </w:r>
    </w:p>
    <w:p w14:paraId="5739EF21">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机器损坏险条款</w:t>
      </w:r>
    </w:p>
    <w:p w14:paraId="307AB36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财产中的保险机器（含工程车辆）及附属设备因意外事故造成的物质损失或灭失（以下简称“损失”），不论机器是否正在运作或休息、或因清洁、检查、维修或安装而被拆散、移动或重新安装，保险人按保单规定负责赔偿，包括：</w:t>
      </w:r>
    </w:p>
    <w:p w14:paraId="7CFDE94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（1）设计、制造或安装错误、铸造和原材料缺陷；</w:t>
      </w:r>
    </w:p>
    <w:p w14:paraId="3AEE232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（2）工人、技术人员操作错误、缺乏经验、技术不善、疏忽、过失、恶意行为；</w:t>
      </w:r>
    </w:p>
    <w:p w14:paraId="0098B91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（3）离心力引起的断裂；</w:t>
      </w:r>
    </w:p>
    <w:p w14:paraId="34CCD59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（4）超负荷、超电压、碰线、电弧、漏电、短路、大气放电、感应电及其他电气原因；</w:t>
      </w:r>
    </w:p>
    <w:p w14:paraId="0F5B152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（5）锅炉缺水。</w:t>
      </w:r>
    </w:p>
    <w:p w14:paraId="267A260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FBD83C3">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错误与遗漏条款</w:t>
      </w:r>
    </w:p>
    <w:p w14:paraId="280B78F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项下的赔偿责任不因被保险人非故意地延迟、错误或遗漏向保险人申报有关所占用的场地、保险财产价值的变更或其他有关信息而被拒付，一旦被保险人明白其疏忽或遗漏应在合理的时间内尽快向保险人申报。</w:t>
      </w:r>
    </w:p>
    <w:p w14:paraId="2A53853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不正确的、有缺陷的或错误的评估不可视为非故意的错误与遗漏。</w:t>
      </w:r>
    </w:p>
    <w:p w14:paraId="5AB380C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D821578">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不受控制条款</w:t>
      </w:r>
    </w:p>
    <w:p w14:paraId="39327AF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兹经双方同意，被保险人在占用或使用营业场所时，由于不知情或远非其所能控制的事件发生造成的遗漏申报或任何行为，不会影响本保险单的有效性。</w:t>
      </w:r>
    </w:p>
    <w:p w14:paraId="6F43656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476E4D9">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不使失效条款</w:t>
      </w:r>
    </w:p>
    <w:p w14:paraId="44AD5D2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兹经双方同意,本保险单不因下列原因失效：</w:t>
      </w:r>
    </w:p>
    <w:p w14:paraId="036CE10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1、被保险人不知情的保险财产的占用变化或风险增加，但被保险人一经知道应立即通知保险人，并支付可能要求的自风险增加之日起的附加保险费。</w:t>
      </w:r>
    </w:p>
    <w:p w14:paraId="03423D1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2、工人出于修理、微小变动或一般维修等类似目的在保险单列明场所作业。</w:t>
      </w:r>
    </w:p>
    <w:p w14:paraId="46C66F7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BF5FA0F">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指定理算师条款</w:t>
      </w:r>
    </w:p>
    <w:p w14:paraId="7EA642B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兹经双方同意，当损失发生时，且在被保险人看来可能引起本保单项下的索赔，被保险人有权使用：</w:t>
      </w:r>
    </w:p>
    <w:p w14:paraId="4BEF669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平量行（上海）保险公估有限公司</w:t>
      </w:r>
    </w:p>
    <w:p w14:paraId="7007DB2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赛维特保险公估（中国）有限公司</w:t>
      </w:r>
    </w:p>
    <w:p w14:paraId="42AE628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民太安财产保险公估股份有限公司</w:t>
      </w:r>
    </w:p>
    <w:p w14:paraId="4FD4699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深圳市万宜麦理伦保险公估有限公司</w:t>
      </w:r>
    </w:p>
    <w:p w14:paraId="082C508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或保险双方认可的其他保险公估公司</w:t>
      </w:r>
    </w:p>
    <w:p w14:paraId="2302C8F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协助认定责任和金额，聘请公估人的费用由保险人支付。</w:t>
      </w:r>
    </w:p>
    <w:p w14:paraId="0C6A8E0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433451F">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预付赔款条款</w:t>
      </w:r>
    </w:p>
    <w:p w14:paraId="6500C2D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兹经双方同意，如果发生本保险单承保责任范围内的损失、预计索赔金额超过RMB 100万元，则在发生损失后30日内，经被保险人书面要求，保险人同意于收到该书面要求后10个工作日内，对于已确定的损失部分进行全额预先赔付；对于未确定的损失部分，按估损金额的85%进行预先赔付，并在全部损失确定后立即完成有关索赔及理赔手续。</w:t>
      </w:r>
    </w:p>
    <w:p w14:paraId="067C779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EB54DC5">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违反条件条款</w:t>
      </w:r>
    </w:p>
    <w:p w14:paraId="058E397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兹经双方同意，本保险单的条件和保证将分别适用于每一承保风险，而非共同适用于所有承保风险。对条件和保证的违反仅使受影响的该部分保障失效，不影响有关其他风险保障的有效性。</w:t>
      </w:r>
    </w:p>
    <w:p w14:paraId="73B455C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431BD44">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重置价值条款</w:t>
      </w:r>
    </w:p>
    <w:p w14:paraId="2D04CFE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兹经双方同意，以下列特别条件为准，本保险单项下清单中列明的财产，如发生本保险责任范围内的损失，其赔偿金额应按受损保险财产的重置价值计算。</w:t>
      </w:r>
    </w:p>
    <w:p w14:paraId="20D7ED4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重置价值是指：</w:t>
      </w:r>
    </w:p>
    <w:p w14:paraId="4215D46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一、重建或替换受损财产，但本保险的赔偿责任不能因下列原因而增加：</w:t>
      </w:r>
    </w:p>
    <w:p w14:paraId="465B2E3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（一）被保险人要求按自己的方式进行重建或替换受损财产。</w:t>
      </w:r>
    </w:p>
    <w:p w14:paraId="278D816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（二）被保险人在其他地点进行重建或替换受损财产。</w:t>
      </w:r>
    </w:p>
    <w:p w14:paraId="51A3553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二、修理或修复受损财产</w:t>
      </w:r>
    </w:p>
    <w:p w14:paraId="211DC14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无论属于哪一种情况，受损财产应达到等同或基本近似但不超出其崭新时的状态。</w:t>
      </w:r>
    </w:p>
    <w:p w14:paraId="2936AC7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特别条件：</w:t>
      </w:r>
    </w:p>
    <w:p w14:paraId="0E7424F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一、被保险财产若发生部分损失，需进行修理或修复的费用不能超过该财产全部损失应赔偿的金额；</w:t>
      </w:r>
    </w:p>
    <w:p w14:paraId="28114A0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二、若受损财产重新修复或重建所产生的重置费用高于该财产发生损失时的保险金额，本保险的赔偿按该保险金额与受损财产重置价的比例确定，计算方式如下：</w:t>
      </w:r>
    </w:p>
    <w:p w14:paraId="50C0D1E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受损财产保险金额</w:t>
      </w:r>
    </w:p>
    <w:p w14:paraId="7BE0872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—————————×损失金额－免赔金额 = 赔偿金额</w:t>
      </w:r>
    </w:p>
    <w:p w14:paraId="7A0B52A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受损财产重置价值</w:t>
      </w:r>
    </w:p>
    <w:p w14:paraId="1C3C27C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三、若遇下列情况，保险人的赔偿最高将按受损保险财产的市价计算</w:t>
      </w:r>
    </w:p>
    <w:p w14:paraId="60FBE0F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（一）被保险人没有合理的原因和理由推迟、延误重建或修复工作。</w:t>
      </w:r>
    </w:p>
    <w:p w14:paraId="3E25FE9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（二）被保险人没有对受损财产进行重建、替换或修复。</w:t>
      </w:r>
    </w:p>
    <w:p w14:paraId="442A1F2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（三）发生损失时保险财产由其他有效保险单承保，但该保险单没有按与本条款一致的重置价值承保。</w:t>
      </w:r>
    </w:p>
    <w:p w14:paraId="56B6915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0980317">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自动恢复保险金额条款</w:t>
      </w:r>
    </w:p>
    <w:p w14:paraId="1DD5B39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兹经双方同意，在保险人对本保险单明细表中列明的被保险财产的损失予以赔偿后，原保险金额自动恢复。</w:t>
      </w:r>
    </w:p>
    <w:p w14:paraId="12EC57D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2CABD8E">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保单终止条款</w:t>
      </w:r>
    </w:p>
    <w:p w14:paraId="2DD6E76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兹经双方同意，被保险人可以随时通知保险人终止本保单，在此情况下，保险人按日比例计算收取自保单开始之日起的已生效保险费。而保险期限内，保险人未经被保险人书面同意，不得注销此保单。</w:t>
      </w:r>
    </w:p>
    <w:p w14:paraId="19760F4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D7CB673">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放弃代位追偿权利条款</w:t>
      </w:r>
    </w:p>
    <w:p w14:paraId="29AB031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尽管保险单有相反规定，按照保险人的要求并由其支付费用，本保险单项下的索赔人应采取或同意或允许采取保险人认为必要和合理的一切措施，以便保险人行使任何权利，或从其他方取得在其对本保险单项下的损失进行赔付或修理后将被赋予或转让的补偿，无论上述措施是否为保险人在赔偿前或赔偿后所认为必要或要求。保险人在此同意放弃向被保险人的联营公司或分公司，任何子公司、控股公司，或任何有关的团体、官员或个人进行追偿的权利。</w:t>
      </w:r>
    </w:p>
    <w:p w14:paraId="0C1D340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D7DC0B8">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意外污染条款（每次事故赔偿限额：RMB 1,000万元，累计赔偿限额：RMB 2,000万元）</w:t>
      </w:r>
    </w:p>
    <w:p w14:paraId="3B15D97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合同扩展承保因保险地址内发生意外事故，造成污染物意外泄漏导致被保险人法律上应承担的经济赔偿责任。意外事故必须是外来原因导致的突发的、偶然性事故，不含因被保险人生产流程本身固有原因导致的渐变式污染。</w:t>
      </w:r>
    </w:p>
    <w:p w14:paraId="7F06CE8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本附加条款的赔偿范围不包括政府的任何罚款或惩罚性赔偿。</w:t>
      </w:r>
    </w:p>
    <w:p w14:paraId="79F1E72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每次事故赔偿限额：RMB 1,000万元，累计赔偿限额：RMB 2,000万元。</w:t>
      </w:r>
    </w:p>
    <w:p w14:paraId="25BF201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B0399D8">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财产防护及保存条款</w:t>
      </w:r>
    </w:p>
    <w:p w14:paraId="0B47D24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兹经双方同意,在属于保单责任范围内保险财产的物质损失实际发生或即将发生时，因采取合理且必要的临时保护及保存措施所发生的费用并入总损失中予以赔付。</w:t>
      </w:r>
    </w:p>
    <w:p w14:paraId="423646F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FCDB3C9">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灭火费用条款（限额：RMB 5,000万元）</w:t>
      </w:r>
    </w:p>
    <w:p w14:paraId="7B66C6D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兹经双方同意,本保单扩展承保由保单承保的风险引起的下列损失：</w:t>
      </w:r>
    </w:p>
    <w:p w14:paraId="73DA6E4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（1）灭火过程中的费用，费用包括但不限于：</w:t>
      </w:r>
    </w:p>
    <w:p w14:paraId="295CBF3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fldChar w:fldCharType="begin"/>
      </w:r>
      <w:r>
        <w:rPr>
          <w:rFonts w:hint="eastAsia" w:ascii="宋体" w:hAnsi="宋体" w:eastAsia="宋体" w:cs="宋体"/>
          <w:bCs/>
          <w:color w:val="auto"/>
          <w:kern w:val="0"/>
          <w:sz w:val="21"/>
          <w:szCs w:val="21"/>
          <w:highlight w:val="none"/>
        </w:rPr>
        <w:instrText xml:space="preserve"> = 1 \* GB3 </w:instrText>
      </w:r>
      <w:r>
        <w:rPr>
          <w:rFonts w:hint="eastAsia" w:ascii="宋体" w:hAnsi="宋体" w:eastAsia="宋体" w:cs="宋体"/>
          <w:bCs/>
          <w:color w:val="auto"/>
          <w:kern w:val="0"/>
          <w:sz w:val="24"/>
          <w:szCs w:val="21"/>
          <w:highlight w:val="none"/>
        </w:rPr>
        <w:fldChar w:fldCharType="separate"/>
      </w:r>
      <w:r>
        <w:rPr>
          <w:rFonts w:hint="eastAsia" w:ascii="宋体" w:hAnsi="宋体" w:eastAsia="宋体" w:cs="宋体"/>
          <w:bCs/>
          <w:color w:val="auto"/>
          <w:kern w:val="0"/>
          <w:sz w:val="21"/>
          <w:szCs w:val="21"/>
          <w:highlight w:val="none"/>
        </w:rPr>
        <w:t>①</w:t>
      </w:r>
      <w:r>
        <w:rPr>
          <w:rFonts w:hint="eastAsia" w:ascii="宋体" w:hAnsi="宋体" w:eastAsia="宋体" w:cs="宋体"/>
          <w:bCs/>
          <w:color w:val="auto"/>
          <w:kern w:val="0"/>
          <w:sz w:val="24"/>
          <w:szCs w:val="21"/>
          <w:highlight w:val="none"/>
        </w:rPr>
        <w:fldChar w:fldCharType="end"/>
      </w:r>
      <w:r>
        <w:rPr>
          <w:rFonts w:hint="eastAsia" w:ascii="宋体" w:hAnsi="宋体" w:eastAsia="宋体" w:cs="宋体"/>
          <w:bCs/>
          <w:color w:val="auto"/>
          <w:kern w:val="0"/>
          <w:sz w:val="21"/>
          <w:szCs w:val="21"/>
          <w:highlight w:val="none"/>
        </w:rPr>
        <w:t xml:space="preserve"> 为参加救火的被保险人雇员所支付的费用，但不包括工厂消防队专职队员的工资。</w:t>
      </w:r>
    </w:p>
    <w:p w14:paraId="038844B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fldChar w:fldCharType="begin"/>
      </w:r>
      <w:r>
        <w:rPr>
          <w:rFonts w:hint="eastAsia" w:ascii="宋体" w:hAnsi="宋体" w:eastAsia="宋体" w:cs="宋体"/>
          <w:bCs/>
          <w:color w:val="auto"/>
          <w:kern w:val="0"/>
          <w:sz w:val="21"/>
          <w:szCs w:val="21"/>
          <w:highlight w:val="none"/>
        </w:rPr>
        <w:instrText xml:space="preserve"> = 2 \* GB3 </w:instrText>
      </w:r>
      <w:r>
        <w:rPr>
          <w:rFonts w:hint="eastAsia" w:ascii="宋体" w:hAnsi="宋体" w:eastAsia="宋体" w:cs="宋体"/>
          <w:bCs/>
          <w:color w:val="auto"/>
          <w:kern w:val="0"/>
          <w:sz w:val="24"/>
          <w:szCs w:val="21"/>
          <w:highlight w:val="none"/>
        </w:rPr>
        <w:fldChar w:fldCharType="separate"/>
      </w:r>
      <w:r>
        <w:rPr>
          <w:rFonts w:hint="eastAsia" w:ascii="宋体" w:hAnsi="宋体" w:eastAsia="宋体" w:cs="宋体"/>
          <w:bCs/>
          <w:color w:val="auto"/>
          <w:kern w:val="0"/>
          <w:sz w:val="21"/>
          <w:szCs w:val="21"/>
          <w:highlight w:val="none"/>
        </w:rPr>
        <w:t>②</w:t>
      </w:r>
      <w:r>
        <w:rPr>
          <w:rFonts w:hint="eastAsia" w:ascii="宋体" w:hAnsi="宋体" w:eastAsia="宋体" w:cs="宋体"/>
          <w:bCs/>
          <w:color w:val="auto"/>
          <w:kern w:val="0"/>
          <w:sz w:val="24"/>
          <w:szCs w:val="21"/>
          <w:highlight w:val="none"/>
        </w:rPr>
        <w:fldChar w:fldCharType="end"/>
      </w:r>
      <w:r>
        <w:rPr>
          <w:rFonts w:hint="eastAsia" w:ascii="宋体" w:hAnsi="宋体" w:eastAsia="宋体" w:cs="宋体"/>
          <w:bCs/>
          <w:color w:val="auto"/>
          <w:kern w:val="0"/>
          <w:sz w:val="21"/>
          <w:szCs w:val="21"/>
          <w:highlight w:val="none"/>
        </w:rPr>
        <w:t xml:space="preserve"> 除非另有其他保险，补充消防器具及损毁材料（包括雇员的衣服及私人物品）的费用，以及重置或修理救火过程中使用的材料或设备的费用。</w:t>
      </w:r>
    </w:p>
    <w:p w14:paraId="0E2FF05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fldChar w:fldCharType="begin"/>
      </w:r>
      <w:r>
        <w:rPr>
          <w:rFonts w:hint="eastAsia" w:ascii="宋体" w:hAnsi="宋体" w:eastAsia="宋体" w:cs="宋体"/>
          <w:bCs/>
          <w:color w:val="auto"/>
          <w:kern w:val="0"/>
          <w:sz w:val="21"/>
          <w:szCs w:val="21"/>
          <w:highlight w:val="none"/>
        </w:rPr>
        <w:instrText xml:space="preserve"> = 3 \* GB3 </w:instrText>
      </w:r>
      <w:r>
        <w:rPr>
          <w:rFonts w:hint="eastAsia" w:ascii="宋体" w:hAnsi="宋体" w:eastAsia="宋体" w:cs="宋体"/>
          <w:bCs/>
          <w:color w:val="auto"/>
          <w:kern w:val="0"/>
          <w:sz w:val="24"/>
          <w:szCs w:val="21"/>
          <w:highlight w:val="none"/>
        </w:rPr>
        <w:fldChar w:fldCharType="separate"/>
      </w:r>
      <w:r>
        <w:rPr>
          <w:rFonts w:hint="eastAsia" w:ascii="宋体" w:hAnsi="宋体" w:eastAsia="宋体" w:cs="宋体"/>
          <w:bCs/>
          <w:color w:val="auto"/>
          <w:kern w:val="0"/>
          <w:sz w:val="21"/>
          <w:szCs w:val="21"/>
          <w:highlight w:val="none"/>
        </w:rPr>
        <w:t>③</w:t>
      </w:r>
      <w:r>
        <w:rPr>
          <w:rFonts w:hint="eastAsia" w:ascii="宋体" w:hAnsi="宋体" w:eastAsia="宋体" w:cs="宋体"/>
          <w:bCs/>
          <w:color w:val="auto"/>
          <w:kern w:val="0"/>
          <w:sz w:val="24"/>
          <w:szCs w:val="21"/>
          <w:highlight w:val="none"/>
        </w:rPr>
        <w:fldChar w:fldCharType="end"/>
      </w:r>
      <w:r>
        <w:rPr>
          <w:rFonts w:hint="eastAsia" w:ascii="宋体" w:hAnsi="宋体" w:eastAsia="宋体" w:cs="宋体"/>
          <w:bCs/>
          <w:color w:val="auto"/>
          <w:kern w:val="0"/>
          <w:sz w:val="21"/>
          <w:szCs w:val="21"/>
          <w:highlight w:val="none"/>
        </w:rPr>
        <w:t xml:space="preserve"> 所有其他有关救火或防止火势蔓延，或因火或其他承保风险受损或存在受损的威胁，而提供临时安全装置的费用。</w:t>
      </w:r>
    </w:p>
    <w:p w14:paraId="7D9B1BF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（2）清理水和其他物质的费用。</w:t>
      </w:r>
    </w:p>
    <w:p w14:paraId="3594CB0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（3）清理费用。</w:t>
      </w:r>
    </w:p>
    <w:p w14:paraId="4A6A98F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（4）暂时性防护设施建造费用。</w:t>
      </w:r>
    </w:p>
    <w:p w14:paraId="26C57C9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每次事故及年累计赔偿限额：RMB 5,000万元。</w:t>
      </w:r>
    </w:p>
    <w:p w14:paraId="2D028EE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灭火费用不应计入本保单项下财产的重置价值内，且灭火费用在保单明细表列明的总保险金额以外进行赔付。</w:t>
      </w:r>
    </w:p>
    <w:p w14:paraId="6921322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3244759">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清理费用条款（限额：RMB 15,000万元）</w:t>
      </w:r>
    </w:p>
    <w:p w14:paraId="4380D8A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兹经双方同意，保险人负责赔偿被保险人因本保险单项下承保的风险造成保险财产损失而发生的清除、拆除或支撑受损财产和现场清理的费用。本费用在保单明细表列明的总保险金额以外进行赔付。</w:t>
      </w:r>
    </w:p>
    <w:p w14:paraId="3C5CF4F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每次事故及年累计赔偿限额：RMB 15,000万元。</w:t>
      </w:r>
    </w:p>
    <w:p w14:paraId="713BC4C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2F9226E">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额外费用条款（含空运费，限额：损失的50%）</w:t>
      </w:r>
    </w:p>
    <w:p w14:paraId="5C446B5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下列特别费用,即：加班费、夜班费、节假日加班费及快运费，包括空运费，但该特别费用须与本保单项下予以赔偿保险财产的损失有关。且本条款项下特别费用的最高赔偿金额在保险期限内不超过以下列明的限额。本费用在保单明细表列明的总保险金额以外进行赔付。</w:t>
      </w:r>
    </w:p>
    <w:p w14:paraId="1FCF8C1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每次事故赔偿限额：损失金额的50%。</w:t>
      </w:r>
    </w:p>
    <w:p w14:paraId="0ECD773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9C1200A">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专业费用条款（限额：明细表所属项保险金额的35%）</w:t>
      </w:r>
    </w:p>
    <w:p w14:paraId="26CA08C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保险人负责赔偿被保险人因本保险单项下承保风险造成保险财产损失后，在重置过程中发生的必要的设计师、检验师及工程咨询人费用，但不包括被保险人为了准备索赔或估损所发生的任何费用。上述赔偿费用应以财产损失时适用的有关行业管理部门收费规定为准，但保险人在本扩展条款项下的赔偿责任不得超过明细表所属项保险金额的35%。本费用在保单明细表列明的总保险金额以外进行赔付。</w:t>
      </w:r>
    </w:p>
    <w:p w14:paraId="0D43EFA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1AA6E82">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锅炉及压力容器爆炸扩展条款</w:t>
      </w:r>
    </w:p>
    <w:p w14:paraId="4DFC018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锅炉和压力容器由于爆炸或倒塌导致的保险财产（包括自身）的损失、责任及费用。被保险人应克尽职责，按照所有法律规定，对锅炉和压力容器合理的检查和维修，否则保险人不予赔付。</w:t>
      </w:r>
    </w:p>
    <w:p w14:paraId="7D7AB8A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14BB7BE">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场所外财产条款</w:t>
      </w:r>
    </w:p>
    <w:p w14:paraId="3A06998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兹经双方同意，本保险扩展承保为了修理、检修或避免受到承保风险的威胁，而从保险单列明场所移走的保险财产，但自移动之日起不得超过九十天。所移动的财产不超过总保险金额15%。</w:t>
      </w:r>
    </w:p>
    <w:p w14:paraId="38904A8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DB8D9DA">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临时移动条款（限额：明细表所属项保险金额的40%）</w:t>
      </w:r>
    </w:p>
    <w:p w14:paraId="667890F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财产为清洁、维修、修理或其他类似目的而临时移动时，从本保险单明细表中列明的场所至中华人民共和国境内的任何地方由陆路、水路、铁路和航空往返运输途中因承保的风险所导致的物质损失。</w:t>
      </w:r>
    </w:p>
    <w:p w14:paraId="3E6FF82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本扩展条款受下列条件限制：</w:t>
      </w:r>
    </w:p>
    <w:p w14:paraId="40A68D7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（1）被移动保险财产的赔偿金额不得超过该项财产在本保险单明细表中列明的保险金额的40%。</w:t>
      </w:r>
    </w:p>
    <w:p w14:paraId="7582EE1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（2）若另有其他保险存在，则本扩展条款不适用。</w:t>
      </w:r>
    </w:p>
    <w:p w14:paraId="32547BF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（3）本扩展条款不适用于本保险单项下承保的各类商品，上述物品若因移动而遭受损失，保险人不负责赔偿。</w:t>
      </w:r>
    </w:p>
    <w:p w14:paraId="31A8CB4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（4）本扩展条款不适用于下列财产：</w:t>
      </w:r>
    </w:p>
    <w:p w14:paraId="6364DD7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A.领取交通执照的机动车辆和汽车底盘；</w:t>
      </w:r>
    </w:p>
    <w:p w14:paraId="4B6B6DB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B.他人委托被保险人管理的财产，机器及设备除外。</w:t>
      </w:r>
    </w:p>
    <w:p w14:paraId="2BEBBCB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91ABA50">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公共当局扩展条款</w:t>
      </w:r>
    </w:p>
    <w:p w14:paraId="3BAFF7C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兹经双方同意，保险人扩展承保被保险人在重置损毁的保险财产时，由于必须执行公共当局的法律、法令、法规或条例，遵守建筑或其他有关规定而产生的额外费用，但不包括：</w:t>
      </w:r>
    </w:p>
    <w:p w14:paraId="2356D66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（1）在下列情况下，执行上述规定或条例而产生的费用：</w:t>
      </w:r>
    </w:p>
    <w:p w14:paraId="7538D16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 xml:space="preserve"> ①损失发生在本扩展生效之前。</w:t>
      </w:r>
    </w:p>
    <w:p w14:paraId="2B24089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 xml:space="preserve"> ②损失不在本保险责任范围内。</w:t>
      </w:r>
    </w:p>
    <w:p w14:paraId="1846006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 xml:space="preserve"> ③损失发生前，被保险人已接到有关通知。</w:t>
      </w:r>
    </w:p>
    <w:p w14:paraId="68398A1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 xml:space="preserve"> ④未受损财产或未受损部分财产，但不包括受损财产的地基。</w:t>
      </w:r>
    </w:p>
    <w:p w14:paraId="6A49042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（2）如果无需执行上述规定或条例，恢复受损财产以达到其新的状态应产生的额外费用。</w:t>
      </w:r>
    </w:p>
    <w:p w14:paraId="5F5FC57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（3）执行上述规定或条例导致资产增值而产生的税费或评估费用。</w:t>
      </w:r>
    </w:p>
    <w:p w14:paraId="1B50DBD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C42BC72">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罢工、暴动、民众骚乱条款</w:t>
      </w:r>
    </w:p>
    <w:p w14:paraId="70CE1E0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兹经双方同意，保险人扩展承保由于罢工、暴乱及民众骚动引起的损失。但本扩展条款仅负责由下列原因直接引起的保险财产的损失：</w:t>
      </w:r>
    </w:p>
    <w:p w14:paraId="0455DCB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（1）任何个人参与他人进行社会骚乱的活动（无论是否与罢工有关）。</w:t>
      </w:r>
    </w:p>
    <w:p w14:paraId="0F09392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（2）任何合法当局对该骚乱进行平息或试图平息，或为减轻该骚乱造成的后果所采取的行动。</w:t>
      </w:r>
    </w:p>
    <w:p w14:paraId="3E2D1C7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（3）任何罢工者为扩大罢工规模，或抵制厂方关闭工厂而采取的故意行为。</w:t>
      </w:r>
    </w:p>
    <w:p w14:paraId="01544CD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（4）任何合法当局为预防，或试图预防该故意行为，或为减轻该故意行为造成的后果所采取的行动。</w:t>
      </w:r>
    </w:p>
    <w:p w14:paraId="42E9EAD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双方进一步同意：</w:t>
      </w:r>
    </w:p>
    <w:p w14:paraId="2FA8A0C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（1）除下述特别条件另有规定外，本保险单所有条款、除外责任及条件等均适用于本扩展条款。本保险单的责任范围亦将包括本扩展条款承保的损失。</w:t>
      </w:r>
    </w:p>
    <w:p w14:paraId="55EB0FD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（2）下述特别条件仅适用于本扩展条款。</w:t>
      </w:r>
    </w:p>
    <w:p w14:paraId="5B71F7A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 xml:space="preserve">A.本保险单对以下原因造成的损失不予负责： </w:t>
      </w:r>
    </w:p>
    <w:p w14:paraId="08CF83E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（1）全部停工或部分停工，或工程实施过程中的延迟、中断、停止。</w:t>
      </w:r>
    </w:p>
    <w:p w14:paraId="74210F1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（2）任何合法当局没收、征用保险财产造成被保险人永久或临时的权益丧失。</w:t>
      </w:r>
    </w:p>
    <w:p w14:paraId="060B0D3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（3）任何人非法占有建筑物造成被保险人对该建筑物永久或临时的权益丧失。</w:t>
      </w:r>
    </w:p>
    <w:p w14:paraId="26FEBAD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但保险人对上述（2）及（3）项下被保险人的权益丧失之前，或临时丧失期间的保险财产的物质损失负责赔偿。</w:t>
      </w:r>
    </w:p>
    <w:p w14:paraId="6789D4F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B.保险人对下列原因引起的直接或间接损失不予负责：</w:t>
      </w:r>
    </w:p>
    <w:p w14:paraId="14FBCA5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（1）战争、入侵、外敌行为、敌对行为、类似战争行为（无论宣战与否）、内乱。</w:t>
      </w:r>
    </w:p>
    <w:p w14:paraId="35F870B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（2）兵变、民众骚动导致的全民起义、军队起义、暴动、叛乱、革命、军事行动或篡权行动。</w:t>
      </w:r>
    </w:p>
    <w:p w14:paraId="43F6FDB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（3）代表任何组织，或与之有关联的任何个人采取的旨在动用武力推翻政府的行动（合法的或事实上的）。</w:t>
      </w:r>
    </w:p>
    <w:p w14:paraId="595351C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一旦发生诉讼，且保险人根据本特别条件申明损失不属本保险责任范围时，被保险人如有异议，则承担相应的举证之责。</w:t>
      </w:r>
    </w:p>
    <w:p w14:paraId="300F000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A343161">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机车车辆保险条款</w:t>
      </w:r>
    </w:p>
    <w:p w14:paraId="2D6496B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自有的机车车辆（包括电客车、工程车等）在轨道上正常使用过程中，由于（包含因调度、误操作等原因导致的）出轨、倾覆、碰撞所造成的机车车辆的损失，保险人以保险单中列明的保险金额为限按实际损失赔偿。</w:t>
      </w:r>
    </w:p>
    <w:p w14:paraId="07BDE09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对于以下损失，保险人不负赔偿责任：</w:t>
      </w:r>
    </w:p>
    <w:p w14:paraId="01C4064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（一）驾驶人员无正式驾驶证、酒后以及处在药物麻醉状态中驾驶造成的损失。</w:t>
      </w:r>
    </w:p>
    <w:p w14:paraId="4DCF72C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（二）车辆受损致使停驶所造成的间接损失。</w:t>
      </w:r>
    </w:p>
    <w:p w14:paraId="6D0CC53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A8B8CBC">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地震、海啸条款（限额：总保险金额的100%；每次事故免赔：损失金额的3%）</w:t>
      </w:r>
    </w:p>
    <w:p w14:paraId="1B0EEC9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兹经双方同意，鉴于被保险人已支付了约定的附加保险费，本保险单扩展承保地震、海啸导致的保险财产的损失及发生的费用。</w:t>
      </w:r>
    </w:p>
    <w:p w14:paraId="4FA4266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赔偿限额：总保险金额的100%。</w:t>
      </w:r>
    </w:p>
    <w:p w14:paraId="76D21C0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每次事故免赔：损失金额的3%。</w:t>
      </w:r>
    </w:p>
    <w:p w14:paraId="10B32A4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BE1EE31">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内陆运输条款（限额：每次事故RMB 3,000万元）</w:t>
      </w:r>
    </w:p>
    <w:p w14:paraId="676889A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中国境内任何地方直接和不间断陆运过程中的保险财产，自其离开工厂、仓库、货栈或其他起运点开始，持续承保其后直接和不间断的正常陆运过程中，处于被保险人所有或经营的交通工具中或其上的，或任何公共或契约承运人照管下的保险财产，至其运送至仓库、货栈或中国境内的其他目的地为止，并包括上述交通工具处于中国地域范围内的常规渡船运送的过程。</w:t>
      </w:r>
    </w:p>
    <w:p w14:paraId="69F65FB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每次事故赔偿限额：RMB 3,000万元。</w:t>
      </w:r>
    </w:p>
    <w:p w14:paraId="32477EC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2F85403">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资产增加条款</w:t>
      </w:r>
    </w:p>
    <w:p w14:paraId="1AC0E9AD">
      <w:pPr>
        <w:widowControl/>
        <w:tabs>
          <w:tab w:val="left" w:pos="780"/>
        </w:tabs>
        <w:adjustRightInd/>
        <w:spacing w:line="360" w:lineRule="auto"/>
        <w:ind w:firstLine="420" w:firstLineChars="200"/>
        <w:jc w:val="left"/>
        <w:rPr>
          <w:rFonts w:ascii="宋体" w:hAnsi="宋体" w:eastAsia="宋体" w:cs="宋体"/>
          <w:b/>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扩展承保每一保险年度开始之后增加或扩充的保险财产，但不包括其自动升值，且增加的金额不超过保单明细表列明的总保险金额的20%；如保险金额增加的幅度超过20%，被保险人当即时向保险人申报。</w:t>
      </w:r>
    </w:p>
    <w:p w14:paraId="4C51C9B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双方同意，被保险人应当在每半年结束后20天内向保险人申报每个自然季度内增加或扩充的财产的价值，并按日比例交付自新增保障开始日起的附加保险费。</w:t>
      </w:r>
    </w:p>
    <w:p w14:paraId="307C79B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双方进一步同意，如果保险金额变动的幅度在正负10%以内，保险人与被保险人将不再对保险费做调整；如保险金额变动幅度超过正负10%，则超过正负10%部分按照日比例进行保险费调整。</w:t>
      </w:r>
    </w:p>
    <w:p w14:paraId="10D5B0E7">
      <w:pPr>
        <w:widowControl/>
        <w:tabs>
          <w:tab w:val="left" w:pos="780"/>
        </w:tabs>
        <w:adjustRightInd/>
        <w:spacing w:line="360" w:lineRule="auto"/>
        <w:ind w:firstLine="420" w:firstLineChars="200"/>
        <w:jc w:val="left"/>
        <w:rPr>
          <w:rFonts w:ascii="宋体" w:hAnsi="宋体" w:eastAsia="宋体" w:cs="宋体"/>
          <w:b/>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770B77C4">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重新安装条款（每次事故及年累计赔偿限额：保险金额的35%）</w:t>
      </w:r>
    </w:p>
    <w:p w14:paraId="6C2FAD6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兹经双方同意，本保险单扩展承保处于重新安装和／或拆卸过程中的保险财产，但保险人在本扩展条款项下的赔偿限额不得超过保险金额的35%。</w:t>
      </w:r>
    </w:p>
    <w:p w14:paraId="66626429">
      <w:pPr>
        <w:widowControl/>
        <w:tabs>
          <w:tab w:val="left" w:pos="780"/>
        </w:tabs>
        <w:adjustRightInd/>
        <w:spacing w:line="360" w:lineRule="auto"/>
        <w:ind w:firstLine="420" w:firstLineChars="200"/>
        <w:jc w:val="left"/>
        <w:rPr>
          <w:rFonts w:ascii="宋体" w:hAnsi="宋体" w:eastAsia="宋体" w:cs="宋体"/>
          <w:b/>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F8A4B2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露堆财产保险条款</w:t>
      </w:r>
    </w:p>
    <w:p w14:paraId="3D36D6E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在保险单明细表中列明的保险标的及保险金额范围内，本保险扩展承保存放在露天或使用芦席、蓬布、茅草、油毛毡、塑料膜或尼龙布等作罩棚或覆盖的保险财产因遭受风、霜、严寒、雨、雪、洪水、冰雹引起的损失。</w:t>
      </w:r>
    </w:p>
    <w:p w14:paraId="5FCDE3A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每次事故免赔额：无免赔。</w:t>
      </w:r>
    </w:p>
    <w:p w14:paraId="5F71368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F328514">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成对成套项目赔偿条款</w:t>
      </w:r>
    </w:p>
    <w:p w14:paraId="72581DA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兹经双方同意，任何属于成对或成套的项目发生损失后，对其他部分的继续使用产生影响，必须对整套项目进行更换才能恢复损失前的状态，保险人将根据被保险人的要求对整对或整套项目进行赔偿。</w:t>
      </w:r>
    </w:p>
    <w:p w14:paraId="0B2A54A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35C2535">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恶意破坏条款</w:t>
      </w:r>
    </w:p>
    <w:p w14:paraId="4F62DA3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兹经双方同意，保险人负责赔偿本保险单明细表中列明的保险财产因他人的恶意破坏所致的损失。</w:t>
      </w:r>
    </w:p>
    <w:p w14:paraId="3F84EEA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51B48DA">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清除污染费用扩展条款（限额：明细表所属项保险金额的40%）</w:t>
      </w:r>
    </w:p>
    <w:p w14:paraId="36BBCD6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兹经双方同意，本保险扩展承保在正常操作过程中受到放射性污染及本保险单项下以赔偿损失造成污染的保险财产进行清除的费用。</w:t>
      </w:r>
    </w:p>
    <w:p w14:paraId="4BABF50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清除污染费用包括：</w:t>
      </w:r>
    </w:p>
    <w:p w14:paraId="2AD50D9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（一）为修理受损物件必须发生的清除污染费用，例如：对在正常操作过程中暴露于辐射的部件进行清除污染的费用。</w:t>
      </w:r>
    </w:p>
    <w:p w14:paraId="04E347F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（二）为接触受损物件而发生的费用。例如：卸去及重新放置护罩和保护墙的费用。</w:t>
      </w:r>
    </w:p>
    <w:p w14:paraId="6A922C8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（三）为防护受损物件的人员而发生的费用。例如：防护服，为避免辐射而设置阻隔物的费用。</w:t>
      </w:r>
    </w:p>
    <w:p w14:paraId="6759E44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（四）受损物件因正常操作过程中无法修理，只能重置所发生的额外费用。</w:t>
      </w:r>
    </w:p>
    <w:p w14:paraId="3DE0FC6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（五）受损物件修理后，根据有关规定必须试验、检查、验收而发生的费用。</w:t>
      </w:r>
    </w:p>
    <w:p w14:paraId="469A3FF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（六）转移和处置放射性残骸的费用。</w:t>
      </w:r>
    </w:p>
    <w:p w14:paraId="68DF3B7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本费用在保单明细表列明的总保险金额以外进行赔付，但保险人在本扩展条款项下的赔偿责任不得超过明细表所属项保险金额的40%。</w:t>
      </w:r>
    </w:p>
    <w:p w14:paraId="04BDDC2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97494A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车辆试车条款</w:t>
      </w:r>
    </w:p>
    <w:p w14:paraId="4CE11E0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鉴于被保险人提出有关的申请并已经缴付了附加保费，本保险扩展承保运营机车车辆（不论该车辆是否属于本财产一切险保单保险金额构成下明细表中的内容）在被保险人运营场所范围内，试车测试时发生意外事故所造成的损失，保险期限为从试车之日起至整个车辆联动调试结束止。</w:t>
      </w:r>
    </w:p>
    <w:p w14:paraId="33A860C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一、保险责任</w:t>
      </w:r>
    </w:p>
    <w:p w14:paraId="09F8C9B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本保险条款对被保险人所申报的机车牵引车辆以及车厢等在运营场所范围内试车过程中，由于出轨、倾覆、碰撞所造成的机车车辆的损失，保险人按实际损失赔偿。</w:t>
      </w:r>
    </w:p>
    <w:p w14:paraId="5B0208F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本条款进一步约定，如试车中的机车车辆发生工程保险和/或本条款下的损失，并且该损失的责任认定在建筑/安装工程保险保单及本条款下无法划分，保险人同意就该部分损失先行在本保单下进行赔偿。</w:t>
      </w:r>
    </w:p>
    <w:p w14:paraId="25631E2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二、责任免除</w:t>
      </w:r>
    </w:p>
    <w:p w14:paraId="31A18F1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由于下列原因造成的损失，保险人不负赔偿责任：</w:t>
      </w:r>
    </w:p>
    <w:p w14:paraId="176A397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机车车辆在试车运行中必然引起的后果，如自然磨损、氧化、腐蚀、锈蚀、孔蚀、金属疲劳断裂、内在或潜在缺陷、物质本身变化、自燃、自热等物理变化或化学反应，以及其他渐变原因造成的被保险财产自身的损失和费用。</w:t>
      </w:r>
    </w:p>
    <w:p w14:paraId="75E80ED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（二）驾驶人员无正式驾驶证、酒后以及处在药物麻醉状态中驾驶。</w:t>
      </w:r>
    </w:p>
    <w:p w14:paraId="3A0C9A5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（三）在连接车辆或调车过程中测试、调度、驾驶人员的故意行为所发生的车辆之间的碰撞所致的损失。</w:t>
      </w:r>
    </w:p>
    <w:p w14:paraId="3376A18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（四）机车车辆的正常维修保养、检修的费用。</w:t>
      </w:r>
    </w:p>
    <w:p w14:paraId="57A0070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（五）根据法律或契约应由供货方、制造人、安装人或修理人负责的损失或费用。</w:t>
      </w:r>
    </w:p>
    <w:p w14:paraId="5E4CCFF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（六）机车车辆受损致使停驶所造成的间接损失。</w:t>
      </w:r>
    </w:p>
    <w:p w14:paraId="59198B5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（七）其他不属于保险责任范围内的损失。</w:t>
      </w:r>
    </w:p>
    <w:p w14:paraId="0D45AA6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三、保险责任自动转换（试车风险与财产一切险的保障转换）：</w:t>
      </w:r>
    </w:p>
    <w:p w14:paraId="0E40900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在本扩展条款下申报并被承保的试车机车车辆（不论该机车车辆是否属于本财产一切险保单保险金额构成下明细表中的内容），在本扩展条款保险责任终止时，即车辆联动调试结束时，保险责任自动转为本保单下财产一切险的承保范围。</w:t>
      </w:r>
    </w:p>
    <w:p w14:paraId="2CFD481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F1A01D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重大过失扩展条款</w:t>
      </w:r>
    </w:p>
    <w:p w14:paraId="3CB5AE1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兹经双方同意，本保单扩展承保被保险人及其代表的重大过失引起的本保单明细表中被保险财产的直接物质损失。</w:t>
      </w:r>
    </w:p>
    <w:p w14:paraId="09D28095">
      <w:pPr>
        <w:widowControl/>
        <w:tabs>
          <w:tab w:val="left" w:pos="780"/>
        </w:tabs>
        <w:adjustRightInd/>
        <w:spacing w:line="360" w:lineRule="auto"/>
        <w:ind w:firstLine="420" w:firstLineChars="200"/>
        <w:jc w:val="left"/>
        <w:rPr>
          <w:rFonts w:ascii="宋体" w:hAnsi="宋体" w:eastAsia="宋体" w:cs="宋体"/>
          <w:b/>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5A021EE">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陆地运动条款</w:t>
      </w:r>
    </w:p>
    <w:p w14:paraId="14D4A1B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兹经双方同意，本保险扩展承保因任何自然或人为陆地运动所造成的自然的损失及损害。但不限于山崩、陆沉。</w:t>
      </w:r>
    </w:p>
    <w:p w14:paraId="51F55A4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26B827F">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洪水条款</w:t>
      </w:r>
    </w:p>
    <w:p w14:paraId="1E1BCA4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兹经双方同意，本保险扩展承保因洪水、海浪、潮水、水的排放、泛滥、决堤（自然或人工的）、或因任何上述原因造成的喷溅等原因所造成的自然损失或损害。</w:t>
      </w:r>
    </w:p>
    <w:p w14:paraId="39D24A0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47F5468">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公共设施条款</w:t>
      </w:r>
    </w:p>
    <w:p w14:paraId="7178DBA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本保险单中列明的保险财产因保险范围内的自然灾害或意外事故致使公共设施停止供应，而造成的物质损失。但保险人对政府、市政部门和当地权威机构的故意行为或禁止命令、限制措施等造成的损失不负赔偿责任。</w:t>
      </w:r>
    </w:p>
    <w:p w14:paraId="7F05F69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88ACE0A">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盗窃险条款</w:t>
      </w:r>
    </w:p>
    <w:p w14:paraId="277C625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无论本保单其他部分是否有任何相反的规定，本保险单扩展承保被保险财产在保险地点内由于遭受偷窃、盗窃、抢劫或者由于偷窃、盗窃、抢劫而遭到损坏而导致的损失，但是此种偷窃、盗窃、抢劫行为需存在暴力、胁迫或者强行进、出保险地点。</w:t>
      </w:r>
    </w:p>
    <w:p w14:paraId="55F7204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18A9C7A">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自动喷淋损失条款</w:t>
      </w:r>
    </w:p>
    <w:p w14:paraId="7F15315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兹经双方同意，本保险扩展承保本保险单明细表中列明的被保险财产因喷淋系统的渗漏、破裂、失灵或无法正常工作造成该财产的损失（或水污损失）。</w:t>
      </w:r>
    </w:p>
    <w:p w14:paraId="3F6EB52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FD731AA">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广告霓虹灯扩展条款</w:t>
      </w:r>
    </w:p>
    <w:p w14:paraId="25333D0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兹经双方同意，鉴于被保险人已缴付了附加保险费，本保险合同扩展承保被保险人因在本保险合同明列明的营业场所内或其他列明场所布置的广告、霓虹灯、装饰物等保险项目的损失。</w:t>
      </w:r>
    </w:p>
    <w:p w14:paraId="7A01764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3D608E8">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车辆跨线调配条款</w:t>
      </w:r>
    </w:p>
    <w:p w14:paraId="0FF320A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单扩展承保被保险人所属车辆（不论该车辆是否构成保险费的计算基础）在被保险人所有线路中以及保单明细表中所列地域范围内跨线调配、使用、停放、维修、检测、保养和改造等所有经营活动时所发生的保险责任范围内的损失。</w:t>
      </w:r>
    </w:p>
    <w:p w14:paraId="0108B96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CDA3BC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自动承保条款</w:t>
      </w:r>
    </w:p>
    <w:p w14:paraId="1E77E6B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在保险期限内或从损失发生之日起，本保单将自动赔偿在通货膨胀或原材料/劳动成本增加情况下被保财产的增值，以不超过保险金额的[10%]为限，被保险人应在保单到期时通知本公司所有的增加额并支付按天数计算的附加保费。</w:t>
      </w:r>
    </w:p>
    <w:p w14:paraId="6B87B89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8F9F1C5">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玻璃破碎扩展条款</w:t>
      </w:r>
    </w:p>
    <w:p w14:paraId="70C8787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本保险单明细表中列明的玻璃（包括但不限于出入口的玻璃、栏杆上的玻璃、屏蔽门和安全门的玻璃、机车车辆的玻璃、电梯井道的玻璃、广告灯箱的玻璃、客服中心的玻璃、控制中心建筑内外的玻璃）</w:t>
      </w:r>
      <w:r>
        <w:rPr>
          <w:rFonts w:hint="eastAsia" w:ascii="宋体" w:hAnsi="宋体" w:eastAsia="宋体" w:cs="宋体"/>
          <w:bCs/>
          <w:color w:val="auto"/>
          <w:kern w:val="0"/>
          <w:sz w:val="24"/>
          <w:szCs w:val="21"/>
          <w:highlight w:val="none"/>
        </w:rPr>
        <w:t>破碎损失以及重新安装玻璃产生的相关费用。</w:t>
      </w:r>
    </w:p>
    <w:p w14:paraId="475D1A1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952C6F5">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碰撞扩展条款</w:t>
      </w:r>
    </w:p>
    <w:p w14:paraId="4B873D48">
      <w:pPr>
        <w:widowControl/>
        <w:adjustRightInd/>
        <w:spacing w:line="360" w:lineRule="auto"/>
        <w:ind w:firstLine="48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4"/>
          <w:szCs w:val="21"/>
          <w:highlight w:val="none"/>
        </w:rPr>
        <w:t>经双方同意，对由于非被保险人及其雇员所有的或管控的动物、车辆及船舶等交通工具的碰撞所造成的保险标的的损失，保险人按照本保险合同的约定负责赔偿。</w:t>
      </w:r>
    </w:p>
    <w:p w14:paraId="7A1084E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本保单所载其他条件不变。</w:t>
      </w:r>
    </w:p>
    <w:p w14:paraId="7C603BB0">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财产名义条款</w:t>
      </w:r>
    </w:p>
    <w:p w14:paraId="6764810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兹经双方同意，为了决定被保险财产的名称，使得在该名称下被保险人的所有财产都为被保财产，本保单同意接受被保险人帐簿上的财产名称。</w:t>
      </w:r>
    </w:p>
    <w:p w14:paraId="78FD8A9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FD65D4D">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自动保障接管财产条款</w:t>
      </w:r>
    </w:p>
    <w:p w14:paraId="0569A67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兹经双方同意，本保险扩展承保本保险生效后被保险人在中华人民共和国境内所接管的资产。</w:t>
      </w:r>
    </w:p>
    <w:p w14:paraId="1CD159C0">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每个保险年度，对RMB 15,000万元以下的接管资产，免费承保；对超过RMB 15,000万元的资产，被保险人应以既定条件按日比例缴付相应的保险费。</w:t>
      </w:r>
    </w:p>
    <w:p w14:paraId="2F006DA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C335BA7">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自动承保新地址条款</w:t>
      </w:r>
    </w:p>
    <w:p w14:paraId="7245DA2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兹经双方同意，本保单将自动承保被保险人新增场所的财产，但被保险人须在新增场所后90天内通知本公司并支付额外保费。</w:t>
      </w:r>
    </w:p>
    <w:p w14:paraId="7891A00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789C2C0">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自动延期条款</w:t>
      </w:r>
    </w:p>
    <w:p w14:paraId="17CA837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兹经双方同意，在获被保险人通知后，本保单会按原有承保方案自动延期。被保险人于本保险到期日前5天通知续保情况。其保费则按日比例收取，</w:t>
      </w:r>
      <w:r>
        <w:rPr>
          <w:rFonts w:hint="eastAsia" w:ascii="宋体" w:hAnsi="宋体" w:eastAsia="宋体" w:cs="宋体"/>
          <w:b/>
          <w:bCs/>
          <w:color w:val="auto"/>
          <w:kern w:val="0"/>
          <w:sz w:val="21"/>
          <w:szCs w:val="21"/>
          <w:highlight w:val="none"/>
        </w:rPr>
        <w:t>自动延长期限不超过6个月。</w:t>
      </w:r>
    </w:p>
    <w:p w14:paraId="534B9C6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683BF80">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扩展变动和修理条款（每次扩建、改建、维修、装修的最高金额：RMB 3,000万元）</w:t>
      </w:r>
    </w:p>
    <w:p w14:paraId="116D5A98">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兹经双方同意，本保险扩展承保被保险财产在进行扩建、改建、维修、装修过程中发生的本保险责任范围内的物质损失，但对于扩建、改建、维修、装修金额在RMB 200万元以上的工程，被保险人须以书面形式提前通知本公司。</w:t>
      </w:r>
    </w:p>
    <w:p w14:paraId="53FAA6DA">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每次扩建、改建、维修、装修的最高金额：RMB 3,000万元。</w:t>
      </w:r>
    </w:p>
    <w:p w14:paraId="1F1E68F0">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4A462E1F">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鼠咬及虫蛀条款</w:t>
      </w:r>
    </w:p>
    <w:p w14:paraId="3567CE71">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兹经双方同意，本保险扩展承保被保险财产因鼠咬、虫蛀而造成的灭失或损坏。</w:t>
      </w:r>
    </w:p>
    <w:p w14:paraId="0FB657C7">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20E9DD79">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特权准许条款</w:t>
      </w:r>
    </w:p>
    <w:p w14:paraId="2C000F5B">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被保险人以书面形式提前通知本公司并支付由于风险增加而引起的额外费用后（如风险未增加，则不必另交保费），本保单自动承保下述情况：</w:t>
      </w:r>
    </w:p>
    <w:p w14:paraId="1AECB91C">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（1）在所描述地点增加建筑，或对原来的建筑物的改造、修理或是重建建筑物；</w:t>
      </w:r>
    </w:p>
    <w:p w14:paraId="1EEFC57E">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（2）改变任何被保险建筑物或储存被保险财产的建筑物用途。</w:t>
      </w:r>
    </w:p>
    <w:p w14:paraId="1A7C4AF0">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65E3985F">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恐怖活动扩展条款</w:t>
      </w:r>
    </w:p>
    <w:p w14:paraId="75033DB5">
      <w:pPr>
        <w:widowControl/>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兹经双方同意，鉴于被保险人已缴付附加保险费，本保险扩展承保本保险单明细表列明的经营场所出现任何恐怖分子或组织进行恐怖活动直接造成保险财产损失。</w:t>
      </w:r>
    </w:p>
    <w:p w14:paraId="0636DB9D">
      <w:pPr>
        <w:widowControl/>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57F85CFB">
      <w:pPr>
        <w:widowControl/>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每次事故赔偿限额为RMB 2亿元。</w:t>
      </w:r>
    </w:p>
    <w:p w14:paraId="0FB184E8">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每次事故免赔额无免赔额。</w:t>
      </w:r>
    </w:p>
    <w:p w14:paraId="59CA28CA">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关税条款</w:t>
      </w:r>
    </w:p>
    <w:p w14:paraId="041D3F5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责任范围风险造成物质损失，需修理﹑重置或替换受损财产，如须缴付关税及其他税项，即使在原来购买或进口该保险财产已放弃和/或在保险单生效之后才征收的关税及杂费，该税项将由保险人承担。</w:t>
      </w:r>
    </w:p>
    <w:p w14:paraId="77C80EC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9EB8CF1">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第一受益人条款</w:t>
      </w:r>
    </w:p>
    <w:p w14:paraId="6FB155A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兹经双方同意，保险人同意将被保险人——绍兴市轨道交通集团有限公司运营分公司作为本保险单项下的第一赔款受益人。</w:t>
      </w:r>
    </w:p>
    <w:p w14:paraId="62955EE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保险有效期内，如果绍兴市轨道交通集团有限公司运营分公司股权发生变化，第一赔款受益人也需作相应调整，但被保险人应书面通知本公司增加或变更第一赔款受益人。</w:t>
      </w:r>
    </w:p>
    <w:p w14:paraId="715125C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56ED892">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自燃扩展条款</w:t>
      </w:r>
    </w:p>
    <w:p w14:paraId="661F6E3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兹经双方同意，本保险扩展承保被保险人在保险单列明地址内的财产因自燃原因造成的物质损失风险。</w:t>
      </w:r>
    </w:p>
    <w:p w14:paraId="51860DA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自燃：在通常条件下，可燃物质和空气接触发生缓慢的氧化过程并析出热量，当热量不能全部散发时温度随之提高。当到达这种物质自行燃烧的温度时，就会自行燃烧起来，这个现象叫做自燃。</w:t>
      </w:r>
    </w:p>
    <w:p w14:paraId="274F03B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DA3FF76">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雇员/委托人物品条款</w:t>
      </w:r>
    </w:p>
    <w:p w14:paraId="605D40B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兹经双方同意，本保险单承保雇员的个人物品每人每次事故的赔偿限额：RMB 5万元，年累计赔偿限额：RMB 5万元。</w:t>
      </w:r>
    </w:p>
    <w:p w14:paraId="764DE82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65A4C1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“三停”损失保险条款</w:t>
      </w:r>
    </w:p>
    <w:p w14:paraId="5E8C982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兹经双方同意，本保险条款扩展承保由于自然灾害或意外事故导致公共供电、供水、供气及被保险人自有财产所有权的自用的供水、供电、供气突然中断造成的保险标的的直接损失。</w:t>
      </w:r>
    </w:p>
    <w:p w14:paraId="22B97CF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7822F396">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现金及有价证券扩展条款</w:t>
      </w:r>
    </w:p>
    <w:p w14:paraId="020EBFC4">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特别条件</w:t>
      </w:r>
    </w:p>
    <w:p w14:paraId="4839571D">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1．金库条款</w:t>
      </w:r>
    </w:p>
    <w:p w14:paraId="3D1E2284">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存放保险柜的金库必须具备适当的防盗保卫制度。</w:t>
      </w:r>
    </w:p>
    <w:p w14:paraId="713E78E7">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2．保险柜上锁条款</w:t>
      </w:r>
    </w:p>
    <w:p w14:paraId="332113A1">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保险柜必须符合特殊设计的技术标准。在非营业期间，保险柜必须上锁。</w:t>
      </w:r>
    </w:p>
    <w:p w14:paraId="6CF70200">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3．保险柜钥匙条款</w:t>
      </w:r>
    </w:p>
    <w:p w14:paraId="1CC38607">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保险柜的所有钥匙和备用钥匙必须由两人保管。除非常必要外，在晚上或其他非营业期间均应取走。在营业期间，所使用的钥匙应放在隐蔽处。</w:t>
      </w:r>
    </w:p>
    <w:p w14:paraId="01748796">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条件</w:t>
      </w:r>
    </w:p>
    <w:p w14:paraId="716A083F">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1．承保范围：</w:t>
      </w:r>
    </w:p>
    <w:p w14:paraId="6C70DBDA">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本公司负责赔偿由于</w:t>
      </w:r>
    </w:p>
    <w:p w14:paraId="6D6ABE44">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（1）火灾、雷电、爆炸；</w:t>
      </w:r>
    </w:p>
    <w:p w14:paraId="74992A26">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（2）风暴、飓风、台风、旋风、洪水、海啸、雷暴、滑坡、地震、火山爆发、地陷、地火；</w:t>
      </w:r>
    </w:p>
    <w:p w14:paraId="74E82DFF">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（3）飞机坠毁和飞机部件坠落；</w:t>
      </w:r>
    </w:p>
    <w:p w14:paraId="524C0631">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（4）抢劫或入宅抢劫等原因所造成的被保险人的现金及有价证券的损失。</w:t>
      </w:r>
    </w:p>
    <w:p w14:paraId="4A3640BB">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2．除外责任：</w:t>
      </w:r>
    </w:p>
    <w:p w14:paraId="16FF324D">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本公司不负责下列原因所造成的被保险的现金及有价证券的损失：</w:t>
      </w:r>
    </w:p>
    <w:p w14:paraId="0299E599">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（1）被保险人的雇员，被保险人的同住人或家庭成员或业务员的不诚实；</w:t>
      </w:r>
    </w:p>
    <w:p w14:paraId="4164BCF5">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（2）被保险人及其代表的故意行为或实际过失；</w:t>
      </w:r>
    </w:p>
    <w:p w14:paraId="7E629361">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（3）战争、类似战争行为、敌对行为、武装冲突、没收、征用、罢工暴动及民众骚动；</w:t>
      </w:r>
    </w:p>
    <w:p w14:paraId="26A45E38">
      <w:pPr>
        <w:widowControl/>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（4）核反应、核辐射或放射性污染；</w:t>
      </w:r>
    </w:p>
    <w:p w14:paraId="1D685F9E">
      <w:pPr>
        <w:widowControl/>
        <w:adjustRightInd/>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bCs/>
          <w:color w:val="auto"/>
          <w:kern w:val="0"/>
          <w:sz w:val="21"/>
          <w:szCs w:val="21"/>
          <w:highlight w:val="none"/>
        </w:rPr>
        <w:t>（5）任何种类的间接或后果损失以及承保范围规定以外的任何原因。</w:t>
      </w:r>
    </w:p>
    <w:p w14:paraId="0FC13EC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15F58E1">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烟熏扩展条款</w:t>
      </w:r>
    </w:p>
    <w:p w14:paraId="76C65DA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经双方同意，由于意外事故引起烟熏造成保险标的的直接物质损失或清除污迹的费用，保险人按照本保险合同的约定负责赔偿。</w:t>
      </w:r>
    </w:p>
    <w:p w14:paraId="1A550F0B">
      <w:pPr>
        <w:widowControl/>
        <w:tabs>
          <w:tab w:val="left" w:pos="780"/>
        </w:tabs>
        <w:adjustRightInd/>
        <w:spacing w:line="360" w:lineRule="auto"/>
        <w:ind w:firstLine="48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4"/>
          <w:szCs w:val="21"/>
          <w:highlight w:val="none"/>
        </w:rPr>
        <w:t>本附加条款与主条款内容相悖之处，以本附加条款为准；未尽之处，以主条款为准。</w:t>
      </w:r>
    </w:p>
    <w:p w14:paraId="4C13E441">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仓库、库房储存保管条款</w:t>
      </w:r>
    </w:p>
    <w:p w14:paraId="0E1EB5F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保险人负责赔付被保险人单独存储物品的合格仓库，因暴雨、洪水、雷电、暴风、龙卷风、雪灾、雹灾、冰凌等自然灾害和火灾、爆炸、飞行物体空中运行物体、地面塌陷、供水、供气设备损坏而引起的损失以及偷盗、抢盗导致物品损失。</w:t>
      </w:r>
    </w:p>
    <w:p w14:paraId="65E23D6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4B9D795">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委托加工扩展条款</w:t>
      </w:r>
    </w:p>
    <w:p w14:paraId="45CA51AF">
      <w:pPr>
        <w:widowControl/>
        <w:adjustRightInd/>
        <w:spacing w:line="360" w:lineRule="auto"/>
        <w:ind w:firstLine="420" w:firstLineChars="200"/>
        <w:jc w:val="left"/>
        <w:rPr>
          <w:rFonts w:ascii="宋体" w:hAnsi="宋体" w:eastAsia="宋体" w:cs="宋体"/>
          <w:bCs/>
          <w:color w:val="auto"/>
          <w:kern w:val="0"/>
          <w:sz w:val="21"/>
          <w:szCs w:val="21"/>
          <w:highlight w:val="none"/>
          <w:lang w:val="zh-CN"/>
        </w:rPr>
      </w:pPr>
      <w:r>
        <w:rPr>
          <w:rFonts w:hint="eastAsia" w:ascii="宋体" w:hAnsi="宋体" w:eastAsia="宋体" w:cs="宋体"/>
          <w:bCs/>
          <w:color w:val="auto"/>
          <w:kern w:val="0"/>
          <w:sz w:val="21"/>
          <w:szCs w:val="21"/>
          <w:highlight w:val="none"/>
          <w:lang w:val="zh-CN"/>
        </w:rPr>
        <w:t>经双方同意，被保险人向外委托加工的保险标的，在经保险人同意的加工场所内,因保险事故造成的损失，保险人按照本附加险合同的约定负责赔偿。但依据委托加工合同应由被委托加工方承担的赔偿责任，保险人不负责赔偿。</w:t>
      </w:r>
    </w:p>
    <w:p w14:paraId="5055F822">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zh-CN"/>
        </w:rPr>
        <w:t>上述委托加工场所必须在中华人民共和国境内（不包括香港、澳门、台湾），被保险人应及时申报每笔委托加工货物的地址、货物型号、数量、货物价值等信息。</w:t>
      </w:r>
    </w:p>
    <w:p w14:paraId="6C141B0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8D1286C">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免检条款</w:t>
      </w:r>
    </w:p>
    <w:p w14:paraId="054E88E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兹经双方同意，如果预计索赔金额不超过RMB 10万元（已扣减应适用的免赔额），此索赔无需进行查勘即予认可（但被保险人在获悉发生损失后应及时向保险人报案），被保险人无需事先同保险人协商即可着手修复，但应向保险人递交一份附有支持文件的全面的书面事故报告，并保留所有损失照片。尽管有前述规定，保险人保留检查损失现场的权利。</w:t>
      </w:r>
    </w:p>
    <w:p w14:paraId="530FAEA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4BEFA32">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重写记录费用条款</w:t>
      </w:r>
    </w:p>
    <w:p w14:paraId="1B924F2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兹经双方同意，本保单扩展承保被保险人重置其受损之文档材料及计算机系统的成本及费用，但仅限于上述资料作为文具材料之价值及补记前述资料之费用，不包含上述资料对于被保险人所具有之价值。</w:t>
      </w:r>
    </w:p>
    <w:p w14:paraId="0824C64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AD416A4">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贵重文件条款</w:t>
      </w:r>
    </w:p>
    <w:p w14:paraId="0304CDE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兹经双方同意，本保险扩展承保存放在保险单列明场所的金属文件柜中的贵重文件及档案的损失，但每次事故赔偿限额为RMB 200万元，累计赔偿限额为RMB 2000万元。</w:t>
      </w:r>
    </w:p>
    <w:p w14:paraId="02186C3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0612637">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所有其他物品条款</w:t>
      </w:r>
    </w:p>
    <w:p w14:paraId="69CCE65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兹经双方同意，“所有其他物品”指：被保险人所有或受托保管或负有责任的：</w:t>
      </w:r>
    </w:p>
    <w:p w14:paraId="4F354C3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（一）文件、手稿、业务帐册，但仅限于作为文具的材料价值，以及书写的人工费用，不包括其内含信息对于被保险人的价值；和</w:t>
      </w:r>
    </w:p>
    <w:p w14:paraId="0B8575B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（二）式样、模型、模子、图样和设计图；以及没有另外投保的。</w:t>
      </w:r>
    </w:p>
    <w:p w14:paraId="77691B0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本扩展条款项下的赔偿金额在每一保险年度内累计不得超过RMB 3000万元，每次事故赔偿限额RMB 100万元。</w:t>
      </w:r>
    </w:p>
    <w:p w14:paraId="343DFC2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6813E82">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雇员个人物品扩展条款B</w:t>
      </w:r>
    </w:p>
    <w:p w14:paraId="0CD7577F">
      <w:pPr>
        <w:widowControl/>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经双方同意，由于保险事故造成被保险人雇员的个人物品损失，保险人按照本保险合同的约定负责赔偿。但对货币、票证、有价证券、有现金价值的磁卡、集成电路（IC）卡等卡类、金银、珠宝、钻石、玉器、首饰、古币、古玩、古书、古画、邮票、字画、艺术品、稀有金属的损失，保险人不负责赔偿。</w:t>
      </w:r>
    </w:p>
    <w:p w14:paraId="4E0D00EC">
      <w:pPr>
        <w:widowControl/>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本附加条款项下保险人对每个雇员每次事故的赔偿责任不超过RMB 2万元，保险人的总赔偿责任不超过RMB 10万元。</w:t>
      </w:r>
    </w:p>
    <w:p w14:paraId="170A2864">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本附加条款与主条款内容相悖之处，以本附加条款为准；未尽之处，以主条款为准。</w:t>
      </w:r>
    </w:p>
    <w:p w14:paraId="153B7742">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疏散费用扩展条款</w:t>
      </w:r>
    </w:p>
    <w:p w14:paraId="601DC20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兹经双方同意，本保险扩展承保因发生本保单项下承保风险，使保险财产存在损失或进一步损失的风险或对第三方安全产生潜在威胁，而采取隔离措施发生的疏散费用以及其他类似保护性费用。</w:t>
      </w:r>
    </w:p>
    <w:p w14:paraId="4C7A783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5919F5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改建、保养、修补及装修条款</w:t>
      </w:r>
    </w:p>
    <w:p w14:paraId="5B421D2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兹经双方同意，本附加险扩展承保被保险人因改变、维修或装修房屋建筑造成第三者人身伤亡或财产损失时依照中华人民共和国（不含香港、澳门、台湾地区）法律应负的赔偿责任。</w:t>
      </w:r>
    </w:p>
    <w:p w14:paraId="36F2535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DCD0151">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弃权与禁止反言条款</w:t>
      </w:r>
    </w:p>
    <w:p w14:paraId="03E9FC3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被保险人或投保人告知义务的履行仅限于保险人在承保前的书面询问，保险人签发保险单，表明保险人对保险标的的风险已有完全了解，因此，在发生事故损失时，不得以被保险人或投保人没有履行告知义务而有所主张。</w:t>
      </w:r>
    </w:p>
    <w:p w14:paraId="7612650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454325E">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液体泄漏、渗漏条款</w:t>
      </w:r>
    </w:p>
    <w:p w14:paraId="35367532">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经双方同意并约定,本保险合同扩展承保由于液体渗漏、泄漏和溢出所造成的被保险财产的损坏和损失。</w:t>
      </w:r>
    </w:p>
    <w:p w14:paraId="3B0D789E">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50E6DF10">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交叉责任条款</w:t>
      </w:r>
    </w:p>
    <w:p w14:paraId="481D0BD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在本保险单中，组成被保险人的每一方将被视为独立可分的单位，“被保险人”一词应视为以同样方式适用于每一方，如同对上述每一方签发了独立的保险单，保险人同意放弃可能拥有或获得的针对上述任何一方的，由于在此进行索赔的意外事故而产生的代位追偿或诉讼权利。</w:t>
      </w:r>
    </w:p>
    <w:p w14:paraId="78A09F7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AF5D5C0">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索赔费用条款（每次事故赔偿限额：RMB 1,000万元）</w:t>
      </w:r>
    </w:p>
    <w:p w14:paraId="5758E566">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ascii="宋体" w:hAnsi="宋体" w:eastAsia="宋体" w:cs="宋体"/>
          <w:color w:val="auto"/>
          <w:kern w:val="0"/>
          <w:sz w:val="21"/>
          <w:szCs w:val="21"/>
          <w:highlight w:val="none"/>
        </w:rPr>
        <w:t xml:space="preserve">在事先征得保险人的同意后，本保险扩展承保被保险人在准备索赔过程中为制作或证明保险人所需的任何记录、信息、证据或其他证明材料而所花费的合理的材料和人工费用。但每次事故以不超过 </w:t>
      </w:r>
      <w:r>
        <w:rPr>
          <w:rFonts w:hint="eastAsia" w:ascii="宋体" w:hAnsi="宋体" w:eastAsia="宋体" w:cs="宋体"/>
          <w:color w:val="auto"/>
          <w:kern w:val="0"/>
          <w:sz w:val="21"/>
          <w:szCs w:val="21"/>
          <w:highlight w:val="none"/>
        </w:rPr>
        <w:t xml:space="preserve">RMB </w:t>
      </w:r>
      <w:r>
        <w:rPr>
          <w:rFonts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rPr>
        <w:t>,000万</w:t>
      </w:r>
      <w:r>
        <w:rPr>
          <w:rFonts w:ascii="宋体" w:hAnsi="宋体" w:eastAsia="宋体" w:cs="宋体"/>
          <w:color w:val="auto"/>
          <w:kern w:val="0"/>
          <w:sz w:val="21"/>
          <w:szCs w:val="21"/>
          <w:highlight w:val="none"/>
        </w:rPr>
        <w:t>元。本保险单项下保险人对财产损失及此类费用的总赔偿金额以保险金额为限。</w:t>
      </w:r>
    </w:p>
    <w:p w14:paraId="0F4242AF">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时间调整条款（72 小时）</w:t>
      </w:r>
    </w:p>
    <w:p w14:paraId="21512643">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兹经双方同意，本保险单项下保险财产因在连续72小时内遭受暴风雨、台风、洪水或地震所致损失应视为一单独事件，并因此构成一次意外事故而扣除规定的免赔额。被保险人可自行决定72小时期限的起始时间，但若在连续数个72小时期限时间内发生损失，任何两个或两个以上72小时期限不得重叠。</w:t>
      </w:r>
    </w:p>
    <w:p w14:paraId="4E8FE17C">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42477AA7">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共同被保险人条款</w:t>
      </w:r>
    </w:p>
    <w:p w14:paraId="0883C4E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兹经双方同意，如果被保险人包括一方以上，任何一方都是以一个独立的整体经营，那么本保险以相同方式和程度有效，就如同每一方都被签发了单独的保险单。</w:t>
      </w:r>
    </w:p>
    <w:p w14:paraId="4D9EC11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在任何一方没有故意作假、误导、隐瞒或违约时，该方对于此保险单的权力和赔偿不受被保险人中其它一方的作假、误导、隐瞒或违约的影响。</w:t>
      </w:r>
    </w:p>
    <w:p w14:paraId="1B9A8C4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3D4D58F">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测试、重新测试、试验条款</w:t>
      </w:r>
    </w:p>
    <w:p w14:paraId="4E66489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若本保险单项下承保风险造成保险财产损失而导致需要进行任何测试、重新测试、检测、试验或需对修理过程中或修理、修复后发生损失的财产进行重新测试、检测和试验，保险人将负责承担这些测试、检测和/或重新试验的费用。</w:t>
      </w:r>
    </w:p>
    <w:p w14:paraId="0C0AA8A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70E33C5D">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调查费用扩展条款（限额：每次事故RMB 50万元）</w:t>
      </w:r>
    </w:p>
    <w:p w14:paraId="3305FC5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兹经保险合同双方同意，保险事故发生后，被保险人为调查保险事故的性质、原因、损失程度产生的必要的、合理的调查费用，</w:t>
      </w:r>
      <w:r>
        <w:rPr>
          <w:rFonts w:hint="eastAsia" w:ascii="宋体" w:hAnsi="宋体" w:eastAsia="宋体" w:cs="宋体"/>
          <w:b/>
          <w:bCs/>
          <w:color w:val="auto"/>
          <w:kern w:val="0"/>
          <w:sz w:val="21"/>
          <w:szCs w:val="21"/>
          <w:highlight w:val="none"/>
        </w:rPr>
        <w:t>保险人在本附加险的的赔偿限额内负责赔偿</w:t>
      </w:r>
      <w:r>
        <w:rPr>
          <w:rFonts w:hint="eastAsia" w:ascii="宋体" w:hAnsi="宋体" w:eastAsia="宋体" w:cs="宋体"/>
          <w:bCs/>
          <w:color w:val="auto"/>
          <w:kern w:val="0"/>
          <w:sz w:val="21"/>
          <w:szCs w:val="21"/>
          <w:highlight w:val="none"/>
        </w:rPr>
        <w:t>。</w:t>
      </w:r>
    </w:p>
    <w:p w14:paraId="151DEE9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本附加险的赔偿限额由投保人与保险人协商确定，并在保险合同中载明。</w:t>
      </w:r>
    </w:p>
    <w:p w14:paraId="21E3A0E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3850E76">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附加租金条款</w:t>
      </w:r>
    </w:p>
    <w:p w14:paraId="5185D41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由于本保险合同承保风险导致建筑物或其任何部分损失或损坏或必须被拆除而不再适合使用，本保险合同扩展承保由此产生的在重置上述受损标的期间内所必须另行花费的租金。</w:t>
      </w:r>
    </w:p>
    <w:p w14:paraId="4D54683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24175B5">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“污闪”损失扩展条款</w:t>
      </w:r>
    </w:p>
    <w:p w14:paraId="304F606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兹经双方同意，本保险合同扩展承保保险财产因“污闪”造成的保险责任范围内的损失。</w:t>
      </w:r>
    </w:p>
    <w:p w14:paraId="0E0E465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污闪”:即电气设备的绝缘子在遭受自然或工业污染后，附着在其表面的污秽物具有一定的导电性和吸湿性，当遇到环境湿度较大时（如毛毛雨、小雪、大雾等天气），绝缘子的绝缘水平大大下降，其表面泄漏电流明显增加，在工作电压下可能会使绝缘子发生闪络事故，从而导致设备本身损坏或线路跳闸。</w:t>
      </w:r>
    </w:p>
    <w:p w14:paraId="56C5B43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本附加条款与主条款内容相悖之处，以本附加条款为准；未尽之处，以主条款为准。</w:t>
      </w:r>
    </w:p>
    <w:p w14:paraId="2781A860">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车辆装载物扩展条款</w:t>
      </w:r>
    </w:p>
    <w:p w14:paraId="1AB23FC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经双方同意，由于保险事故造成装载于停置在本保险合同中载明的保标的地址内车辆或货柜中的保险标的的损失，保险人按照本保险合同的约定负责赔偿。</w:t>
      </w:r>
    </w:p>
    <w:p w14:paraId="16C336E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本附加条款与主条款内容相悖之处，以本附加条款为准；未尽之处，以主条款为准。</w:t>
      </w:r>
    </w:p>
    <w:p w14:paraId="6A39D786">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合同价格扩展条款</w:t>
      </w:r>
    </w:p>
    <w:p w14:paraId="1EFB27D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在保险期间内，当保险标的已经售出但尚未交付而存放于本保险合同中载明的保险标的地址内，因发生保险事故造成该保险标的损毁，导致该销售合同被解除，则保险人对上述受损保险标的的赔偿按销售合同单价为基础计算。</w:t>
      </w:r>
    </w:p>
    <w:p w14:paraId="2379CF1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190D2A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原供应商优先条款</w:t>
      </w:r>
    </w:p>
    <w:p w14:paraId="37CAEAA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经双方同意，发生保险事故后，除非被保险人同意，否则应由受损保险标的之原供应商确定是否维修或者重置，且维修或者重置应该选择该保险标的的原供应商。</w:t>
      </w:r>
    </w:p>
    <w:p w14:paraId="59B50B2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430ABB7">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建筑物未受损部分额外费用扩展条款</w:t>
      </w:r>
    </w:p>
    <w:p w14:paraId="276A218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被保险建筑物部分损失时，若根据有关法律、法令、法规及其附则，该受损保险标的必须在其他地点重建，对于因此必须废弃的建筑物未受损部分，保险人按照本附加险合同的约定负责赔偿。但发生损失前被保险人已接到有关当局关于移址的通知的，保险人不负责赔偿。</w:t>
      </w:r>
    </w:p>
    <w:p w14:paraId="1C10013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本附加险合同项下的赔偿金额不超过本保险单中载明的相应限额。</w:t>
      </w:r>
    </w:p>
    <w:p w14:paraId="6D95D9A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7ACC2CEC">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媒介物扩展条款</w:t>
      </w:r>
    </w:p>
    <w:p w14:paraId="58634EA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经双方同意，本保险合同扩展承保包括但不限于润滑油、冷却油在内的媒介物损失。</w:t>
      </w:r>
    </w:p>
    <w:p w14:paraId="6D12AC4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本附加条款与主条款内容相悖之处，以本附加条款为准；未尽之处，以主条款为准。</w:t>
      </w:r>
    </w:p>
    <w:p w14:paraId="465314D7">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清理排水道费用条款</w:t>
      </w:r>
    </w:p>
    <w:p w14:paraId="443597B3">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 xml:space="preserve">对由于任何本保险合同应负责的损失导致被保险地点或其周围的排水沟、水槽、下水道及类似设施淤塞，本保险合同负责赔偿被保险人为清除、清扫或修理排水沟、水槽、下水道及类似设施而发生的费用，但保险人责任以每一事故及全期累计RMB </w:t>
      </w:r>
      <w:r>
        <w:rPr>
          <w:rFonts w:ascii="宋体" w:hAnsi="宋体" w:eastAsia="宋体" w:cs="宋体"/>
          <w:bCs/>
          <w:color w:val="auto"/>
          <w:kern w:val="0"/>
          <w:sz w:val="21"/>
          <w:szCs w:val="21"/>
          <w:highlight w:val="none"/>
        </w:rPr>
        <w:t>1</w:t>
      </w:r>
      <w:r>
        <w:rPr>
          <w:rFonts w:hint="eastAsia" w:ascii="宋体" w:hAnsi="宋体" w:eastAsia="宋体" w:cs="宋体"/>
          <w:bCs/>
          <w:color w:val="auto"/>
          <w:kern w:val="0"/>
          <w:sz w:val="21"/>
          <w:szCs w:val="21"/>
          <w:highlight w:val="none"/>
        </w:rPr>
        <w:t>,</w:t>
      </w:r>
      <w:r>
        <w:rPr>
          <w:rFonts w:ascii="宋体" w:hAnsi="宋体" w:eastAsia="宋体" w:cs="宋体"/>
          <w:bCs/>
          <w:color w:val="auto"/>
          <w:kern w:val="0"/>
          <w:sz w:val="21"/>
          <w:szCs w:val="21"/>
          <w:highlight w:val="none"/>
        </w:rPr>
        <w:t>000</w:t>
      </w:r>
      <w:r>
        <w:rPr>
          <w:rFonts w:hint="eastAsia" w:ascii="宋体" w:hAnsi="宋体" w:eastAsia="宋体" w:cs="宋体"/>
          <w:bCs/>
          <w:color w:val="auto"/>
          <w:kern w:val="0"/>
          <w:sz w:val="21"/>
          <w:szCs w:val="21"/>
          <w:highlight w:val="none"/>
        </w:rPr>
        <w:t>万元为限。</w:t>
      </w:r>
      <w:bookmarkStart w:id="132" w:name="_Toc6487"/>
      <w:bookmarkStart w:id="133" w:name="_Toc9247"/>
      <w:bookmarkStart w:id="134" w:name="_Toc4766"/>
    </w:p>
    <w:p w14:paraId="787A139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本附加条款与主条款内容相悖之处，以本附加条款为准；未尽之处，以主条款为准。</w:t>
      </w:r>
    </w:p>
    <w:p w14:paraId="6A6A56A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烟损条款</w:t>
      </w:r>
    </w:p>
    <w:p w14:paraId="4CC3524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兹经双方同意，保险人对被保险人直接因烟或烟熏所造成的损失或责任，予以赔偿。</w:t>
      </w:r>
    </w:p>
    <w:p w14:paraId="14204EE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F1E24F6">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水箱、水管爆裂扩展条款</w:t>
      </w:r>
    </w:p>
    <w:p w14:paraId="198087D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经双方同意，由于水箱、水管因雷击、飞行物体及其他空中运行物体坠落、高压、碰撞、严寒、高温造成爆裂，致使其本身损失以及由此引起的其他保险标的损失，保险人按照本保险合同的约定负责赔偿。</w:t>
      </w:r>
    </w:p>
    <w:p w14:paraId="2DC061A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但由于下列原因造成保险标的损失，保险人不负责赔偿：</w:t>
      </w:r>
    </w:p>
    <w:p w14:paraId="3BD2CBD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（一）水箱或水管安装、检修、试水、试压；</w:t>
      </w:r>
    </w:p>
    <w:p w14:paraId="17B70DE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（二）水箱、水管年久失修以及未采取必要的防护措施；</w:t>
      </w:r>
    </w:p>
    <w:p w14:paraId="28495A6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（三）水箱、水管本身的质量缺陷；</w:t>
      </w:r>
    </w:p>
    <w:p w14:paraId="1393031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（四）临时性管道的爆裂。</w:t>
      </w:r>
    </w:p>
    <w:p w14:paraId="6848E0C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C9F288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复制费用扩展条款</w:t>
      </w:r>
    </w:p>
    <w:p w14:paraId="0596AD9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由于保险事故造成被保险人所有的或管控的文件、账账册、图表、技术资料、计算机软件及资料发生损失，保险人按照本保险合同的约定负责赔偿上述财产的载体材料价值和书写、拷贝或重新绘制的人工费用，不包括其内含信息对于被保险人的价值。</w:t>
      </w:r>
    </w:p>
    <w:p w14:paraId="31022F8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本附加条款项下保险人的赔偿责任不超过本保险合同中载明的相应赔偿限额。</w:t>
      </w:r>
    </w:p>
    <w:p w14:paraId="241BEC3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073C8F5">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重大过失扩展条款</w:t>
      </w:r>
    </w:p>
    <w:p w14:paraId="0E5E2516">
      <w:pPr>
        <w:widowControl/>
        <w:adjustRightInd/>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兹经双方同意，本保单扩展承保被保险人及其代表的重大过失引起的本保单明细表中被保险财产的直接物质损失。</w:t>
      </w:r>
    </w:p>
    <w:p w14:paraId="0B3E88C7">
      <w:pPr>
        <w:widowControl/>
        <w:tabs>
          <w:tab w:val="left" w:pos="780"/>
        </w:tabs>
        <w:adjustRightInd/>
        <w:spacing w:line="360" w:lineRule="auto"/>
        <w:ind w:firstLine="480" w:firstLineChars="200"/>
        <w:jc w:val="left"/>
        <w:rPr>
          <w:rFonts w:ascii="宋体" w:hAnsi="宋体" w:eastAsia="宋体" w:cs="宋体"/>
          <w:bCs/>
          <w:color w:val="auto"/>
          <w:kern w:val="0"/>
          <w:sz w:val="24"/>
          <w:szCs w:val="21"/>
          <w:highlight w:val="none"/>
        </w:rPr>
      </w:pPr>
      <w:r>
        <w:rPr>
          <w:rFonts w:hint="eastAsia" w:ascii="宋体" w:hAnsi="宋体" w:eastAsia="宋体" w:cs="宋体"/>
          <w:color w:val="auto"/>
          <w:kern w:val="0"/>
          <w:sz w:val="24"/>
          <w:highlight w:val="none"/>
        </w:rPr>
        <w:t>本保险单所载其他条件不变。</w:t>
      </w:r>
    </w:p>
    <w:p w14:paraId="2C44D686">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供应中断扩展条款D</w:t>
      </w:r>
    </w:p>
    <w:p w14:paraId="74B11B0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经双方同意，由于供应电、水、气及其他能源的设备遭受保险事故致使供应中断造成的保险标的的损失，保险人按照本保险合同的约定负责赔偿。</w:t>
      </w:r>
    </w:p>
    <w:p w14:paraId="3DA04BA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本附加险条款与主险条款内容相悖之处，以本附加险条款为准；未尽之处，以主险条款为准。</w:t>
      </w:r>
    </w:p>
    <w:p w14:paraId="02A2DDC5">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供水、供气管道破裂损失险条款</w:t>
      </w:r>
    </w:p>
    <w:p w14:paraId="652C1D3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经双方同意，保险人负责赔付被保险人拥有财产所有权的自用的供水、供气管道设备因保险事故遭受损坏，引起停水、停气、管道破裂以致造成保险标的的直接损失。</w:t>
      </w:r>
    </w:p>
    <w:p w14:paraId="0AC4515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本附加条款与主条款内容相悖之处，以本附加条款为准；未尽之处，以主条款为准。</w:t>
      </w:r>
    </w:p>
    <w:p w14:paraId="147492D7">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特种设备及不需注册车辆条款</w:t>
      </w:r>
    </w:p>
    <w:p w14:paraId="585E657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实际上或法律上由被保险人控制的，或被保险人或其代表在进行工作中使用的任何特种设备或不需注册的车辆或其附件，直接或间接引致人身伤亡或财产损坏时，被保险人应负的赔偿责任。</w:t>
      </w:r>
    </w:p>
    <w:p w14:paraId="2D1B42B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但是，下列有关上述车辆或其附件的赔偿责任，保险人不予负责：</w:t>
      </w:r>
    </w:p>
    <w:p w14:paraId="15EEB80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（一）机动车辆相关法规要求对其使用进行保险。</w:t>
      </w:r>
    </w:p>
    <w:p w14:paraId="5D83A9C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（二）另外存在承保同样责任的保险，且其适用的赔偿限额包含本条款的限额。本保险单所载其他条件不变。</w:t>
      </w:r>
    </w:p>
    <w:p w14:paraId="0A22ED1F">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地域调整特别条款</w:t>
      </w:r>
    </w:p>
    <w:p w14:paraId="064B1CE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经双方同意，本保险合同项下保险财产因遭受一次或多次地震、暴风、暴雨、台风、洪水时，保险人同意对所致的半径为 100 公里的圆形地域范围内的保险财产损失按一次单独事件进行赔偿处理，并因此按一次事故扣除规定的免赔额。被保险人可自行决定圆形区域的划分方式和包括地域，但若在相邻数个圆形区域范围内发生损失，任何两个或两个以上圆形区域范围不得重叠。</w:t>
      </w:r>
    </w:p>
    <w:p w14:paraId="23B87CD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但本条款与时间调整条款中一次事故的划分出现交叉时，保险人可同时按本条款及时间调整条款的规定重复扣除免赔，但无论单独采取或同时使用何种标准，免赔扣除最多以五个为限。</w:t>
      </w:r>
    </w:p>
    <w:p w14:paraId="7639D40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本附加条款与主条款内容相悖之处，以本附加条款为准；未尽之处，以主条款为准。</w:t>
      </w:r>
    </w:p>
    <w:p w14:paraId="6273AC7B">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建筑物外部附属设施扩展条款</w:t>
      </w:r>
    </w:p>
    <w:p w14:paraId="42946F0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兹经双方同意，由于暴风、暴雨造成被保险建筑物外部的广告牌、天线、太阳能装置、霓虹灯的直接物质损失，保险人按照本保险合同的约定负责赔偿。</w:t>
      </w:r>
    </w:p>
    <w:p w14:paraId="76DF3AB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保险人保证按照相关规范对上述设施进行定期检查并采取合理的维护措施。上述建筑物外部设施只赔偿材料费和安装费，不赔偿设计、制作和画布的费用。</w:t>
      </w:r>
    </w:p>
    <w:p w14:paraId="6D01D4D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2C3A4F9">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bookmarkStart w:id="135" w:name="_Toc98443915"/>
      <w:r>
        <w:rPr>
          <w:rFonts w:hint="eastAsia" w:ascii="宋体" w:hAnsi="宋体" w:eastAsia="宋体" w:cs="宋体"/>
          <w:b/>
          <w:bCs/>
          <w:color w:val="auto"/>
          <w:kern w:val="0"/>
          <w:sz w:val="21"/>
          <w:szCs w:val="21"/>
          <w:highlight w:val="none"/>
        </w:rPr>
        <w:t>动物侵袭扩展条款</w:t>
      </w:r>
    </w:p>
    <w:p w14:paraId="411DB54B">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经双方同意，在保险期间内，保险人负责赔偿因鼠、蛇等动物侵袭及飞禽的粪便造成保险标的的损失。</w:t>
      </w:r>
    </w:p>
    <w:p w14:paraId="0AC3E12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D65F222">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铲除、清除积雪或积冰扩展条款</w:t>
      </w:r>
    </w:p>
    <w:p w14:paraId="5DFF706B">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经双方同意，被保险人或其指定人在铲除或清除道路、桥面积雪或积冰过程中，因操作人员疏忽或过失，造成保险标的的直接物质损失，保险人按照本附加险合同的约定负责赔偿。被保险人保证指派的操作人员，应符合有关部门的规定，并采取相应的安全防护措施及培训。</w:t>
      </w:r>
    </w:p>
    <w:p w14:paraId="4FB8924F">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本附加险合同项下的赔偿金额不超过本保险单中载明的相应限额。</w:t>
      </w:r>
    </w:p>
    <w:p w14:paraId="01102800">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23B8CF66">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建筑物盗窃损失条款</w:t>
      </w:r>
    </w:p>
    <w:p w14:paraId="7B9BBC09">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经双方同意，本附加险合同扩展承保由于盗窃、盗窃未遂对营业处所保险标的范围内建筑物造成的损坏。</w:t>
      </w:r>
    </w:p>
    <w:p w14:paraId="58DB1BD0">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1255E3E2">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地下电缆条款</w:t>
      </w:r>
    </w:p>
    <w:p w14:paraId="4DA32893">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zh-CN"/>
        </w:rPr>
        <w:t>经双方同意，本附加险合同扩展承保由于</w:t>
      </w:r>
      <w:r>
        <w:rPr>
          <w:rFonts w:hint="eastAsia" w:ascii="宋体" w:hAnsi="宋体" w:eastAsia="宋体" w:cs="宋体"/>
          <w:color w:val="auto"/>
          <w:kern w:val="0"/>
          <w:sz w:val="21"/>
          <w:szCs w:val="21"/>
          <w:highlight w:val="none"/>
          <w:lang w:val="zh-CN"/>
        </w:rPr>
        <w:t>第三者施工不慎造成被保险人的地下电缆破坏的物质损失。</w:t>
      </w:r>
    </w:p>
    <w:p w14:paraId="45F4F8D4">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7F73D421">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非营业时间扩展条款（每次事故赔偿限额：RMB 200万元，其中每个站点 RMB 20万元）</w:t>
      </w:r>
    </w:p>
    <w:p w14:paraId="239D4646">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 xml:space="preserve">兹经双方同意并约定，本保险扩展承保在非营业时间存放于上锁抽屉（非保险箱）中的钱款。 </w:t>
      </w:r>
    </w:p>
    <w:p w14:paraId="443A1611">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ascii="宋体" w:hAnsi="宋体" w:eastAsia="宋体" w:cs="宋体"/>
          <w:color w:val="auto"/>
          <w:kern w:val="0"/>
          <w:sz w:val="21"/>
          <w:szCs w:val="21"/>
          <w:highlight w:val="none"/>
        </w:rPr>
        <w:t>每次事故赔偿限额：（</w:t>
      </w:r>
      <w:r>
        <w:rPr>
          <w:rFonts w:hint="eastAsia" w:ascii="宋体" w:hAnsi="宋体" w:eastAsia="宋体" w:cs="宋体"/>
          <w:color w:val="auto"/>
          <w:kern w:val="0"/>
          <w:sz w:val="21"/>
          <w:szCs w:val="21"/>
          <w:highlight w:val="none"/>
        </w:rPr>
        <w:t xml:space="preserve">RMB </w:t>
      </w:r>
      <w:r>
        <w:rPr>
          <w:rFonts w:ascii="宋体" w:hAnsi="宋体" w:eastAsia="宋体" w:cs="宋体"/>
          <w:color w:val="auto"/>
          <w:kern w:val="0"/>
          <w:sz w:val="21"/>
          <w:szCs w:val="21"/>
          <w:highlight w:val="none"/>
        </w:rPr>
        <w:t>200</w:t>
      </w:r>
      <w:r>
        <w:rPr>
          <w:rFonts w:hint="eastAsia" w:ascii="宋体" w:hAnsi="宋体" w:eastAsia="宋体" w:cs="宋体"/>
          <w:color w:val="auto"/>
          <w:kern w:val="0"/>
          <w:sz w:val="21"/>
          <w:szCs w:val="21"/>
          <w:highlight w:val="none"/>
        </w:rPr>
        <w:t>万</w:t>
      </w:r>
      <w:r>
        <w:rPr>
          <w:rFonts w:ascii="宋体" w:hAnsi="宋体" w:eastAsia="宋体" w:cs="宋体"/>
          <w:color w:val="auto"/>
          <w:kern w:val="0"/>
          <w:sz w:val="21"/>
          <w:szCs w:val="21"/>
          <w:highlight w:val="none"/>
        </w:rPr>
        <w:t>元</w:t>
      </w:r>
      <w:r>
        <w:rPr>
          <w:rFonts w:hint="eastAsia" w:ascii="宋体" w:hAnsi="宋体" w:eastAsia="宋体" w:cs="宋体"/>
          <w:color w:val="auto"/>
          <w:kern w:val="0"/>
          <w:sz w:val="21"/>
          <w:szCs w:val="21"/>
          <w:highlight w:val="none"/>
        </w:rPr>
        <w:t>）</w:t>
      </w:r>
    </w:p>
    <w:p w14:paraId="2C5BA75A">
      <w:pPr>
        <w:widowControl/>
        <w:tabs>
          <w:tab w:val="left" w:pos="780"/>
        </w:tabs>
        <w:adjustRightInd/>
        <w:spacing w:line="360" w:lineRule="auto"/>
        <w:ind w:firstLine="420" w:firstLineChars="20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2CF387D7">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重新启动机器设备费用条款（每次事故赔偿限额：RMB 1,000万元）</w:t>
      </w:r>
    </w:p>
    <w:p w14:paraId="3F338783">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兹经双方同意并约定，本保险扩展承保由于保险事故造成机器设备损坏，而设备在维修或重置后重新启动所产生的相关费用，包括但不限于燃油费、燃气费、水费、电费等。</w:t>
      </w:r>
    </w:p>
    <w:p w14:paraId="710D1F76">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每次事故赔偿限额：（</w:t>
      </w:r>
      <w:r>
        <w:rPr>
          <w:rFonts w:hint="eastAsia" w:ascii="宋体" w:hAnsi="宋体" w:eastAsia="宋体" w:cs="宋体"/>
          <w:color w:val="auto"/>
          <w:kern w:val="0"/>
          <w:sz w:val="21"/>
          <w:szCs w:val="21"/>
          <w:highlight w:val="none"/>
        </w:rPr>
        <w:t xml:space="preserve">RMB </w:t>
      </w:r>
      <w:r>
        <w:rPr>
          <w:rFonts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rPr>
        <w:t>,000万</w:t>
      </w:r>
      <w:r>
        <w:rPr>
          <w:rFonts w:ascii="宋体" w:hAnsi="宋体" w:eastAsia="宋体" w:cs="宋体"/>
          <w:color w:val="auto"/>
          <w:kern w:val="0"/>
          <w:sz w:val="21"/>
          <w:szCs w:val="21"/>
          <w:highlight w:val="none"/>
        </w:rPr>
        <w:t>元）</w:t>
      </w:r>
    </w:p>
    <w:p w14:paraId="18AA6720">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本保险所载其他条件不变。</w:t>
      </w:r>
    </w:p>
    <w:p w14:paraId="4CCBA4EA">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检修扩展条款</w:t>
      </w:r>
    </w:p>
    <w:p w14:paraId="4B462A31">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兹经双方同意并约定，本保险扩展承保由于机器设备检修（包括维护、维修）质量达不到规范引起机器设备损坏而造成的损失。</w:t>
      </w:r>
    </w:p>
    <w:p w14:paraId="419052CC">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本保险所载其他条件不变。</w:t>
      </w:r>
    </w:p>
    <w:p w14:paraId="142DD864">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未入账财产条款</w:t>
      </w:r>
    </w:p>
    <w:p w14:paraId="252C961D">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兹经双方同意并约定，被保险人对有保险利益的财产均在本保险项下投保。若被保险人的部分财产或费用被发现未登记入资产账册，保险人同意对其按保险单约定条件提供保险保障，但被保险人应缴付自保险单生效之日起或自被保险人获得该财产的保险利益之日起至保险单结束之日的附加保费。</w:t>
      </w:r>
    </w:p>
    <w:p w14:paraId="0F6C12AC">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本保险所载其他条件不变。</w:t>
      </w:r>
    </w:p>
    <w:p w14:paraId="1D9DC336">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索赔单据条款</w:t>
      </w:r>
    </w:p>
    <w:p w14:paraId="7AF83830">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经双方同意，被保险人应提供其所能提供的与确认事故的性质、原因、损失程度等有关的证明和材料。在事故的原因和损失已被证实的情况下，保险人不得仅以缺少单据或单据不合格为由拒绝或拖延承担其在本保险合同项下应承担的赔偿责任。</w:t>
      </w:r>
    </w:p>
    <w:p w14:paraId="15248F78">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本附加条款与主条款内容相悖之处，以本附加条款为准；未尽之处，以主条款为准。</w:t>
      </w:r>
    </w:p>
    <w:p w14:paraId="60961E7E">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阻止损失条款</w:t>
      </w:r>
    </w:p>
    <w:p w14:paraId="56B115E0">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本保险中的保险金额包含保险财产在被用作灭火或阻止灾害向保险财产蔓延的活动中造成的财产损失。</w:t>
      </w:r>
    </w:p>
    <w:p w14:paraId="7121CA32">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动物条款</w:t>
      </w:r>
    </w:p>
    <w:p w14:paraId="673E569A">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兹经双方同意并约定，本保险负责赔偿被保险人因本保险单项下小动物进入设备、设施造成的保险财产的损失。</w:t>
      </w:r>
    </w:p>
    <w:p w14:paraId="6A11C99E">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本保险所载其他条件不变。</w:t>
      </w:r>
    </w:p>
    <w:p w14:paraId="415CA958">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渐变原因扩展条款</w:t>
      </w:r>
    </w:p>
    <w:p w14:paraId="229457E6">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经双方同意，在保险期间内，保险人对因保险标的的内在或潜在缺陷、自然磨损、自然损耗，大气（气候或气温）变化、正常水位变化或其他渐变原因，以及因物质本身变化、霉烂、受潮、鼠咬、虫蛀、鸟啄、氧化、锈蚀、渗漏、烘焙的原因而导致保险标的损失后引致其他保险标的的损失承担赔偿责任。</w:t>
      </w:r>
    </w:p>
    <w:p w14:paraId="08D7A9F0">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本附加险条款与主险条款内容相悖之处，以本附加险条款为准；未尽之处，以主险条款为准。</w:t>
      </w:r>
    </w:p>
    <w:p w14:paraId="2D8DD36C">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导线“舞动”损失条款</w:t>
      </w:r>
    </w:p>
    <w:p w14:paraId="7E5B3B49">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兹经双方同意，本保险扩展承保保险财产因导线“舞动”造成保险财产的损失。导线“舞动”：指输电线路在外力的作用下（如刮风、线路覆冰局部脱落、意外撞击等），可能出现导线振动、摆动、跳跃等现象，从而发生导线碰线短路、接地、断线及杆塔倾倒等事故，以致引起输电设备发生损坏。</w:t>
      </w:r>
    </w:p>
    <w:p w14:paraId="0A41CA02">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本保险单所载其他条件不变。</w:t>
      </w:r>
    </w:p>
    <w:p w14:paraId="78CA361E">
      <w:pPr>
        <w:widowControl w:val="0"/>
        <w:numPr>
          <w:ilvl w:val="0"/>
          <w:numId w:val="6"/>
        </w:numPr>
        <w:tabs>
          <w:tab w:val="left" w:pos="780"/>
          <w:tab w:val="clear" w:pos="0"/>
        </w:tabs>
        <w:adjustRightInd/>
        <w:spacing w:line="360" w:lineRule="auto"/>
        <w:ind w:left="0" w:firstLine="422" w:firstLineChars="200"/>
        <w:jc w:val="both"/>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 xml:space="preserve">追查及通路条款 </w:t>
      </w:r>
    </w:p>
    <w:p w14:paraId="5389C41A">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经双方同意，在保险期间内，如发生本保险单承保的“燃油或水泄漏事件”，本附加险合同扩展承保被保险人由于以下原因发生的必要及合理费用：</w:t>
      </w:r>
    </w:p>
    <w:p w14:paraId="2AE5BA1A">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（一）追查/确定损失源头的位置；</w:t>
      </w:r>
    </w:p>
    <w:p w14:paraId="640F2A9B">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（二）事故发生后的通路损失修复。</w:t>
      </w:r>
    </w:p>
    <w:p w14:paraId="397FF188">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本附加险合同项下的赔偿金额不超过本保险单中载明的相应限额。</w:t>
      </w:r>
    </w:p>
    <w:p w14:paraId="00EE0579">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本附加险条款与主险条款内容相悖之处，以本附加险条款为准；未尽之处，以主险条款为准。</w:t>
      </w:r>
    </w:p>
    <w:p w14:paraId="5FA748D7">
      <w:pPr>
        <w:widowControl/>
        <w:adjustRightInd/>
        <w:jc w:val="left"/>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br w:type="page"/>
      </w:r>
    </w:p>
    <w:p w14:paraId="312BBB0E">
      <w:pPr>
        <w:widowControl/>
        <w:adjustRightInd/>
        <w:spacing w:line="560" w:lineRule="exact"/>
        <w:ind w:firstLine="420" w:firstLineChars="200"/>
        <w:jc w:val="left"/>
        <w:outlineLvl w:val="1"/>
        <w:rPr>
          <w:rFonts w:ascii="宋体" w:hAnsi="宋体" w:eastAsia="宋体" w:cs="宋体"/>
          <w:bCs/>
          <w:color w:val="auto"/>
          <w:kern w:val="0"/>
          <w:sz w:val="24"/>
          <w:szCs w:val="21"/>
          <w:highlight w:val="none"/>
        </w:rPr>
      </w:pPr>
      <w:bookmarkStart w:id="136" w:name="_Toc1623514267"/>
      <w:bookmarkStart w:id="137" w:name="_Toc1296966802"/>
      <w:r>
        <w:rPr>
          <w:rFonts w:hint="eastAsia" w:ascii="宋体" w:hAnsi="宋体" w:eastAsia="宋体" w:cs="宋体"/>
          <w:bCs/>
          <w:color w:val="auto"/>
          <w:kern w:val="0"/>
          <w:sz w:val="21"/>
          <w:szCs w:val="21"/>
          <w:highlight w:val="none"/>
        </w:rPr>
        <w:t>（二）公众责任险</w:t>
      </w:r>
      <w:bookmarkEnd w:id="132"/>
      <w:bookmarkEnd w:id="133"/>
      <w:bookmarkEnd w:id="134"/>
      <w:bookmarkEnd w:id="135"/>
      <w:bookmarkEnd w:id="136"/>
      <w:bookmarkEnd w:id="137"/>
    </w:p>
    <w:tbl>
      <w:tblPr>
        <w:tblStyle w:val="64"/>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7321"/>
      </w:tblGrid>
      <w:tr w14:paraId="0B5C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7718FCF0">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保险条款</w:t>
            </w:r>
          </w:p>
        </w:tc>
        <w:tc>
          <w:tcPr>
            <w:tcW w:w="7321" w:type="dxa"/>
            <w:tcBorders>
              <w:top w:val="single" w:color="auto" w:sz="4" w:space="0"/>
              <w:left w:val="single" w:color="auto" w:sz="4" w:space="0"/>
              <w:bottom w:val="single" w:color="auto" w:sz="4" w:space="0"/>
              <w:right w:val="single" w:color="auto" w:sz="4" w:space="0"/>
            </w:tcBorders>
          </w:tcPr>
          <w:p w14:paraId="148367F3">
            <w:pPr>
              <w:widowControl/>
              <w:adjustRightInd/>
              <w:spacing w:before="60" w:after="60"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公众责任险标准条款及其附加条款</w:t>
            </w:r>
          </w:p>
        </w:tc>
      </w:tr>
      <w:tr w14:paraId="4927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13088BFE">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被保险人</w:t>
            </w:r>
          </w:p>
        </w:tc>
        <w:tc>
          <w:tcPr>
            <w:tcW w:w="7321" w:type="dxa"/>
            <w:tcBorders>
              <w:top w:val="single" w:color="auto" w:sz="4" w:space="0"/>
              <w:left w:val="single" w:color="auto" w:sz="4" w:space="0"/>
              <w:bottom w:val="single" w:color="auto" w:sz="4" w:space="0"/>
              <w:right w:val="single" w:color="auto" w:sz="4" w:space="0"/>
            </w:tcBorders>
            <w:vAlign w:val="center"/>
          </w:tcPr>
          <w:p w14:paraId="0D664A02">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绍兴市轨道交通集团有限公司及其分公司</w:t>
            </w:r>
          </w:p>
        </w:tc>
      </w:tr>
      <w:tr w14:paraId="70B13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573A7FBC">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地</w:t>
            </w:r>
            <w:r>
              <w:rPr>
                <w:rFonts w:ascii="宋体" w:hAnsi="宋体" w:eastAsia="宋体" w:cs="宋体"/>
                <w:b/>
                <w:bCs/>
                <w:color w:val="auto"/>
                <w:kern w:val="0"/>
                <w:sz w:val="21"/>
                <w:szCs w:val="21"/>
                <w:highlight w:val="none"/>
              </w:rPr>
              <w:t xml:space="preserve">    </w:t>
            </w:r>
            <w:r>
              <w:rPr>
                <w:rFonts w:hint="eastAsia" w:ascii="宋体" w:hAnsi="宋体" w:eastAsia="宋体" w:cs="宋体"/>
                <w:b/>
                <w:bCs/>
                <w:color w:val="auto"/>
                <w:kern w:val="0"/>
                <w:sz w:val="21"/>
                <w:szCs w:val="21"/>
                <w:highlight w:val="none"/>
              </w:rPr>
              <w:t>址</w:t>
            </w:r>
          </w:p>
        </w:tc>
        <w:tc>
          <w:tcPr>
            <w:tcW w:w="7321" w:type="dxa"/>
            <w:tcBorders>
              <w:top w:val="single" w:color="auto" w:sz="4" w:space="0"/>
              <w:left w:val="single" w:color="auto" w:sz="4" w:space="0"/>
              <w:bottom w:val="single" w:color="auto" w:sz="4" w:space="0"/>
              <w:right w:val="single" w:color="auto" w:sz="4" w:space="0"/>
            </w:tcBorders>
            <w:vAlign w:val="center"/>
          </w:tcPr>
          <w:p w14:paraId="623495C9">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浙江省绍兴市越城区解放大道</w:t>
            </w:r>
            <w:r>
              <w:rPr>
                <w:rFonts w:ascii="宋体" w:hAnsi="宋体" w:eastAsia="宋体" w:cs="宋体"/>
                <w:color w:val="auto"/>
                <w:kern w:val="0"/>
                <w:sz w:val="21"/>
                <w:szCs w:val="21"/>
                <w:highlight w:val="none"/>
              </w:rPr>
              <w:t>386号地铁大厦</w:t>
            </w:r>
          </w:p>
        </w:tc>
      </w:tr>
      <w:tr w14:paraId="284B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574D2A03">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保险期限</w:t>
            </w:r>
          </w:p>
        </w:tc>
        <w:tc>
          <w:tcPr>
            <w:tcW w:w="7321" w:type="dxa"/>
            <w:tcBorders>
              <w:top w:val="single" w:color="auto" w:sz="4" w:space="0"/>
              <w:left w:val="single" w:color="auto" w:sz="4" w:space="0"/>
              <w:bottom w:val="single" w:color="auto" w:sz="4" w:space="0"/>
              <w:right w:val="single" w:color="auto" w:sz="4" w:space="0"/>
            </w:tcBorders>
          </w:tcPr>
          <w:p w14:paraId="7731C81D">
            <w:pPr>
              <w:widowControl/>
              <w:adjustRightInd/>
              <w:spacing w:line="360" w:lineRule="auto"/>
              <w:jc w:val="left"/>
              <w:rPr>
                <w:rFonts w:ascii="宋体" w:hAnsi="宋体" w:eastAsia="宋体" w:cs="宋体"/>
                <w:strike/>
                <w:dstrike w:val="0"/>
                <w:color w:val="auto"/>
                <w:kern w:val="0"/>
                <w:sz w:val="21"/>
                <w:szCs w:val="21"/>
                <w:highlight w:val="none"/>
              </w:rPr>
            </w:pPr>
            <w:r>
              <w:rPr>
                <w:rFonts w:hint="eastAsia" w:ascii="宋体" w:hAnsi="宋体" w:eastAsia="宋体" w:cs="宋体"/>
                <w:color w:val="auto"/>
                <w:kern w:val="0"/>
                <w:sz w:val="21"/>
                <w:szCs w:val="21"/>
                <w:highlight w:val="none"/>
              </w:rPr>
              <w:t>约</w:t>
            </w:r>
            <w:r>
              <w:rPr>
                <w:rFonts w:ascii="宋体" w:hAnsi="宋体" w:eastAsia="宋体" w:cs="宋体"/>
                <w:color w:val="auto"/>
                <w:kern w:val="0"/>
                <w:sz w:val="21"/>
                <w:szCs w:val="21"/>
                <w:highlight w:val="none"/>
              </w:rPr>
              <w:t>24个月，</w:t>
            </w:r>
            <w:r>
              <w:rPr>
                <w:rFonts w:hint="eastAsia" w:ascii="宋体" w:hAnsi="宋体" w:eastAsia="宋体" w:cs="宋体"/>
                <w:bCs/>
                <w:color w:val="auto"/>
                <w:kern w:val="0"/>
                <w:sz w:val="21"/>
                <w:szCs w:val="21"/>
                <w:highlight w:val="none"/>
              </w:rPr>
              <w:t>自</w:t>
            </w:r>
            <w:r>
              <w:rPr>
                <w:rFonts w:ascii="宋体" w:hAnsi="宋体" w:eastAsia="宋体" w:cs="宋体"/>
                <w:bCs/>
                <w:color w:val="auto"/>
                <w:kern w:val="0"/>
                <w:sz w:val="21"/>
                <w:szCs w:val="21"/>
                <w:highlight w:val="none"/>
              </w:rPr>
              <w:t>2024年12月29日0：00起至2026年12月31日24：00止。</w:t>
            </w:r>
          </w:p>
        </w:tc>
      </w:tr>
      <w:tr w14:paraId="2D3C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0B06C9C6">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保险范围和保险责任</w:t>
            </w:r>
          </w:p>
        </w:tc>
        <w:tc>
          <w:tcPr>
            <w:tcW w:w="7321" w:type="dxa"/>
            <w:tcBorders>
              <w:top w:val="single" w:color="auto" w:sz="4" w:space="0"/>
              <w:left w:val="single" w:color="auto" w:sz="4" w:space="0"/>
              <w:bottom w:val="single" w:color="auto" w:sz="4" w:space="0"/>
              <w:right w:val="single" w:color="auto" w:sz="4" w:space="0"/>
            </w:tcBorders>
          </w:tcPr>
          <w:p w14:paraId="63C01FF0">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被保险人在其经营、管理场所范围（包括但不限于绍兴市城市轨道交通2号线一期的车站、区间、联络线、</w:t>
            </w:r>
            <w:r>
              <w:rPr>
                <w:rFonts w:ascii="宋体" w:hAnsi="宋体" w:eastAsia="宋体" w:cs="宋体"/>
                <w:color w:val="auto"/>
                <w:kern w:val="0"/>
                <w:sz w:val="21"/>
                <w:szCs w:val="21"/>
                <w:highlight w:val="none"/>
              </w:rPr>
              <w:t>轨道、</w:t>
            </w:r>
            <w:r>
              <w:rPr>
                <w:rFonts w:hint="eastAsia" w:ascii="宋体" w:hAnsi="宋体" w:eastAsia="宋体" w:cs="宋体"/>
                <w:color w:val="auto"/>
                <w:kern w:val="0"/>
                <w:sz w:val="21"/>
                <w:szCs w:val="21"/>
                <w:highlight w:val="none"/>
              </w:rPr>
              <w:t>万绣路车辆基地（含</w:t>
            </w:r>
            <w:r>
              <w:rPr>
                <w:rFonts w:ascii="宋体" w:hAnsi="宋体" w:eastAsia="宋体" w:cs="宋体"/>
                <w:color w:val="auto"/>
                <w:kern w:val="0"/>
                <w:sz w:val="21"/>
                <w:szCs w:val="21"/>
                <w:highlight w:val="none"/>
              </w:rPr>
              <w:t>使用的检修库、运用库、物资库、综合楼、</w:t>
            </w:r>
            <w:r>
              <w:rPr>
                <w:rFonts w:hint="eastAsia" w:ascii="宋体" w:hAnsi="宋体" w:eastAsia="宋体" w:cs="宋体"/>
                <w:color w:val="auto"/>
                <w:kern w:val="0"/>
                <w:sz w:val="21"/>
                <w:szCs w:val="21"/>
                <w:highlight w:val="none"/>
              </w:rPr>
              <w:t>维修中心、培训中心、备用控制中心</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试车线等）、万绣路车辆基地至1、2号线联络线区段（含杭州至绍兴城际铁路及绍兴市城市轨道交通1号线主线区段）、豆姜站停车列检线、镜湖控制中心、越兴路主变电所、</w:t>
            </w:r>
            <w:r>
              <w:rPr>
                <w:rFonts w:ascii="宋体" w:hAnsi="宋体" w:eastAsia="宋体" w:cs="宋体"/>
                <w:color w:val="auto"/>
                <w:kern w:val="0"/>
                <w:sz w:val="21"/>
                <w:szCs w:val="21"/>
                <w:highlight w:val="none"/>
              </w:rPr>
              <w:t>生产</w:t>
            </w:r>
            <w:r>
              <w:rPr>
                <w:rFonts w:hint="eastAsia" w:ascii="宋体" w:hAnsi="宋体" w:eastAsia="宋体" w:cs="宋体"/>
                <w:color w:val="auto"/>
                <w:kern w:val="0"/>
                <w:sz w:val="21"/>
                <w:szCs w:val="21"/>
                <w:highlight w:val="none"/>
              </w:rPr>
              <w:t>办公场所、车辆内、线路沿线、出租商铺，归属于与被保险人经营范围有直接关系的任何地点或由法院判定的属于被保险人应承担赔偿责任的场地）；用地红线周边30米内，因经营、管理行为发生意外事故或因提供产品或服务等造成第三者（包含乘客、志愿者、来访参观者、委外施工者、借道通行者{未进入付费区}等）人身伤亡、财产损失、行程延误，依法应由被保险人承担的经济赔偿责任（包括诉讼费、鉴定费、保全费、律师费等为诉讼产生的其他必要的法律费用及事先经保险人同意而支付的其他费用），保险人负责赔偿。</w:t>
            </w:r>
          </w:p>
        </w:tc>
      </w:tr>
      <w:tr w14:paraId="64B9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16CE035D">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营业性质</w:t>
            </w:r>
          </w:p>
        </w:tc>
        <w:tc>
          <w:tcPr>
            <w:tcW w:w="7321" w:type="dxa"/>
            <w:tcBorders>
              <w:top w:val="single" w:color="auto" w:sz="4" w:space="0"/>
              <w:left w:val="single" w:color="auto" w:sz="4" w:space="0"/>
              <w:bottom w:val="single" w:color="auto" w:sz="4" w:space="0"/>
              <w:right w:val="single" w:color="auto" w:sz="4" w:space="0"/>
            </w:tcBorders>
          </w:tcPr>
          <w:p w14:paraId="7B74FF01">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以营业执照登记为准</w:t>
            </w:r>
          </w:p>
        </w:tc>
      </w:tr>
      <w:tr w14:paraId="3E15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3AD7EE97">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赔偿限额</w:t>
            </w:r>
          </w:p>
        </w:tc>
        <w:tc>
          <w:tcPr>
            <w:tcW w:w="7321" w:type="dxa"/>
            <w:tcBorders>
              <w:top w:val="single" w:color="auto" w:sz="4" w:space="0"/>
              <w:left w:val="single" w:color="auto" w:sz="4" w:space="0"/>
              <w:bottom w:val="single" w:color="auto" w:sz="4" w:space="0"/>
              <w:right w:val="single" w:color="auto" w:sz="4" w:space="0"/>
            </w:tcBorders>
          </w:tcPr>
          <w:p w14:paraId="3F15FB93">
            <w:pPr>
              <w:widowControl/>
              <w:adjustRightInd/>
              <w:spacing w:line="360" w:lineRule="auto"/>
              <w:jc w:val="left"/>
              <w:rPr>
                <w:rFonts w:ascii="宋体" w:hAnsi="宋体" w:eastAsia="宋体" w:cs="宋体"/>
                <w:color w:val="auto"/>
                <w:kern w:val="0"/>
                <w:sz w:val="21"/>
                <w:szCs w:val="21"/>
                <w:highlight w:val="none"/>
              </w:rPr>
            </w:pPr>
            <w:bookmarkStart w:id="138" w:name="_Toc16487"/>
            <w:bookmarkStart w:id="139" w:name="_Toc30195"/>
            <w:r>
              <w:rPr>
                <w:rFonts w:hint="eastAsia" w:ascii="宋体" w:hAnsi="宋体" w:eastAsia="宋体" w:cs="宋体"/>
                <w:color w:val="auto"/>
                <w:kern w:val="0"/>
                <w:sz w:val="21"/>
                <w:szCs w:val="21"/>
                <w:highlight w:val="none"/>
              </w:rPr>
              <w:t>每人每次事故赔偿限额：</w:t>
            </w:r>
            <w:r>
              <w:rPr>
                <w:rFonts w:ascii="宋体" w:hAnsi="宋体" w:eastAsia="宋体" w:cs="宋体"/>
                <w:color w:val="auto"/>
                <w:kern w:val="0"/>
                <w:sz w:val="21"/>
                <w:szCs w:val="21"/>
                <w:highlight w:val="none"/>
              </w:rPr>
              <w:t>RMB200万元</w:t>
            </w:r>
            <w:bookmarkEnd w:id="138"/>
            <w:r>
              <w:rPr>
                <w:rFonts w:hint="eastAsia" w:ascii="宋体" w:hAnsi="宋体" w:eastAsia="宋体" w:cs="宋体"/>
                <w:color w:val="auto"/>
                <w:kern w:val="0"/>
                <w:sz w:val="21"/>
                <w:szCs w:val="21"/>
                <w:highlight w:val="none"/>
              </w:rPr>
              <w:t>；</w:t>
            </w:r>
          </w:p>
          <w:p w14:paraId="14AD86F7">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每次事故赔偿限额：</w:t>
            </w:r>
            <w:r>
              <w:rPr>
                <w:rFonts w:ascii="宋体" w:hAnsi="宋体" w:eastAsia="宋体" w:cs="宋体"/>
                <w:color w:val="auto"/>
                <w:kern w:val="0"/>
                <w:sz w:val="21"/>
                <w:szCs w:val="21"/>
                <w:highlight w:val="none"/>
              </w:rPr>
              <w:t>RMB10,000</w:t>
            </w:r>
            <w:r>
              <w:rPr>
                <w:rFonts w:hint="eastAsia" w:ascii="宋体" w:hAnsi="宋体" w:eastAsia="宋体" w:cs="宋体"/>
                <w:color w:val="auto"/>
                <w:kern w:val="0"/>
                <w:sz w:val="21"/>
                <w:szCs w:val="21"/>
                <w:highlight w:val="none"/>
              </w:rPr>
              <w:t>万</w:t>
            </w:r>
            <w:r>
              <w:rPr>
                <w:rFonts w:ascii="宋体" w:hAnsi="宋体" w:eastAsia="宋体" w:cs="宋体"/>
                <w:color w:val="auto"/>
                <w:kern w:val="0"/>
                <w:sz w:val="21"/>
                <w:szCs w:val="21"/>
                <w:highlight w:val="none"/>
              </w:rPr>
              <w:t>元</w:t>
            </w:r>
            <w:bookmarkEnd w:id="139"/>
            <w:r>
              <w:rPr>
                <w:rFonts w:hint="eastAsia" w:ascii="宋体" w:hAnsi="宋体" w:eastAsia="宋体" w:cs="宋体"/>
                <w:color w:val="auto"/>
                <w:kern w:val="0"/>
                <w:sz w:val="21"/>
                <w:szCs w:val="21"/>
                <w:highlight w:val="none"/>
              </w:rPr>
              <w:t>；</w:t>
            </w:r>
          </w:p>
          <w:p w14:paraId="40AB69CB">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无累计赔偿限额。</w:t>
            </w:r>
          </w:p>
        </w:tc>
      </w:tr>
      <w:tr w14:paraId="1D9D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2D135D4F">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免赔额</w:t>
            </w:r>
          </w:p>
        </w:tc>
        <w:tc>
          <w:tcPr>
            <w:tcW w:w="7321" w:type="dxa"/>
            <w:tcBorders>
              <w:top w:val="single" w:color="auto" w:sz="4" w:space="0"/>
              <w:left w:val="single" w:color="auto" w:sz="4" w:space="0"/>
              <w:bottom w:val="single" w:color="auto" w:sz="4" w:space="0"/>
              <w:right w:val="single" w:color="auto" w:sz="4" w:space="0"/>
            </w:tcBorders>
          </w:tcPr>
          <w:p w14:paraId="20DB3EF5">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财产损失：无免赔；</w:t>
            </w:r>
          </w:p>
          <w:p w14:paraId="46E9722C">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人身伤亡：无免赔。</w:t>
            </w:r>
          </w:p>
        </w:tc>
      </w:tr>
      <w:tr w14:paraId="1B96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65E3F0A5">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保险费率</w:t>
            </w:r>
          </w:p>
        </w:tc>
        <w:tc>
          <w:tcPr>
            <w:tcW w:w="7321" w:type="dxa"/>
            <w:tcBorders>
              <w:top w:val="single" w:color="auto" w:sz="4" w:space="0"/>
              <w:left w:val="single" w:color="auto" w:sz="4" w:space="0"/>
              <w:bottom w:val="single" w:color="auto" w:sz="4" w:space="0"/>
              <w:right w:val="single" w:color="auto" w:sz="4" w:space="0"/>
            </w:tcBorders>
          </w:tcPr>
          <w:p w14:paraId="67031979">
            <w:pPr>
              <w:keepNext/>
              <w:keepLines/>
              <w:pageBreakBefore/>
              <w:widowControl/>
              <w:tabs>
                <w:tab w:val="left" w:pos="0"/>
              </w:tabs>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待报价（含增值税）</w:t>
            </w:r>
          </w:p>
        </w:tc>
      </w:tr>
      <w:tr w14:paraId="378E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785A3319">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保险费</w:t>
            </w:r>
          </w:p>
        </w:tc>
        <w:tc>
          <w:tcPr>
            <w:tcW w:w="7321" w:type="dxa"/>
            <w:tcBorders>
              <w:top w:val="single" w:color="auto" w:sz="4" w:space="0"/>
              <w:left w:val="single" w:color="auto" w:sz="4" w:space="0"/>
              <w:bottom w:val="single" w:color="auto" w:sz="4" w:space="0"/>
              <w:right w:val="single" w:color="auto" w:sz="4" w:space="0"/>
            </w:tcBorders>
          </w:tcPr>
          <w:p w14:paraId="088979C8">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年保险费</w:t>
            </w:r>
            <w:r>
              <w:rPr>
                <w:rFonts w:ascii="宋体" w:hAnsi="宋体" w:eastAsia="宋体" w:cs="宋体"/>
                <w:color w:val="auto"/>
                <w:kern w:val="0"/>
                <w:sz w:val="21"/>
                <w:szCs w:val="21"/>
                <w:highlight w:val="none"/>
              </w:rPr>
              <w:t>=每次事故赔偿限额×年保险费率；</w:t>
            </w:r>
          </w:p>
          <w:p w14:paraId="12A4ACFA">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r>
              <w:rPr>
                <w:rFonts w:ascii="宋体" w:hAnsi="宋体" w:eastAsia="宋体" w:cs="宋体"/>
                <w:color w:val="auto"/>
                <w:kern w:val="0"/>
                <w:sz w:val="21"/>
                <w:szCs w:val="21"/>
                <w:highlight w:val="none"/>
              </w:rPr>
              <w:t>不足一年的天数参照短期保单的方式按日比例计算保费。</w:t>
            </w:r>
          </w:p>
        </w:tc>
      </w:tr>
      <w:tr w14:paraId="15AF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03D5AFDC">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保费支付</w:t>
            </w:r>
          </w:p>
        </w:tc>
        <w:tc>
          <w:tcPr>
            <w:tcW w:w="7321" w:type="dxa"/>
            <w:tcBorders>
              <w:top w:val="single" w:color="auto" w:sz="4" w:space="0"/>
              <w:left w:val="single" w:color="auto" w:sz="4" w:space="0"/>
              <w:bottom w:val="single" w:color="auto" w:sz="4" w:space="0"/>
              <w:right w:val="single" w:color="auto" w:sz="4" w:space="0"/>
            </w:tcBorders>
          </w:tcPr>
          <w:p w14:paraId="7794FEDF">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在保险期限内分五期支付保费：</w:t>
            </w:r>
          </w:p>
          <w:p w14:paraId="4AC84146">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1.第一期保费：第一年保单生效后支付年保险费的50%；</w:t>
            </w:r>
          </w:p>
          <w:p w14:paraId="6000EC20">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2.第二期保费：第一年保单生效6个月后支付年保险费的50%；</w:t>
            </w:r>
          </w:p>
          <w:p w14:paraId="443A8391">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3.第三期保费：第二年保单生效后支付当期保险费的50%；</w:t>
            </w:r>
          </w:p>
          <w:p w14:paraId="2DE7B87F">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4.第四期保费：第二年保单生效6个月后支付当期保险费的20%；</w:t>
            </w:r>
          </w:p>
          <w:p w14:paraId="04203A4B">
            <w:pPr>
              <w:widowControl/>
              <w:adjustRightInd/>
              <w:spacing w:line="360" w:lineRule="auto"/>
              <w:jc w:val="left"/>
              <w:rPr>
                <w:rFonts w:hint="eastAsia" w:ascii="宋体" w:hAnsi="宋体" w:eastAsia="宋体" w:cs="宋体"/>
                <w:bCs/>
                <w:color w:val="auto"/>
                <w:kern w:val="0"/>
                <w:sz w:val="21"/>
                <w:szCs w:val="21"/>
                <w:highlight w:val="none"/>
                <w:lang w:eastAsia="zh-CN"/>
              </w:rPr>
            </w:pPr>
            <w:r>
              <w:rPr>
                <w:rFonts w:ascii="宋体" w:hAnsi="宋体" w:eastAsia="宋体" w:cs="宋体"/>
                <w:color w:val="auto"/>
                <w:kern w:val="0"/>
                <w:sz w:val="21"/>
                <w:szCs w:val="21"/>
                <w:highlight w:val="none"/>
              </w:rPr>
              <w:t>5.第五期保费：服务期结束，无赔案或所有赔案涉及赔款付清后，且保单对应期限内合同相关条款履约完毕，投保人向保险人结清余款。</w:t>
            </w:r>
          </w:p>
          <w:p w14:paraId="2E19F745">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上述保费款项自被保险人账户划出即视为实际支付的履行。</w:t>
            </w:r>
            <w:r>
              <w:rPr>
                <w:rFonts w:ascii="宋体" w:hAnsi="宋体" w:eastAsia="宋体" w:cs="宋体"/>
                <w:color w:val="auto"/>
                <w:kern w:val="0"/>
                <w:sz w:val="21"/>
                <w:szCs w:val="21"/>
                <w:highlight w:val="none"/>
              </w:rPr>
              <w:t>被保险人</w:t>
            </w:r>
            <w:r>
              <w:rPr>
                <w:rFonts w:hint="eastAsia" w:ascii="宋体" w:hAnsi="宋体" w:eastAsia="宋体" w:cs="宋体"/>
                <w:bCs/>
                <w:color w:val="auto"/>
                <w:kern w:val="0"/>
                <w:sz w:val="21"/>
                <w:szCs w:val="21"/>
                <w:highlight w:val="none"/>
              </w:rPr>
              <w:t>在保险人提交符合投保人要求的支付申请资料</w:t>
            </w:r>
            <w:r>
              <w:rPr>
                <w:rFonts w:ascii="宋体" w:hAnsi="宋体" w:eastAsia="宋体" w:cs="宋体"/>
                <w:bCs/>
                <w:color w:val="auto"/>
                <w:kern w:val="0"/>
                <w:sz w:val="21"/>
                <w:szCs w:val="21"/>
                <w:highlight w:val="none"/>
              </w:rPr>
              <w:t>后安排</w:t>
            </w:r>
            <w:r>
              <w:rPr>
                <w:rFonts w:ascii="宋体" w:hAnsi="宋体" w:eastAsia="宋体" w:cs="宋体"/>
                <w:color w:val="auto"/>
                <w:kern w:val="0"/>
                <w:sz w:val="21"/>
                <w:szCs w:val="21"/>
                <w:highlight w:val="none"/>
              </w:rPr>
              <w:t>保费支付。</w:t>
            </w:r>
            <w:r>
              <w:rPr>
                <w:rFonts w:hint="eastAsia" w:ascii="宋体" w:hAnsi="宋体" w:eastAsia="宋体" w:cs="宋体"/>
                <w:color w:val="auto"/>
                <w:kern w:val="0"/>
                <w:sz w:val="21"/>
                <w:szCs w:val="21"/>
                <w:highlight w:val="none"/>
                <w:lang w:eastAsia="zh-CN"/>
              </w:rPr>
              <w:t>以上付款条件设置，</w:t>
            </w:r>
            <w:r>
              <w:rPr>
                <w:rFonts w:hint="eastAsia" w:ascii="宋体" w:hAnsi="宋体" w:eastAsia="宋体" w:cs="宋体"/>
                <w:color w:val="auto"/>
                <w:kern w:val="0"/>
                <w:sz w:val="21"/>
                <w:szCs w:val="21"/>
                <w:highlight w:val="none"/>
              </w:rPr>
              <w:t>保险人不得以未及时支付保险费为由，而拒绝或减轻承担赔偿责任。</w:t>
            </w:r>
          </w:p>
        </w:tc>
      </w:tr>
      <w:tr w14:paraId="3AA4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2C507F22">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基本条款</w:t>
            </w:r>
          </w:p>
        </w:tc>
        <w:tc>
          <w:tcPr>
            <w:tcW w:w="7321" w:type="dxa"/>
            <w:tcBorders>
              <w:top w:val="single" w:color="auto" w:sz="4" w:space="0"/>
              <w:left w:val="single" w:color="auto" w:sz="4" w:space="0"/>
              <w:bottom w:val="single" w:color="auto" w:sz="4" w:space="0"/>
              <w:right w:val="single" w:color="auto" w:sz="4" w:space="0"/>
            </w:tcBorders>
          </w:tcPr>
          <w:p w14:paraId="10DF56E7">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公众责任险基本条款</w:t>
            </w:r>
          </w:p>
        </w:tc>
      </w:tr>
      <w:tr w14:paraId="287D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26" w:type="dxa"/>
            <w:tcBorders>
              <w:top w:val="single" w:color="auto" w:sz="4" w:space="0"/>
              <w:left w:val="single" w:color="auto" w:sz="4" w:space="0"/>
              <w:bottom w:val="single" w:color="auto" w:sz="4" w:space="0"/>
              <w:right w:val="single" w:color="auto" w:sz="4" w:space="0"/>
            </w:tcBorders>
          </w:tcPr>
          <w:p w14:paraId="7D5F6550">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附加条款</w:t>
            </w:r>
          </w:p>
        </w:tc>
        <w:tc>
          <w:tcPr>
            <w:tcW w:w="7321" w:type="dxa"/>
            <w:tcBorders>
              <w:top w:val="single" w:color="auto" w:sz="4" w:space="0"/>
              <w:left w:val="single" w:color="auto" w:sz="4" w:space="0"/>
              <w:bottom w:val="single" w:color="auto" w:sz="4" w:space="0"/>
              <w:right w:val="single" w:color="auto" w:sz="4" w:space="0"/>
            </w:tcBorders>
          </w:tcPr>
          <w:p w14:paraId="039B712C">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1、广告招牌及装饰物责任条款</w:t>
            </w:r>
          </w:p>
          <w:p w14:paraId="3275CFE7">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2、机车事故责任条款</w:t>
            </w:r>
          </w:p>
          <w:p w14:paraId="000BF40C">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3、第一受益人条款</w:t>
            </w:r>
          </w:p>
          <w:p w14:paraId="3BADECF7">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4、火灾、爆炸、烟熏和中毒责任条款</w:t>
            </w:r>
          </w:p>
          <w:p w14:paraId="4BDC82A3">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5、灭火及所致水损责任条款</w:t>
            </w:r>
          </w:p>
          <w:p w14:paraId="416F188F">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6、急救费用条款</w:t>
            </w:r>
          </w:p>
          <w:p w14:paraId="6BA2CCF2">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7、交叉责任条款</w:t>
            </w:r>
          </w:p>
          <w:p w14:paraId="2AE1B285">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8、人身侵害责任条款</w:t>
            </w:r>
          </w:p>
          <w:p w14:paraId="15C55DC2">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9、罢工、暴乱、民众骚动及恶意行为条款</w:t>
            </w:r>
          </w:p>
          <w:p w14:paraId="3D666554">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10、放弃代位追偿权利条款</w:t>
            </w:r>
          </w:p>
          <w:p w14:paraId="3C1C07DE">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11、保单终止条款</w:t>
            </w:r>
          </w:p>
          <w:p w14:paraId="2BC7669C">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12、错误与遗漏条款</w:t>
            </w:r>
          </w:p>
          <w:p w14:paraId="1CE41EBB">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13、预付赔款条款</w:t>
            </w:r>
          </w:p>
          <w:p w14:paraId="66DE3AF1">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 xml:space="preserve">14、不受控制条款 </w:t>
            </w:r>
          </w:p>
          <w:p w14:paraId="7AC073C8">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15、指定理算师条款</w:t>
            </w:r>
          </w:p>
          <w:p w14:paraId="0CFFF4E3">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16、董事及非体力劳动雇员临时海外公干责任条款</w:t>
            </w:r>
          </w:p>
          <w:p w14:paraId="7AF5780C">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17、无过失责任条款（每人每次事故赔偿限额RMB 100</w:t>
            </w:r>
            <w:r>
              <w:rPr>
                <w:rFonts w:hint="eastAsia" w:ascii="宋体" w:hAnsi="宋体" w:eastAsia="宋体" w:cs="宋体"/>
                <w:color w:val="auto"/>
                <w:kern w:val="0"/>
                <w:sz w:val="21"/>
                <w:szCs w:val="21"/>
                <w:highlight w:val="none"/>
              </w:rPr>
              <w:t>万</w:t>
            </w:r>
            <w:r>
              <w:rPr>
                <w:rFonts w:ascii="宋体" w:hAnsi="宋体" w:eastAsia="宋体" w:cs="宋体"/>
                <w:color w:val="auto"/>
                <w:kern w:val="0"/>
                <w:sz w:val="21"/>
                <w:szCs w:val="21"/>
                <w:highlight w:val="none"/>
              </w:rPr>
              <w:t>元，年累计赔偿限额RMB 2,000</w:t>
            </w:r>
            <w:r>
              <w:rPr>
                <w:rFonts w:hint="eastAsia" w:ascii="宋体" w:hAnsi="宋体" w:eastAsia="宋体" w:cs="宋体"/>
                <w:color w:val="auto"/>
                <w:kern w:val="0"/>
                <w:sz w:val="21"/>
                <w:szCs w:val="21"/>
                <w:highlight w:val="none"/>
              </w:rPr>
              <w:t>万</w:t>
            </w:r>
            <w:r>
              <w:rPr>
                <w:rFonts w:ascii="宋体" w:hAnsi="宋体" w:eastAsia="宋体" w:cs="宋体"/>
                <w:color w:val="auto"/>
                <w:kern w:val="0"/>
                <w:sz w:val="21"/>
                <w:szCs w:val="21"/>
                <w:highlight w:val="none"/>
              </w:rPr>
              <w:t>元，每次事故绝对免赔率20%）</w:t>
            </w:r>
          </w:p>
          <w:p w14:paraId="15938946">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18、提供物品及服务条款</w:t>
            </w:r>
          </w:p>
          <w:p w14:paraId="4E990DAA">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19、违反条件条款</w:t>
            </w:r>
          </w:p>
          <w:p w14:paraId="5232243F">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20、重大过失扩展条款</w:t>
            </w:r>
          </w:p>
          <w:p w14:paraId="583D582C">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21、服务人员条款</w:t>
            </w:r>
          </w:p>
          <w:p w14:paraId="530EAEC2">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22、附加被保险人条款</w:t>
            </w:r>
          </w:p>
          <w:p w14:paraId="49B6A7C3">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23、试车责任条款</w:t>
            </w:r>
          </w:p>
          <w:p w14:paraId="450DD3B2">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24、建筑物改变条款</w:t>
            </w:r>
          </w:p>
          <w:p w14:paraId="5892DF23">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25、车辆装卸责任条款</w:t>
            </w:r>
          </w:p>
          <w:p w14:paraId="0C3F9859">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26、急救责任扩展条款</w:t>
            </w:r>
          </w:p>
          <w:p w14:paraId="398EB77E">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27、自动承保新地点条款</w:t>
            </w:r>
          </w:p>
          <w:p w14:paraId="1D6E5982">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28、外出工作附加条款</w:t>
            </w:r>
          </w:p>
          <w:p w14:paraId="1D040DD7">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29、精神损害抚慰金扩展条款</w:t>
            </w:r>
          </w:p>
          <w:p w14:paraId="08A25664">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30、董事及高级管理人员个人第三者责任条款</w:t>
            </w:r>
          </w:p>
          <w:p w14:paraId="5EA1DBFB">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31、出租人责任条款</w:t>
            </w:r>
          </w:p>
          <w:p w14:paraId="61A8D1D5">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32、契约责任条款</w:t>
            </w:r>
          </w:p>
          <w:p w14:paraId="10BBCAE5">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33、社会活动保险条款</w:t>
            </w:r>
          </w:p>
          <w:p w14:paraId="61BE35DF">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34、污染责任保险条款</w:t>
            </w:r>
          </w:p>
          <w:p w14:paraId="027F2DAF">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35、索赔单证准备费用保险条款</w:t>
            </w:r>
          </w:p>
          <w:p w14:paraId="070B4317">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36、牲畜窜入责任条款</w:t>
            </w:r>
          </w:p>
          <w:p w14:paraId="75C186CA">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37、疏散费用特约条款</w:t>
            </w:r>
          </w:p>
          <w:p w14:paraId="387D4466">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38、共同被保险人条款</w:t>
            </w:r>
          </w:p>
          <w:p w14:paraId="1C657E82">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39、停车场责任条款</w:t>
            </w:r>
          </w:p>
          <w:p w14:paraId="2B98D0B5">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40、租户条款</w:t>
            </w:r>
          </w:p>
          <w:p w14:paraId="5E9767B0">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41、公共卫生缺陷责任条款</w:t>
            </w:r>
          </w:p>
          <w:p w14:paraId="2F5A0F96">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42、暴力行为、抢劫责任条款</w:t>
            </w:r>
          </w:p>
          <w:p w14:paraId="07FFA177">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43、消防系统扩展条款</w:t>
            </w:r>
          </w:p>
          <w:p w14:paraId="4BC9DD6B">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44、恐怖活动条款</w:t>
            </w:r>
          </w:p>
          <w:p w14:paraId="352E6CE7">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45、一次事故条款</w:t>
            </w:r>
          </w:p>
          <w:p w14:paraId="08EC23C6">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46、商业空间设施条款</w:t>
            </w:r>
          </w:p>
          <w:p w14:paraId="73A5AF13">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47、演习活动条款</w:t>
            </w:r>
          </w:p>
          <w:p w14:paraId="6AB81981">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48、独立承包人条款</w:t>
            </w:r>
          </w:p>
          <w:p w14:paraId="775B76A6">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49、自然灾害等原因条款</w:t>
            </w:r>
          </w:p>
          <w:p w14:paraId="487E8D34">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50、电梯、升降机和扶手</w:t>
            </w:r>
            <w:r>
              <w:rPr>
                <w:rFonts w:hint="eastAsia" w:ascii="宋体" w:hAnsi="宋体" w:eastAsia="宋体" w:cs="宋体"/>
                <w:caps/>
                <w:smallCaps w:val="0"/>
                <w:color w:val="auto"/>
                <w:kern w:val="0"/>
                <w:sz w:val="21"/>
                <w:szCs w:val="21"/>
                <w:highlight w:val="none"/>
              </w:rPr>
              <w:t>梯责任条款</w:t>
            </w:r>
          </w:p>
          <w:p w14:paraId="5CC9FF99">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51、娱乐设施条款</w:t>
            </w:r>
          </w:p>
          <w:p w14:paraId="3725D66B">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52、电缆损失责任条款</w:t>
            </w:r>
          </w:p>
          <w:p w14:paraId="02AE3CE6">
            <w:pPr>
              <w:widowControl/>
              <w:adjustRightInd/>
              <w:spacing w:line="360" w:lineRule="auto"/>
              <w:jc w:val="left"/>
              <w:rPr>
                <w:rFonts w:ascii="宋体" w:hAnsi="宋体" w:eastAsia="宋体" w:cs="宋体"/>
                <w:caps/>
                <w:smallCaps w:val="0"/>
                <w:color w:val="auto"/>
                <w:kern w:val="0"/>
                <w:sz w:val="21"/>
                <w:szCs w:val="21"/>
                <w:highlight w:val="none"/>
              </w:rPr>
            </w:pPr>
            <w:r>
              <w:rPr>
                <w:rFonts w:ascii="宋体" w:hAnsi="宋体" w:eastAsia="宋体" w:cs="宋体"/>
                <w:caps/>
                <w:smallCaps w:val="0"/>
                <w:color w:val="auto"/>
                <w:kern w:val="0"/>
                <w:sz w:val="21"/>
                <w:szCs w:val="21"/>
                <w:highlight w:val="none"/>
              </w:rPr>
              <w:t>53、食品、饮料责任条款</w:t>
            </w:r>
          </w:p>
          <w:p w14:paraId="311C4191">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aps/>
                <w:smallCaps w:val="0"/>
                <w:color w:val="auto"/>
                <w:kern w:val="0"/>
                <w:sz w:val="21"/>
                <w:szCs w:val="21"/>
                <w:highlight w:val="none"/>
              </w:rPr>
              <w:t>54、工人条款</w:t>
            </w:r>
          </w:p>
        </w:tc>
      </w:tr>
      <w:tr w14:paraId="3996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7" w:hRule="atLeast"/>
          <w:jc w:val="center"/>
        </w:trPr>
        <w:tc>
          <w:tcPr>
            <w:tcW w:w="1226" w:type="dxa"/>
            <w:tcBorders>
              <w:top w:val="single" w:color="auto" w:sz="4" w:space="0"/>
              <w:left w:val="single" w:color="auto" w:sz="4" w:space="0"/>
              <w:bottom w:val="single" w:color="auto" w:sz="4" w:space="0"/>
              <w:right w:val="single" w:color="auto" w:sz="4" w:space="0"/>
            </w:tcBorders>
          </w:tcPr>
          <w:p w14:paraId="257BFB0F">
            <w:pPr>
              <w:widowControl/>
              <w:adjustRightInd/>
              <w:spacing w:before="60" w:after="60" w:line="360" w:lineRule="auto"/>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特别约定</w:t>
            </w:r>
          </w:p>
        </w:tc>
        <w:tc>
          <w:tcPr>
            <w:tcW w:w="7321" w:type="dxa"/>
            <w:tcBorders>
              <w:top w:val="single" w:color="auto" w:sz="4" w:space="0"/>
              <w:left w:val="single" w:color="auto" w:sz="4" w:space="0"/>
              <w:bottom w:val="single" w:color="auto" w:sz="4" w:space="0"/>
              <w:right w:val="single" w:color="auto" w:sz="4" w:space="0"/>
            </w:tcBorders>
          </w:tcPr>
          <w:p w14:paraId="4BE3C357">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兹经双方同意订立下列特别约定，下列特别约定如与基本条款冲突，以下列特别约定为准。</w:t>
            </w:r>
          </w:p>
          <w:p w14:paraId="50F2EAB7">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1、兹经双方同意，如发生下列情况，保险双方本着实事求是的原则，妥善处理、解决与理赔要求不一致之问题及争议：</w:t>
            </w:r>
          </w:p>
          <w:p w14:paraId="247AEF87">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w:t>
            </w:r>
            <w:r>
              <w:rPr>
                <w:rFonts w:ascii="宋体" w:hAnsi="宋体" w:eastAsia="宋体" w:cs="宋体"/>
                <w:caps/>
                <w:smallCaps w:val="0"/>
                <w:color w:val="auto"/>
                <w:kern w:val="0"/>
                <w:sz w:val="21"/>
                <w:szCs w:val="21"/>
                <w:highlight w:val="none"/>
              </w:rPr>
              <w:t>1）上级单位检查工作而导致未能及时报案和现场保留，但提供相关事故证明、证据的；</w:t>
            </w:r>
          </w:p>
          <w:p w14:paraId="73D8F326">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w:t>
            </w:r>
            <w:r>
              <w:rPr>
                <w:rFonts w:ascii="宋体" w:hAnsi="宋体" w:eastAsia="宋体" w:cs="宋体"/>
                <w:caps/>
                <w:smallCaps w:val="0"/>
                <w:color w:val="auto"/>
                <w:kern w:val="0"/>
                <w:sz w:val="21"/>
                <w:szCs w:val="21"/>
                <w:highlight w:val="none"/>
              </w:rPr>
              <w:t>2）因事故现场保护而不能进入的；</w:t>
            </w:r>
          </w:p>
          <w:p w14:paraId="78E13046">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w:t>
            </w:r>
            <w:r>
              <w:rPr>
                <w:rFonts w:ascii="宋体" w:hAnsi="宋体" w:eastAsia="宋体" w:cs="宋体"/>
                <w:caps/>
                <w:smallCaps w:val="0"/>
                <w:color w:val="auto"/>
                <w:kern w:val="0"/>
                <w:sz w:val="21"/>
                <w:szCs w:val="21"/>
                <w:highlight w:val="none"/>
              </w:rPr>
              <w:t>3）损失原因不能确定或有争议的；</w:t>
            </w:r>
          </w:p>
          <w:p w14:paraId="27F8867B">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w:t>
            </w:r>
            <w:r>
              <w:rPr>
                <w:rFonts w:ascii="宋体" w:hAnsi="宋体" w:eastAsia="宋体" w:cs="宋体"/>
                <w:caps/>
                <w:smallCaps w:val="0"/>
                <w:color w:val="auto"/>
                <w:kern w:val="0"/>
                <w:sz w:val="21"/>
                <w:szCs w:val="21"/>
                <w:highlight w:val="none"/>
              </w:rPr>
              <w:t>4）</w:t>
            </w:r>
            <w:r>
              <w:rPr>
                <w:rFonts w:hint="eastAsia" w:ascii="宋体" w:hAnsi="宋体" w:eastAsia="宋体" w:cs="宋体"/>
                <w:caps/>
                <w:smallCaps w:val="0"/>
                <w:color w:val="auto"/>
                <w:kern w:val="0"/>
                <w:sz w:val="21"/>
                <w:szCs w:val="21"/>
                <w:highlight w:val="none"/>
              </w:rPr>
              <w:t>客伤事故自行处理协商处理的；</w:t>
            </w:r>
          </w:p>
          <w:p w14:paraId="3170B169">
            <w:pPr>
              <w:widowControl/>
              <w:adjustRightInd/>
              <w:spacing w:line="360" w:lineRule="auto"/>
              <w:jc w:val="left"/>
              <w:rPr>
                <w:rFonts w:ascii="宋体" w:hAnsi="宋体" w:eastAsia="宋体" w:cs="宋体"/>
                <w:caps/>
                <w:smallCaps w:val="0"/>
                <w:color w:val="auto"/>
                <w:kern w:val="0"/>
                <w:sz w:val="21"/>
                <w:szCs w:val="21"/>
                <w:highlight w:val="none"/>
              </w:rPr>
            </w:pPr>
            <w:r>
              <w:rPr>
                <w:rFonts w:hint="eastAsia" w:ascii="宋体" w:hAnsi="宋体" w:eastAsia="宋体" w:cs="宋体"/>
                <w:caps/>
                <w:smallCaps w:val="0"/>
                <w:color w:val="auto"/>
                <w:kern w:val="0"/>
                <w:sz w:val="21"/>
                <w:szCs w:val="21"/>
                <w:highlight w:val="none"/>
              </w:rPr>
              <w:t>（</w:t>
            </w:r>
            <w:r>
              <w:rPr>
                <w:rFonts w:ascii="宋体" w:hAnsi="宋体" w:eastAsia="宋体" w:cs="宋体"/>
                <w:caps/>
                <w:smallCaps w:val="0"/>
                <w:color w:val="auto"/>
                <w:kern w:val="0"/>
                <w:sz w:val="21"/>
                <w:szCs w:val="21"/>
                <w:highlight w:val="none"/>
              </w:rPr>
              <w:t>5）其他因为特殊情况与理赔规定不一致情形的。</w:t>
            </w:r>
          </w:p>
          <w:p w14:paraId="35608198">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2、兹经双方同意，保险人授予被保险人每次事故RMB 1</w:t>
            </w:r>
            <w:r>
              <w:rPr>
                <w:rFonts w:hint="eastAsia" w:ascii="宋体" w:hAnsi="宋体" w:eastAsia="宋体" w:cs="等线"/>
                <w:color w:val="auto"/>
                <w:kern w:val="0"/>
                <w:sz w:val="21"/>
                <w:szCs w:val="21"/>
                <w:highlight w:val="none"/>
              </w:rPr>
              <w:t>万</w:t>
            </w:r>
            <w:r>
              <w:rPr>
                <w:rFonts w:ascii="宋体" w:hAnsi="宋体" w:eastAsia="宋体" w:cs="等线"/>
                <w:color w:val="auto"/>
                <w:kern w:val="0"/>
                <w:sz w:val="21"/>
                <w:szCs w:val="21"/>
                <w:highlight w:val="none"/>
              </w:rPr>
              <w:t>元限额的现场快速处理权限。被保险人现场处理人员可以根据实际情况，迅速与受伤/受损第三方达成一次性赔偿协议，每次事故赔偿限额</w:t>
            </w:r>
            <w:r>
              <w:rPr>
                <w:rFonts w:ascii="宋体" w:hAnsi="宋体" w:eastAsia="宋体" w:cs="仿宋"/>
                <w:bCs/>
                <w:color w:val="auto"/>
                <w:kern w:val="0"/>
                <w:sz w:val="21"/>
                <w:szCs w:val="21"/>
                <w:highlight w:val="none"/>
              </w:rPr>
              <w:t xml:space="preserve">RMB </w:t>
            </w:r>
            <w:r>
              <w:rPr>
                <w:rFonts w:ascii="宋体" w:hAnsi="宋体" w:eastAsia="宋体" w:cs="等线"/>
                <w:color w:val="auto"/>
                <w:kern w:val="0"/>
                <w:sz w:val="21"/>
                <w:szCs w:val="21"/>
                <w:highlight w:val="none"/>
              </w:rPr>
              <w:t>1</w:t>
            </w:r>
            <w:r>
              <w:rPr>
                <w:rFonts w:hint="eastAsia" w:ascii="宋体" w:hAnsi="宋体" w:eastAsia="宋体" w:cs="等线"/>
                <w:color w:val="auto"/>
                <w:kern w:val="0"/>
                <w:sz w:val="21"/>
                <w:szCs w:val="21"/>
                <w:highlight w:val="none"/>
              </w:rPr>
              <w:t>万</w:t>
            </w:r>
            <w:r>
              <w:rPr>
                <w:rFonts w:ascii="宋体" w:hAnsi="宋体" w:eastAsia="宋体" w:cs="等线"/>
                <w:color w:val="auto"/>
                <w:kern w:val="0"/>
                <w:sz w:val="21"/>
                <w:szCs w:val="21"/>
                <w:highlight w:val="none"/>
              </w:rPr>
              <w:t>元，除了双方</w:t>
            </w:r>
            <w:r>
              <w:rPr>
                <w:rFonts w:hint="eastAsia" w:ascii="宋体" w:hAnsi="宋体" w:eastAsia="宋体" w:cs="等线"/>
                <w:color w:val="auto"/>
                <w:kern w:val="0"/>
                <w:sz w:val="21"/>
                <w:szCs w:val="21"/>
                <w:highlight w:val="none"/>
              </w:rPr>
              <w:t>签名</w:t>
            </w:r>
            <w:r>
              <w:rPr>
                <w:rFonts w:ascii="宋体" w:hAnsi="宋体" w:eastAsia="宋体" w:cs="等线"/>
                <w:color w:val="auto"/>
                <w:kern w:val="0"/>
                <w:sz w:val="21"/>
                <w:szCs w:val="21"/>
                <w:highlight w:val="none"/>
              </w:rPr>
              <w:t>的赔偿协议、第三方身份证复印件和被保险人盖章的案情说明外，不需要提供其他单证</w:t>
            </w:r>
            <w:r>
              <w:rPr>
                <w:rFonts w:hint="eastAsia" w:ascii="宋体" w:hAnsi="宋体" w:eastAsia="宋体" w:cs="等线"/>
                <w:color w:val="auto"/>
                <w:kern w:val="0"/>
                <w:sz w:val="21"/>
                <w:szCs w:val="21"/>
                <w:highlight w:val="none"/>
              </w:rPr>
              <w:t>。</w:t>
            </w:r>
            <w:r>
              <w:rPr>
                <w:rFonts w:ascii="宋体" w:hAnsi="宋体" w:eastAsia="宋体" w:cs="等线"/>
                <w:color w:val="auto"/>
                <w:kern w:val="0"/>
                <w:sz w:val="21"/>
                <w:szCs w:val="21"/>
                <w:highlight w:val="none"/>
              </w:rPr>
              <w:t>保险期限内每个自然月月底，被保险人收集各站点该类赔案，将所有该类赔案按上述约定的三项文件整理后递交保险人</w:t>
            </w:r>
            <w:r>
              <w:rPr>
                <w:rFonts w:hint="eastAsia" w:ascii="宋体" w:hAnsi="宋体" w:eastAsia="宋体" w:cs="等线"/>
                <w:color w:val="auto"/>
                <w:kern w:val="0"/>
                <w:sz w:val="21"/>
                <w:szCs w:val="21"/>
                <w:highlight w:val="none"/>
              </w:rPr>
              <w:t>。保险人在收到各赔案材料后，五个工作日内结案并支付相应赔款。但被保险人应严格控制有权代表其行使该权限的人员数量，且该类赔案的累计赔偿限额人民币为</w:t>
            </w:r>
            <w:r>
              <w:rPr>
                <w:rFonts w:ascii="宋体" w:hAnsi="宋体" w:eastAsia="宋体" w:cs="等线"/>
                <w:color w:val="auto"/>
                <w:kern w:val="0"/>
                <w:sz w:val="21"/>
                <w:szCs w:val="21"/>
                <w:highlight w:val="none"/>
              </w:rPr>
              <w:t>50万元。</w:t>
            </w:r>
          </w:p>
          <w:p w14:paraId="30E59303">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如第三者在被保险人的经营场所内发生意外事故达到轻伤以上的，应根据第三者实际受伤情况进行赔偿，包括：急救费用、医疗费用、合理的误工费用；达到伤残及以上的，需确定经营单位责任比例后，依法计算损失后赔偿。该部分赔偿限额同本保单明细表所列的赔偿限额一致。</w:t>
            </w:r>
          </w:p>
          <w:p w14:paraId="425FF178">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3、兹经双方同意，被保险人自动售货机提供的不洁或有害的食品或饮料导致第三者人身伤害事件的，保险人负责对被保险人承担的赔偿责任在责任限额内进行赔偿；保险人赔偿后，不得向有关责任方</w:t>
            </w:r>
            <w:r>
              <w:rPr>
                <w:rFonts w:hint="eastAsia" w:ascii="宋体" w:hAnsi="宋体" w:eastAsia="宋体" w:cs="等线"/>
                <w:color w:val="auto"/>
                <w:kern w:val="0"/>
                <w:sz w:val="21"/>
                <w:szCs w:val="21"/>
                <w:highlight w:val="none"/>
              </w:rPr>
              <w:t>（包括绍兴市轨道交通集团有限公司及其下属所有的分支公司和</w:t>
            </w:r>
            <w:r>
              <w:rPr>
                <w:rFonts w:ascii="宋体" w:hAnsi="宋体" w:eastAsia="宋体" w:cs="等线"/>
                <w:color w:val="auto"/>
                <w:kern w:val="0"/>
                <w:sz w:val="21"/>
                <w:szCs w:val="21"/>
                <w:highlight w:val="none"/>
              </w:rPr>
              <w:t>/或单位）追偿。</w:t>
            </w:r>
            <w:r>
              <w:rPr>
                <w:rFonts w:hint="eastAsia" w:ascii="宋体" w:hAnsi="宋体" w:eastAsia="宋体" w:cs="等线"/>
                <w:color w:val="auto"/>
                <w:kern w:val="0"/>
                <w:sz w:val="21"/>
                <w:szCs w:val="21"/>
                <w:highlight w:val="none"/>
              </w:rPr>
              <w:t>绍兴轨道交通运营车站中所设立的简易卫生间不适用于除外责任“有缺陷的卫生装置或任何类型的中毒或任何不洁或有害的食物或饮料”。</w:t>
            </w:r>
          </w:p>
          <w:p w14:paraId="08A56A25">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4、兹经双方同意，对于事故中的治疗费和医药费，</w:t>
            </w:r>
            <w:r>
              <w:rPr>
                <w:rFonts w:hint="eastAsia" w:ascii="宋体" w:hAnsi="宋体" w:eastAsia="宋体" w:cs="等线"/>
                <w:color w:val="auto"/>
                <w:kern w:val="0"/>
                <w:sz w:val="21"/>
                <w:szCs w:val="21"/>
                <w:highlight w:val="none"/>
              </w:rPr>
              <w:t>受害人有权选择是否通过其他途径先行报销，保险人不得强制要求受害人必须通过其他途径先行报销，</w:t>
            </w:r>
            <w:r>
              <w:rPr>
                <w:rFonts w:ascii="宋体" w:hAnsi="宋体" w:eastAsia="宋体" w:cs="等线"/>
                <w:color w:val="auto"/>
                <w:kern w:val="0"/>
                <w:sz w:val="21"/>
                <w:szCs w:val="21"/>
                <w:highlight w:val="none"/>
              </w:rPr>
              <w:t>只需审核其发生的合理性和必要性；对于合理必要发生的治疗费、医药费等费用，保险人在赔偿计算中不得根据医保用药标准进行任何项目的扣减和任何形式的比例赔付，须在约定的赔偿限额内按实际发生费用赔偿。</w:t>
            </w:r>
          </w:p>
          <w:p w14:paraId="3F4A8C01">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5、兹经双方同意，物品折旧按照下列比例执行：</w:t>
            </w:r>
          </w:p>
          <w:p w14:paraId="7EF34CA0">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w:t>
            </w:r>
            <w:r>
              <w:rPr>
                <w:rFonts w:ascii="宋体" w:hAnsi="宋体" w:eastAsia="宋体" w:cs="等线"/>
                <w:color w:val="auto"/>
                <w:kern w:val="0"/>
                <w:sz w:val="21"/>
                <w:szCs w:val="21"/>
                <w:highlight w:val="none"/>
              </w:rPr>
              <w:t>1）服装衣饰类：每年折旧比例10%计算，超过五年上按50%剩余价值赔偿；</w:t>
            </w:r>
          </w:p>
          <w:p w14:paraId="5D91F358">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w:t>
            </w:r>
            <w:r>
              <w:rPr>
                <w:rFonts w:ascii="宋体" w:hAnsi="宋体" w:eastAsia="宋体" w:cs="等线"/>
                <w:color w:val="auto"/>
                <w:kern w:val="0"/>
                <w:sz w:val="21"/>
                <w:szCs w:val="21"/>
                <w:highlight w:val="none"/>
              </w:rPr>
              <w:t>2）电子产品类：按每年折旧比例15%计算，超过四年以上按40%剩余价值赔偿；</w:t>
            </w:r>
          </w:p>
          <w:p w14:paraId="2C3C0F7B">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w:t>
            </w:r>
            <w:r>
              <w:rPr>
                <w:rFonts w:ascii="宋体" w:hAnsi="宋体" w:eastAsia="宋体" w:cs="等线"/>
                <w:color w:val="auto"/>
                <w:kern w:val="0"/>
                <w:sz w:val="21"/>
                <w:szCs w:val="21"/>
                <w:highlight w:val="none"/>
              </w:rPr>
              <w:t>3）其他物品类：按每年折旧比例10%计算，超过五年以上按40%剩余价值赔偿；</w:t>
            </w:r>
          </w:p>
          <w:p w14:paraId="66D8D39B">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如以上物品可修复，其维修费用不得超过其全损赔偿价值的</w:t>
            </w:r>
            <w:r>
              <w:rPr>
                <w:rFonts w:ascii="宋体" w:hAnsi="宋体" w:eastAsia="宋体" w:cs="等线"/>
                <w:color w:val="auto"/>
                <w:kern w:val="0"/>
                <w:sz w:val="21"/>
                <w:szCs w:val="21"/>
                <w:highlight w:val="none"/>
              </w:rPr>
              <w:t>50%。</w:t>
            </w:r>
            <w:r>
              <w:rPr>
                <w:rFonts w:hint="eastAsia" w:ascii="宋体" w:hAnsi="宋体" w:eastAsia="宋体" w:cs="等线"/>
                <w:color w:val="auto"/>
                <w:kern w:val="0"/>
                <w:sz w:val="21"/>
                <w:szCs w:val="21"/>
                <w:highlight w:val="none"/>
              </w:rPr>
              <w:t>保险人需提供各类物品维修点</w:t>
            </w:r>
            <w:r>
              <w:rPr>
                <w:rFonts w:ascii="宋体" w:hAnsi="宋体" w:eastAsia="宋体" w:cs="等线"/>
                <w:color w:val="auto"/>
                <w:kern w:val="0"/>
                <w:sz w:val="21"/>
                <w:szCs w:val="21"/>
                <w:highlight w:val="none"/>
              </w:rPr>
              <w:t>2</w:t>
            </w:r>
            <w:r>
              <w:rPr>
                <w:rFonts w:hint="eastAsia" w:ascii="宋体" w:hAnsi="宋体" w:eastAsia="宋体" w:cs="等线"/>
                <w:color w:val="auto"/>
                <w:kern w:val="0"/>
                <w:sz w:val="21"/>
                <w:szCs w:val="21"/>
                <w:highlight w:val="none"/>
              </w:rPr>
              <w:t>家以上供被保险人选择，并认可物品维修点的修复方案和金额。修复过程中产生的相关费用也由被保险人承担</w:t>
            </w:r>
            <w:r>
              <w:rPr>
                <w:rFonts w:ascii="宋体" w:hAnsi="宋体" w:eastAsia="宋体" w:cs="等线"/>
                <w:color w:val="auto"/>
                <w:kern w:val="0"/>
                <w:sz w:val="21"/>
                <w:szCs w:val="21"/>
                <w:highlight w:val="none"/>
              </w:rPr>
              <w:t>,包括但不限于交通费、邮寄费、通信费等其他费用。</w:t>
            </w:r>
          </w:p>
          <w:p w14:paraId="5F321063">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rPr>
              <w:t>、如相关人员发生保险责任事故，理赔时需进行伤残鉴定的，若由双方认可的伤残鉴定机构进行认定伤残等级的，鉴定费用由保险人支付。</w:t>
            </w:r>
          </w:p>
          <w:p w14:paraId="2A630442">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7、兹经双方同意，因被保险人经营业务中属于被保险人过错或过失或发生意外事故造成外包业务的供应商</w:t>
            </w:r>
            <w:r>
              <w:rPr>
                <w:rFonts w:hint="eastAsia" w:ascii="宋体" w:hAnsi="宋体" w:eastAsia="宋体" w:cs="等线"/>
                <w:color w:val="auto"/>
                <w:kern w:val="0"/>
                <w:sz w:val="21"/>
                <w:szCs w:val="21"/>
                <w:highlight w:val="none"/>
              </w:rPr>
              <w:t>及其</w:t>
            </w:r>
            <w:r>
              <w:rPr>
                <w:rFonts w:ascii="宋体" w:hAnsi="宋体" w:eastAsia="宋体" w:cs="等线"/>
                <w:color w:val="auto"/>
                <w:kern w:val="0"/>
                <w:sz w:val="21"/>
                <w:szCs w:val="21"/>
                <w:highlight w:val="none"/>
              </w:rPr>
              <w:t>员工的人身伤亡</w:t>
            </w:r>
            <w:r>
              <w:rPr>
                <w:rFonts w:hint="eastAsia" w:ascii="宋体" w:hAnsi="宋体" w:eastAsia="宋体" w:cs="等线"/>
                <w:color w:val="auto"/>
                <w:kern w:val="0"/>
                <w:sz w:val="21"/>
                <w:szCs w:val="21"/>
                <w:highlight w:val="none"/>
              </w:rPr>
              <w:t>和财产损失</w:t>
            </w:r>
            <w:r>
              <w:rPr>
                <w:rFonts w:ascii="宋体" w:hAnsi="宋体" w:eastAsia="宋体" w:cs="等线"/>
                <w:color w:val="auto"/>
                <w:kern w:val="0"/>
                <w:sz w:val="21"/>
                <w:szCs w:val="21"/>
                <w:highlight w:val="none"/>
              </w:rPr>
              <w:t>，依法应由被保险人承担的经济赔偿责任由保险人承担。</w:t>
            </w:r>
          </w:p>
          <w:p w14:paraId="476B26A1">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8、</w:t>
            </w:r>
            <w:r>
              <w:rPr>
                <w:rFonts w:hint="eastAsia" w:ascii="宋体" w:hAnsi="宋体" w:eastAsia="宋体" w:cs="等线"/>
                <w:color w:val="auto"/>
                <w:kern w:val="0"/>
                <w:sz w:val="21"/>
                <w:szCs w:val="21"/>
                <w:highlight w:val="none"/>
              </w:rPr>
              <w:t>基本条款“</w:t>
            </w:r>
            <w:r>
              <w:rPr>
                <w:rFonts w:ascii="宋体" w:hAnsi="宋体" w:eastAsia="宋体" w:cs="等线"/>
                <w:color w:val="auto"/>
                <w:kern w:val="0"/>
                <w:sz w:val="21"/>
                <w:szCs w:val="21"/>
                <w:highlight w:val="none"/>
              </w:rPr>
              <w:t>除外责任</w:t>
            </w:r>
            <w:r>
              <w:rPr>
                <w:rFonts w:hint="eastAsia" w:ascii="宋体" w:hAnsi="宋体" w:eastAsia="宋体" w:cs="等线"/>
                <w:color w:val="auto"/>
                <w:kern w:val="0"/>
                <w:sz w:val="21"/>
                <w:szCs w:val="21"/>
                <w:highlight w:val="none"/>
              </w:rPr>
              <w:t>”</w:t>
            </w:r>
            <w:r>
              <w:rPr>
                <w:rFonts w:ascii="宋体" w:hAnsi="宋体" w:eastAsia="宋体" w:cs="等线"/>
                <w:color w:val="auto"/>
                <w:kern w:val="0"/>
                <w:sz w:val="21"/>
                <w:szCs w:val="21"/>
                <w:highlight w:val="none"/>
              </w:rPr>
              <w:t>第（四）条第1款的措辞调整为：</w:t>
            </w:r>
          </w:p>
          <w:p w14:paraId="50F9A10C">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“对于未载入本保险单明细表而属于被保险人的或其所占有的或以其名义使用的任何牲畜、脚踏车、车辆（仅指领有公共牌照在公路行驶的机动车辆）、各类船只、飞机。”</w:t>
            </w:r>
          </w:p>
          <w:p w14:paraId="66570A45">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9、基本条款“赔偿处理”第（一）条措辞调整为：</w:t>
            </w:r>
          </w:p>
          <w:p w14:paraId="4BC6E10C">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“（一）若发生本保险单承保的任何事故或诉讼时：</w:t>
            </w:r>
          </w:p>
          <w:p w14:paraId="4022F3CA">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1、被保险人收到受害人的损害赔偿请求时，应立即通知保险人。</w:t>
            </w:r>
          </w:p>
          <w:p w14:paraId="5B72CC18">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2、保险人须经被保险人同意后，有权以被保险人的名义，为保险人的利益自付费用向任何责任方提出索赔的要求。</w:t>
            </w:r>
          </w:p>
          <w:p w14:paraId="09C3EABC">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3、在处理索赔过程中，经被保险人授权，保险人有权自行处理由其承担最终赔偿责任的任何索赔案件，被保险人有义务向保险人提供一切所需的资料和协助。”</w:t>
            </w:r>
          </w:p>
          <w:p w14:paraId="0BD28928">
            <w:pPr>
              <w:widowControl/>
              <w:adjustRightInd/>
              <w:spacing w:line="360" w:lineRule="auto"/>
              <w:jc w:val="left"/>
              <w:rPr>
                <w:rFonts w:ascii="宋体" w:hAnsi="宋体" w:eastAsia="宋体" w:cs="等线"/>
                <w:color w:val="auto"/>
                <w:kern w:val="0"/>
                <w:sz w:val="21"/>
                <w:szCs w:val="21"/>
                <w:highlight w:val="none"/>
              </w:rPr>
            </w:pPr>
            <w:r>
              <w:rPr>
                <w:rFonts w:ascii="宋体" w:hAnsi="宋体" w:eastAsia="宋体" w:cs="等线"/>
                <w:color w:val="auto"/>
                <w:kern w:val="0"/>
                <w:sz w:val="21"/>
                <w:szCs w:val="21"/>
                <w:highlight w:val="none"/>
              </w:rPr>
              <w:t>10、基本条款的“投保人、被保险人义务”第（四）条第5款调整为：</w:t>
            </w:r>
          </w:p>
          <w:p w14:paraId="0E65732B">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在预期或获悉可能发生诉讼、仲裁时，应立即以书面形式通知保险人；接到法院传票或其他法律文书后，应将其副本及时送交保险人。如被保险人要求，保险人应以被保险人的名义处理有关诉讼或仲裁事宜，或者聘请律师参与诉讼，所发生的费用由保险人承担。被保险人应提供有关文件，并给予必要的协助。对因未及时提供上述通知或必要协助引起或扩大的损失，保险人不承担赔偿责任。”</w:t>
            </w:r>
          </w:p>
          <w:p w14:paraId="159374B5">
            <w:pPr>
              <w:widowControl w:val="0"/>
              <w:numPr>
                <w:ilvl w:val="0"/>
                <w:numId w:val="7"/>
              </w:numPr>
              <w:adjustRightInd/>
              <w:spacing w:line="360" w:lineRule="auto"/>
              <w:ind w:left="0" w:firstLine="0"/>
              <w:jc w:val="both"/>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因下列突发情况：</w:t>
            </w:r>
          </w:p>
          <w:p w14:paraId="78C02F66">
            <w:pPr>
              <w:widowControl/>
              <w:tabs>
                <w:tab w:val="left" w:pos="780"/>
              </w:tabs>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w:t>
            </w:r>
            <w:r>
              <w:rPr>
                <w:rFonts w:ascii="宋体" w:hAnsi="宋体" w:eastAsia="宋体" w:cs="等线"/>
                <w:color w:val="auto"/>
                <w:kern w:val="0"/>
                <w:sz w:val="21"/>
                <w:szCs w:val="21"/>
                <w:highlight w:val="none"/>
              </w:rPr>
              <w:t>1）被保险人运行调度问题；</w:t>
            </w:r>
          </w:p>
          <w:p w14:paraId="354BA290">
            <w:pPr>
              <w:widowControl/>
              <w:tabs>
                <w:tab w:val="left" w:pos="780"/>
              </w:tabs>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w:t>
            </w:r>
            <w:r>
              <w:rPr>
                <w:rFonts w:ascii="宋体" w:hAnsi="宋体" w:eastAsia="宋体" w:cs="等线"/>
                <w:color w:val="auto"/>
                <w:kern w:val="0"/>
                <w:sz w:val="21"/>
                <w:szCs w:val="21"/>
                <w:highlight w:val="none"/>
              </w:rPr>
              <w:t>2）被保险人车辆、设备发生机械故障；</w:t>
            </w:r>
          </w:p>
          <w:p w14:paraId="329F9272">
            <w:pPr>
              <w:widowControl/>
              <w:tabs>
                <w:tab w:val="left" w:pos="780"/>
              </w:tabs>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w:t>
            </w:r>
            <w:r>
              <w:rPr>
                <w:rFonts w:ascii="宋体" w:hAnsi="宋体" w:eastAsia="宋体" w:cs="等线"/>
                <w:color w:val="auto"/>
                <w:kern w:val="0"/>
                <w:sz w:val="21"/>
                <w:szCs w:val="21"/>
                <w:highlight w:val="none"/>
              </w:rPr>
              <w:t>3）被保险人在运营管理过程中发生错误或事故；</w:t>
            </w:r>
          </w:p>
          <w:p w14:paraId="507143F2">
            <w:pPr>
              <w:overflowPunct w:val="0"/>
              <w:autoSpaceDE w:val="0"/>
              <w:autoSpaceDN w:val="0"/>
              <w:adjustRightInd w:val="0"/>
              <w:spacing w:before="0" w:after="0" w:line="360" w:lineRule="auto"/>
              <w:ind w:left="0"/>
              <w:textAlignment w:val="baseline"/>
              <w:rPr>
                <w:rFonts w:ascii="宋体" w:hAnsi="宋体" w:eastAsia="宋体" w:cs="等线"/>
                <w:color w:val="auto"/>
                <w:sz w:val="21"/>
                <w:szCs w:val="21"/>
                <w:highlight w:val="none"/>
                <w:lang w:val="en-US" w:eastAsia="zh-CN" w:bidi="ar-SA"/>
              </w:rPr>
            </w:pPr>
            <w:r>
              <w:rPr>
                <w:rFonts w:hint="eastAsia" w:ascii="宋体" w:hAnsi="宋体" w:eastAsia="宋体" w:cs="等线"/>
                <w:color w:val="auto"/>
                <w:sz w:val="21"/>
                <w:szCs w:val="21"/>
                <w:highlight w:val="none"/>
                <w:lang w:val="en-US" w:eastAsia="zh-CN" w:bidi="ar-SA"/>
              </w:rPr>
              <w:t>（</w:t>
            </w:r>
            <w:r>
              <w:rPr>
                <w:rFonts w:ascii="宋体" w:hAnsi="宋体" w:eastAsia="宋体" w:cs="等线"/>
                <w:color w:val="auto"/>
                <w:sz w:val="21"/>
                <w:szCs w:val="21"/>
                <w:highlight w:val="none"/>
                <w:lang w:val="en-US" w:eastAsia="zh-CN" w:bidi="ar-SA"/>
              </w:rPr>
              <w:t>4</w:t>
            </w:r>
            <w:r>
              <w:rPr>
                <w:rFonts w:hint="eastAsia" w:ascii="宋体" w:hAnsi="宋体" w:eastAsia="宋体" w:cs="等线"/>
                <w:color w:val="auto"/>
                <w:sz w:val="21"/>
                <w:szCs w:val="21"/>
                <w:highlight w:val="none"/>
                <w:lang w:val="en-US" w:eastAsia="zh-CN" w:bidi="ar-SA"/>
              </w:rPr>
              <w:t>）停电、火灾、恶劣天气、大雾天气限速等不可抗力。</w:t>
            </w:r>
          </w:p>
          <w:p w14:paraId="617D832D">
            <w:pPr>
              <w:widowControl/>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导致列车无法正常运行或晚点，并使乘客（进入闸机之后）延误航空、汽车、动车交通行程的，保险公司予以赔偿，赔偿包括但不限于：改签费用、退票损失等乘客可能提出的其他合理赔偿，赔偿方式可参照航空、汽运等行业相关延误赔偿标准。其中，乘客因上述保险责任而发生的延误航班、汽车、火车的损失，国内行程的每人每次事故最高赔偿限额</w:t>
            </w:r>
            <w:r>
              <w:rPr>
                <w:rFonts w:ascii="宋体" w:hAnsi="宋体" w:eastAsia="宋体" w:cs="等线"/>
                <w:color w:val="auto"/>
                <w:kern w:val="0"/>
                <w:sz w:val="21"/>
                <w:szCs w:val="21"/>
                <w:highlight w:val="none"/>
              </w:rPr>
              <w:t>RMB 3,000元；国际航班延误的，每次事故最高赔偿限额为RMB 2</w:t>
            </w:r>
            <w:r>
              <w:rPr>
                <w:rFonts w:hint="eastAsia" w:ascii="宋体" w:hAnsi="宋体" w:eastAsia="宋体" w:cs="等线"/>
                <w:color w:val="auto"/>
                <w:kern w:val="0"/>
                <w:sz w:val="21"/>
                <w:szCs w:val="21"/>
                <w:highlight w:val="none"/>
              </w:rPr>
              <w:t>万</w:t>
            </w:r>
            <w:r>
              <w:rPr>
                <w:rFonts w:ascii="宋体" w:hAnsi="宋体" w:eastAsia="宋体" w:cs="等线"/>
                <w:color w:val="auto"/>
                <w:kern w:val="0"/>
                <w:sz w:val="21"/>
                <w:szCs w:val="21"/>
                <w:highlight w:val="none"/>
              </w:rPr>
              <w:t>元；上述年累计赔偿限额为RMB 100</w:t>
            </w:r>
            <w:r>
              <w:rPr>
                <w:rFonts w:hint="eastAsia" w:ascii="宋体" w:hAnsi="宋体" w:eastAsia="宋体" w:cs="等线"/>
                <w:color w:val="auto"/>
                <w:kern w:val="0"/>
                <w:sz w:val="21"/>
                <w:szCs w:val="21"/>
                <w:highlight w:val="none"/>
              </w:rPr>
              <w:t>万</w:t>
            </w:r>
            <w:r>
              <w:rPr>
                <w:rFonts w:ascii="宋体" w:hAnsi="宋体" w:eastAsia="宋体" w:cs="等线"/>
                <w:color w:val="auto"/>
                <w:kern w:val="0"/>
                <w:sz w:val="21"/>
                <w:szCs w:val="21"/>
                <w:highlight w:val="none"/>
              </w:rPr>
              <w:t>元。索赔人需提供符合赔偿数额的相应票据、行程单等；本保险只负责赔偿出险当日因延误、晚点、取消行程导致的下一次行程延误产生的直接票务损失；不承担其他行程损失的费用或间接损失费用。</w:t>
            </w:r>
          </w:p>
          <w:p w14:paraId="3B9B69C4">
            <w:pPr>
              <w:widowControl/>
              <w:tabs>
                <w:tab w:val="left" w:pos="780"/>
              </w:tabs>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乘客因上述保险责任而发生的工作延误向被保险人索赔误工费用的，每人每次事故赔偿限额为</w:t>
            </w:r>
            <w:r>
              <w:rPr>
                <w:rFonts w:ascii="宋体" w:hAnsi="宋体" w:eastAsia="宋体" w:cs="等线"/>
                <w:color w:val="auto"/>
                <w:kern w:val="0"/>
                <w:sz w:val="21"/>
                <w:szCs w:val="21"/>
                <w:highlight w:val="none"/>
              </w:rPr>
              <w:t>RMB 300元，年累计赔偿限额为RMB 100</w:t>
            </w:r>
            <w:r>
              <w:rPr>
                <w:rFonts w:hint="eastAsia" w:ascii="宋体" w:hAnsi="宋体" w:eastAsia="宋体" w:cs="等线"/>
                <w:color w:val="auto"/>
                <w:kern w:val="0"/>
                <w:sz w:val="21"/>
                <w:szCs w:val="21"/>
                <w:highlight w:val="none"/>
              </w:rPr>
              <w:t>万</w:t>
            </w:r>
            <w:r>
              <w:rPr>
                <w:rFonts w:ascii="宋体" w:hAnsi="宋体" w:eastAsia="宋体" w:cs="等线"/>
                <w:color w:val="auto"/>
                <w:kern w:val="0"/>
                <w:sz w:val="21"/>
                <w:szCs w:val="21"/>
                <w:highlight w:val="none"/>
              </w:rPr>
              <w:t>元。</w:t>
            </w:r>
          </w:p>
          <w:p w14:paraId="14F45F49">
            <w:pPr>
              <w:widowControl/>
              <w:tabs>
                <w:tab w:val="left" w:pos="780"/>
              </w:tabs>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乘客应提供工作单位证明、个人身份证件、单位人事部门联系方式等相关证明。</w:t>
            </w:r>
          </w:p>
          <w:p w14:paraId="0B478EF1">
            <w:pPr>
              <w:widowControl/>
              <w:tabs>
                <w:tab w:val="left" w:pos="780"/>
              </w:tabs>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乘客因上述保险责任而发生的其他延误，每人每次事故赔偿限额为</w:t>
            </w:r>
            <w:r>
              <w:rPr>
                <w:rFonts w:ascii="宋体" w:hAnsi="宋体" w:eastAsia="宋体" w:cs="等线"/>
                <w:color w:val="auto"/>
                <w:kern w:val="0"/>
                <w:sz w:val="21"/>
                <w:szCs w:val="21"/>
                <w:highlight w:val="none"/>
              </w:rPr>
              <w:t>RMB 200元，年累计赔偿限额为RMB 100</w:t>
            </w:r>
            <w:r>
              <w:rPr>
                <w:rFonts w:hint="eastAsia" w:ascii="宋体" w:hAnsi="宋体" w:eastAsia="宋体" w:cs="等线"/>
                <w:color w:val="auto"/>
                <w:kern w:val="0"/>
                <w:sz w:val="21"/>
                <w:szCs w:val="21"/>
                <w:highlight w:val="none"/>
              </w:rPr>
              <w:t>万</w:t>
            </w:r>
            <w:r>
              <w:rPr>
                <w:rFonts w:ascii="宋体" w:hAnsi="宋体" w:eastAsia="宋体" w:cs="等线"/>
                <w:color w:val="auto"/>
                <w:kern w:val="0"/>
                <w:sz w:val="21"/>
                <w:szCs w:val="21"/>
                <w:highlight w:val="none"/>
              </w:rPr>
              <w:t>元。</w:t>
            </w:r>
          </w:p>
          <w:p w14:paraId="754971BE">
            <w:pPr>
              <w:widowControl/>
              <w:tabs>
                <w:tab w:val="left" w:pos="780"/>
              </w:tabs>
              <w:adjustRightInd/>
              <w:spacing w:line="360" w:lineRule="auto"/>
              <w:jc w:val="left"/>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乘客应提供个人身份证件以及因延误导致损失的证明材料。</w:t>
            </w:r>
          </w:p>
          <w:p w14:paraId="1B53871E">
            <w:pPr>
              <w:widowControl w:val="0"/>
              <w:numPr>
                <w:ilvl w:val="0"/>
                <w:numId w:val="7"/>
              </w:numPr>
              <w:adjustRightInd/>
              <w:spacing w:line="360" w:lineRule="auto"/>
              <w:ind w:left="0" w:firstLine="0"/>
              <w:jc w:val="both"/>
              <w:rPr>
                <w:rFonts w:ascii="宋体" w:hAnsi="宋体" w:eastAsia="宋体" w:cs="等线"/>
                <w:color w:val="auto"/>
                <w:kern w:val="0"/>
                <w:sz w:val="21"/>
                <w:szCs w:val="21"/>
                <w:highlight w:val="none"/>
              </w:rPr>
            </w:pPr>
            <w:r>
              <w:rPr>
                <w:rFonts w:hint="eastAsia" w:ascii="宋体" w:hAnsi="宋体" w:eastAsia="宋体" w:cs="等线"/>
                <w:color w:val="auto"/>
                <w:kern w:val="0"/>
                <w:sz w:val="21"/>
                <w:szCs w:val="21"/>
                <w:highlight w:val="none"/>
              </w:rPr>
              <w:t>场所范围内的第三者财产意外损失（卷带、盗窃、碰撞、抢劫）属于公众责任险赔偿范围，实际理赔时按实际损失（扣除折旧和残值）进行赔付；树木因灾倒伏导致车辆（含被保险人雇员车辆）受损属于保险赔偿范围。</w:t>
            </w:r>
          </w:p>
          <w:p w14:paraId="4AEAA6B8">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13</w:t>
            </w:r>
            <w:r>
              <w:rPr>
                <w:rFonts w:hint="eastAsia" w:ascii="宋体" w:hAnsi="宋体" w:eastAsia="宋体" w:cs="宋体"/>
                <w:color w:val="auto"/>
                <w:kern w:val="0"/>
                <w:sz w:val="21"/>
                <w:szCs w:val="21"/>
                <w:highlight w:val="none"/>
              </w:rPr>
              <w:t>、兹经双方同意，受伤人员暂时丧失工作能力的，经医院证明，保险人按以下标准补偿误工费，最长不超过</w:t>
            </w:r>
            <w:r>
              <w:rPr>
                <w:rFonts w:ascii="宋体" w:hAnsi="宋体" w:eastAsia="宋体" w:cs="宋体"/>
                <w:color w:val="auto"/>
                <w:kern w:val="0"/>
                <w:sz w:val="21"/>
                <w:szCs w:val="21"/>
                <w:highlight w:val="none"/>
              </w:rPr>
              <w:t>1年。</w:t>
            </w:r>
          </w:p>
          <w:p w14:paraId="6F70C165">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保险人赔偿的误工费</w:t>
            </w:r>
            <w:r>
              <w:rPr>
                <w:rFonts w:ascii="宋体" w:hAnsi="宋体" w:eastAsia="宋体" w:cs="宋体"/>
                <w:color w:val="auto"/>
                <w:kern w:val="0"/>
                <w:sz w:val="21"/>
                <w:szCs w:val="21"/>
                <w:highlight w:val="none"/>
              </w:rPr>
              <w:t>=（被保险人雇员的月工资÷30天）×暂时失去工作能力的实际天数。</w:t>
            </w:r>
          </w:p>
          <w:p w14:paraId="5078A309">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1）受伤人员的月工资指被保险人的月应发工资；</w:t>
            </w:r>
          </w:p>
          <w:p w14:paraId="16D05FE2">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2）月工资计算方式为受伤员工受伤前12月应发工资的平均数，如该员工在受伤前岗位、职务有变动，则以变动后的月应发工资平均数计算。</w:t>
            </w:r>
          </w:p>
          <w:p w14:paraId="742EFBCD">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3）误工期限的认定以三甲医院出具的建休天数为准。</w:t>
            </w:r>
          </w:p>
          <w:p w14:paraId="4DBB48E7">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4）护理费赔偿方式：兹经双方同意，场所内发生意外伤害事故导致第三者人员及从业人员住院时，保险人同意对于被保险人向第三者赔偿的护理费按照200元/天标准赔付，营养费按照80元/天标准赔付</w:t>
            </w:r>
            <w:r>
              <w:rPr>
                <w:rFonts w:hint="eastAsia" w:ascii="宋体" w:hAnsi="宋体" w:eastAsia="宋体" w:cs="宋体"/>
                <w:color w:val="auto"/>
                <w:kern w:val="0"/>
                <w:sz w:val="21"/>
                <w:szCs w:val="21"/>
                <w:highlight w:val="none"/>
              </w:rPr>
              <w:t>（在合同期内护理费及营养费的赔付标准每年递增</w:t>
            </w:r>
            <w:r>
              <w:rPr>
                <w:rFonts w:ascii="宋体" w:hAnsi="宋体" w:eastAsia="宋体" w:cs="宋体"/>
                <w:color w:val="auto"/>
                <w:kern w:val="0"/>
                <w:sz w:val="21"/>
                <w:szCs w:val="21"/>
                <w:highlight w:val="none"/>
              </w:rPr>
              <w:t>10元/天），护理人员交通费按照实际发生费用赔付。如经法院判决或调解，以判决书或调解书中的赔付金额为准。无法提供护工票据的，依据医嘱及相关医疗证明中所列的建休天数*200元/天标准赔付，无法提供护工票据的，依据医嘱及相关医疗证明中所列的建休天数*80元/天标准赔付</w:t>
            </w:r>
            <w:r>
              <w:rPr>
                <w:rFonts w:hint="eastAsia" w:ascii="宋体" w:hAnsi="宋体" w:eastAsia="宋体" w:cs="等线"/>
                <w:color w:val="auto"/>
                <w:kern w:val="0"/>
                <w:sz w:val="21"/>
                <w:szCs w:val="21"/>
                <w:highlight w:val="none"/>
              </w:rPr>
              <w:t>。</w:t>
            </w:r>
          </w:p>
          <w:p w14:paraId="7C72307A">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5）经社会保险行政部门认定，被保险人雇员为永久丧失全部</w:t>
            </w: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部分</w:t>
            </w: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工作能力的，则认定之日前保险人应按上述第5条标准赔偿误工费，从认定之日起不再赔偿误工费，且已支付的误工费保险人不得从其它赔偿项目中扣除。</w:t>
            </w:r>
          </w:p>
          <w:p w14:paraId="200E15D9">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14</w:t>
            </w:r>
            <w:r>
              <w:rPr>
                <w:rFonts w:hint="eastAsia" w:ascii="宋体" w:hAnsi="宋体" w:eastAsia="宋体" w:cs="宋体"/>
                <w:color w:val="auto"/>
                <w:kern w:val="0"/>
                <w:sz w:val="21"/>
                <w:szCs w:val="21"/>
                <w:highlight w:val="none"/>
              </w:rPr>
              <w:t>、兹经双方同意，受害人如果有工伤保险或其他类似商业保险保障，本保险单的伤残和死亡赔偿责任不因此而受影响，本保险合同的医疗费用赔偿责任与受害人的工伤保险或其他类似商业保险保障互为补充。</w:t>
            </w:r>
          </w:p>
          <w:p w14:paraId="7F90E9D3">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15</w:t>
            </w:r>
            <w:r>
              <w:rPr>
                <w:rFonts w:hint="eastAsia" w:ascii="宋体" w:hAnsi="宋体" w:eastAsia="宋体" w:cs="宋体"/>
                <w:color w:val="auto"/>
                <w:kern w:val="0"/>
                <w:sz w:val="21"/>
                <w:szCs w:val="21"/>
                <w:highlight w:val="none"/>
              </w:rPr>
              <w:t>、兹经双方同意，受伤人员的伤残或死亡或财产损失若存在第三责任方，保险人同意按本保单规定先行赔付被保险人，而后再向第三方进行追偿。追偿时，被保险人应提供相应的协助。</w:t>
            </w:r>
          </w:p>
          <w:p w14:paraId="136CB7A1">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16、兹经双方同意，本保单扩展承保被保险人及其代表的重大过失造成被保险人依法应承担的对第三者的经济赔偿责任。</w:t>
            </w:r>
          </w:p>
          <w:p w14:paraId="67A3C20F">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17、对于公众责任险的所有案件，保险人的相关工作人员必须全程参与案件处理及谈判。要求保险人参与现场谈判的工作人员有权现场决定或电话请示相关领导后确定赔偿金额，谈判成功后出具最终赔偿意见，由被保险人、保险人、风险管理咨询服务公司三方签名确认。</w:t>
            </w:r>
          </w:p>
          <w:p w14:paraId="49046C0B">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18、地上建筑物开裂责任特别约定</w:t>
            </w:r>
          </w:p>
          <w:p w14:paraId="6298F58E">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兹经双方同意：本保单承保范围内保险标的运营期间造成的第三方建</w:t>
            </w:r>
            <w:r>
              <w:rPr>
                <w:rFonts w:ascii="宋体" w:hAnsi="宋体" w:eastAsia="宋体" w:cs="宋体"/>
                <w:color w:val="auto"/>
                <w:kern w:val="0"/>
                <w:sz w:val="21"/>
                <w:szCs w:val="21"/>
                <w:highlight w:val="none"/>
              </w:rPr>
              <w:t>/构筑物的“倾斜、开裂”，依法应负赔偿责任而受到索赔时，除下列除外责任以外，保险人对被保险人负赔偿责任。</w:t>
            </w:r>
          </w:p>
          <w:p w14:paraId="0A3847C1">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上述“倾斜、开裂”指建</w:t>
            </w:r>
            <w:r>
              <w:rPr>
                <w:rFonts w:ascii="宋体" w:hAnsi="宋体" w:eastAsia="宋体" w:cs="宋体"/>
                <w:color w:val="auto"/>
                <w:kern w:val="0"/>
                <w:sz w:val="21"/>
                <w:szCs w:val="21"/>
                <w:highlight w:val="none"/>
              </w:rPr>
              <w:t>/构筑物发生倾斜和/或裂缝至倒塌（包括全部或部分倒塌）之间的任何损失程度。</w:t>
            </w:r>
          </w:p>
          <w:p w14:paraId="3F6BCEB9">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赔偿限额及免赔：每次事故赔偿限额</w:t>
            </w:r>
            <w:r>
              <w:rPr>
                <w:rFonts w:ascii="宋体" w:hAnsi="宋体" w:eastAsia="宋体" w:cs="宋体"/>
                <w:color w:val="auto"/>
                <w:kern w:val="0"/>
                <w:sz w:val="21"/>
                <w:szCs w:val="21"/>
                <w:highlight w:val="none"/>
              </w:rPr>
              <w:t>RMB 500万元，累计赔偿限额 RMB 1,500万元；免赔额：每次事故RMB 10万元或损失的5%，以高者为准（一次事故导致的多栋建筑物同时受损，只扣除一次免赔额）。</w:t>
            </w:r>
          </w:p>
          <w:p w14:paraId="74BB6616">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除外责任：</w:t>
            </w:r>
          </w:p>
          <w:p w14:paraId="4CBA1D2F">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1）拆除中之建/构筑物，倾朽坏或无人居住或使用之建/构筑物，已申请重建或改建或于六个月内重建或改建之建/构筑物，或保险单保险起期之前已为建筑主管机关通知为危险建/构筑物之损失。</w:t>
            </w:r>
          </w:p>
          <w:p w14:paraId="20B08123">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2）任何间接损失，包括建/构筑物贬值、不能使用、营业或租金收入的减少等。</w:t>
            </w:r>
          </w:p>
          <w:p w14:paraId="2865763A">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3）道路、花木、园林、围墙及建/构筑物外地面、水沟、管线设施之损失。</w:t>
            </w:r>
          </w:p>
          <w:p w14:paraId="1908904D">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4）家具、衣物、器具、设备或任何其他动产的损失。</w:t>
            </w:r>
          </w:p>
          <w:p w14:paraId="6766E05B">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5）本保险生效前已经存在的倾斜、开裂。</w:t>
            </w:r>
          </w:p>
          <w:p w14:paraId="371CDFD5">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6）已经为政府机关公告征收之建/构筑物。</w:t>
            </w:r>
          </w:p>
        </w:tc>
      </w:tr>
    </w:tbl>
    <w:p w14:paraId="2B7C7240">
      <w:pPr>
        <w:widowControl/>
        <w:adjustRightInd/>
        <w:jc w:val="left"/>
        <w:rPr>
          <w:rFonts w:ascii="宋体" w:hAnsi="宋体" w:eastAsia="宋体" w:cs="宋体"/>
          <w:b/>
          <w:bCs/>
          <w:color w:val="auto"/>
          <w:kern w:val="0"/>
          <w:sz w:val="21"/>
          <w:szCs w:val="21"/>
          <w:highlight w:val="none"/>
        </w:rPr>
      </w:pPr>
      <w:bookmarkStart w:id="140" w:name="_Toc10798"/>
      <w:bookmarkStart w:id="141" w:name="_Toc98443923"/>
      <w:r>
        <w:rPr>
          <w:rFonts w:ascii="宋体" w:hAnsi="宋体" w:eastAsia="宋体" w:cs="宋体"/>
          <w:b/>
          <w:bCs/>
          <w:color w:val="auto"/>
          <w:kern w:val="0"/>
          <w:sz w:val="21"/>
          <w:szCs w:val="21"/>
          <w:highlight w:val="none"/>
        </w:rPr>
        <w:br w:type="page"/>
      </w:r>
    </w:p>
    <w:p w14:paraId="20474C50">
      <w:pPr>
        <w:widowControl/>
        <w:adjustRightInd/>
        <w:spacing w:line="360" w:lineRule="auto"/>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公众责任险基本条款</w:t>
      </w:r>
      <w:bookmarkEnd w:id="140"/>
      <w:bookmarkEnd w:id="141"/>
    </w:p>
    <w:p w14:paraId="0FEC9BF9">
      <w:pPr>
        <w:widowControl w:val="0"/>
        <w:tabs>
          <w:tab w:val="left" w:pos="420"/>
        </w:tabs>
        <w:snapToGrid w:val="0"/>
        <w:spacing w:line="360" w:lineRule="auto"/>
        <w:ind w:firstLine="241"/>
        <w:jc w:val="center"/>
        <w:rPr>
          <w:rFonts w:ascii="宋体" w:hAnsi="Arial" w:eastAsia="宋体" w:cs="宋体"/>
          <w:b/>
          <w:color w:val="auto"/>
          <w:sz w:val="21"/>
          <w:szCs w:val="21"/>
          <w:highlight w:val="none"/>
          <w:lang w:val="en-US" w:eastAsia="zh-CN" w:bidi="ar-SA"/>
        </w:rPr>
      </w:pPr>
      <w:r>
        <w:rPr>
          <w:rFonts w:hint="eastAsia" w:ascii="宋体" w:hAnsi="Arial" w:eastAsia="宋体" w:cs="宋体"/>
          <w:b/>
          <w:color w:val="auto"/>
          <w:sz w:val="21"/>
          <w:szCs w:val="21"/>
          <w:highlight w:val="none"/>
          <w:lang w:val="en-US" w:eastAsia="zh-CN" w:bidi="ar-SA"/>
        </w:rPr>
        <w:t>合同构成</w:t>
      </w:r>
    </w:p>
    <w:p w14:paraId="2C04568F">
      <w:pPr>
        <w:widowControl/>
        <w:adjustRightInd w:val="0"/>
        <w:snapToGrid w:val="0"/>
        <w:spacing w:line="360" w:lineRule="auto"/>
        <w:ind w:firstLine="420" w:firstLineChars="200"/>
        <w:jc w:val="left"/>
        <w:rPr>
          <w:rFonts w:ascii="宋体" w:hAnsi="宋体" w:eastAsia="宋体" w:cs="宋体"/>
          <w:b/>
          <w:color w:val="auto"/>
          <w:kern w:val="0"/>
          <w:sz w:val="24"/>
          <w:szCs w:val="21"/>
          <w:highlight w:val="none"/>
        </w:rPr>
      </w:pPr>
      <w:r>
        <w:rPr>
          <w:rFonts w:hint="eastAsia" w:ascii="宋体" w:hAnsi="宋体" w:eastAsia="宋体" w:cs="宋体"/>
          <w:color w:val="auto"/>
          <w:kern w:val="0"/>
          <w:sz w:val="21"/>
          <w:szCs w:val="21"/>
          <w:highlight w:val="none"/>
        </w:rPr>
        <w:t>本保险合同由保险条款、投保单、保险单以及批单组成。凡涉及本保险合同的约定，均应采用书面形式。</w:t>
      </w:r>
    </w:p>
    <w:p w14:paraId="510C0AEA">
      <w:pPr>
        <w:widowControl/>
        <w:adjustRightInd w:val="0"/>
        <w:snapToGrid w:val="0"/>
        <w:spacing w:line="360" w:lineRule="auto"/>
        <w:ind w:firstLine="241"/>
        <w:jc w:val="center"/>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保险责任</w:t>
      </w:r>
    </w:p>
    <w:p w14:paraId="700356E7">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1、在本保险期限内，被保险人在本保险单明细表列明的范围内，因经营业务发生意外事故，造成第三者的人身伤亡和财产损失，依法应由被保险人承担的经济赔偿责任，保险人按下列条款的规定负责赔偿。</w:t>
      </w:r>
    </w:p>
    <w:p w14:paraId="250F193D">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2、对被保险人因上述原因而支付的诉讼费用以及事先经保险人书面同意而支付的其他费用，保险人亦负责赔偿。</w:t>
      </w:r>
    </w:p>
    <w:p w14:paraId="720A0B5E">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3、保险人对每次事故引起的赔偿金额以法院或政府有关部门根据现行法律裁定的或由被保险人、受害人和保险人协商确定的应由被保险人赔偿的金额为准。但在任何情况下，保险人对上述1和2的每次事故赔偿总金额不得超过本保险单明细表中列明的每次事故赔偿限额。在本保险期限内，保险人在本保险单项下对上述经济赔偿的最高赔偿责任不得超过本保险单明细表中列明的累计赔偿限额。</w:t>
      </w:r>
    </w:p>
    <w:p w14:paraId="2068C6CA">
      <w:pPr>
        <w:widowControl/>
        <w:adjustRightInd w:val="0"/>
        <w:snapToGrid w:val="0"/>
        <w:spacing w:line="360" w:lineRule="auto"/>
        <w:ind w:firstLine="24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定义</w:t>
      </w:r>
    </w:p>
    <w:p w14:paraId="445D47EA">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意外事故：指不可预料的以及被保险人无法控制并造成物质损失或人身伤亡的突发性事件。</w:t>
      </w:r>
    </w:p>
    <w:p w14:paraId="4DFC6A1F">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每次事故：是指一次意外事故或者同一突发性事件引起的一系列意外事故。因同一意外事故造成多人人身伤亡或财产损失，导致多人同时或先后向被保险人索赔的，视为一次事故。</w:t>
      </w:r>
    </w:p>
    <w:p w14:paraId="4EC40C40">
      <w:pPr>
        <w:widowControl/>
        <w:adjustRightInd w:val="0"/>
        <w:snapToGrid w:val="0"/>
        <w:spacing w:line="360" w:lineRule="auto"/>
        <w:ind w:firstLine="241"/>
        <w:jc w:val="center"/>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除外责任</w:t>
      </w:r>
    </w:p>
    <w:p w14:paraId="3A96F613">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保险人对下列各项不负赔偿责任：</w:t>
      </w:r>
    </w:p>
    <w:p w14:paraId="62322E16">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（一） 被保险人根据与他人的协议应承担的责任，但即使没有这种协议，被保险人依法仍应承担的责任不在此限；</w:t>
      </w:r>
    </w:p>
    <w:p w14:paraId="2299B336">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（二） 对为被保险人服务的任何人所遭受的伤害的责任；</w:t>
      </w:r>
    </w:p>
    <w:p w14:paraId="6639E5F1">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（三） 对下列财产损失的责任：</w:t>
      </w:r>
    </w:p>
    <w:p w14:paraId="6A286BB2">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1、被保险人或其代表或其雇佣人员所有的财产或由其保管或由其控制的财产；</w:t>
      </w:r>
    </w:p>
    <w:p w14:paraId="116BD9DF">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2、被保险人或其代表或其雇佣人员因经营业务一直使用和占用的任何物品、土地、房屋或建筑。</w:t>
      </w:r>
    </w:p>
    <w:p w14:paraId="27ABED10">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（四） 由于下列各项引起的损失或伤害责任：</w:t>
      </w:r>
    </w:p>
    <w:p w14:paraId="21EC9F03">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1、对于未载入本保险单明细表而属于被保险人的或其所占有的或以其名义使用的任何牲畜、脚踏车、车辆、火车头、各类船只、飞机、电梯、升降机、自动梯、起重机、吊车或其他升降装置；</w:t>
      </w:r>
    </w:p>
    <w:p w14:paraId="7E9954A8">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2、火灾、地震、爆炸、洪水、烟熏；</w:t>
      </w:r>
    </w:p>
    <w:p w14:paraId="3F578A20">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3、大气、土地、水污染及其他污染；</w:t>
      </w:r>
    </w:p>
    <w:p w14:paraId="349B77F0">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4、有缺陷的卫生装置或任何类型的中毒或任何不洁或有害的食物或饮料；</w:t>
      </w:r>
    </w:p>
    <w:p w14:paraId="04E20452">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5、由被保险人作出的或认可的医疗措施或医疗建议；</w:t>
      </w:r>
    </w:p>
    <w:p w14:paraId="5EF8E3BF">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（五） 由于震动、移动或减弱支撑引起任何土地、财产、建筑物的损坏责任；</w:t>
      </w:r>
    </w:p>
    <w:p w14:paraId="60220FF0">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（六） 由于战争、类似战争行为、敌对行为、武装冲突、恐怖活动、谋反、政变直接或间接引起的任何后果所致的责任；</w:t>
      </w:r>
    </w:p>
    <w:p w14:paraId="66765287">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（七） 由于罢工、暴动、民众骚乱或恶意行为直接或间接引起的任何后果所致的责任；</w:t>
      </w:r>
    </w:p>
    <w:p w14:paraId="33AB9ACE">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（八） 被保险人及其代表的故意行为或重大过失；</w:t>
      </w:r>
    </w:p>
    <w:p w14:paraId="02F0E8B1">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（九） 由于核裂变、核聚变、核武器、核材料、核辐射及放射性污染所引起的直接或间接责任；</w:t>
      </w:r>
    </w:p>
    <w:p w14:paraId="4FBB51C2">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（十） 罚款、罚金或惩罚性赔款；</w:t>
      </w:r>
    </w:p>
    <w:p w14:paraId="3F09607F">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（十一） 保险单明细表或有关条款中规定的应由被保险人自行负担的免赔额；</w:t>
      </w:r>
    </w:p>
    <w:p w14:paraId="13B56FC5">
      <w:pPr>
        <w:widowControl/>
        <w:adjustRightInd w:val="0"/>
        <w:snapToGrid w:val="0"/>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（十二）其他不属于本保险责任范围内的损失、费用和责任。</w:t>
      </w:r>
    </w:p>
    <w:p w14:paraId="76880A8B">
      <w:pPr>
        <w:widowControl/>
        <w:adjustRightInd w:val="0"/>
        <w:snapToGrid w:val="0"/>
        <w:spacing w:line="360" w:lineRule="auto"/>
        <w:ind w:firstLine="241"/>
        <w:jc w:val="center"/>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赔偿处理</w:t>
      </w:r>
    </w:p>
    <w:p w14:paraId="10824F7D">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（一）若发生本保险单承保的任何事故或诉讼时：</w:t>
      </w:r>
    </w:p>
    <w:p w14:paraId="52D3B0DB">
      <w:pPr>
        <w:widowControl/>
        <w:adjustRightInd/>
        <w:snapToGrid w:val="0"/>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bCs/>
          <w:color w:val="auto"/>
          <w:kern w:val="0"/>
          <w:sz w:val="21"/>
          <w:szCs w:val="21"/>
          <w:highlight w:val="none"/>
        </w:rPr>
        <w:t>被保险人收到受害人的损害赔偿请求时，应立即通知保险人。未经保险人书面同意，</w:t>
      </w:r>
      <w:r>
        <w:rPr>
          <w:rFonts w:hint="eastAsia" w:ascii="宋体" w:hAnsi="宋体" w:eastAsia="宋体" w:cs="宋体"/>
          <w:b/>
          <w:bCs/>
          <w:color w:val="auto"/>
          <w:kern w:val="0"/>
          <w:sz w:val="21"/>
          <w:szCs w:val="21"/>
          <w:highlight w:val="none"/>
        </w:rPr>
        <w:t>被保险人对受害人作出的任何承诺、拒绝、出价、约定、付款或赔偿，保险人不受其约束。</w:t>
      </w:r>
      <w:r>
        <w:rPr>
          <w:rFonts w:hint="eastAsia" w:ascii="宋体" w:hAnsi="宋体" w:eastAsia="宋体" w:cs="宋体"/>
          <w:bCs/>
          <w:color w:val="auto"/>
          <w:kern w:val="0"/>
          <w:sz w:val="21"/>
          <w:szCs w:val="21"/>
          <w:highlight w:val="none"/>
        </w:rPr>
        <w:t>对于被保险人自行承诺或支付的赔偿金额，保险人有权重新核定，不属于本保险责任范围或超出应赔偿限额的，保险人不承担赔偿责任。</w:t>
      </w:r>
    </w:p>
    <w:p w14:paraId="1A1D22CD">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2、保险人有权以被保险人的名义，为保险人的利益自付费用向任何责任方提出索赔的要求。</w:t>
      </w:r>
      <w:r>
        <w:rPr>
          <w:rFonts w:hint="eastAsia" w:ascii="宋体" w:hAnsi="宋体" w:eastAsia="宋体" w:cs="宋体"/>
          <w:b/>
          <w:color w:val="auto"/>
          <w:kern w:val="0"/>
          <w:sz w:val="21"/>
          <w:szCs w:val="21"/>
          <w:highlight w:val="none"/>
        </w:rPr>
        <w:t>未经保险人书面同意，被保险人不得接受责任方就有关损失作出的付款或赔偿安排或放弃对责任方的索赔权利，否则，由此引起的后果将由被保险人承担</w:t>
      </w:r>
      <w:r>
        <w:rPr>
          <w:rFonts w:hint="eastAsia" w:ascii="宋体" w:hAnsi="宋体" w:eastAsia="宋体" w:cs="宋体"/>
          <w:color w:val="auto"/>
          <w:kern w:val="0"/>
          <w:sz w:val="21"/>
          <w:szCs w:val="21"/>
          <w:highlight w:val="none"/>
        </w:rPr>
        <w:t>；</w:t>
      </w:r>
    </w:p>
    <w:p w14:paraId="566AE97E">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3、在处理索赔过程中，保险人有权自行处理由其承担最终赔偿责任的任何索赔案件，被保险人有义务向保险人提供一切所需的资料和协助。</w:t>
      </w:r>
    </w:p>
    <w:p w14:paraId="25D1C17B">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（二）保险人对本保险单责任范围内的赔偿，根据以法院或政府有关部门根据现行法律裁定的或由被保险人、受害人和保险人协商解决的应由被保险人赔偿的金额为依据。</w:t>
      </w:r>
    </w:p>
    <w:p w14:paraId="1F2A549D">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三）保险人收到被保险人的赔偿请求后，应当及时就是否属于保险责任作出核定，并将核定结果通知被保险人。情形复杂的，保险人在收到被保险人的赔偿请求后三十日内未能核定保险责任的，保险人与被保险人根据实际情形商议合理期间，保险人在商定的期间内作出核定结果并通知被保险人。对属于保险责任的，在与被保险人达成有关赔偿金额的协议后十日内，履行赔偿义务。</w:t>
      </w:r>
    </w:p>
    <w:p w14:paraId="304D1B82">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保险人依照前款的规定作出核定后，对不属于保险责任的，应当自作出核定之日起三日内向被保险人发出拒绝赔偿保险金通知书，并说明理由。</w:t>
      </w:r>
    </w:p>
    <w:p w14:paraId="088B1D84">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四）保险人自收到赔偿保险金的请求和有关证明、资料之日起六十日内，对其赔偿保险金的数额不能确定的，应当根据已有证明和资料可以确定的数额先予支付；保险人最终确定赔偿的数额后，应当支付相应的差额。</w:t>
      </w:r>
    </w:p>
    <w:p w14:paraId="4899D432">
      <w:pPr>
        <w:widowControl/>
        <w:adjustRightInd/>
        <w:snapToGrid w:val="0"/>
        <w:spacing w:line="360" w:lineRule="auto"/>
        <w:ind w:firstLine="420" w:firstLineChars="200"/>
        <w:jc w:val="left"/>
        <w:rPr>
          <w:rFonts w:ascii="宋体" w:hAnsi="宋体" w:eastAsia="宋体" w:cs="宋体"/>
          <w:b/>
          <w:color w:val="auto"/>
          <w:kern w:val="0"/>
          <w:sz w:val="24"/>
          <w:szCs w:val="21"/>
          <w:highlight w:val="none"/>
        </w:rPr>
      </w:pPr>
      <w:r>
        <w:rPr>
          <w:rFonts w:hint="eastAsia" w:ascii="宋体" w:hAnsi="宋体" w:eastAsia="宋体" w:cs="宋体"/>
          <w:color w:val="auto"/>
          <w:kern w:val="0"/>
          <w:sz w:val="21"/>
          <w:szCs w:val="21"/>
          <w:highlight w:val="none"/>
        </w:rPr>
        <w:t>（五）被保险人给第三者造成损害，被保险人未向该第三者赔偿的，保险人不负责向被保险人赔偿保险金。</w:t>
      </w:r>
    </w:p>
    <w:p w14:paraId="59399DCB">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（六）被保险人向保险人请求赔偿的诉讼时效期间为二年，自其知道或应当知道保险事故发生之日起计算。</w:t>
      </w:r>
    </w:p>
    <w:p w14:paraId="72CD36D3">
      <w:pPr>
        <w:widowControl/>
        <w:adjustRightInd w:val="0"/>
        <w:snapToGrid w:val="0"/>
        <w:spacing w:line="360" w:lineRule="auto"/>
        <w:ind w:firstLine="241"/>
        <w:jc w:val="center"/>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投保人、被保险人义务</w:t>
      </w:r>
    </w:p>
    <w:p w14:paraId="7D387D44">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投保人、被保险人及其代表应严格履行下列义务：</w:t>
      </w:r>
    </w:p>
    <w:p w14:paraId="18A35592">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 订立保险合同时，投保人应对投保申请书中的事项以及保险人提出的其他事项作出真实、详尽的说明或描述</w:t>
      </w:r>
      <w:r>
        <w:rPr>
          <w:rFonts w:hint="eastAsia" w:ascii="宋体" w:hAnsi="宋体" w:eastAsia="宋体" w:cs="宋体"/>
          <w:bCs/>
          <w:color w:val="auto"/>
          <w:kern w:val="0"/>
          <w:sz w:val="21"/>
          <w:szCs w:val="21"/>
          <w:highlight w:val="none"/>
        </w:rPr>
        <w:t>。</w:t>
      </w:r>
    </w:p>
    <w:p w14:paraId="420BAB06">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投保人故意或者因重大过失未履行前款规定的如实告知义务，足以影响保险人决定是否同意承保或者提高保险费率的，保险人有权解除保险合同。</w:t>
      </w:r>
    </w:p>
    <w:p w14:paraId="60E8915B">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投保人故意不履行如实告知义务的，保险人对于合同解除前发生的保险事故，不承担赔偿保险金的责任，并不退还保险费。</w:t>
      </w:r>
    </w:p>
    <w:p w14:paraId="1B94C738">
      <w:pPr>
        <w:widowControl/>
        <w:adjustRightInd/>
        <w:snapToGrid w:val="0"/>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投保人因重大过失未履行如实告知义务，对保险事故的发生有严重影响的，保险人对于合同解除前发生的保险事故，不承担赔偿保险金的责任，但应当退还保险费。</w:t>
      </w:r>
    </w:p>
    <w:p w14:paraId="22C7E95B">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 除另有约定外，投保人应在保险合同成立时交清保险费。</w:t>
      </w:r>
      <w:r>
        <w:rPr>
          <w:rFonts w:hint="eastAsia" w:ascii="宋体" w:hAnsi="宋体" w:eastAsia="宋体" w:cs="宋体"/>
          <w:b/>
          <w:bCs/>
          <w:color w:val="auto"/>
          <w:kern w:val="0"/>
          <w:sz w:val="21"/>
          <w:szCs w:val="21"/>
          <w:highlight w:val="none"/>
        </w:rPr>
        <w:t>保险费交清前发生的保险事故，保险人不承担赔偿责任</w:t>
      </w:r>
      <w:r>
        <w:rPr>
          <w:rFonts w:hint="eastAsia" w:ascii="宋体" w:hAnsi="宋体" w:eastAsia="宋体" w:cs="宋体"/>
          <w:b/>
          <w:color w:val="auto"/>
          <w:kern w:val="0"/>
          <w:sz w:val="21"/>
          <w:szCs w:val="21"/>
          <w:highlight w:val="none"/>
        </w:rPr>
        <w:t>。</w:t>
      </w:r>
    </w:p>
    <w:p w14:paraId="01546E36">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（三） 被保险人应努力做到选用可靠的、认真的、合格的工作人员并且使拥有的建筑物、道路、工厂、机器、装修和设备处于坚实、良好可供使用的状态。同时，应遵照当局所颁布的任何法律及规定的要求，对已经发现的缺陷应予立即修复，并采取临时性的预防措施以防止发生事故。</w:t>
      </w:r>
    </w:p>
    <w:p w14:paraId="3EE81CFD">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（四）被保险人一旦知道或应当知道保险责任范围内的第三者人身伤害或财产损失事故发生，应该：</w:t>
      </w:r>
    </w:p>
    <w:p w14:paraId="5423E614">
      <w:pPr>
        <w:widowControl w:val="0"/>
        <w:snapToGrid w:val="0"/>
        <w:spacing w:after="120" w:line="360" w:lineRule="auto"/>
        <w:ind w:left="420" w:leftChars="200" w:firstLine="422" w:firstLineChars="200"/>
        <w:jc w:val="both"/>
        <w:rPr>
          <w:rFonts w:ascii="宋体" w:hAnsi="Times New Roman" w:eastAsia="宋体" w:cs="宋体"/>
          <w:b/>
          <w:bCs/>
          <w:color w:val="auto"/>
          <w:kern w:val="2"/>
          <w:sz w:val="21"/>
          <w:szCs w:val="21"/>
          <w:highlight w:val="none"/>
          <w:lang w:val="en-US" w:eastAsia="zh-CN" w:bidi="ar-SA"/>
        </w:rPr>
      </w:pPr>
      <w:r>
        <w:rPr>
          <w:rFonts w:hint="eastAsia" w:ascii="宋体" w:hAnsi="Times New Roman" w:eastAsia="宋体" w:cs="宋体"/>
          <w:b/>
          <w:bCs/>
          <w:color w:val="auto"/>
          <w:kern w:val="2"/>
          <w:sz w:val="21"/>
          <w:szCs w:val="21"/>
          <w:highlight w:val="none"/>
          <w:lang w:val="en-US" w:eastAsia="zh-CN" w:bidi="ar-SA"/>
        </w:rPr>
        <w:t>1.尽力采取必要、合理的措施，防止或减少损失，</w:t>
      </w:r>
      <w:r>
        <w:rPr>
          <w:rFonts w:hint="eastAsia" w:ascii="宋体" w:hAnsi="Times New Roman" w:eastAsia="宋体" w:cs="宋体"/>
          <w:bCs/>
          <w:color w:val="auto"/>
          <w:kern w:val="2"/>
          <w:sz w:val="21"/>
          <w:szCs w:val="21"/>
          <w:highlight w:val="none"/>
          <w:lang w:val="en-US" w:eastAsia="zh-CN" w:bidi="ar-SA"/>
        </w:rPr>
        <w:t>否则，对因此扩大的损失，保险人不承担赔偿责任；</w:t>
      </w:r>
    </w:p>
    <w:p w14:paraId="44BB8E2E">
      <w:pPr>
        <w:widowControl w:val="0"/>
        <w:snapToGrid w:val="0"/>
        <w:spacing w:after="120" w:line="360" w:lineRule="auto"/>
        <w:ind w:left="420" w:leftChars="200" w:firstLine="422" w:firstLineChars="200"/>
        <w:jc w:val="both"/>
        <w:rPr>
          <w:rFonts w:ascii="宋体" w:hAnsi="Times New Roman" w:eastAsia="宋体" w:cs="宋体"/>
          <w:b/>
          <w:bCs/>
          <w:color w:val="auto"/>
          <w:kern w:val="2"/>
          <w:sz w:val="21"/>
          <w:szCs w:val="21"/>
          <w:highlight w:val="none"/>
          <w:lang w:val="en-US" w:eastAsia="zh-CN" w:bidi="ar-SA"/>
        </w:rPr>
      </w:pPr>
      <w:r>
        <w:rPr>
          <w:rFonts w:hint="eastAsia" w:ascii="宋体" w:hAnsi="Times New Roman" w:eastAsia="宋体" w:cs="宋体"/>
          <w:b/>
          <w:bCs/>
          <w:color w:val="auto"/>
          <w:kern w:val="2"/>
          <w:sz w:val="21"/>
          <w:szCs w:val="21"/>
          <w:highlight w:val="none"/>
          <w:lang w:val="en-US" w:eastAsia="zh-CN" w:bidi="ar-SA"/>
        </w:rPr>
        <w:t>2.立即通知保险人，并书面说明事故发生的原因、经过和损失情况；</w:t>
      </w:r>
      <w:r>
        <w:rPr>
          <w:rFonts w:hint="eastAsia" w:ascii="宋体" w:hAnsi="Times New Roman" w:eastAsia="宋体" w:cs="宋体"/>
          <w:bCs/>
          <w:color w:val="auto"/>
          <w:kern w:val="2"/>
          <w:sz w:val="21"/>
          <w:szCs w:val="21"/>
          <w:highlight w:val="none"/>
          <w:lang w:val="en-US" w:eastAsia="zh-CN" w:bidi="ar-SA"/>
        </w:rPr>
        <w:t>故意或者因重大过失未及时通知，致使保险事故的性质、原因、损失程度等难以确定的，保险人对无法确定的部分，不承担赔偿责任，但保险人通过其他途径已经及时知道或者应当及时知道保险事故发生的除外；</w:t>
      </w:r>
    </w:p>
    <w:p w14:paraId="69369A34">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3.允许并且协助保险人进行事故调查；</w:t>
      </w:r>
      <w:r>
        <w:rPr>
          <w:rFonts w:hint="eastAsia" w:ascii="宋体" w:hAnsi="宋体" w:eastAsia="宋体" w:cs="宋体"/>
          <w:b/>
          <w:color w:val="auto"/>
          <w:kern w:val="0"/>
          <w:sz w:val="21"/>
          <w:szCs w:val="21"/>
          <w:highlight w:val="none"/>
        </w:rPr>
        <w:t>对于拒绝或者妨碍保险人进行事故调查导致不能确定事故原因或核实损失情况的，保险人对无法确定或核实的部分不承担赔偿责任</w:t>
      </w:r>
      <w:r>
        <w:rPr>
          <w:rFonts w:hint="eastAsia" w:ascii="宋体" w:hAnsi="宋体" w:eastAsia="宋体" w:cs="宋体"/>
          <w:color w:val="auto"/>
          <w:kern w:val="0"/>
          <w:sz w:val="21"/>
          <w:szCs w:val="21"/>
          <w:highlight w:val="none"/>
        </w:rPr>
        <w:t>；</w:t>
      </w:r>
    </w:p>
    <w:p w14:paraId="47927720">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4.在未经本公司检查和同意之前，对拥有的建筑物、道路、工厂、机器、装修和设备不得予以改变和修理；</w:t>
      </w:r>
    </w:p>
    <w:p w14:paraId="05E852C4">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5.在预期或</w:t>
      </w:r>
      <w:r>
        <w:rPr>
          <w:rFonts w:hint="eastAsia" w:ascii="宋体" w:hAnsi="宋体" w:eastAsia="宋体" w:cs="宋体"/>
          <w:bCs/>
          <w:color w:val="auto"/>
          <w:kern w:val="0"/>
          <w:sz w:val="21"/>
          <w:szCs w:val="21"/>
          <w:highlight w:val="none"/>
        </w:rPr>
        <w:t>获悉可能发生诉讼、仲裁时，应立即以书面形式通知保险人；接到法院传票或其他法律文书后，应将其副本及时送交保险人。保险人有权以被保险人的名义处理有关诉讼或仲裁事宜，被保险人应提供有关文件，并给予必要的协助。</w:t>
      </w:r>
      <w:r>
        <w:rPr>
          <w:rFonts w:hint="eastAsia" w:ascii="宋体" w:hAnsi="宋体" w:eastAsia="宋体" w:cs="宋体"/>
          <w:b/>
          <w:bCs/>
          <w:color w:val="auto"/>
          <w:kern w:val="0"/>
          <w:sz w:val="21"/>
          <w:szCs w:val="21"/>
          <w:highlight w:val="none"/>
        </w:rPr>
        <w:t>对因未及时提供上述通知或必要协助引起或扩大的损失，保险人不承担赔偿责任。</w:t>
      </w:r>
    </w:p>
    <w:p w14:paraId="5999CDED">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（五）被保险人请求赔偿时，应向保险人提供下列证明和资料：</w:t>
      </w:r>
    </w:p>
    <w:p w14:paraId="0C2EACAE">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1.保险单正本；</w:t>
      </w:r>
    </w:p>
    <w:p w14:paraId="4EC46AB4">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2.被保险人或其代表填具的索赔申请书；</w:t>
      </w:r>
    </w:p>
    <w:p w14:paraId="4BAAD644">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3.受害人向被保险人提出索赔的相关材料；</w:t>
      </w:r>
    </w:p>
    <w:p w14:paraId="32FA9F4D">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4.造成受害人人身伤害的，应提供二级以上（含二级）医疗机构出具的受害人的病历、诊断证明、医疗费等医疗原始单据；受害人伤残的，还应提供伤残鉴定机构或有伤残鉴定资质的医疗机构出具的伤残程度证明；受害人死亡的，还应提供公安机关或医疗机构出具的死亡证明书；</w:t>
      </w:r>
    </w:p>
    <w:p w14:paraId="514EE340">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5.造成受害人财产损失的，应提供财产损失、费用清单；</w:t>
      </w:r>
    </w:p>
    <w:p w14:paraId="4A9179BF">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6.有关的法律文书（裁定书、裁决书、判决书、调解书等）；</w:t>
      </w:r>
    </w:p>
    <w:p w14:paraId="5C1473AD">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7.投保人、被保险人所能提供的与确认保险事故的性质、原因、损失程度等有关的其他证明和资料。</w:t>
      </w:r>
    </w:p>
    <w:p w14:paraId="6151DF6D">
      <w:pPr>
        <w:widowControl w:val="0"/>
        <w:snapToGrid w:val="0"/>
        <w:spacing w:after="0" w:line="360" w:lineRule="auto"/>
        <w:ind w:left="420" w:leftChars="200" w:firstLine="422" w:firstLineChars="200"/>
        <w:jc w:val="both"/>
        <w:rPr>
          <w:rFonts w:ascii="宋体" w:hAnsi="Times New Roman" w:eastAsia="宋体" w:cs="宋体"/>
          <w:b/>
          <w:bCs/>
          <w:color w:val="auto"/>
          <w:kern w:val="2"/>
          <w:sz w:val="21"/>
          <w:szCs w:val="21"/>
          <w:highlight w:val="none"/>
          <w:lang w:val="en-US" w:eastAsia="zh-CN" w:bidi="ar-SA"/>
        </w:rPr>
      </w:pPr>
      <w:r>
        <w:rPr>
          <w:rFonts w:hint="eastAsia" w:ascii="宋体" w:hAnsi="Times New Roman" w:eastAsia="宋体" w:cs="宋体"/>
          <w:b/>
          <w:bCs/>
          <w:color w:val="auto"/>
          <w:kern w:val="2"/>
          <w:sz w:val="21"/>
          <w:szCs w:val="21"/>
          <w:highlight w:val="none"/>
          <w:lang w:val="en-US" w:eastAsia="zh-CN" w:bidi="ar-SA"/>
        </w:rPr>
        <w:t>投保人、被保险人未履行前款约定的单证提供义务，导致保险人无法核实损失情况的，保险人对无法核实部分不承担赔偿责任。</w:t>
      </w:r>
    </w:p>
    <w:p w14:paraId="3D1CD6CD">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保险事故发生后，投保人、被保险人提供的有关索赔的证明和资料不完整的，保险人应当及时一次性通知投保人、被保险人补充提供。</w:t>
      </w:r>
    </w:p>
    <w:p w14:paraId="7973B7B6">
      <w:pPr>
        <w:widowControl/>
        <w:adjustRightInd w:val="0"/>
        <w:snapToGrid w:val="0"/>
        <w:spacing w:line="360" w:lineRule="auto"/>
        <w:ind w:firstLine="241"/>
        <w:jc w:val="center"/>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总    则</w:t>
      </w:r>
    </w:p>
    <w:p w14:paraId="3F1EC0BB">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 危险程度显著增加</w:t>
      </w:r>
    </w:p>
    <w:p w14:paraId="34088D06">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在保险期间内，如保险标的危险程度显著增加的，被保险人应及时书面通知保险人，保险人有权要求增加保险费或者解除合同。</w:t>
      </w:r>
    </w:p>
    <w:p w14:paraId="5E8A57FA">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bCs/>
          <w:color w:val="auto"/>
          <w:kern w:val="0"/>
          <w:sz w:val="21"/>
          <w:szCs w:val="21"/>
          <w:highlight w:val="none"/>
        </w:rPr>
        <w:t>危险程度显著增加，是指与本保险所承保的被保险人之赔偿责任有密切关系的因素和投保时相比，出现了增加被保险人之赔偿责任发生可能性的变化，</w:t>
      </w:r>
      <w:r>
        <w:rPr>
          <w:rFonts w:hint="eastAsia" w:ascii="宋体" w:hAnsi="宋体" w:eastAsia="宋体" w:cs="宋体"/>
          <w:color w:val="auto"/>
          <w:kern w:val="0"/>
          <w:sz w:val="21"/>
          <w:szCs w:val="21"/>
          <w:highlight w:val="none"/>
          <w:lang w:val="zh-CN"/>
        </w:rPr>
        <w:t>足以影响保险人决定是否继续承保或是否增加保险费的情况。</w:t>
      </w:r>
      <w:r>
        <w:rPr>
          <w:rFonts w:hint="eastAsia" w:ascii="宋体" w:hAnsi="宋体" w:eastAsia="宋体" w:cs="宋体"/>
          <w:bCs/>
          <w:color w:val="auto"/>
          <w:kern w:val="0"/>
          <w:sz w:val="21"/>
          <w:szCs w:val="21"/>
          <w:highlight w:val="none"/>
        </w:rPr>
        <w:t>包括但不限于被保险人的经营业务范围发生变更、消防设施发生变化</w:t>
      </w:r>
      <w:r>
        <w:rPr>
          <w:rFonts w:hint="eastAsia" w:ascii="宋体" w:hAnsi="宋体" w:eastAsia="宋体" w:cs="宋体"/>
          <w:color w:val="auto"/>
          <w:kern w:val="0"/>
          <w:sz w:val="21"/>
          <w:szCs w:val="21"/>
          <w:highlight w:val="none"/>
        </w:rPr>
        <w:t>等，导致被保险人造成他人人身伤害或财产损失的可能性增加等情况。</w:t>
      </w:r>
    </w:p>
    <w:p w14:paraId="21EFBC25">
      <w:pPr>
        <w:widowControl w:val="0"/>
        <w:snapToGrid w:val="0"/>
        <w:spacing w:after="120" w:line="360" w:lineRule="auto"/>
        <w:ind w:left="0" w:leftChars="0" w:firstLine="420" w:firstLineChars="200"/>
        <w:jc w:val="both"/>
        <w:rPr>
          <w:rFonts w:ascii="宋体" w:hAnsi="Times New Roman" w:eastAsia="宋体" w:cs="宋体"/>
          <w:bCs/>
          <w:color w:val="auto"/>
          <w:kern w:val="2"/>
          <w:sz w:val="21"/>
          <w:szCs w:val="21"/>
          <w:highlight w:val="none"/>
          <w:lang w:val="en-US" w:eastAsia="zh-CN" w:bidi="ar-SA"/>
        </w:rPr>
      </w:pPr>
      <w:r>
        <w:rPr>
          <w:rFonts w:hint="eastAsia" w:ascii="宋体" w:hAnsi="Times New Roman" w:eastAsia="宋体" w:cs="宋体"/>
          <w:bCs/>
          <w:color w:val="auto"/>
          <w:kern w:val="2"/>
          <w:sz w:val="21"/>
          <w:szCs w:val="21"/>
          <w:highlight w:val="none"/>
          <w:lang w:val="en-US" w:eastAsia="zh-CN" w:bidi="ar-SA"/>
        </w:rPr>
        <w:t>被保险人未履行通知义务，因保险标的危险程度显著增加而发生的保险事故，保险人不承担赔偿责任。</w:t>
      </w:r>
    </w:p>
    <w:p w14:paraId="59EEA898">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 保单注销</w:t>
      </w:r>
    </w:p>
    <w:p w14:paraId="33715ABF">
      <w:pPr>
        <w:widowControl/>
        <w:adjustRightInd/>
        <w:snapToGrid w:val="0"/>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color w:val="auto"/>
          <w:kern w:val="0"/>
          <w:sz w:val="21"/>
          <w:szCs w:val="21"/>
          <w:highlight w:val="none"/>
        </w:rPr>
        <w:t>保险责任开始前，投保人要求解除保险合同的，应当向保险人支付相当于保险费5%的退保手续费，保险人应当退还剩余部分保险费；</w:t>
      </w:r>
      <w:r>
        <w:rPr>
          <w:rFonts w:hint="eastAsia" w:ascii="宋体" w:hAnsi="宋体" w:eastAsia="宋体" w:cs="宋体"/>
          <w:bCs/>
          <w:color w:val="auto"/>
          <w:kern w:val="0"/>
          <w:sz w:val="21"/>
          <w:szCs w:val="21"/>
          <w:highlight w:val="none"/>
        </w:rPr>
        <w:t>保险人要求解除保险合同的，不得向投保人收取手续费并应退还已收取的保险费。</w:t>
      </w:r>
    </w:p>
    <w:p w14:paraId="22F9D746">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责任开始后，投保人要求解除保险合同的，自通知保险人之日起，保险合同解除，保险人按下表规定的短期费率计收保险责任开始之日起至合同解除之日止期间的保险费，并退还剩余部分保险费；保险人也可提前十五日向投保人发出解约通知书解除本保险合同，并按保险责任开始之日起至合同解除之日止期间与保险期间的日比例计收保险费后，退还剩余部分保险费。</w:t>
      </w:r>
    </w:p>
    <w:tbl>
      <w:tblPr>
        <w:tblStyle w:val="64"/>
        <w:tblW w:w="8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559"/>
        <w:gridCol w:w="628"/>
        <w:gridCol w:w="586"/>
        <w:gridCol w:w="559"/>
        <w:gridCol w:w="559"/>
        <w:gridCol w:w="600"/>
        <w:gridCol w:w="573"/>
        <w:gridCol w:w="600"/>
        <w:gridCol w:w="627"/>
        <w:gridCol w:w="540"/>
        <w:gridCol w:w="537"/>
        <w:gridCol w:w="755"/>
      </w:tblGrid>
      <w:tr w14:paraId="584C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489" w:type="dxa"/>
            <w:tcBorders>
              <w:top w:val="single" w:color="auto" w:sz="4" w:space="0"/>
              <w:left w:val="single" w:color="auto" w:sz="4" w:space="0"/>
              <w:bottom w:val="single" w:color="auto" w:sz="4" w:space="0"/>
              <w:right w:val="single" w:color="auto" w:sz="4" w:space="0"/>
            </w:tcBorders>
            <w:vAlign w:val="center"/>
          </w:tcPr>
          <w:p w14:paraId="7574FC1E">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已承保期间</w:t>
            </w:r>
          </w:p>
        </w:tc>
        <w:tc>
          <w:tcPr>
            <w:tcW w:w="559" w:type="dxa"/>
            <w:tcBorders>
              <w:top w:val="single" w:color="auto" w:sz="4" w:space="0"/>
              <w:left w:val="single" w:color="auto" w:sz="4" w:space="0"/>
              <w:bottom w:val="single" w:color="auto" w:sz="4" w:space="0"/>
              <w:right w:val="single" w:color="auto" w:sz="4" w:space="0"/>
            </w:tcBorders>
            <w:vAlign w:val="center"/>
          </w:tcPr>
          <w:p w14:paraId="56250133">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w:t>
            </w:r>
          </w:p>
          <w:p w14:paraId="0370F3D5">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4ACE2515">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628" w:type="dxa"/>
            <w:tcBorders>
              <w:top w:val="single" w:color="auto" w:sz="4" w:space="0"/>
              <w:left w:val="single" w:color="auto" w:sz="4" w:space="0"/>
              <w:bottom w:val="single" w:color="auto" w:sz="4" w:space="0"/>
              <w:right w:val="single" w:color="auto" w:sz="4" w:space="0"/>
            </w:tcBorders>
            <w:vAlign w:val="center"/>
          </w:tcPr>
          <w:p w14:paraId="0EBBDB57">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w:t>
            </w:r>
          </w:p>
          <w:p w14:paraId="00FF4C77">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3DA237F6">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586" w:type="dxa"/>
            <w:tcBorders>
              <w:top w:val="single" w:color="auto" w:sz="4" w:space="0"/>
              <w:left w:val="single" w:color="auto" w:sz="4" w:space="0"/>
              <w:bottom w:val="single" w:color="auto" w:sz="4" w:space="0"/>
              <w:right w:val="single" w:color="auto" w:sz="4" w:space="0"/>
            </w:tcBorders>
            <w:vAlign w:val="center"/>
          </w:tcPr>
          <w:p w14:paraId="6D9E32C0">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三</w:t>
            </w:r>
          </w:p>
          <w:p w14:paraId="5CCAEC5A">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7D1B4B10">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559" w:type="dxa"/>
            <w:tcBorders>
              <w:top w:val="single" w:color="auto" w:sz="4" w:space="0"/>
              <w:left w:val="single" w:color="auto" w:sz="4" w:space="0"/>
              <w:bottom w:val="single" w:color="auto" w:sz="4" w:space="0"/>
              <w:right w:val="single" w:color="auto" w:sz="4" w:space="0"/>
            </w:tcBorders>
            <w:vAlign w:val="center"/>
          </w:tcPr>
          <w:p w14:paraId="3F6F21E6">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四</w:t>
            </w:r>
          </w:p>
          <w:p w14:paraId="444C51AB">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2115FE0A">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559" w:type="dxa"/>
            <w:tcBorders>
              <w:top w:val="single" w:color="auto" w:sz="4" w:space="0"/>
              <w:left w:val="single" w:color="auto" w:sz="4" w:space="0"/>
              <w:bottom w:val="single" w:color="auto" w:sz="4" w:space="0"/>
              <w:right w:val="single" w:color="auto" w:sz="4" w:space="0"/>
            </w:tcBorders>
            <w:vAlign w:val="center"/>
          </w:tcPr>
          <w:p w14:paraId="00CBC238">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五</w:t>
            </w:r>
          </w:p>
          <w:p w14:paraId="6186E847">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3E93641A">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600" w:type="dxa"/>
            <w:tcBorders>
              <w:top w:val="single" w:color="auto" w:sz="4" w:space="0"/>
              <w:left w:val="single" w:color="auto" w:sz="4" w:space="0"/>
              <w:bottom w:val="single" w:color="auto" w:sz="4" w:space="0"/>
              <w:right w:val="single" w:color="auto" w:sz="4" w:space="0"/>
            </w:tcBorders>
            <w:vAlign w:val="center"/>
          </w:tcPr>
          <w:p w14:paraId="5D5B2998">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六</w:t>
            </w:r>
          </w:p>
          <w:p w14:paraId="4C8BD471">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25AA5F16">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573" w:type="dxa"/>
            <w:tcBorders>
              <w:top w:val="single" w:color="auto" w:sz="4" w:space="0"/>
              <w:left w:val="single" w:color="auto" w:sz="4" w:space="0"/>
              <w:bottom w:val="single" w:color="auto" w:sz="4" w:space="0"/>
              <w:right w:val="single" w:color="auto" w:sz="4" w:space="0"/>
            </w:tcBorders>
            <w:vAlign w:val="center"/>
          </w:tcPr>
          <w:p w14:paraId="4E39A52D">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七</w:t>
            </w:r>
          </w:p>
          <w:p w14:paraId="4FCA96E4">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08679A87">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600" w:type="dxa"/>
            <w:tcBorders>
              <w:top w:val="single" w:color="auto" w:sz="4" w:space="0"/>
              <w:left w:val="single" w:color="auto" w:sz="4" w:space="0"/>
              <w:bottom w:val="single" w:color="auto" w:sz="4" w:space="0"/>
              <w:right w:val="single" w:color="auto" w:sz="4" w:space="0"/>
            </w:tcBorders>
            <w:vAlign w:val="center"/>
          </w:tcPr>
          <w:p w14:paraId="1E858838">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八</w:t>
            </w:r>
          </w:p>
          <w:p w14:paraId="44FEB568">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766342A2">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627" w:type="dxa"/>
            <w:tcBorders>
              <w:top w:val="single" w:color="auto" w:sz="4" w:space="0"/>
              <w:left w:val="single" w:color="auto" w:sz="4" w:space="0"/>
              <w:bottom w:val="single" w:color="auto" w:sz="4" w:space="0"/>
              <w:right w:val="single" w:color="auto" w:sz="4" w:space="0"/>
            </w:tcBorders>
            <w:vAlign w:val="center"/>
          </w:tcPr>
          <w:p w14:paraId="77FD3368">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九</w:t>
            </w:r>
          </w:p>
          <w:p w14:paraId="62D30FE4">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082B8DD1">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540" w:type="dxa"/>
            <w:tcBorders>
              <w:top w:val="single" w:color="auto" w:sz="4" w:space="0"/>
              <w:left w:val="single" w:color="auto" w:sz="4" w:space="0"/>
              <w:bottom w:val="single" w:color="auto" w:sz="4" w:space="0"/>
              <w:right w:val="single" w:color="auto" w:sz="4" w:space="0"/>
            </w:tcBorders>
            <w:vAlign w:val="center"/>
          </w:tcPr>
          <w:p w14:paraId="714081D7">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w:t>
            </w:r>
          </w:p>
          <w:p w14:paraId="7D627BB3">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1E43C5D8">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537" w:type="dxa"/>
            <w:tcBorders>
              <w:top w:val="single" w:color="auto" w:sz="4" w:space="0"/>
              <w:left w:val="single" w:color="auto" w:sz="4" w:space="0"/>
              <w:bottom w:val="single" w:color="auto" w:sz="4" w:space="0"/>
              <w:right w:val="single" w:color="auto" w:sz="4" w:space="0"/>
            </w:tcBorders>
            <w:vAlign w:val="center"/>
          </w:tcPr>
          <w:p w14:paraId="44FA0092">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w:t>
            </w:r>
          </w:p>
          <w:p w14:paraId="0D5326F2">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一</w:t>
            </w:r>
          </w:p>
          <w:p w14:paraId="0DC3577B">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58FDF31B">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c>
          <w:tcPr>
            <w:tcW w:w="755" w:type="dxa"/>
            <w:tcBorders>
              <w:top w:val="single" w:color="auto" w:sz="4" w:space="0"/>
              <w:left w:val="single" w:color="auto" w:sz="4" w:space="0"/>
              <w:bottom w:val="single" w:color="auto" w:sz="4" w:space="0"/>
              <w:right w:val="single" w:color="auto" w:sz="4" w:space="0"/>
            </w:tcBorders>
            <w:vAlign w:val="center"/>
          </w:tcPr>
          <w:p w14:paraId="3FF276B5">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十</w:t>
            </w:r>
          </w:p>
          <w:p w14:paraId="7E6D89E2">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二</w:t>
            </w:r>
          </w:p>
          <w:p w14:paraId="5772C4B6">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个</w:t>
            </w:r>
          </w:p>
          <w:p w14:paraId="04B00590">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月</w:t>
            </w:r>
          </w:p>
        </w:tc>
      </w:tr>
      <w:tr w14:paraId="3D00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9" w:type="dxa"/>
            <w:tcBorders>
              <w:top w:val="single" w:color="auto" w:sz="4" w:space="0"/>
              <w:left w:val="single" w:color="auto" w:sz="4" w:space="0"/>
              <w:bottom w:val="single" w:color="auto" w:sz="4" w:space="0"/>
              <w:right w:val="single" w:color="auto" w:sz="4" w:space="0"/>
            </w:tcBorders>
            <w:vAlign w:val="center"/>
          </w:tcPr>
          <w:p w14:paraId="2D2EDCCE">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年费率的百分比</w:t>
            </w:r>
          </w:p>
        </w:tc>
        <w:tc>
          <w:tcPr>
            <w:tcW w:w="559" w:type="dxa"/>
            <w:tcBorders>
              <w:top w:val="single" w:color="auto" w:sz="4" w:space="0"/>
              <w:left w:val="single" w:color="auto" w:sz="4" w:space="0"/>
              <w:bottom w:val="single" w:color="auto" w:sz="4" w:space="0"/>
              <w:right w:val="single" w:color="auto" w:sz="4" w:space="0"/>
            </w:tcBorders>
            <w:vAlign w:val="center"/>
          </w:tcPr>
          <w:p w14:paraId="17939BBD">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10</w:t>
            </w:r>
          </w:p>
        </w:tc>
        <w:tc>
          <w:tcPr>
            <w:tcW w:w="628" w:type="dxa"/>
            <w:tcBorders>
              <w:top w:val="single" w:color="auto" w:sz="4" w:space="0"/>
              <w:left w:val="single" w:color="auto" w:sz="4" w:space="0"/>
              <w:bottom w:val="single" w:color="auto" w:sz="4" w:space="0"/>
              <w:right w:val="single" w:color="auto" w:sz="4" w:space="0"/>
            </w:tcBorders>
            <w:vAlign w:val="center"/>
          </w:tcPr>
          <w:p w14:paraId="05F69771">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20</w:t>
            </w:r>
          </w:p>
        </w:tc>
        <w:tc>
          <w:tcPr>
            <w:tcW w:w="586" w:type="dxa"/>
            <w:tcBorders>
              <w:top w:val="single" w:color="auto" w:sz="4" w:space="0"/>
              <w:left w:val="single" w:color="auto" w:sz="4" w:space="0"/>
              <w:bottom w:val="single" w:color="auto" w:sz="4" w:space="0"/>
              <w:right w:val="single" w:color="auto" w:sz="4" w:space="0"/>
            </w:tcBorders>
            <w:vAlign w:val="center"/>
          </w:tcPr>
          <w:p w14:paraId="25E26563">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30</w:t>
            </w:r>
          </w:p>
        </w:tc>
        <w:tc>
          <w:tcPr>
            <w:tcW w:w="559" w:type="dxa"/>
            <w:tcBorders>
              <w:top w:val="single" w:color="auto" w:sz="4" w:space="0"/>
              <w:left w:val="single" w:color="auto" w:sz="4" w:space="0"/>
              <w:bottom w:val="single" w:color="auto" w:sz="4" w:space="0"/>
              <w:right w:val="single" w:color="auto" w:sz="4" w:space="0"/>
            </w:tcBorders>
            <w:vAlign w:val="center"/>
          </w:tcPr>
          <w:p w14:paraId="31C06E26">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40</w:t>
            </w:r>
          </w:p>
        </w:tc>
        <w:tc>
          <w:tcPr>
            <w:tcW w:w="559" w:type="dxa"/>
            <w:tcBorders>
              <w:top w:val="single" w:color="auto" w:sz="4" w:space="0"/>
              <w:left w:val="single" w:color="auto" w:sz="4" w:space="0"/>
              <w:bottom w:val="single" w:color="auto" w:sz="4" w:space="0"/>
              <w:right w:val="single" w:color="auto" w:sz="4" w:space="0"/>
            </w:tcBorders>
            <w:vAlign w:val="center"/>
          </w:tcPr>
          <w:p w14:paraId="7B02CEA7">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50</w:t>
            </w:r>
          </w:p>
        </w:tc>
        <w:tc>
          <w:tcPr>
            <w:tcW w:w="600" w:type="dxa"/>
            <w:tcBorders>
              <w:top w:val="single" w:color="auto" w:sz="4" w:space="0"/>
              <w:left w:val="single" w:color="auto" w:sz="4" w:space="0"/>
              <w:bottom w:val="single" w:color="auto" w:sz="4" w:space="0"/>
              <w:right w:val="single" w:color="auto" w:sz="4" w:space="0"/>
            </w:tcBorders>
            <w:vAlign w:val="center"/>
          </w:tcPr>
          <w:p w14:paraId="5A69020B">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60</w:t>
            </w:r>
          </w:p>
        </w:tc>
        <w:tc>
          <w:tcPr>
            <w:tcW w:w="573" w:type="dxa"/>
            <w:tcBorders>
              <w:top w:val="single" w:color="auto" w:sz="4" w:space="0"/>
              <w:left w:val="single" w:color="auto" w:sz="4" w:space="0"/>
              <w:bottom w:val="single" w:color="auto" w:sz="4" w:space="0"/>
              <w:right w:val="single" w:color="auto" w:sz="4" w:space="0"/>
            </w:tcBorders>
            <w:vAlign w:val="center"/>
          </w:tcPr>
          <w:p w14:paraId="36410BBA">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70</w:t>
            </w:r>
          </w:p>
        </w:tc>
        <w:tc>
          <w:tcPr>
            <w:tcW w:w="600" w:type="dxa"/>
            <w:tcBorders>
              <w:top w:val="single" w:color="auto" w:sz="4" w:space="0"/>
              <w:left w:val="single" w:color="auto" w:sz="4" w:space="0"/>
              <w:bottom w:val="single" w:color="auto" w:sz="4" w:space="0"/>
              <w:right w:val="single" w:color="auto" w:sz="4" w:space="0"/>
            </w:tcBorders>
            <w:vAlign w:val="center"/>
          </w:tcPr>
          <w:p w14:paraId="5BF7E393">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80</w:t>
            </w:r>
          </w:p>
        </w:tc>
        <w:tc>
          <w:tcPr>
            <w:tcW w:w="627" w:type="dxa"/>
            <w:tcBorders>
              <w:top w:val="single" w:color="auto" w:sz="4" w:space="0"/>
              <w:left w:val="single" w:color="auto" w:sz="4" w:space="0"/>
              <w:bottom w:val="single" w:color="auto" w:sz="4" w:space="0"/>
              <w:right w:val="single" w:color="auto" w:sz="4" w:space="0"/>
            </w:tcBorders>
            <w:vAlign w:val="center"/>
          </w:tcPr>
          <w:p w14:paraId="185B783E">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85</w:t>
            </w:r>
          </w:p>
        </w:tc>
        <w:tc>
          <w:tcPr>
            <w:tcW w:w="540" w:type="dxa"/>
            <w:tcBorders>
              <w:top w:val="single" w:color="auto" w:sz="4" w:space="0"/>
              <w:left w:val="single" w:color="auto" w:sz="4" w:space="0"/>
              <w:bottom w:val="single" w:color="auto" w:sz="4" w:space="0"/>
              <w:right w:val="single" w:color="auto" w:sz="4" w:space="0"/>
            </w:tcBorders>
            <w:vAlign w:val="center"/>
          </w:tcPr>
          <w:p w14:paraId="647D9CD2">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90</w:t>
            </w:r>
          </w:p>
        </w:tc>
        <w:tc>
          <w:tcPr>
            <w:tcW w:w="537" w:type="dxa"/>
            <w:tcBorders>
              <w:top w:val="single" w:color="auto" w:sz="4" w:space="0"/>
              <w:left w:val="single" w:color="auto" w:sz="4" w:space="0"/>
              <w:bottom w:val="single" w:color="auto" w:sz="4" w:space="0"/>
              <w:right w:val="single" w:color="auto" w:sz="4" w:space="0"/>
            </w:tcBorders>
            <w:vAlign w:val="center"/>
          </w:tcPr>
          <w:p w14:paraId="0BF1D2D7">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95</w:t>
            </w:r>
          </w:p>
        </w:tc>
        <w:tc>
          <w:tcPr>
            <w:tcW w:w="755" w:type="dxa"/>
            <w:tcBorders>
              <w:top w:val="single" w:color="auto" w:sz="4" w:space="0"/>
              <w:left w:val="single" w:color="auto" w:sz="4" w:space="0"/>
              <w:bottom w:val="single" w:color="auto" w:sz="4" w:space="0"/>
              <w:right w:val="single" w:color="auto" w:sz="4" w:space="0"/>
            </w:tcBorders>
            <w:vAlign w:val="center"/>
          </w:tcPr>
          <w:p w14:paraId="4D9E868F">
            <w:pPr>
              <w:widowControl/>
              <w:adjustRightInd/>
              <w:snapToGrid w:val="0"/>
              <w:spacing w:line="360" w:lineRule="auto"/>
              <w:jc w:val="center"/>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100</w:t>
            </w:r>
          </w:p>
        </w:tc>
      </w:tr>
    </w:tbl>
    <w:p w14:paraId="13C9BB2E">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注：已承保期间不足一个月的部分按一个月计收。</w:t>
      </w:r>
    </w:p>
    <w:p w14:paraId="2B8B2D92">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（三） 权益丧失</w:t>
      </w:r>
    </w:p>
    <w:p w14:paraId="775313E6">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未发生保险事故，被保险人或者受益人谎称发生了保险事故，向保险人提出赔偿或者给付保险金请求的，保险人有权解除合同，并不退还保险费。</w:t>
      </w:r>
    </w:p>
    <w:p w14:paraId="0A0027AC">
      <w:pPr>
        <w:widowControl/>
        <w:adjustRightInd w:val="0"/>
        <w:snapToGrid w:val="0"/>
        <w:spacing w:line="360" w:lineRule="auto"/>
        <w:ind w:firstLine="422" w:firstLineChars="200"/>
        <w:jc w:val="left"/>
        <w:rPr>
          <w:rFonts w:ascii="宋体" w:hAnsi="宋体" w:eastAsia="宋体" w:cs="宋体"/>
          <w:b/>
          <w:color w:val="auto"/>
          <w:kern w:val="0"/>
          <w:sz w:val="24"/>
          <w:szCs w:val="21"/>
          <w:highlight w:val="none"/>
        </w:rPr>
      </w:pPr>
      <w:r>
        <w:rPr>
          <w:rFonts w:hint="eastAsia" w:ascii="宋体" w:hAnsi="宋体" w:eastAsia="宋体" w:cs="宋体"/>
          <w:b/>
          <w:color w:val="auto"/>
          <w:kern w:val="0"/>
          <w:sz w:val="21"/>
          <w:szCs w:val="21"/>
          <w:highlight w:val="none"/>
        </w:rPr>
        <w:t>保险事故发生后，投保人、被保险人或者受益人以伪造、变造的有关证明、资料或者其他证据，编造虚假的事故原因或者夸大损失程度的，保险人对其虚报的部分不承担赔偿或者给付保险金的责任。</w:t>
      </w:r>
    </w:p>
    <w:p w14:paraId="3B1E16C5">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（四） 合理查验</w:t>
      </w:r>
    </w:p>
    <w:p w14:paraId="2A3B2CA1">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被保险人应严格遵守国家公安消防等部门有关消防、安全生产操作、特种设备使用等方面的相关法律、法规及规定，加强管理，采取合理的预防措施，尽力避免或减少责任事故的发生。</w:t>
      </w:r>
    </w:p>
    <w:p w14:paraId="44D6B875">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保险人的代表有权在任何适当的时候对被保险人遵守前款约定的情况进行现场检查。被保险人应提供一切便利及保险人要求的用以评估有关风险的详情和资料。但上述查验并不构成保险人对被保险人的任何承诺。对于保险人向投保人、被保险人提出消除不安全因素和隐患的书面建议，投保人、被保险人应该认真付诸实施。</w:t>
      </w:r>
    </w:p>
    <w:p w14:paraId="5381A4D9">
      <w:pPr>
        <w:widowControl/>
        <w:adjustRightInd/>
        <w:snapToGrid w:val="0"/>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投保人、被保险人未遵守上述约定而导致保险事故的，保险人不承担赔偿责任；投保人、被保险人未遵守上述约定而导致损失扩大的，保险人对扩大部分的损失不承担赔偿责任。</w:t>
      </w:r>
    </w:p>
    <w:p w14:paraId="218677C8">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（五） 其他保险</w:t>
      </w:r>
    </w:p>
    <w:p w14:paraId="18AB0974">
      <w:pPr>
        <w:widowControl/>
        <w:adjustRightInd/>
        <w:snapToGrid w:val="0"/>
        <w:spacing w:line="360" w:lineRule="auto"/>
        <w:ind w:firstLine="420" w:firstLineChars="200"/>
        <w:jc w:val="left"/>
        <w:rPr>
          <w:rFonts w:ascii="宋体" w:hAnsi="宋体" w:eastAsia="宋体" w:cs="宋体"/>
          <w:b/>
          <w:color w:val="auto"/>
          <w:kern w:val="0"/>
          <w:sz w:val="24"/>
          <w:szCs w:val="21"/>
          <w:highlight w:val="none"/>
          <w:lang w:val="zh-CN"/>
        </w:rPr>
      </w:pPr>
      <w:r>
        <w:rPr>
          <w:rFonts w:hint="eastAsia" w:ascii="宋体" w:hAnsi="宋体" w:eastAsia="宋体" w:cs="宋体"/>
          <w:color w:val="auto"/>
          <w:kern w:val="0"/>
          <w:sz w:val="21"/>
          <w:szCs w:val="21"/>
          <w:highlight w:val="none"/>
        </w:rPr>
        <w:t>本保险单负责赔偿损失、费用或责任时，若另有其他保障相同的保险存在，不论是否由被保险人或他人以其名义投保，也不论该保险赔偿与否，本保险单仅负责按比例分摊赔偿的责任。</w:t>
      </w:r>
      <w:r>
        <w:rPr>
          <w:rFonts w:hint="eastAsia" w:ascii="宋体" w:hAnsi="宋体" w:eastAsia="宋体" w:cs="宋体"/>
          <w:b/>
          <w:color w:val="auto"/>
          <w:kern w:val="0"/>
          <w:sz w:val="21"/>
          <w:szCs w:val="21"/>
          <w:highlight w:val="none"/>
          <w:lang w:val="zh-CN"/>
        </w:rPr>
        <w:t>其他保险人应承担的赔偿金额，本保险人不负责垫付。</w:t>
      </w:r>
    </w:p>
    <w:p w14:paraId="7D14E397">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被保险人在请求赔偿时应当如实向保险人说明与本保险合同保险责任有关的其他保险合同的情况。</w:t>
      </w:r>
      <w:r>
        <w:rPr>
          <w:rFonts w:hint="eastAsia" w:ascii="宋体" w:hAnsi="宋体" w:eastAsia="宋体" w:cs="宋体"/>
          <w:b/>
          <w:color w:val="auto"/>
          <w:kern w:val="0"/>
          <w:sz w:val="21"/>
          <w:szCs w:val="21"/>
          <w:highlight w:val="none"/>
        </w:rPr>
        <w:t>对未如实说明导致保险人多支付保险金的，保险人有权向被保险人追回多支付的部分。</w:t>
      </w:r>
    </w:p>
    <w:p w14:paraId="40EB7B22">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（六） 代位求偿</w:t>
      </w:r>
    </w:p>
    <w:p w14:paraId="2BFC25DF">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发生保险责任范围内的损失，应由有关责任方负责赔偿的，保险人自向被保险人赔偿保险金之日起，在赔偿金额范围内代位行使被保险人对有关责任方请求赔偿的权利，被保险人应当向保险人提供必要的文件和所知道的有关情况。</w:t>
      </w:r>
    </w:p>
    <w:p w14:paraId="6FDDFB74">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被保险人已经从有关责任方取得赔偿的，保险人赔偿保险金时，可以相应扣减被保险人已从有关责任方取得的赔偿金额。</w:t>
      </w:r>
    </w:p>
    <w:p w14:paraId="332A5B62">
      <w:pPr>
        <w:widowControl/>
        <w:adjustRightInd w:val="0"/>
        <w:snapToGrid w:val="0"/>
        <w:spacing w:line="360" w:lineRule="auto"/>
        <w:ind w:firstLine="422" w:firstLineChars="200"/>
        <w:jc w:val="left"/>
        <w:rPr>
          <w:rFonts w:ascii="宋体" w:hAnsi="宋体" w:eastAsia="宋体" w:cs="宋体"/>
          <w:color w:val="auto"/>
          <w:kern w:val="0"/>
          <w:sz w:val="24"/>
          <w:szCs w:val="21"/>
          <w:highlight w:val="none"/>
        </w:rPr>
      </w:pPr>
      <w:r>
        <w:rPr>
          <w:rFonts w:hint="eastAsia" w:ascii="宋体" w:hAnsi="宋体" w:eastAsia="宋体" w:cs="宋体"/>
          <w:b/>
          <w:color w:val="auto"/>
          <w:kern w:val="0"/>
          <w:sz w:val="21"/>
          <w:szCs w:val="21"/>
          <w:highlight w:val="none"/>
        </w:rPr>
        <w:t>保险事故发生后，在保险人未赔偿保险金之前，被保险人放弃对有关责任方请求赔偿权利的，保险人不承担赔偿责任；</w:t>
      </w:r>
      <w:r>
        <w:rPr>
          <w:rFonts w:hint="eastAsia" w:ascii="宋体" w:hAnsi="宋体" w:eastAsia="宋体" w:cs="宋体"/>
          <w:color w:val="auto"/>
          <w:kern w:val="0"/>
          <w:sz w:val="21"/>
          <w:szCs w:val="21"/>
          <w:highlight w:val="none"/>
        </w:rPr>
        <w:t>保险人向被保险人赔偿保险金后，被保险人未经保险人同意放弃对有关责任方请求赔偿权利的，该行为无效；由于被保险人故意或者因重大过失致使保险人不能行使代位请求赔偿的权利的，保险人可以扣减或者要求返还相应的保险金。</w:t>
      </w:r>
    </w:p>
    <w:p w14:paraId="60774568">
      <w:pPr>
        <w:widowControl/>
        <w:adjustRightInd w:val="0"/>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（七） 争议处理</w:t>
      </w:r>
    </w:p>
    <w:p w14:paraId="5B6AA572">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1.因履行本保险合同发生的争议，由当事人协商解决。协商不成的，</w:t>
      </w:r>
      <w:r>
        <w:rPr>
          <w:rFonts w:hint="eastAsia" w:ascii="宋体" w:hAnsi="宋体" w:eastAsia="宋体" w:cs="宋体"/>
          <w:color w:val="auto"/>
          <w:kern w:val="0"/>
          <w:sz w:val="21"/>
          <w:szCs w:val="21"/>
          <w:highlight w:val="none"/>
          <w:lang w:val="en-US" w:eastAsia="zh-CN"/>
        </w:rPr>
        <w:t>向绍兴仲裁委员会申请仲裁。</w:t>
      </w:r>
    </w:p>
    <w:p w14:paraId="3E20EE21">
      <w:pPr>
        <w:widowControl/>
        <w:adjustRightInd/>
        <w:snapToGrid w:val="0"/>
        <w:spacing w:line="360" w:lineRule="auto"/>
        <w:ind w:firstLine="42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1"/>
          <w:szCs w:val="21"/>
          <w:highlight w:val="none"/>
        </w:rPr>
        <w:t>2.本保险合同的争议处理适用中华人民共和国法律（不包括港澳台地区法律）。</w:t>
      </w:r>
    </w:p>
    <w:p w14:paraId="707D0528">
      <w:pPr>
        <w:widowControl/>
        <w:adjustRightInd/>
        <w:spacing w:line="360" w:lineRule="auto"/>
        <w:ind w:firstLine="422" w:firstLineChars="200"/>
        <w:jc w:val="left"/>
        <w:rPr>
          <w:rFonts w:ascii="宋体" w:hAnsi="宋体" w:eastAsia="宋体" w:cs="宋体"/>
          <w:color w:val="auto"/>
          <w:kern w:val="0"/>
          <w:sz w:val="21"/>
          <w:szCs w:val="21"/>
          <w:highlight w:val="none"/>
        </w:rPr>
      </w:pPr>
      <w:bookmarkStart w:id="142" w:name="_Toc98443924"/>
      <w:bookmarkStart w:id="143" w:name="_Toc334029219"/>
      <w:bookmarkStart w:id="144" w:name="_Toc24028"/>
      <w:bookmarkStart w:id="145" w:name="_Toc333931496"/>
      <w:r>
        <w:rPr>
          <w:rFonts w:hint="eastAsia" w:ascii="宋体" w:hAnsi="宋体" w:eastAsia="宋体" w:cs="宋体"/>
          <w:b/>
          <w:bCs/>
          <w:color w:val="auto"/>
          <w:kern w:val="0"/>
          <w:sz w:val="21"/>
          <w:szCs w:val="21"/>
          <w:highlight w:val="none"/>
        </w:rPr>
        <w:t>附录：伤亡赔偿比例表</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3600"/>
        <w:gridCol w:w="3070"/>
      </w:tblGrid>
      <w:tr w14:paraId="3D40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66EFBA58">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w:t>
            </w:r>
            <w:r>
              <w:rPr>
                <w:rFonts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rPr>
              <w:t>目</w:t>
            </w:r>
          </w:p>
        </w:tc>
        <w:tc>
          <w:tcPr>
            <w:tcW w:w="3600" w:type="dxa"/>
            <w:tcBorders>
              <w:top w:val="single" w:color="auto" w:sz="4" w:space="0"/>
              <w:left w:val="single" w:color="auto" w:sz="4" w:space="0"/>
              <w:bottom w:val="single" w:color="auto" w:sz="4" w:space="0"/>
              <w:right w:val="single" w:color="auto" w:sz="4" w:space="0"/>
            </w:tcBorders>
            <w:vAlign w:val="center"/>
          </w:tcPr>
          <w:p w14:paraId="7FBB0966">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伤害程度</w:t>
            </w:r>
          </w:p>
        </w:tc>
        <w:tc>
          <w:tcPr>
            <w:tcW w:w="3070" w:type="dxa"/>
            <w:tcBorders>
              <w:top w:val="single" w:color="auto" w:sz="4" w:space="0"/>
              <w:left w:val="single" w:color="auto" w:sz="4" w:space="0"/>
              <w:bottom w:val="single" w:color="auto" w:sz="4" w:space="0"/>
              <w:right w:val="single" w:color="auto" w:sz="4" w:space="0"/>
            </w:tcBorders>
            <w:vAlign w:val="center"/>
          </w:tcPr>
          <w:p w14:paraId="6D0FEEBD">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保险合同约定每人伤亡</w:t>
            </w:r>
          </w:p>
          <w:p w14:paraId="227695C2">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责任限额的百分比</w:t>
            </w:r>
          </w:p>
        </w:tc>
      </w:tr>
      <w:tr w14:paraId="0D10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5A479B62">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w:t>
            </w:r>
          </w:p>
        </w:tc>
        <w:tc>
          <w:tcPr>
            <w:tcW w:w="3600" w:type="dxa"/>
            <w:tcBorders>
              <w:top w:val="single" w:color="auto" w:sz="4" w:space="0"/>
              <w:left w:val="single" w:color="auto" w:sz="4" w:space="0"/>
              <w:bottom w:val="single" w:color="auto" w:sz="4" w:space="0"/>
              <w:right w:val="single" w:color="auto" w:sz="4" w:space="0"/>
            </w:tcBorders>
            <w:vAlign w:val="center"/>
          </w:tcPr>
          <w:p w14:paraId="07569996">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死亡</w:t>
            </w:r>
          </w:p>
        </w:tc>
        <w:tc>
          <w:tcPr>
            <w:tcW w:w="3070" w:type="dxa"/>
            <w:tcBorders>
              <w:top w:val="single" w:color="auto" w:sz="4" w:space="0"/>
              <w:left w:val="single" w:color="auto" w:sz="4" w:space="0"/>
              <w:bottom w:val="single" w:color="auto" w:sz="4" w:space="0"/>
              <w:right w:val="single" w:color="auto" w:sz="4" w:space="0"/>
            </w:tcBorders>
            <w:vAlign w:val="center"/>
          </w:tcPr>
          <w:p w14:paraId="2239B7FA">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100%</w:t>
            </w:r>
          </w:p>
        </w:tc>
      </w:tr>
      <w:tr w14:paraId="741C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4690BB34">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w:t>
            </w:r>
          </w:p>
        </w:tc>
        <w:tc>
          <w:tcPr>
            <w:tcW w:w="3600" w:type="dxa"/>
            <w:tcBorders>
              <w:top w:val="single" w:color="auto" w:sz="4" w:space="0"/>
              <w:left w:val="single" w:color="auto" w:sz="4" w:space="0"/>
              <w:bottom w:val="single" w:color="auto" w:sz="4" w:space="0"/>
              <w:right w:val="single" w:color="auto" w:sz="4" w:space="0"/>
            </w:tcBorders>
            <w:vAlign w:val="center"/>
          </w:tcPr>
          <w:p w14:paraId="374EDC42">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永久丧失工作能力或一级伤残</w:t>
            </w:r>
          </w:p>
        </w:tc>
        <w:tc>
          <w:tcPr>
            <w:tcW w:w="3070" w:type="dxa"/>
            <w:tcBorders>
              <w:top w:val="single" w:color="auto" w:sz="4" w:space="0"/>
              <w:left w:val="single" w:color="auto" w:sz="4" w:space="0"/>
              <w:bottom w:val="single" w:color="auto" w:sz="4" w:space="0"/>
              <w:right w:val="single" w:color="auto" w:sz="4" w:space="0"/>
            </w:tcBorders>
            <w:vAlign w:val="center"/>
          </w:tcPr>
          <w:p w14:paraId="7D87E2B9">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100%</w:t>
            </w:r>
          </w:p>
        </w:tc>
      </w:tr>
      <w:tr w14:paraId="304A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1D7ABB61">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w:t>
            </w:r>
          </w:p>
        </w:tc>
        <w:tc>
          <w:tcPr>
            <w:tcW w:w="3600" w:type="dxa"/>
            <w:tcBorders>
              <w:top w:val="single" w:color="auto" w:sz="4" w:space="0"/>
              <w:left w:val="single" w:color="auto" w:sz="4" w:space="0"/>
              <w:bottom w:val="single" w:color="auto" w:sz="4" w:space="0"/>
              <w:right w:val="single" w:color="auto" w:sz="4" w:space="0"/>
            </w:tcBorders>
            <w:vAlign w:val="center"/>
          </w:tcPr>
          <w:p w14:paraId="7362BE5B">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二级伤残</w:t>
            </w:r>
          </w:p>
        </w:tc>
        <w:tc>
          <w:tcPr>
            <w:tcW w:w="3070" w:type="dxa"/>
            <w:tcBorders>
              <w:top w:val="single" w:color="auto" w:sz="4" w:space="0"/>
              <w:left w:val="single" w:color="auto" w:sz="4" w:space="0"/>
              <w:bottom w:val="single" w:color="auto" w:sz="4" w:space="0"/>
              <w:right w:val="single" w:color="auto" w:sz="4" w:space="0"/>
            </w:tcBorders>
            <w:vAlign w:val="center"/>
          </w:tcPr>
          <w:p w14:paraId="36970521">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90%</w:t>
            </w:r>
          </w:p>
        </w:tc>
      </w:tr>
      <w:tr w14:paraId="25ECD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0A6FDA75">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w:t>
            </w:r>
          </w:p>
        </w:tc>
        <w:tc>
          <w:tcPr>
            <w:tcW w:w="3600" w:type="dxa"/>
            <w:tcBorders>
              <w:top w:val="single" w:color="auto" w:sz="4" w:space="0"/>
              <w:left w:val="single" w:color="auto" w:sz="4" w:space="0"/>
              <w:bottom w:val="single" w:color="auto" w:sz="4" w:space="0"/>
              <w:right w:val="single" w:color="auto" w:sz="4" w:space="0"/>
            </w:tcBorders>
            <w:vAlign w:val="center"/>
          </w:tcPr>
          <w:p w14:paraId="20823BE7">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三级伤残</w:t>
            </w:r>
          </w:p>
        </w:tc>
        <w:tc>
          <w:tcPr>
            <w:tcW w:w="3070" w:type="dxa"/>
            <w:tcBorders>
              <w:top w:val="single" w:color="auto" w:sz="4" w:space="0"/>
              <w:left w:val="single" w:color="auto" w:sz="4" w:space="0"/>
              <w:bottom w:val="single" w:color="auto" w:sz="4" w:space="0"/>
              <w:right w:val="single" w:color="auto" w:sz="4" w:space="0"/>
            </w:tcBorders>
            <w:vAlign w:val="center"/>
          </w:tcPr>
          <w:p w14:paraId="1EBF9B3F">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80%</w:t>
            </w:r>
          </w:p>
        </w:tc>
      </w:tr>
      <w:tr w14:paraId="4AE1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1D79C6B4">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w:t>
            </w:r>
          </w:p>
        </w:tc>
        <w:tc>
          <w:tcPr>
            <w:tcW w:w="3600" w:type="dxa"/>
            <w:tcBorders>
              <w:top w:val="single" w:color="auto" w:sz="4" w:space="0"/>
              <w:left w:val="single" w:color="auto" w:sz="4" w:space="0"/>
              <w:bottom w:val="single" w:color="auto" w:sz="4" w:space="0"/>
              <w:right w:val="single" w:color="auto" w:sz="4" w:space="0"/>
            </w:tcBorders>
            <w:vAlign w:val="center"/>
          </w:tcPr>
          <w:p w14:paraId="719C8B62">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四级伤残</w:t>
            </w:r>
          </w:p>
        </w:tc>
        <w:tc>
          <w:tcPr>
            <w:tcW w:w="3070" w:type="dxa"/>
            <w:tcBorders>
              <w:top w:val="single" w:color="auto" w:sz="4" w:space="0"/>
              <w:left w:val="single" w:color="auto" w:sz="4" w:space="0"/>
              <w:bottom w:val="single" w:color="auto" w:sz="4" w:space="0"/>
              <w:right w:val="single" w:color="auto" w:sz="4" w:space="0"/>
            </w:tcBorders>
            <w:vAlign w:val="center"/>
          </w:tcPr>
          <w:p w14:paraId="2A9EFE6B">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70%</w:t>
            </w:r>
          </w:p>
        </w:tc>
      </w:tr>
      <w:tr w14:paraId="31E7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211F8AB9">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w:t>
            </w:r>
          </w:p>
        </w:tc>
        <w:tc>
          <w:tcPr>
            <w:tcW w:w="3600" w:type="dxa"/>
            <w:tcBorders>
              <w:top w:val="single" w:color="auto" w:sz="4" w:space="0"/>
              <w:left w:val="single" w:color="auto" w:sz="4" w:space="0"/>
              <w:bottom w:val="single" w:color="auto" w:sz="4" w:space="0"/>
              <w:right w:val="single" w:color="auto" w:sz="4" w:space="0"/>
            </w:tcBorders>
            <w:vAlign w:val="center"/>
          </w:tcPr>
          <w:p w14:paraId="3CEE10DC">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五级伤残</w:t>
            </w:r>
          </w:p>
        </w:tc>
        <w:tc>
          <w:tcPr>
            <w:tcW w:w="3070" w:type="dxa"/>
            <w:tcBorders>
              <w:top w:val="single" w:color="auto" w:sz="4" w:space="0"/>
              <w:left w:val="single" w:color="auto" w:sz="4" w:space="0"/>
              <w:bottom w:val="single" w:color="auto" w:sz="4" w:space="0"/>
              <w:right w:val="single" w:color="auto" w:sz="4" w:space="0"/>
            </w:tcBorders>
            <w:vAlign w:val="center"/>
          </w:tcPr>
          <w:p w14:paraId="4F8D3418">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60%</w:t>
            </w:r>
          </w:p>
        </w:tc>
      </w:tr>
      <w:tr w14:paraId="4E35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4216CC84">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w:t>
            </w:r>
          </w:p>
        </w:tc>
        <w:tc>
          <w:tcPr>
            <w:tcW w:w="3600" w:type="dxa"/>
            <w:tcBorders>
              <w:top w:val="single" w:color="auto" w:sz="4" w:space="0"/>
              <w:left w:val="single" w:color="auto" w:sz="4" w:space="0"/>
              <w:bottom w:val="single" w:color="auto" w:sz="4" w:space="0"/>
              <w:right w:val="single" w:color="auto" w:sz="4" w:space="0"/>
            </w:tcBorders>
            <w:vAlign w:val="center"/>
          </w:tcPr>
          <w:p w14:paraId="15A98DE7">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六级伤残</w:t>
            </w:r>
          </w:p>
        </w:tc>
        <w:tc>
          <w:tcPr>
            <w:tcW w:w="3070" w:type="dxa"/>
            <w:tcBorders>
              <w:top w:val="single" w:color="auto" w:sz="4" w:space="0"/>
              <w:left w:val="single" w:color="auto" w:sz="4" w:space="0"/>
              <w:bottom w:val="single" w:color="auto" w:sz="4" w:space="0"/>
              <w:right w:val="single" w:color="auto" w:sz="4" w:space="0"/>
            </w:tcBorders>
            <w:vAlign w:val="center"/>
          </w:tcPr>
          <w:p w14:paraId="790EBBC9">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50%</w:t>
            </w:r>
          </w:p>
        </w:tc>
      </w:tr>
      <w:tr w14:paraId="3387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412A689B">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（八）</w:t>
            </w:r>
          </w:p>
        </w:tc>
        <w:tc>
          <w:tcPr>
            <w:tcW w:w="3600" w:type="dxa"/>
            <w:tcBorders>
              <w:top w:val="single" w:color="auto" w:sz="4" w:space="0"/>
              <w:left w:val="single" w:color="auto" w:sz="4" w:space="0"/>
              <w:bottom w:val="single" w:color="auto" w:sz="4" w:space="0"/>
              <w:right w:val="single" w:color="auto" w:sz="4" w:space="0"/>
            </w:tcBorders>
            <w:vAlign w:val="center"/>
          </w:tcPr>
          <w:p w14:paraId="2CDEC317">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七级伤残</w:t>
            </w:r>
          </w:p>
        </w:tc>
        <w:tc>
          <w:tcPr>
            <w:tcW w:w="3070" w:type="dxa"/>
            <w:tcBorders>
              <w:top w:val="single" w:color="auto" w:sz="4" w:space="0"/>
              <w:left w:val="single" w:color="auto" w:sz="4" w:space="0"/>
              <w:bottom w:val="single" w:color="auto" w:sz="4" w:space="0"/>
              <w:right w:val="single" w:color="auto" w:sz="4" w:space="0"/>
            </w:tcBorders>
            <w:vAlign w:val="center"/>
          </w:tcPr>
          <w:p w14:paraId="0B711D95">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40%</w:t>
            </w:r>
          </w:p>
        </w:tc>
      </w:tr>
      <w:tr w14:paraId="43FD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1DA117A9">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（九）</w:t>
            </w:r>
          </w:p>
        </w:tc>
        <w:tc>
          <w:tcPr>
            <w:tcW w:w="3600" w:type="dxa"/>
            <w:tcBorders>
              <w:top w:val="single" w:color="auto" w:sz="4" w:space="0"/>
              <w:left w:val="single" w:color="auto" w:sz="4" w:space="0"/>
              <w:bottom w:val="single" w:color="auto" w:sz="4" w:space="0"/>
              <w:right w:val="single" w:color="auto" w:sz="4" w:space="0"/>
            </w:tcBorders>
            <w:vAlign w:val="center"/>
          </w:tcPr>
          <w:p w14:paraId="6D21532C">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八级伤残</w:t>
            </w:r>
          </w:p>
        </w:tc>
        <w:tc>
          <w:tcPr>
            <w:tcW w:w="3070" w:type="dxa"/>
            <w:tcBorders>
              <w:top w:val="single" w:color="auto" w:sz="4" w:space="0"/>
              <w:left w:val="single" w:color="auto" w:sz="4" w:space="0"/>
              <w:bottom w:val="single" w:color="auto" w:sz="4" w:space="0"/>
              <w:right w:val="single" w:color="auto" w:sz="4" w:space="0"/>
            </w:tcBorders>
            <w:vAlign w:val="center"/>
          </w:tcPr>
          <w:p w14:paraId="71FF8BED">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30%</w:t>
            </w:r>
          </w:p>
        </w:tc>
      </w:tr>
      <w:tr w14:paraId="170F6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270B2503">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w:t>
            </w:r>
          </w:p>
        </w:tc>
        <w:tc>
          <w:tcPr>
            <w:tcW w:w="3600" w:type="dxa"/>
            <w:tcBorders>
              <w:top w:val="single" w:color="auto" w:sz="4" w:space="0"/>
              <w:left w:val="single" w:color="auto" w:sz="4" w:space="0"/>
              <w:bottom w:val="single" w:color="auto" w:sz="4" w:space="0"/>
              <w:right w:val="single" w:color="auto" w:sz="4" w:space="0"/>
            </w:tcBorders>
            <w:vAlign w:val="center"/>
          </w:tcPr>
          <w:p w14:paraId="78628B4F">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九级伤残</w:t>
            </w:r>
          </w:p>
        </w:tc>
        <w:tc>
          <w:tcPr>
            <w:tcW w:w="3070" w:type="dxa"/>
            <w:tcBorders>
              <w:top w:val="single" w:color="auto" w:sz="4" w:space="0"/>
              <w:left w:val="single" w:color="auto" w:sz="4" w:space="0"/>
              <w:bottom w:val="single" w:color="auto" w:sz="4" w:space="0"/>
              <w:right w:val="single" w:color="auto" w:sz="4" w:space="0"/>
            </w:tcBorders>
            <w:vAlign w:val="center"/>
          </w:tcPr>
          <w:p w14:paraId="32B5BAA9">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20%</w:t>
            </w:r>
          </w:p>
        </w:tc>
      </w:tr>
      <w:tr w14:paraId="7230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Borders>
              <w:top w:val="single" w:color="auto" w:sz="4" w:space="0"/>
              <w:left w:val="single" w:color="auto" w:sz="4" w:space="0"/>
              <w:bottom w:val="single" w:color="auto" w:sz="4" w:space="0"/>
              <w:right w:val="single" w:color="auto" w:sz="4" w:space="0"/>
            </w:tcBorders>
            <w:vAlign w:val="center"/>
          </w:tcPr>
          <w:p w14:paraId="4DAF56D3">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（十一）</w:t>
            </w:r>
          </w:p>
        </w:tc>
        <w:tc>
          <w:tcPr>
            <w:tcW w:w="3600" w:type="dxa"/>
            <w:tcBorders>
              <w:top w:val="single" w:color="auto" w:sz="4" w:space="0"/>
              <w:left w:val="single" w:color="auto" w:sz="4" w:space="0"/>
              <w:bottom w:val="single" w:color="auto" w:sz="4" w:space="0"/>
              <w:right w:val="single" w:color="auto" w:sz="4" w:space="0"/>
            </w:tcBorders>
            <w:vAlign w:val="center"/>
          </w:tcPr>
          <w:p w14:paraId="3079E951">
            <w:pPr>
              <w:widowControl/>
              <w:adjustRightInd/>
              <w:spacing w:line="360" w:lineRule="auto"/>
              <w:ind w:firstLine="240"/>
              <w:jc w:val="center"/>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十级伤残</w:t>
            </w:r>
          </w:p>
        </w:tc>
        <w:tc>
          <w:tcPr>
            <w:tcW w:w="3070" w:type="dxa"/>
            <w:tcBorders>
              <w:top w:val="single" w:color="auto" w:sz="4" w:space="0"/>
              <w:left w:val="single" w:color="auto" w:sz="4" w:space="0"/>
              <w:bottom w:val="single" w:color="auto" w:sz="4" w:space="0"/>
              <w:right w:val="single" w:color="auto" w:sz="4" w:space="0"/>
            </w:tcBorders>
            <w:vAlign w:val="center"/>
          </w:tcPr>
          <w:p w14:paraId="562DC039">
            <w:pPr>
              <w:widowControl/>
              <w:adjustRightInd/>
              <w:spacing w:line="360" w:lineRule="auto"/>
              <w:ind w:firstLine="240"/>
              <w:jc w:val="center"/>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10%</w:t>
            </w:r>
          </w:p>
        </w:tc>
      </w:tr>
    </w:tbl>
    <w:p w14:paraId="4630D235">
      <w:pPr>
        <w:widowControl/>
        <w:adjustRightInd/>
        <w:spacing w:line="360" w:lineRule="auto"/>
        <w:jc w:val="left"/>
        <w:rPr>
          <w:rFonts w:ascii="宋体" w:hAnsi="宋体" w:eastAsia="宋体" w:cs="仿宋"/>
          <w:b/>
          <w:bCs/>
          <w:color w:val="auto"/>
          <w:kern w:val="0"/>
          <w:sz w:val="24"/>
          <w:szCs w:val="21"/>
          <w:highlight w:val="none"/>
        </w:rPr>
      </w:pPr>
      <w:r>
        <w:rPr>
          <w:rFonts w:hint="eastAsia" w:ascii="宋体" w:hAnsi="宋体" w:eastAsia="宋体" w:cs="仿宋"/>
          <w:b/>
          <w:bCs/>
          <w:color w:val="auto"/>
          <w:kern w:val="0"/>
          <w:sz w:val="24"/>
          <w:szCs w:val="21"/>
          <w:highlight w:val="none"/>
        </w:rPr>
        <w:br w:type="page"/>
      </w:r>
    </w:p>
    <w:p w14:paraId="2C668A16">
      <w:pPr>
        <w:widowControl/>
        <w:adjustRightInd/>
        <w:spacing w:line="360" w:lineRule="auto"/>
        <w:jc w:val="center"/>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公众责任险附加条款</w:t>
      </w:r>
      <w:bookmarkEnd w:id="142"/>
      <w:bookmarkEnd w:id="143"/>
      <w:bookmarkEnd w:id="144"/>
      <w:bookmarkEnd w:id="145"/>
    </w:p>
    <w:p w14:paraId="6FD470D9">
      <w:pPr>
        <w:widowControl w:val="0"/>
        <w:overflowPunct/>
        <w:autoSpaceDE/>
        <w:autoSpaceDN/>
        <w:adjustRightInd/>
        <w:spacing w:before="0" w:after="0" w:line="360" w:lineRule="auto"/>
        <w:ind w:left="0" w:firstLine="420" w:firstLineChars="200"/>
        <w:jc w:val="both"/>
        <w:textAlignment w:val="auto"/>
        <w:rPr>
          <w:rFonts w:ascii="宋体" w:hAnsi="Times New Roman" w:eastAsia="宋体" w:cs="宋体"/>
          <w:bCs/>
          <w:color w:val="auto"/>
          <w:kern w:val="2"/>
          <w:sz w:val="21"/>
          <w:szCs w:val="21"/>
          <w:highlight w:val="none"/>
          <w:lang w:val="en-US" w:eastAsia="zh-CN" w:bidi="ar-SA"/>
        </w:rPr>
      </w:pPr>
      <w:r>
        <w:rPr>
          <w:rFonts w:hint="eastAsia" w:ascii="宋体" w:hAnsi="Times New Roman" w:eastAsia="宋体" w:cs="宋体"/>
          <w:bCs/>
          <w:color w:val="auto"/>
          <w:kern w:val="2"/>
          <w:sz w:val="21"/>
          <w:szCs w:val="21"/>
          <w:highlight w:val="none"/>
          <w:lang w:val="en-US" w:eastAsia="zh-CN" w:bidi="ar-SA"/>
        </w:rPr>
        <w:t>下列附加条款适用于本保险单的各个部分，若其与本保险单的其他规定相冲突，则以下列附加条款为准。</w:t>
      </w:r>
    </w:p>
    <w:p w14:paraId="77B987D1">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1、广告招牌及装饰物责任条款</w:t>
      </w:r>
    </w:p>
    <w:p w14:paraId="468AE0D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兹经双方同意，本保险扩展承保完全由于拥有、维护或使用位于</w:t>
      </w:r>
      <w:r>
        <w:rPr>
          <w:rFonts w:hint="eastAsia" w:ascii="宋体" w:hAnsi="宋体" w:eastAsia="宋体" w:cs="宋体"/>
          <w:color w:val="auto"/>
          <w:kern w:val="0"/>
          <w:sz w:val="21"/>
          <w:szCs w:val="21"/>
          <w:highlight w:val="none"/>
        </w:rPr>
        <w:t>绍兴市内</w:t>
      </w:r>
      <w:r>
        <w:rPr>
          <w:rFonts w:hint="eastAsia" w:ascii="宋体" w:hAnsi="宋体" w:eastAsia="宋体" w:cs="宋体"/>
          <w:bCs/>
          <w:color w:val="auto"/>
          <w:kern w:val="0"/>
          <w:sz w:val="21"/>
          <w:szCs w:val="21"/>
          <w:highlight w:val="none"/>
        </w:rPr>
        <w:t>任何地方，处在或不处在被保险人场所内的霓虹或广告招牌及装饰物造成人身伤害或财产损失时，列明被保险人应负的赔偿责任，但以下列规定为条件：</w:t>
      </w:r>
    </w:p>
    <w:p w14:paraId="4D99FD5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（1）如果任何霓虹或广告招牌及装饰物正处在列明被保险人或代表其进行的安装、维修或修理过程中，则本保险不适用。</w:t>
      </w:r>
    </w:p>
    <w:p w14:paraId="0CFD5AA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列明被保险人应保证遵守所有的法令、法规、条例及规章，并保证在任何时候，霓虹或广告招牌及装饰物均处于良好的维修状态，任何缺陷一经发现，列明被保险人应立即予以修复，同时视情况需要采取额外防护措施以预防事故发生，且非经保险人同意招牌的位置不得变更。</w:t>
      </w:r>
    </w:p>
    <w:p w14:paraId="1ED6067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（3）在合理和可行的情况下，非经保险人同意，意外事故发生后，在给予保险人进行检查的机会之前，不得对上述霓虹或广告招牌及装饰物进行变更或修理。</w:t>
      </w:r>
    </w:p>
    <w:p w14:paraId="67352FF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C39ACA0">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2、机车事故责任条款</w:t>
      </w:r>
    </w:p>
    <w:p w14:paraId="05AF64A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兹经双方同意，本保险扩展承保被保险人所拥有的机车类保险标的因发生意外事故造成第三者人身伤亡和财产损失时所引致的赔偿责任，包括车上人员责任。</w:t>
      </w:r>
    </w:p>
    <w:p w14:paraId="18A05A3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由于下列原因造成的第三者损害赔偿责任损失，本保单不负责赔偿：</w:t>
      </w:r>
    </w:p>
    <w:p w14:paraId="41114B7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（1）被保险人的故意行为。</w:t>
      </w:r>
    </w:p>
    <w:p w14:paraId="2DED6B3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（2）因意外事故造成的被保险人或第三者停业、停驶、停水、停气、停产损失以及其他各种间接损失。</w:t>
      </w:r>
    </w:p>
    <w:p w14:paraId="08AA410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179A42F">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3、第一受益人条款</w:t>
      </w:r>
    </w:p>
    <w:p w14:paraId="3FCB743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兹经双方同意，保险人同意将被保险人——绍兴市轨道交通集团有限公司及其分公司作为本保险单项下的第一赔款受益人。</w:t>
      </w:r>
    </w:p>
    <w:p w14:paraId="5A1011B1">
      <w:pPr>
        <w:widowControl/>
        <w:tabs>
          <w:tab w:val="left" w:pos="780"/>
        </w:tabs>
        <w:adjustRightInd/>
        <w:spacing w:line="360" w:lineRule="auto"/>
        <w:ind w:firstLine="480" w:firstLineChars="200"/>
        <w:jc w:val="left"/>
        <w:rPr>
          <w:rFonts w:ascii="宋体" w:hAnsi="宋体" w:eastAsia="宋体" w:cs="宋体"/>
          <w:bCs/>
          <w:color w:val="auto"/>
          <w:kern w:val="0"/>
          <w:sz w:val="24"/>
          <w:szCs w:val="21"/>
          <w:highlight w:val="none"/>
        </w:rPr>
      </w:pPr>
      <w:r>
        <w:rPr>
          <w:rFonts w:hint="eastAsia" w:ascii="宋体" w:hAnsi="宋体" w:eastAsia="宋体" w:cs="宋体"/>
          <w:color w:val="auto"/>
          <w:kern w:val="0"/>
          <w:sz w:val="24"/>
          <w:highlight w:val="none"/>
          <w:lang w:val="zh-CN"/>
        </w:rPr>
        <w:t>保险有效期内，如果</w:t>
      </w:r>
      <w:r>
        <w:rPr>
          <w:rFonts w:hint="eastAsia" w:ascii="宋体" w:hAnsi="宋体" w:eastAsia="宋体" w:cs="宋体"/>
          <w:bCs/>
          <w:color w:val="auto"/>
          <w:kern w:val="0"/>
          <w:sz w:val="21"/>
          <w:szCs w:val="21"/>
          <w:highlight w:val="none"/>
        </w:rPr>
        <w:t>绍兴市轨道交通集团有限公司及其分公司</w:t>
      </w:r>
      <w:r>
        <w:rPr>
          <w:rFonts w:hint="eastAsia" w:ascii="宋体" w:hAnsi="宋体" w:eastAsia="宋体" w:cs="宋体"/>
          <w:color w:val="auto"/>
          <w:kern w:val="0"/>
          <w:sz w:val="24"/>
          <w:highlight w:val="none"/>
          <w:lang w:val="zh-CN"/>
        </w:rPr>
        <w:t>股权发生变化，第一赔款受益人也需作相应调整，但被保险人应书面通知本公司增加或变更第一赔款受益人。</w:t>
      </w:r>
    </w:p>
    <w:p w14:paraId="713AB04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EA59FE3">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4、火灾、爆炸、烟熏和中毒责任条款</w:t>
      </w:r>
    </w:p>
    <w:p w14:paraId="7011FD1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本保险单明细表中列明营业场所范围内因火灾、爆炸、烟熏和中毒造成第三者人身伤亡或财产损失时，被保险人应负的赔偿责任，但不得超过本保险期限内保险单明细表中列明的责任限额。</w:t>
      </w:r>
    </w:p>
    <w:p w14:paraId="3CFBE74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F6E0E32">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5、灭火及所致水损责任条款</w:t>
      </w:r>
    </w:p>
    <w:p w14:paraId="640657F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兹经双方同意，尽管存在相反规定，本保险扩展承保消防局在扑灭被保险人列明营业场所范围内的火灾时因使用水或化学物质造成第三者财产损坏，被保险人应负的法律赔偿责任。</w:t>
      </w:r>
    </w:p>
    <w:p w14:paraId="7714087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F3AB242">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6、急救费用条款</w:t>
      </w:r>
    </w:p>
    <w:p w14:paraId="1CE0597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兹经双方同意，本保险扩展承保被保险人因本保险单明细表中列明营业场所范围内发生意外事故造成第三者人身伤害时应支付的合理急救费用。</w:t>
      </w:r>
    </w:p>
    <w:p w14:paraId="485FCBE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9BFDB3C">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7、交叉责任条款</w:t>
      </w:r>
    </w:p>
    <w:p w14:paraId="041ACAE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在本保险单中，组成被保险人的每一方将被视为独立可分的单位，“被保险人”一词应视为以同样方式适用于每一方，如同对上述每一方签发了独立的保险单，保险人同意放弃可能拥有或获得的针对上述任何一方的，由于在此进行索赔的意外事故而产生的代位追偿或诉讼权利。但是保险人的累计责任不得超过明细表中列明的限额。</w:t>
      </w:r>
    </w:p>
    <w:p w14:paraId="30C37F5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A1245C1">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8、人身侵害责任条款</w:t>
      </w:r>
    </w:p>
    <w:p w14:paraId="3BBB8E6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兹经双方同意，本保险扩展承保在本保险单明细表中列明营业场所范围内由于下列情况造成第三者人身侵害时被保险人应负的赔偿责任：</w:t>
      </w:r>
    </w:p>
    <w:p w14:paraId="11642D1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 错误逮捕、拘留或监禁或诬告。</w:t>
      </w:r>
    </w:p>
    <w:p w14:paraId="6707DC7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 侮辱、诽谤或侵犯私人权利。</w:t>
      </w:r>
    </w:p>
    <w:p w14:paraId="41EAB33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（三） 非法侵入、驱逐或其他侵犯私人权利行为。</w:t>
      </w:r>
    </w:p>
    <w:p w14:paraId="1849CB4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遵守中华人民共和国法律或法规将是保险人承担任何责任的先决条件。</w:t>
      </w:r>
    </w:p>
    <w:p w14:paraId="6084C0D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848BB4C">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9、罢工、暴乱、民众骚动及恶意行为条款</w:t>
      </w:r>
    </w:p>
    <w:p w14:paraId="46492FD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兹经双方同意，本保险扩展承保本保险单明细表中列明营业场所范围内，直接由于罢工、暴乱、民众骚动及恶意行为（包括恐怖活动）造成第三者人身伤亡或财产损失时，被保险人应负的赔偿责任。</w:t>
      </w:r>
    </w:p>
    <w:p w14:paraId="2A8EBD0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1091C07">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10、放弃代位追偿权利条款</w:t>
      </w:r>
    </w:p>
    <w:p w14:paraId="499E4E4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尽管保险单有相反规定，按照保险人的要求并由其支付费用，本保险单项下的索赔人应采取或同意或允许采取保险人认为必要和合理的一切措施，以便保险人行使任何权利，或从其他方取得在其对本保险单项下的损失进行赔付或修理后将被赋予或转让的补偿，无论上述措施是否为保险人在赔偿前或赔偿后所认为必要或要求。保险人在此同意放弃向被保险人的联营公司或分公司，任何子公司、控股公司，或任何有关的团体、官员或个人进行追偿的权利。</w:t>
      </w:r>
    </w:p>
    <w:p w14:paraId="6E4B0A5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033631E">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11、保单终止条款</w:t>
      </w:r>
    </w:p>
    <w:p w14:paraId="521BEA7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兹经双方同意，被保险人可以随时通知保险人终止本保单，在此情况下，保险人按日比例计算收取自保单开始之日起的已生效保险费。而保险期限内，保险人未经被保险人书面同意，不得注销此保单。</w:t>
      </w:r>
    </w:p>
    <w:p w14:paraId="1766625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4002279">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12、错误与遗漏条款</w:t>
      </w:r>
    </w:p>
    <w:p w14:paraId="461AF10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项下的赔偿责任不因被保险人非故意地延迟、错误或遗漏向保险人申报有关所占用的场地、保险财产价值的变更或其他有关信息而被拒负，一旦被保险人明白其疏忽或遗漏应在合理的时间内尽快向保险人申报。</w:t>
      </w:r>
    </w:p>
    <w:p w14:paraId="690D92C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不正确的、有缺陷的或错误的评估不可视为非故意的错误与遗漏。</w:t>
      </w:r>
    </w:p>
    <w:p w14:paraId="3B19A242">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B111FB4">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13、预付赔款条款</w:t>
      </w:r>
    </w:p>
    <w:p w14:paraId="38671E9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兹经双方同意，如果发生本保险单承保责任范围内的损失、预计索赔金额超过RMB 100万元，则在发生损失后30日内，经被保险人书面要求，保险人同意于收到该书面要求后10个工作日内，对于已确定的损失部分进行全额预先赔付；对于未确定的损失部分，按估损金额的85%进行预先赔付，并在全部损失确定后立即完成有关索赔及理赔手续。</w:t>
      </w:r>
    </w:p>
    <w:p w14:paraId="06C5576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7F23DC2E">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 xml:space="preserve">14、不受控制条款 </w:t>
      </w:r>
    </w:p>
    <w:p w14:paraId="7AA1125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兹经双方同意，被保险人在占用或使用营业场所时，由于不知情或远非其所能控制的事件发生造成的遗漏申报或任何行为，不会影响本保险单的有效性。</w:t>
      </w:r>
    </w:p>
    <w:p w14:paraId="505D7F6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75D01B08">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15、指定理算师条款</w:t>
      </w:r>
    </w:p>
    <w:p w14:paraId="289E033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兹经双方同意，当损失发生时，且在被保险人看来可能引起本保单项下的索赔，被保险人有权使用：</w:t>
      </w:r>
    </w:p>
    <w:p w14:paraId="56E42D2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平量行（上海）保险公估有限公司</w:t>
      </w:r>
    </w:p>
    <w:p w14:paraId="0D0869E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赛维特保险公估（中国）有限公司</w:t>
      </w:r>
    </w:p>
    <w:p w14:paraId="0C31A72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民太安财产保险公估股份有限公司</w:t>
      </w:r>
    </w:p>
    <w:p w14:paraId="7E72F5B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深圳市万宜麦理伦保险公估有限公司</w:t>
      </w:r>
    </w:p>
    <w:p w14:paraId="7C54146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或经保险双方认可的其他保险公估公司</w:t>
      </w:r>
    </w:p>
    <w:p w14:paraId="6229091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协助认定责任和金额，聘请公估人的费用由保险人支付。</w:t>
      </w:r>
    </w:p>
    <w:p w14:paraId="249F29D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EA4CC76">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16、董事及非体力劳动雇员临时海外公干责任条款</w:t>
      </w:r>
    </w:p>
    <w:p w14:paraId="7799FD2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兹经双方同意，本保险扩展负责，被保险人通常居住于中国的董事及非体力劳动雇员出国（中国以外）公干，引起人身伤亡或财产损失，被保险人应负的法律赔偿责任。</w:t>
      </w:r>
    </w:p>
    <w:p w14:paraId="1E03BDB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但是，有关在任何国家（中国以外）提出的对被保险人的索赔，如果在该国有代表被保险人的分支机构或居住于该国的雇员，或有公司、商号或个人持有被保险人的代理权，则本扩展条款不适用。</w:t>
      </w:r>
    </w:p>
    <w:p w14:paraId="4B8D436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53F705C">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17、无过失责任条款（每人每次事故赔偿限额RMB 100万元，年累计赔偿限额RMB 1,000万元，每次事故绝对免赔率5%）</w:t>
      </w:r>
    </w:p>
    <w:p w14:paraId="2BD65D3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在本保险单明细表中列明营业场所范围内由于第三方故意和非故意的原因，在车站站台、候车地点相互拥挤、互相推搡、高空抛物等，造成他人人身伤亡和财产直接损毁，以及第三方擅自进入轨道桥梁、隧道等禁入区域，翻越围墙、护栏、护网等安全设施时造成自身人身伤害（包括自杀），被保险人一方无过失，且被保险人拒绝赔偿未果时应负的法律赔偿责任。 本保险每人每次事故赔偿限额RMB 100万元，年累计赔偿限额RMB 1,000万元，每次赔偿均实行5%的绝对免赔率。</w:t>
      </w:r>
    </w:p>
    <w:p w14:paraId="52F1667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49BD461">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18、提供物品及服务条款</w:t>
      </w:r>
    </w:p>
    <w:p w14:paraId="29BF727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兹经双方同意，本保险扩展承保被保险人因提供物品及服务，包括其正常经营过程中的运输服务，造成第三者人身伤亡或财产损失时，被保险人应付的赔偿责任，但不超过本保险单列明的赔偿限额。</w:t>
      </w:r>
    </w:p>
    <w:p w14:paraId="708316A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8A13794">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19、违反条件条款</w:t>
      </w:r>
    </w:p>
    <w:p w14:paraId="53C8167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兹经双方同意，本保险单的条件和保证将分别适用于每一承保风险，而非共同适用于所有承保风险。对条件和保证的违反仅使受影响的该部分保障失效，不影响有关其他风险保障的有效性。</w:t>
      </w:r>
    </w:p>
    <w:p w14:paraId="3A028BD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939395D">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20、重大过失扩展条款</w:t>
      </w:r>
    </w:p>
    <w:p w14:paraId="099CDB2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兹经双方同意，本保单扩展承保被保险人及其代表的重大过失造成被保险人依法应承担的对第三者的经济赔偿责任。</w:t>
      </w:r>
    </w:p>
    <w:p w14:paraId="33F4977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90D2405">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21、服务人员条款</w:t>
      </w:r>
    </w:p>
    <w:p w14:paraId="277922A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基本条款第二款除外责任第二条“为被保险人服务的任何人”不包括为被保险人进行设备安装、维修、维护、力工搬运装卸及担当保洁、保安、安检人员的其他公司的人员，并且该人员未与被保险人签订劳动合同。</w:t>
      </w:r>
    </w:p>
    <w:p w14:paraId="30261C9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701398B6">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22、附加被保险人条款</w:t>
      </w:r>
    </w:p>
    <w:p w14:paraId="71CEBD0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如果指定被保险人与任何个人或组织所签订的合同，要求将该个人或组织列于本保险单项下，则本保险单将视该个人或组织为附加被保险人，而适用所提供的人身伤害责任、人身侵害责任及财产损失责任保险，但仅限于指定被保险人所有的或掌管的为其工作而引起的相关责任。在此提供的保险以下列规定为条件：</w:t>
      </w:r>
    </w:p>
    <w:p w14:paraId="6B48D2C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 此保险不适用于上述附加被保险人在任何合同或协议项下承担的责任。</w:t>
      </w:r>
    </w:p>
    <w:p w14:paraId="4102B1A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 无论何种情况，此保险的限额不得超过本保险单中列明的责任限额。</w:t>
      </w:r>
    </w:p>
    <w:p w14:paraId="496DDB2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（三） 本保险的责任限额不得与本保险单合同责任保险部分列明的责任限额相累积。</w:t>
      </w:r>
    </w:p>
    <w:p w14:paraId="6BF7596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本保险单不应该因为加入本扩展条款而使绍兴市轨道交通集团有限公司运营分公司可能对附加被保险人造成的财产损失和人身伤害而应在本保单中由保险人承担的赔偿责任失效。</w:t>
      </w:r>
    </w:p>
    <w:p w14:paraId="43A8CB2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4A05017">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23、试车责任条款</w:t>
      </w:r>
    </w:p>
    <w:p w14:paraId="6B58203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机车牵引车辆以及车厢等在运营场所范围内试车过程中，由于出轨、倾覆、碰撞等等意外事故给第三方造成的财产损失和人身伤亡的赔付，保险人以保险单赔偿限额为限按实际损失赔偿。</w:t>
      </w:r>
    </w:p>
    <w:p w14:paraId="1D82478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2AB6F84">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24、建筑物改变条款</w:t>
      </w:r>
    </w:p>
    <w:p w14:paraId="184A56B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兹经双方同意，本保险扩展承保被保险人因改变、维修或装修建筑等类似行为造成第三者人身伤亡或财产损失时应负的赔偿责任。</w:t>
      </w:r>
    </w:p>
    <w:p w14:paraId="6F2E214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7B7B38D">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25、车辆装卸责任条款</w:t>
      </w:r>
    </w:p>
    <w:p w14:paraId="12DFC5C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兹经双方同意，本保险扩展承保被保险人因其拥有的车辆在营业场所内进行与经营有关的装卸过程中发生意外事故造成第三者人身伤亡或财产损失时应负的赔偿责任。</w:t>
      </w:r>
    </w:p>
    <w:p w14:paraId="2533AEA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50EBA5C">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26、急救责任扩展条款</w:t>
      </w:r>
    </w:p>
    <w:p w14:paraId="6EDA89D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在列明地点范围内，由于实施急救或为了或可被认为为了实施急救或其他可能采取的类似措施，造成客户或其他第三者意外的人身伤害时，被保险人应负的法律赔偿责任，但任何误诊责任是列明除外的。本部分的赔偿扩展适用于被保险人经过急救训练的员工或取得资格的开业医生。</w:t>
      </w:r>
    </w:p>
    <w:p w14:paraId="656B187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但是：</w:t>
      </w:r>
    </w:p>
    <w:p w14:paraId="4DC4278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（一） 上述人员不能从其他来源获得赔偿；</w:t>
      </w:r>
    </w:p>
    <w:p w14:paraId="6ABE10A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（二） 上述人员应如被保险人一样地遵守及履行所应适用的本保险单条款、除外责任及条件。</w:t>
      </w:r>
    </w:p>
    <w:p w14:paraId="5AED0ED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90DE829">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27、自动承保新地点条款</w:t>
      </w:r>
    </w:p>
    <w:p w14:paraId="690D4DA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的赔偿将自明细表中描述的新置财产建成或获得，或其转移至被保险人名下，或被保险人开始对其负责（除非有其他保险存在）时起，自动适用于和包括其所引致的被保险人的法律赔偿责任。</w:t>
      </w:r>
    </w:p>
    <w:p w14:paraId="06FA598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189D731">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28、外出工作附加条款</w:t>
      </w:r>
    </w:p>
    <w:p w14:paraId="068D458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兹经双方同意，本条款承保被保险人的工作人员外出进行工作时对公众应负的法律责任，外出工作人员必须是基于被保险人的业务性质或者实际涉及的业务范围外出工作的被保险人的员工。</w:t>
      </w:r>
    </w:p>
    <w:p w14:paraId="0F311A11">
      <w:pPr>
        <w:widowControl/>
        <w:tabs>
          <w:tab w:val="left" w:pos="780"/>
        </w:tabs>
        <w:adjustRightInd/>
        <w:spacing w:line="360" w:lineRule="auto"/>
        <w:ind w:firstLine="420" w:firstLineChars="200"/>
        <w:jc w:val="left"/>
        <w:rPr>
          <w:rFonts w:ascii="宋体" w:hAnsi="宋体" w:eastAsia="宋体" w:cs="宋体"/>
          <w:b/>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728EE511">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29、精神损害抚慰金扩展条款</w:t>
      </w:r>
    </w:p>
    <w:p w14:paraId="5E381B8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在本保险期限内，被保险人在本保险单明细表列明的范围内，因经营业务发生意外事故，造成第三者的Ⅹ级（含）以上伤残或者死亡，依法应由被保险人承担经济赔偿责任时，在伤残或死亡赔偿以外，保险人按以下标准负责赔偿被保险人向第三者或其家属支付的精神损害抚慰金。</w:t>
      </w:r>
    </w:p>
    <w:p w14:paraId="26513F3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该项目之赔偿不以仲裁或者诉讼为前提，但不能与仲裁或法院裁决的精神损害赔偿重复赔偿。当有仲裁或法院判决时，以仲裁或法院判决的精神损害赔偿金额为准。</w:t>
      </w:r>
    </w:p>
    <w:p w14:paraId="693507E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第三者死亡的或Ⅰ级伤残的，每次事故每人精神损害抚慰金责任限额为RMB 5万元；</w:t>
      </w:r>
    </w:p>
    <w:p w14:paraId="13DE99B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第三者Ⅱ级或Ⅲ级伤残的，每次事故每人精神损害抚慰金责任限额为RMB 4万元；</w:t>
      </w:r>
    </w:p>
    <w:p w14:paraId="2648590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第三者Ⅳ级或Ⅴ级伤残的，每次事故每人精神损害抚慰金责任限额为RMB 3万元；</w:t>
      </w:r>
    </w:p>
    <w:p w14:paraId="2216E93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第三者Ⅵ级或Ⅶ级伤残的，每次事故每人精神损害抚慰金责任限额为RMB 2万元；</w:t>
      </w:r>
    </w:p>
    <w:p w14:paraId="4DD235A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第三者Ⅷ级或Ⅸ级伤残的，每次事故每人精神损害抚慰金责任限额为RMB 1万元；</w:t>
      </w:r>
    </w:p>
    <w:p w14:paraId="1C72562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第三者Ⅹ级伤残的，每次事故每人精神损害抚慰金责任限额为RMB 5,000元。</w:t>
      </w:r>
    </w:p>
    <w:p w14:paraId="2E53E6E0">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年累计赔偿限额为RMB 100万元。</w:t>
      </w:r>
    </w:p>
    <w:p w14:paraId="214FF7B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F6F3998">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30、董事及高级管理人员个人第三者责任条款</w:t>
      </w:r>
    </w:p>
    <w:p w14:paraId="4F29C96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兹经双方同意，本保险扩展承保被保险人的董事及高级管理人员于保险期限内外出进行与经营业务有关活动或业务旅行时，因意外事故造成第三者人身伤亡或财产损失时应负的赔偿责任。</w:t>
      </w:r>
    </w:p>
    <w:p w14:paraId="54F5231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76DAC124">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31、出租人责任条款</w:t>
      </w:r>
    </w:p>
    <w:p w14:paraId="57D807D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兹经双方同意,本保险扩展承保被保险人因出租的房屋建筑、店面、灯箱广告等发生火灾造成第三者人身伤亡或财产损失时应负的赔偿责任。</w:t>
      </w:r>
    </w:p>
    <w:p w14:paraId="61B0B18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6150FFE">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32、契约责任条款</w:t>
      </w:r>
    </w:p>
    <w:p w14:paraId="1EE8081E">
      <w:pPr>
        <w:widowControl/>
        <w:tabs>
          <w:tab w:val="left" w:pos="780"/>
        </w:tabs>
        <w:adjustRightInd/>
        <w:spacing w:line="360" w:lineRule="auto"/>
        <w:ind w:firstLine="48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4"/>
          <w:szCs w:val="21"/>
          <w:highlight w:val="none"/>
        </w:rPr>
        <w:t>兹经双方同意,并在投保时将有关契约向本公司申报并获得本公司同意，本保险扩展承保被保险人因契约而承担的对第三者人身伤亡或财产损失的赔偿责任。</w:t>
      </w:r>
    </w:p>
    <w:p w14:paraId="6F273A5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F51BA13">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33、社会活动保险条款</w:t>
      </w:r>
    </w:p>
    <w:p w14:paraId="40A1E32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扩展承保在中国境内由被保险人组织、负责和运作的有关会议（包括业务培训和研讨会议）、展览会、体育活动、旅游、社交等活动中，被保险人对活动参与者的人身伤害和财产损失依法所承担的赔偿责任。</w:t>
      </w:r>
    </w:p>
    <w:p w14:paraId="53931D57">
      <w:pPr>
        <w:widowControl/>
        <w:tabs>
          <w:tab w:val="left" w:pos="780"/>
        </w:tabs>
        <w:adjustRightInd/>
        <w:spacing w:line="360" w:lineRule="auto"/>
        <w:ind w:firstLine="480" w:firstLineChars="200"/>
        <w:jc w:val="left"/>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兹进一步明示并同意在本保险单下承诺的赔偿扩展适用于在本保险单期限内，在这些社会娱乐或福利活动中由于与被保险人提供的饮品、饮料或食物有关的原因发生的事故。</w:t>
      </w:r>
    </w:p>
    <w:p w14:paraId="50B0705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547EC16">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34、污染责任保险条款</w:t>
      </w:r>
    </w:p>
    <w:p w14:paraId="204BA57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兹经双方同意，本保险扩展承保在本保险单明细表中列明场所内，被保险人由于突发、意外及无法预料的污染事故而对第三者依法承担的赔偿责任。</w:t>
      </w:r>
    </w:p>
    <w:p w14:paraId="3C3A5D4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474B47C">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35、索赔单证准备费用保险条款</w:t>
      </w:r>
    </w:p>
    <w:p w14:paraId="221881A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在准备索赔过程中为制作或证明保险公司所需的任何记录、信息、证据或其他证明材料所花费的合理的材料和人工费用。保险人对财产损失及此类费用的总赔偿金额以保险金额的5%为限。</w:t>
      </w:r>
    </w:p>
    <w:p w14:paraId="1EA9B20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55C9702">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36、牲畜窜入责任条款</w:t>
      </w:r>
    </w:p>
    <w:p w14:paraId="0B6ECA8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兹经双方同意，扩展承保明细表中列明的营业场所内由于牲畜窜入，而造成第三者的人身伤亡及财物损失，被保险人因此在法律上应负的经济赔偿责任。</w:t>
      </w:r>
    </w:p>
    <w:p w14:paraId="77FE874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72C43FF">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37、疏散费用特约条款</w:t>
      </w:r>
    </w:p>
    <w:p w14:paraId="6E83088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兹经双方同意，本保险扩展承保被保险人因本保险单列明的营业区域内发生意外事故，从发生事故的现场撤离第三方的人员和财产到安全地点所发生的费用。每次事故赔偿限额：RMB 100万元，累计赔偿限额：RMB 200万元。</w:t>
      </w:r>
    </w:p>
    <w:p w14:paraId="3EA7EA5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D3A549C">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38、共同被保险人条款</w:t>
      </w:r>
    </w:p>
    <w:p w14:paraId="3380EDC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兹经双方同意，如果被保险人包括一方以上，任何一方都是以一个独立的整体经营，那么本保险以相同方式和程度有效，就如同每一方都被签发了单独的保险单。</w:t>
      </w:r>
    </w:p>
    <w:p w14:paraId="6BB00FD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在任何一方没有故意作假、误导、隐瞒或违约时，该方对于此保险单的权力和赔偿不受被保险人中其它一方的作假、误导、隐瞒或违约的影响。</w:t>
      </w:r>
    </w:p>
    <w:p w14:paraId="28D1B4E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4B59AB3">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39、停车场责任条款</w:t>
      </w:r>
    </w:p>
    <w:p w14:paraId="0CC8F977">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尽管存在相反规定，本保险扩展承保因发生意外事故导致处于被保险人控制下的或停放于被保险人场所内或其附近的机动车辆（含被保险人及其雇员的车辆）遭受损失时，被保险人应负的法律赔偿责任。但保险人在此扩展条款项下的最高赔偿责任不得超过每辆车RMB 60万元，每次事故及累计RMB 1000万元。且此限额是包含在明细表规定的累计赔偿限额之内，而并非是在其基础上的附加。</w:t>
      </w:r>
    </w:p>
    <w:p w14:paraId="1DFAABD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在机动车辆停放于被保险人场所内或处于其控制之下时，被保险人应克尽职责防止损失发生。</w:t>
      </w:r>
    </w:p>
    <w:p w14:paraId="06983E25">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0FB349D1">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40、租户条款</w:t>
      </w:r>
    </w:p>
    <w:p w14:paraId="1574DFA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被保险人允许的车站内经营商户及其雇员不应被视为被保险人的雇员或服务人员，因被保险人经营业务发生意外事故，造成车站内经营商户及其雇员的人身伤亡和财产损失，依法应由被保险人承担的经济赔偿责任由保险人承担。</w:t>
      </w:r>
    </w:p>
    <w:p w14:paraId="1FF3677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6710A7C2">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41、公共卫生缺陷责任条款</w:t>
      </w:r>
    </w:p>
    <w:p w14:paraId="702FBF59">
      <w:pPr>
        <w:widowControl/>
        <w:tabs>
          <w:tab w:val="left" w:pos="780"/>
        </w:tabs>
        <w:adjustRightInd/>
        <w:spacing w:line="360" w:lineRule="auto"/>
        <w:ind w:firstLine="480" w:firstLineChars="200"/>
        <w:jc w:val="left"/>
        <w:rPr>
          <w:rFonts w:ascii="宋体" w:hAnsi="宋体" w:eastAsia="宋体" w:cs="宋体"/>
          <w:bCs/>
          <w:color w:val="auto"/>
          <w:kern w:val="0"/>
          <w:sz w:val="24"/>
          <w:szCs w:val="21"/>
          <w:highlight w:val="none"/>
        </w:rPr>
      </w:pPr>
      <w:r>
        <w:rPr>
          <w:rFonts w:hint="eastAsia" w:ascii="宋体" w:hAnsi="宋体" w:eastAsia="宋体" w:cs="宋体"/>
          <w:color w:val="auto"/>
          <w:kern w:val="0"/>
          <w:sz w:val="24"/>
          <w:szCs w:val="21"/>
          <w:highlight w:val="none"/>
        </w:rPr>
        <w:t>兹经合同双方同意，保险人负责赔偿被保险人因卫生设施发生意外事故导致污染物泄漏而依法应承担的对任何第三者人身伤亡及财产损失的赔偿责任（包括根据法律应由被保险人承担的清除污染物的费用），但不得超过本保险单规定的赔偿限额。</w:t>
      </w:r>
    </w:p>
    <w:p w14:paraId="489C393E">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本附加险条款与主险条款内容相悖之处，以本附加险条款为准；未尽之处，以主险条款为准。</w:t>
      </w:r>
    </w:p>
    <w:p w14:paraId="4E0FEEB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2C768E78">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42、暴力行为、抢劫责任条款</w:t>
      </w:r>
    </w:p>
    <w:p w14:paraId="3BB14774">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兹经双方同意，鉴于投保人已支付了附加险保险费，本附加险扩展承保在保险单载明的地点范围内，由于发生抢劫等暴力行为造成第三者人身伤亡或财产损失，依法应由被保险人承担的经济赔偿责任。</w:t>
      </w:r>
    </w:p>
    <w:p w14:paraId="4C99ECA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本附加险条款与主险条款相悖之处，以本附加险条款为准，未尽之处，以主险条款为准。</w:t>
      </w:r>
    </w:p>
    <w:p w14:paraId="017EA8A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3D61B16E">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43、消防系统扩展条款</w:t>
      </w:r>
    </w:p>
    <w:p w14:paraId="43FE28F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保险合同双方同意，被保险人出于安全目的可将消防系统暂时置于手动状态，若发生保险责任范围内的事故造成第三者财产损失，依照中华人民共和国法律（不包括港澳台地区法律）应由被保险人承担的经济赔偿责任，保险人按照本保险合同的约定负责赔偿。</w:t>
      </w:r>
      <w:r>
        <w:rPr>
          <w:rFonts w:hint="eastAsia" w:ascii="宋体" w:hAnsi="宋体" w:eastAsia="宋体" w:cs="宋体"/>
          <w:b/>
          <w:bCs/>
          <w:color w:val="auto"/>
          <w:kern w:val="0"/>
          <w:sz w:val="21"/>
          <w:szCs w:val="21"/>
          <w:highlight w:val="none"/>
        </w:rPr>
        <w:t>被保险人应克尽职责，按照所有法律及消防安全规定，时时监控，准确使用，适时调整消防系统，以使消防系统处于良好状态</w:t>
      </w:r>
      <w:r>
        <w:rPr>
          <w:rFonts w:hint="eastAsia" w:ascii="宋体" w:hAnsi="宋体" w:eastAsia="宋体" w:cs="宋体"/>
          <w:bCs/>
          <w:color w:val="auto"/>
          <w:kern w:val="0"/>
          <w:sz w:val="21"/>
          <w:szCs w:val="21"/>
          <w:highlight w:val="none"/>
        </w:rPr>
        <w:t>。</w:t>
      </w:r>
    </w:p>
    <w:p w14:paraId="21F78EE9">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404549D3">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44、恐怖活动条款</w:t>
      </w:r>
    </w:p>
    <w:p w14:paraId="07B34F8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并约定，本附加险扩展承保本保险单明细表列明的经营场所出现任何恐怖分子或组织进行恐怖活动直接造成第三者人身伤亡或财产损失时被保险人依照中华人民共和国（不含香港、澳门、台湾地区）法律应负的赔偿责任。</w:t>
      </w:r>
    </w:p>
    <w:p w14:paraId="79FEBF6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主险条款与本附加险条款相抵触之处，以本附加险条款为准；本附加险条款未约定事项，以主险条款为准。</w:t>
      </w:r>
    </w:p>
    <w:p w14:paraId="4FA52B71">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45、一次事故条款</w:t>
      </w:r>
    </w:p>
    <w:p w14:paraId="6140AF3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兹经合同双方同意并约定，由同一原因引起的一个或一系列针对被保险人的索赔将被视作为一次事故，第一个索赔提出的日期将被视为该系列索赔提出日期。</w:t>
      </w:r>
    </w:p>
    <w:p w14:paraId="68AC47B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本保险单所载其他条件不变。本附加险条款与主险条款内容相悖之处，以本附加险条款为准；未尽之处，以主险条款为准。</w:t>
      </w:r>
    </w:p>
    <w:p w14:paraId="56C5663A">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46、商业空间设施条款</w:t>
      </w:r>
    </w:p>
    <w:p w14:paraId="14E40D56">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鉴于被保险人已交付了附加保险费，本保险扩展承保被保险人因本保险单明细表中列明的地点范围内所拥有、使用或管理的商业街或商业空间内设施发生意外事故造成第三者人身伤亡或财产损失时应承担的经济赔偿责任。</w:t>
      </w:r>
    </w:p>
    <w:p w14:paraId="01A2918F">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本附加条款与主条款内容相悖之处，以本附加条款为准；未尽之处，以主条款为准。</w:t>
      </w:r>
    </w:p>
    <w:p w14:paraId="3D4E5262">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47、演习活动条款</w:t>
      </w:r>
    </w:p>
    <w:p w14:paraId="29D6A1AA">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兹经双方同意，本保险单扩展承保在中国境内由被保险人组织、负责和运作的有关演习及演练过程中，因发生意外事故导致被保险人对活动周边第三者的人身伤害和财产损失依法所承担的赔偿责任。</w:t>
      </w:r>
    </w:p>
    <w:p w14:paraId="6A3B189B">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E59382B">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48、独立承包人条款</w:t>
      </w:r>
    </w:p>
    <w:p w14:paraId="3EF8F968">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并约定，本附加险扩展承保被保险人因对拥有、占用或管理的场所进行维修、装修、改建或扩建，引致第三者人身伤亡或财产损失时，被保险人依照中华人民共和国（不含香港、澳门、台湾地区）法律应负的所有赔偿责任。</w:t>
      </w:r>
    </w:p>
    <w:p w14:paraId="0012EFBC">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双方进一步同意，如果任何索赔可以在被保险人或其承包商持有的有效的第三者责保险，或建筑工程一切险的第三者责任部分项下得到赔偿，则本扩展责任为超赔保障。</w:t>
      </w:r>
    </w:p>
    <w:p w14:paraId="2F5921CD">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1A4056CD">
      <w:pPr>
        <w:widowControl/>
        <w:tabs>
          <w:tab w:val="left" w:pos="780"/>
        </w:tabs>
        <w:adjustRightInd/>
        <w:spacing w:line="360" w:lineRule="auto"/>
        <w:ind w:firstLine="422" w:firstLineChars="200"/>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1"/>
          <w:szCs w:val="21"/>
          <w:highlight w:val="none"/>
        </w:rPr>
        <w:t>49、自然灾害等原因条款</w:t>
      </w:r>
    </w:p>
    <w:p w14:paraId="4A3C2D43">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兹经双方同意，本保险单扩展承保在本保险单明细表中列明地点范围内因地震、海啸、雷击、暴雨、洪水、火山爆发、地下火、龙卷风、台风、暴风等自然灾害造成第三者的人身伤亡或财产损失时被保险人依法应负的赔偿责任。</w:t>
      </w:r>
    </w:p>
    <w:p w14:paraId="6A70C231">
      <w:pPr>
        <w:widowControl/>
        <w:tabs>
          <w:tab w:val="left" w:pos="780"/>
        </w:tabs>
        <w:adjustRightInd/>
        <w:spacing w:line="360" w:lineRule="auto"/>
        <w:ind w:firstLine="420" w:firstLineChars="200"/>
        <w:jc w:val="left"/>
        <w:rPr>
          <w:rFonts w:ascii="宋体" w:hAnsi="宋体" w:eastAsia="宋体" w:cs="宋体"/>
          <w:bCs/>
          <w:color w:val="auto"/>
          <w:kern w:val="0"/>
          <w:sz w:val="24"/>
          <w:szCs w:val="21"/>
          <w:highlight w:val="none"/>
        </w:rPr>
      </w:pPr>
      <w:r>
        <w:rPr>
          <w:rFonts w:hint="eastAsia" w:ascii="宋体" w:hAnsi="宋体" w:eastAsia="宋体" w:cs="宋体"/>
          <w:bCs/>
          <w:color w:val="auto"/>
          <w:kern w:val="0"/>
          <w:sz w:val="21"/>
          <w:szCs w:val="21"/>
          <w:highlight w:val="none"/>
        </w:rPr>
        <w:t>本保险单所载其他条件不变。</w:t>
      </w:r>
    </w:p>
    <w:p w14:paraId="5E49EA11">
      <w:pPr>
        <w:widowControl/>
        <w:adjustRightInd/>
        <w:spacing w:line="360" w:lineRule="auto"/>
        <w:ind w:firstLine="482" w:firstLineChars="200"/>
        <w:jc w:val="left"/>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50、电梯、升降机和扶手梯责任条款</w:t>
      </w:r>
    </w:p>
    <w:p w14:paraId="2A27D409">
      <w:pPr>
        <w:widowControl/>
        <w:tabs>
          <w:tab w:val="left" w:pos="780"/>
        </w:tabs>
        <w:adjustRightInd/>
        <w:spacing w:line="360" w:lineRule="auto"/>
        <w:ind w:firstLine="420" w:firstLineChars="200"/>
        <w:contextualSpacing/>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兹经双方同意，鉴于被保险人已支付附加保险费，本保险扩展承保本保险单明细表中列明地点范围内的电梯、升降机和扶手梯在正常使用过程中发生意外事故造成第三者人身伤亡或财产损失时被保险人应负的赔偿责任。</w:t>
      </w:r>
    </w:p>
    <w:p w14:paraId="3F288FD6">
      <w:pPr>
        <w:widowControl/>
        <w:tabs>
          <w:tab w:val="left" w:pos="780"/>
        </w:tabs>
        <w:adjustRightInd/>
        <w:spacing w:line="360" w:lineRule="auto"/>
        <w:ind w:firstLine="420" w:firstLineChars="200"/>
        <w:contextualSpacing/>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228EAF86">
      <w:pPr>
        <w:widowControl/>
        <w:adjustRightInd/>
        <w:spacing w:line="360" w:lineRule="auto"/>
        <w:ind w:firstLine="482" w:firstLineChars="200"/>
        <w:jc w:val="left"/>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51、娱乐设施条款</w:t>
      </w:r>
    </w:p>
    <w:p w14:paraId="4C1DC358">
      <w:pPr>
        <w:widowControl/>
        <w:tabs>
          <w:tab w:val="left" w:pos="780"/>
        </w:tabs>
        <w:adjustRightInd/>
        <w:spacing w:line="360" w:lineRule="auto"/>
        <w:ind w:firstLine="420" w:firstLineChars="200"/>
        <w:contextualSpacing/>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兹经双方同意，鉴于被保险人已交付了附加保险费，本保险扩展承保被保险人因本保险单明细表中列明的地点范围内所拥有、使用或经营的娱乐设施发生意外事故造成第三者人身伤亡或财产损失时应承担的经济赔偿责任。</w:t>
      </w:r>
    </w:p>
    <w:p w14:paraId="601B59C6">
      <w:pPr>
        <w:widowControl/>
        <w:tabs>
          <w:tab w:val="left" w:pos="780"/>
        </w:tabs>
        <w:adjustRightInd/>
        <w:spacing w:line="360" w:lineRule="auto"/>
        <w:ind w:firstLine="420" w:firstLineChars="200"/>
        <w:contextualSpacing/>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本保险单所载其他条件不变。</w:t>
      </w:r>
    </w:p>
    <w:p w14:paraId="07B34B43">
      <w:pPr>
        <w:widowControl/>
        <w:adjustRightInd/>
        <w:spacing w:line="360" w:lineRule="auto"/>
        <w:ind w:firstLine="422" w:firstLineChars="200"/>
        <w:jc w:val="left"/>
        <w:rPr>
          <w:rFonts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52、电缆损失责任条款</w:t>
      </w:r>
    </w:p>
    <w:p w14:paraId="4415A161">
      <w:pPr>
        <w:widowControl/>
        <w:autoSpaceDE w:val="0"/>
        <w:autoSpaceDN w:val="0"/>
        <w:adjustRightInd/>
        <w:spacing w:line="360" w:lineRule="auto"/>
        <w:ind w:firstLine="420" w:firstLineChars="200"/>
        <w:jc w:val="left"/>
        <w:rPr>
          <w:rFonts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兹经双方同意，鉴于投保人已支付了附加的保险费，本保险扩展承保在保单列明的保险财产地址范围内，由于被保险人疏忽、过失造成电缆被盗时依法应由被保险人承担的经济赔偿责任。</w:t>
      </w:r>
    </w:p>
    <w:p w14:paraId="3863C91A">
      <w:pPr>
        <w:widowControl/>
        <w:tabs>
          <w:tab w:val="left" w:pos="780"/>
        </w:tabs>
        <w:adjustRightInd/>
        <w:spacing w:line="360" w:lineRule="auto"/>
        <w:ind w:firstLine="420" w:firstLineChars="200"/>
        <w:contextualSpacing/>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本保险单所载其他条件不变。</w:t>
      </w:r>
    </w:p>
    <w:p w14:paraId="58E1A990">
      <w:pPr>
        <w:widowControl/>
        <w:tabs>
          <w:tab w:val="left" w:pos="780"/>
        </w:tabs>
        <w:adjustRightInd/>
        <w:spacing w:line="360" w:lineRule="auto"/>
        <w:ind w:firstLine="422" w:firstLineChars="200"/>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53、</w:t>
      </w:r>
      <w:r>
        <w:rPr>
          <w:rFonts w:ascii="宋体" w:hAnsi="宋体" w:eastAsia="宋体" w:cs="宋体"/>
          <w:b/>
          <w:bCs/>
          <w:color w:val="auto"/>
          <w:kern w:val="0"/>
          <w:sz w:val="21"/>
          <w:szCs w:val="21"/>
          <w:highlight w:val="none"/>
        </w:rPr>
        <w:t>食品、饮料责任条款</w:t>
      </w:r>
    </w:p>
    <w:p w14:paraId="42B3B4AD">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兹经双方同意并约定，本附加险扩展承保被保险人在本保险单明细表列明地点范围内因其提供的食品、饮料掺有异物或有毒而造成第三者人身伤亡或财产损失时依照中华人民共和国（不含香港、澳门、台湾地区）法律应负的赔偿责任。上述责任的承担是以被保险人已克尽职责防止出售或提供任何不洁的或不符合人类食用标准的食品或饮料为前提。</w:t>
      </w:r>
    </w:p>
    <w:p w14:paraId="58DA5DCD">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 xml:space="preserve">主险条款与本附加险条款相抵触之处，以本附加险条款为准；本附加险条款未约定事项，以主险条款为准。 </w:t>
      </w:r>
    </w:p>
    <w:p w14:paraId="5A825C8E">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 xml:space="preserve">本附加险项下承担的赔偿责任不超过以下列明的限额。 </w:t>
      </w:r>
    </w:p>
    <w:p w14:paraId="1B7D1186">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 xml:space="preserve">每次事故赔偿限额：同主险 </w:t>
      </w:r>
    </w:p>
    <w:p w14:paraId="6D228D8D">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 xml:space="preserve">累计赔偿限额：同主险 </w:t>
      </w:r>
    </w:p>
    <w:p w14:paraId="5C86E64B">
      <w:pPr>
        <w:widowControl/>
        <w:tabs>
          <w:tab w:val="left" w:pos="780"/>
        </w:tabs>
        <w:adjustRightInd/>
        <w:spacing w:line="360" w:lineRule="auto"/>
        <w:ind w:firstLine="422" w:firstLineChars="200"/>
        <w:jc w:val="left"/>
        <w:rPr>
          <w:rFonts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54、</w:t>
      </w:r>
      <w:r>
        <w:rPr>
          <w:rFonts w:ascii="宋体" w:hAnsi="宋体" w:eastAsia="宋体" w:cs="宋体"/>
          <w:b/>
          <w:bCs/>
          <w:color w:val="auto"/>
          <w:kern w:val="0"/>
          <w:sz w:val="21"/>
          <w:szCs w:val="21"/>
          <w:highlight w:val="none"/>
        </w:rPr>
        <w:t>工人条款</w:t>
      </w:r>
    </w:p>
    <w:p w14:paraId="73E55DC9">
      <w:pPr>
        <w:widowControl/>
        <w:tabs>
          <w:tab w:val="left" w:pos="780"/>
        </w:tabs>
        <w:adjustRightInd/>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兹经双方同意并约定，本附加险承保因工人在保险地点进行小规模的维修、装修等工程发生事故引发的法律赔偿责任，且不影响保单效力。但投保时投保人已经安排的维修、装修工程投保人应事先告知，保险期限内新增的维修、装修工程被保险人应在这些工程开始之后三个工作日内通知保险人。</w:t>
      </w:r>
    </w:p>
    <w:p w14:paraId="0098CA77">
      <w:pPr>
        <w:widowControl/>
        <w:tabs>
          <w:tab w:val="left" w:pos="780"/>
        </w:tabs>
        <w:adjustRightInd/>
        <w:spacing w:line="360" w:lineRule="auto"/>
        <w:ind w:firstLine="420" w:firstLineChars="200"/>
        <w:contextualSpacing/>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主险条款与本附加险条款相抵触之处，以本附加险条款为准；本附加险条款未约定事项，以主险条款为准。</w:t>
      </w:r>
    </w:p>
    <w:p w14:paraId="7B105121">
      <w:pPr>
        <w:widowControl/>
        <w:adjustRightInd/>
        <w:spacing w:line="560" w:lineRule="exact"/>
        <w:ind w:firstLine="640" w:firstLineChars="200"/>
        <w:jc w:val="left"/>
        <w:outlineLvl w:val="1"/>
        <w:rPr>
          <w:rFonts w:ascii="宋体" w:hAnsi="宋体" w:eastAsia="宋体" w:cs="宋体"/>
          <w:bCs/>
          <w:color w:val="auto"/>
          <w:kern w:val="0"/>
          <w:sz w:val="21"/>
          <w:szCs w:val="21"/>
          <w:highlight w:val="none"/>
        </w:rPr>
      </w:pPr>
      <w:r>
        <w:rPr>
          <w:rFonts w:hint="eastAsia" w:ascii="方正楷体_GBK" w:hAnsi="方正楷体_GBK" w:eastAsia="方正楷体_GBK" w:cs="方正楷体_GBK"/>
          <w:bCs/>
          <w:color w:val="auto"/>
          <w:kern w:val="0"/>
          <w:sz w:val="32"/>
          <w:szCs w:val="32"/>
          <w:highlight w:val="none"/>
        </w:rPr>
        <w:br w:type="page"/>
      </w:r>
      <w:r>
        <w:rPr>
          <w:rFonts w:ascii="宋体" w:hAnsi="宋体" w:eastAsia="宋体" w:cs="宋体"/>
          <w:bCs/>
          <w:color w:val="auto"/>
          <w:kern w:val="0"/>
          <w:sz w:val="21"/>
          <w:szCs w:val="21"/>
          <w:highlight w:val="none"/>
        </w:rPr>
        <w:t>（三）安全生产责任险</w:t>
      </w:r>
    </w:p>
    <w:tbl>
      <w:tblPr>
        <w:tblStyle w:val="6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7301"/>
      </w:tblGrid>
      <w:tr w14:paraId="3462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02" w:type="pct"/>
          </w:tcPr>
          <w:p w14:paraId="13BF2B26">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保险条款</w:t>
            </w:r>
          </w:p>
        </w:tc>
        <w:tc>
          <w:tcPr>
            <w:tcW w:w="4297" w:type="pct"/>
            <w:vAlign w:val="center"/>
          </w:tcPr>
          <w:p w14:paraId="03D2D2D7">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安全生产责任险基本条款及其附加条款、特别约定条款</w:t>
            </w:r>
          </w:p>
        </w:tc>
      </w:tr>
      <w:tr w14:paraId="67FBA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02" w:type="pct"/>
            <w:vAlign w:val="center"/>
          </w:tcPr>
          <w:p w14:paraId="375BE4F2">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被保险人</w:t>
            </w:r>
          </w:p>
        </w:tc>
        <w:tc>
          <w:tcPr>
            <w:tcW w:w="4297" w:type="pct"/>
            <w:vAlign w:val="center"/>
          </w:tcPr>
          <w:p w14:paraId="5C217369">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绍兴市轨道交通集团有限公司及其分公司</w:t>
            </w:r>
          </w:p>
        </w:tc>
      </w:tr>
      <w:tr w14:paraId="1E3F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118EA0F1">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地</w:t>
            </w:r>
            <w:r>
              <w:rPr>
                <w:rFonts w:ascii="宋体" w:hAnsi="宋体" w:eastAsia="宋体" w:cs="宋体"/>
                <w:b/>
                <w:bCs/>
                <w:color w:val="auto"/>
                <w:kern w:val="0"/>
                <w:sz w:val="24"/>
                <w:szCs w:val="21"/>
                <w:highlight w:val="none"/>
              </w:rPr>
              <w:t xml:space="preserve">    </w:t>
            </w:r>
            <w:r>
              <w:rPr>
                <w:rFonts w:hint="eastAsia" w:ascii="宋体" w:hAnsi="宋体" w:eastAsia="宋体" w:cs="宋体"/>
                <w:b/>
                <w:bCs/>
                <w:color w:val="auto"/>
                <w:kern w:val="0"/>
                <w:sz w:val="24"/>
                <w:szCs w:val="21"/>
                <w:highlight w:val="none"/>
              </w:rPr>
              <w:t>址</w:t>
            </w:r>
          </w:p>
        </w:tc>
        <w:tc>
          <w:tcPr>
            <w:tcW w:w="4297" w:type="pct"/>
            <w:vAlign w:val="center"/>
          </w:tcPr>
          <w:p w14:paraId="06C294DA">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浙江省绍兴市越城区解放大道</w:t>
            </w:r>
            <w:r>
              <w:rPr>
                <w:rFonts w:ascii="宋体" w:hAnsi="宋体" w:eastAsia="宋体" w:cs="宋体"/>
                <w:color w:val="auto"/>
                <w:kern w:val="0"/>
                <w:sz w:val="21"/>
                <w:szCs w:val="21"/>
                <w:highlight w:val="none"/>
              </w:rPr>
              <w:t>386号地铁大厦</w:t>
            </w:r>
          </w:p>
        </w:tc>
      </w:tr>
      <w:tr w14:paraId="243A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02" w:type="pct"/>
          </w:tcPr>
          <w:p w14:paraId="4D29D1BE">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保险期限</w:t>
            </w:r>
          </w:p>
        </w:tc>
        <w:tc>
          <w:tcPr>
            <w:tcW w:w="4297" w:type="pct"/>
            <w:vAlign w:val="center"/>
          </w:tcPr>
          <w:p w14:paraId="0912C93D">
            <w:pPr>
              <w:widowControl/>
              <w:adjustRightInd/>
              <w:spacing w:line="360" w:lineRule="auto"/>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约</w:t>
            </w:r>
            <w:r>
              <w:rPr>
                <w:rFonts w:ascii="宋体" w:hAnsi="宋体" w:eastAsia="宋体" w:cs="宋体"/>
                <w:color w:val="auto"/>
                <w:kern w:val="0"/>
                <w:sz w:val="21"/>
                <w:szCs w:val="21"/>
                <w:highlight w:val="none"/>
              </w:rPr>
              <w:t>24个月，</w:t>
            </w:r>
            <w:r>
              <w:rPr>
                <w:rFonts w:hint="eastAsia" w:ascii="宋体" w:hAnsi="宋体" w:eastAsia="宋体" w:cs="宋体"/>
                <w:bCs/>
                <w:color w:val="auto"/>
                <w:kern w:val="0"/>
                <w:sz w:val="21"/>
                <w:szCs w:val="21"/>
                <w:highlight w:val="none"/>
              </w:rPr>
              <w:t>自</w:t>
            </w:r>
            <w:r>
              <w:rPr>
                <w:rFonts w:ascii="宋体" w:hAnsi="宋体" w:eastAsia="宋体" w:cs="宋体"/>
                <w:bCs/>
                <w:color w:val="auto"/>
                <w:kern w:val="0"/>
                <w:sz w:val="21"/>
                <w:szCs w:val="21"/>
                <w:highlight w:val="none"/>
              </w:rPr>
              <w:t>2024年12月29日0：00起至2026年12月31日24：00止。</w:t>
            </w:r>
          </w:p>
        </w:tc>
      </w:tr>
      <w:tr w14:paraId="59285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758523AD">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保险范围和保险责任</w:t>
            </w:r>
          </w:p>
        </w:tc>
        <w:tc>
          <w:tcPr>
            <w:tcW w:w="4297" w:type="pct"/>
          </w:tcPr>
          <w:p w14:paraId="1EEF7206">
            <w:pPr>
              <w:widowControl/>
              <w:adjustRightInd/>
              <w:spacing w:line="360" w:lineRule="auto"/>
              <w:jc w:val="left"/>
              <w:rPr>
                <w:rFonts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被保险人在其经营、管理场所范围（包括但不限于绍兴市城市轨道交通2号线一期的车站、区间、联络线、</w:t>
            </w:r>
            <w:r>
              <w:rPr>
                <w:rFonts w:ascii="宋体" w:hAnsi="宋体" w:eastAsia="宋体" w:cs="宋体"/>
                <w:color w:val="auto"/>
                <w:kern w:val="0"/>
                <w:sz w:val="21"/>
                <w:szCs w:val="21"/>
                <w:highlight w:val="none"/>
              </w:rPr>
              <w:t>轨道、</w:t>
            </w:r>
            <w:r>
              <w:rPr>
                <w:rFonts w:hint="eastAsia" w:ascii="宋体" w:hAnsi="宋体" w:eastAsia="宋体" w:cs="宋体"/>
                <w:color w:val="auto"/>
                <w:kern w:val="0"/>
                <w:sz w:val="21"/>
                <w:szCs w:val="21"/>
                <w:highlight w:val="none"/>
              </w:rPr>
              <w:t>万绣路车辆基地（含</w:t>
            </w:r>
            <w:r>
              <w:rPr>
                <w:rFonts w:ascii="宋体" w:hAnsi="宋体" w:eastAsia="宋体" w:cs="宋体"/>
                <w:color w:val="auto"/>
                <w:kern w:val="0"/>
                <w:sz w:val="21"/>
                <w:szCs w:val="21"/>
                <w:highlight w:val="none"/>
              </w:rPr>
              <w:t>使用的检修库、运用库、物资库、综合楼、</w:t>
            </w:r>
            <w:r>
              <w:rPr>
                <w:rFonts w:hint="eastAsia" w:ascii="宋体" w:hAnsi="宋体" w:eastAsia="宋体" w:cs="宋体"/>
                <w:color w:val="auto"/>
                <w:kern w:val="0"/>
                <w:sz w:val="21"/>
                <w:szCs w:val="21"/>
                <w:highlight w:val="none"/>
              </w:rPr>
              <w:t>维修中心、培训中心、备用控制中心</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试车线等）、万绣路车辆基地至1、2号线联络线区段（含杭州至绍兴城际铁路及绍兴市城市轨道交通1号线主线区段）、豆姜站停车列检线、镜湖控制中心、越兴路主变电所、办公场所、车辆内、线路沿线、出租商铺，归属于与被保险人经营范围有直接关系的任何地点或由法院判定的属于被保险人应承担赔偿责任的场地）；用地红线周边30米内</w:t>
            </w:r>
            <w:r>
              <w:rPr>
                <w:rFonts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rPr>
              <w:t>因从事生产、经营活动发生生产安全事故导致从业人员（包含正式员工、实习人员、退休返聘人员、临时聘用人员、轮岗人员和挂职人员等）</w:t>
            </w:r>
            <w:r>
              <w:rPr>
                <w:rFonts w:ascii="宋体" w:hAnsi="宋体" w:eastAsia="宋体" w:cs="宋体"/>
                <w:color w:val="auto"/>
                <w:kern w:val="0"/>
                <w:sz w:val="21"/>
                <w:szCs w:val="21"/>
                <w:highlight w:val="none"/>
              </w:rPr>
              <w:t>和第三者的</w:t>
            </w:r>
            <w:r>
              <w:rPr>
                <w:rFonts w:hint="eastAsia" w:ascii="宋体" w:hAnsi="宋体" w:eastAsia="宋体" w:cs="宋体"/>
                <w:color w:val="auto"/>
                <w:kern w:val="0"/>
                <w:sz w:val="21"/>
                <w:szCs w:val="21"/>
                <w:highlight w:val="none"/>
              </w:rPr>
              <w:t>人身伤亡应由被保险人承担的经济赔偿责任（包括诉讼费、鉴定费、保全费、律师费等为诉讼产生的其他必要的法律费用及事先经保险人同意而支付的其他费用）和生产安全事故发生后被保险人因采取紧急抢险救援而支出必要合理的救援费用，均由保险人负责赔偿。</w:t>
            </w:r>
            <w:r>
              <w:rPr>
                <w:rFonts w:ascii="宋体" w:hAnsi="宋体" w:eastAsia="宋体" w:cs="宋体"/>
                <w:color w:val="auto"/>
                <w:kern w:val="0"/>
                <w:sz w:val="21"/>
                <w:szCs w:val="21"/>
                <w:highlight w:val="none"/>
              </w:rPr>
              <w:t xml:space="preserve">  </w:t>
            </w:r>
          </w:p>
        </w:tc>
      </w:tr>
      <w:tr w14:paraId="7A22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02" w:type="pct"/>
          </w:tcPr>
          <w:p w14:paraId="0C54B164">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营业性质</w:t>
            </w:r>
          </w:p>
        </w:tc>
        <w:tc>
          <w:tcPr>
            <w:tcW w:w="4297" w:type="pct"/>
          </w:tcPr>
          <w:p w14:paraId="1E636F85">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以营业执照登记为准</w:t>
            </w:r>
          </w:p>
        </w:tc>
      </w:tr>
      <w:tr w14:paraId="578B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65B3949D">
            <w:pPr>
              <w:widowControl/>
              <w:adjustRightInd/>
              <w:spacing w:line="360" w:lineRule="auto"/>
              <w:jc w:val="left"/>
              <w:rPr>
                <w:rFonts w:ascii="宋体" w:hAnsi="宋体" w:eastAsia="宋体" w:cs="宋体"/>
                <w:b/>
                <w:bCs/>
                <w:color w:val="auto"/>
                <w:kern w:val="0"/>
                <w:sz w:val="24"/>
                <w:szCs w:val="21"/>
                <w:highlight w:val="none"/>
              </w:rPr>
            </w:pPr>
            <w:r>
              <w:rPr>
                <w:rFonts w:ascii="宋体" w:hAnsi="宋体" w:eastAsia="宋体" w:cs="宋体"/>
                <w:b/>
                <w:bCs/>
                <w:color w:val="auto"/>
                <w:kern w:val="0"/>
                <w:sz w:val="24"/>
                <w:szCs w:val="21"/>
                <w:highlight w:val="none"/>
              </w:rPr>
              <w:t>赔偿限额</w:t>
            </w:r>
          </w:p>
        </w:tc>
        <w:tc>
          <w:tcPr>
            <w:tcW w:w="4297" w:type="pct"/>
          </w:tcPr>
          <w:p w14:paraId="4E24D6A6">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年度累计责任限额</w:t>
            </w:r>
            <w:r>
              <w:rPr>
                <w:rFonts w:ascii="宋体" w:hAnsi="宋体" w:eastAsia="宋体" w:cs="宋体"/>
                <w:bCs/>
                <w:color w:val="auto"/>
                <w:kern w:val="0"/>
                <w:sz w:val="21"/>
                <w:szCs w:val="21"/>
                <w:highlight w:val="none"/>
              </w:rPr>
              <w:t>=投保的从业人员人数*</w:t>
            </w:r>
            <w:r>
              <w:rPr>
                <w:rFonts w:hint="eastAsia" w:ascii="宋体" w:hAnsi="宋体" w:eastAsia="宋体" w:cs="宋体"/>
                <w:bCs/>
                <w:color w:val="auto"/>
                <w:kern w:val="0"/>
                <w:sz w:val="21"/>
                <w:szCs w:val="21"/>
                <w:highlight w:val="none"/>
              </w:rPr>
              <w:t>每人每次事故赔偿限额</w:t>
            </w:r>
            <w:r>
              <w:rPr>
                <w:rFonts w:ascii="宋体" w:hAnsi="宋体" w:eastAsia="宋体" w:cs="宋体"/>
                <w:bCs/>
                <w:color w:val="auto"/>
                <w:kern w:val="0"/>
                <w:sz w:val="21"/>
                <w:szCs w:val="21"/>
                <w:highlight w:val="none"/>
              </w:rPr>
              <w:t>；按预计800人投保，年度累计责任限额：RMB72000万元</w:t>
            </w:r>
          </w:p>
          <w:p w14:paraId="3D0E89C2">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1.从业人员责任：每人每次事故赔偿限额</w:t>
            </w:r>
            <w:r>
              <w:rPr>
                <w:rFonts w:ascii="宋体" w:hAnsi="宋体" w:eastAsia="宋体" w:cs="宋体"/>
                <w:bCs/>
                <w:color w:val="auto"/>
                <w:kern w:val="0"/>
                <w:sz w:val="21"/>
                <w:szCs w:val="21"/>
                <w:highlight w:val="none"/>
              </w:rPr>
              <w:t>RMB90万元</w:t>
            </w:r>
          </w:p>
          <w:p w14:paraId="7BC74AC5">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r>
              <w:rPr>
                <w:rFonts w:ascii="宋体" w:hAnsi="宋体" w:eastAsia="宋体" w:cs="宋体"/>
                <w:bCs/>
                <w:color w:val="auto"/>
                <w:kern w:val="0"/>
                <w:sz w:val="21"/>
                <w:szCs w:val="21"/>
                <w:highlight w:val="none"/>
              </w:rPr>
              <w:t>1）伤亡责任限额：RMB80万元</w:t>
            </w:r>
          </w:p>
          <w:p w14:paraId="14C41C2D">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r>
              <w:rPr>
                <w:rFonts w:ascii="宋体" w:hAnsi="宋体" w:eastAsia="宋体" w:cs="宋体"/>
                <w:bCs/>
                <w:color w:val="auto"/>
                <w:kern w:val="0"/>
                <w:sz w:val="21"/>
                <w:szCs w:val="21"/>
                <w:highlight w:val="none"/>
              </w:rPr>
              <w:t>2）医疗费用责任限额：RMB10万元</w:t>
            </w:r>
          </w:p>
          <w:p w14:paraId="056E8CF8">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r>
              <w:rPr>
                <w:rFonts w:ascii="宋体" w:hAnsi="宋体" w:eastAsia="宋体" w:cs="宋体"/>
                <w:bCs/>
                <w:color w:val="auto"/>
                <w:kern w:val="0"/>
                <w:sz w:val="21"/>
                <w:szCs w:val="21"/>
                <w:highlight w:val="none"/>
              </w:rPr>
              <w:t>3）法律费用责任限额：RMB5万元</w:t>
            </w:r>
          </w:p>
          <w:p w14:paraId="356D21BD">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2.第三者责任：</w:t>
            </w:r>
          </w:p>
          <w:p w14:paraId="61506336">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每次事故责任限额：</w:t>
            </w:r>
            <w:r>
              <w:rPr>
                <w:rFonts w:ascii="宋体" w:hAnsi="宋体" w:eastAsia="宋体" w:cs="宋体"/>
                <w:bCs/>
                <w:color w:val="auto"/>
                <w:kern w:val="0"/>
                <w:sz w:val="21"/>
                <w:szCs w:val="21"/>
                <w:highlight w:val="none"/>
              </w:rPr>
              <w:t>RMB20,000,000.00元，其中：人身伤亡和财产损失不单独设置限额；</w:t>
            </w:r>
          </w:p>
          <w:p w14:paraId="6ACD44B4">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每次事故每人人身伤亡责任限额：</w:t>
            </w:r>
            <w:r>
              <w:rPr>
                <w:rFonts w:ascii="宋体" w:hAnsi="宋体" w:eastAsia="宋体" w:cs="宋体"/>
                <w:bCs/>
                <w:color w:val="auto"/>
                <w:kern w:val="0"/>
                <w:sz w:val="21"/>
                <w:szCs w:val="21"/>
                <w:highlight w:val="none"/>
              </w:rPr>
              <w:t>RMB1,500,000.00元，其中：每人医疗费用责任</w:t>
            </w:r>
            <w:r>
              <w:rPr>
                <w:rFonts w:hint="eastAsia" w:ascii="宋体" w:hAnsi="宋体" w:eastAsia="宋体" w:cs="宋体"/>
                <w:bCs/>
                <w:color w:val="auto"/>
                <w:kern w:val="0"/>
                <w:sz w:val="21"/>
                <w:szCs w:val="21"/>
                <w:highlight w:val="none"/>
              </w:rPr>
              <w:t>限额</w:t>
            </w:r>
            <w:r>
              <w:rPr>
                <w:rFonts w:ascii="宋体" w:hAnsi="宋体" w:eastAsia="宋体" w:cs="宋体"/>
                <w:bCs/>
                <w:color w:val="auto"/>
                <w:kern w:val="0"/>
                <w:sz w:val="21"/>
                <w:szCs w:val="21"/>
                <w:highlight w:val="none"/>
              </w:rPr>
              <w:t>RMB250,000.00元</w:t>
            </w:r>
          </w:p>
          <w:p w14:paraId="10E693EF">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3.救援费用：每次事故责任限额</w:t>
            </w:r>
            <w:r>
              <w:rPr>
                <w:rFonts w:ascii="宋体" w:hAnsi="宋体" w:eastAsia="宋体" w:cs="宋体"/>
                <w:bCs/>
                <w:color w:val="auto"/>
                <w:kern w:val="0"/>
                <w:sz w:val="21"/>
                <w:szCs w:val="21"/>
                <w:highlight w:val="none"/>
              </w:rPr>
              <w:t>RMB2,000,000.00元</w:t>
            </w:r>
          </w:p>
        </w:tc>
      </w:tr>
      <w:tr w14:paraId="20956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22ED608C">
            <w:pPr>
              <w:widowControl/>
              <w:adjustRightInd/>
              <w:spacing w:line="360" w:lineRule="auto"/>
              <w:jc w:val="left"/>
              <w:rPr>
                <w:rFonts w:ascii="宋体" w:hAnsi="宋体" w:eastAsia="宋体" w:cs="宋体"/>
                <w:b/>
                <w:bCs/>
                <w:color w:val="auto"/>
                <w:kern w:val="0"/>
                <w:sz w:val="24"/>
                <w:szCs w:val="21"/>
                <w:highlight w:val="none"/>
                <w:lang w:val="en-GB"/>
              </w:rPr>
            </w:pPr>
            <w:r>
              <w:rPr>
                <w:rFonts w:hint="eastAsia" w:ascii="宋体" w:hAnsi="宋体" w:eastAsia="宋体" w:cs="宋体"/>
                <w:b/>
                <w:bCs/>
                <w:color w:val="auto"/>
                <w:kern w:val="0"/>
                <w:sz w:val="24"/>
                <w:szCs w:val="21"/>
                <w:highlight w:val="none"/>
                <w:lang w:val="en-GB"/>
              </w:rPr>
              <w:t>免赔额</w:t>
            </w:r>
          </w:p>
        </w:tc>
        <w:tc>
          <w:tcPr>
            <w:tcW w:w="4297" w:type="pct"/>
          </w:tcPr>
          <w:p w14:paraId="1E24663E">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财产损失：无免赔；</w:t>
            </w:r>
          </w:p>
          <w:p w14:paraId="68B0B02E">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人身伤亡：无免赔。</w:t>
            </w:r>
          </w:p>
        </w:tc>
      </w:tr>
      <w:tr w14:paraId="4126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0076A29B">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保险费率</w:t>
            </w:r>
          </w:p>
        </w:tc>
        <w:tc>
          <w:tcPr>
            <w:tcW w:w="4297" w:type="pct"/>
          </w:tcPr>
          <w:p w14:paraId="3BCA0FA5">
            <w:pPr>
              <w:widowControl/>
              <w:adjustRightInd/>
              <w:spacing w:line="360" w:lineRule="auto"/>
              <w:ind w:firstLine="240"/>
              <w:jc w:val="left"/>
              <w:rPr>
                <w:rFonts w:ascii="宋体" w:hAnsi="宋体" w:eastAsia="宋体" w:cs="宋体"/>
                <w:bCs/>
                <w:color w:val="auto"/>
                <w:kern w:val="0"/>
                <w:sz w:val="21"/>
                <w:szCs w:val="21"/>
                <w:highlight w:val="none"/>
              </w:rPr>
            </w:pPr>
            <w:r>
              <w:rPr>
                <w:rFonts w:ascii="宋体" w:hAnsi="宋体" w:eastAsia="宋体" w:cs="宋体"/>
                <w:bCs/>
                <w:color w:val="auto"/>
                <w:kern w:val="0"/>
                <w:sz w:val="21"/>
                <w:szCs w:val="21"/>
                <w:highlight w:val="none"/>
              </w:rPr>
              <w:t>待报价（含增值税）</w:t>
            </w:r>
          </w:p>
        </w:tc>
      </w:tr>
      <w:tr w14:paraId="5953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7CC92CA4">
            <w:pPr>
              <w:widowControl/>
              <w:adjustRightInd/>
              <w:spacing w:line="360" w:lineRule="auto"/>
              <w:jc w:val="left"/>
              <w:rPr>
                <w:rFonts w:ascii="宋体" w:hAnsi="宋体" w:eastAsia="宋体" w:cs="宋体"/>
                <w:b/>
                <w:bCs/>
                <w:color w:val="auto"/>
                <w:kern w:val="0"/>
                <w:sz w:val="24"/>
                <w:szCs w:val="21"/>
                <w:highlight w:val="none"/>
              </w:rPr>
            </w:pPr>
            <w:r>
              <w:rPr>
                <w:rFonts w:ascii="宋体" w:hAnsi="宋体" w:eastAsia="宋体" w:cs="宋体"/>
                <w:b/>
                <w:bCs/>
                <w:color w:val="auto"/>
                <w:kern w:val="0"/>
                <w:sz w:val="24"/>
                <w:szCs w:val="21"/>
                <w:highlight w:val="none"/>
              </w:rPr>
              <w:t>保险费</w:t>
            </w:r>
          </w:p>
        </w:tc>
        <w:tc>
          <w:tcPr>
            <w:tcW w:w="4297" w:type="pct"/>
          </w:tcPr>
          <w:p w14:paraId="522C6D6D">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年度累计责任限额</w:t>
            </w:r>
            <w:r>
              <w:rPr>
                <w:rFonts w:ascii="宋体" w:hAnsi="宋体" w:eastAsia="宋体" w:cs="宋体"/>
                <w:bCs/>
                <w:color w:val="auto"/>
                <w:kern w:val="0"/>
                <w:sz w:val="21"/>
                <w:szCs w:val="21"/>
                <w:highlight w:val="none"/>
              </w:rPr>
              <w:t>=投保的从业人员人数*</w:t>
            </w:r>
            <w:r>
              <w:rPr>
                <w:rFonts w:hint="eastAsia" w:ascii="宋体" w:hAnsi="宋体" w:eastAsia="宋体" w:cs="宋体"/>
                <w:bCs/>
                <w:color w:val="auto"/>
                <w:kern w:val="0"/>
                <w:sz w:val="21"/>
                <w:szCs w:val="21"/>
                <w:highlight w:val="none"/>
              </w:rPr>
              <w:t>每人每次事故赔偿限额</w:t>
            </w:r>
            <w:r>
              <w:rPr>
                <w:rFonts w:ascii="宋体" w:hAnsi="宋体" w:eastAsia="宋体" w:cs="宋体"/>
                <w:bCs/>
                <w:color w:val="auto"/>
                <w:kern w:val="0"/>
                <w:sz w:val="21"/>
                <w:szCs w:val="21"/>
                <w:highlight w:val="none"/>
              </w:rPr>
              <w:t>；</w:t>
            </w:r>
            <w:r>
              <w:rPr>
                <w:rFonts w:ascii="宋体" w:hAnsi="宋体" w:eastAsia="宋体" w:cs="宋体"/>
                <w:color w:val="auto"/>
                <w:kern w:val="0"/>
                <w:sz w:val="21"/>
                <w:szCs w:val="21"/>
                <w:highlight w:val="none"/>
              </w:rPr>
              <w:t>年保险费=年度累计责任限额×年保险费率。</w:t>
            </w:r>
          </w:p>
          <w:p w14:paraId="6E25561C">
            <w:pPr>
              <w:widowControl/>
              <w:adjustRightInd/>
              <w:spacing w:line="360" w:lineRule="auto"/>
              <w:ind w:firstLine="240"/>
              <w:jc w:val="left"/>
              <w:rPr>
                <w:rFonts w:ascii="宋体" w:hAnsi="宋体" w:eastAsia="宋体" w:cs="宋体"/>
                <w:bCs/>
                <w:color w:val="auto"/>
                <w:kern w:val="0"/>
                <w:sz w:val="21"/>
                <w:szCs w:val="21"/>
                <w:highlight w:val="none"/>
              </w:rPr>
            </w:pPr>
            <w:r>
              <w:rPr>
                <w:rFonts w:ascii="宋体" w:hAnsi="宋体" w:eastAsia="宋体" w:cs="宋体"/>
                <w:color w:val="auto"/>
                <w:kern w:val="0"/>
                <w:sz w:val="21"/>
                <w:szCs w:val="21"/>
                <w:highlight w:val="none"/>
              </w:rPr>
              <w:t>注：不足一年的天数参照短期保单的方式按日比例计算保费。</w:t>
            </w:r>
          </w:p>
        </w:tc>
      </w:tr>
      <w:tr w14:paraId="7532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50CB2C27">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保费支付</w:t>
            </w:r>
          </w:p>
        </w:tc>
        <w:tc>
          <w:tcPr>
            <w:tcW w:w="4297" w:type="pct"/>
          </w:tcPr>
          <w:p w14:paraId="19A4A79C">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在保险期限内分五期支付保费：</w:t>
            </w:r>
          </w:p>
          <w:p w14:paraId="61BF3560">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1.第一期保费：第一年保单生效后支付年保险费的50%；</w:t>
            </w:r>
          </w:p>
          <w:p w14:paraId="045AA570">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2.第二期保费：第一年保单生效6个月后支付年保险费的50%；</w:t>
            </w:r>
          </w:p>
          <w:p w14:paraId="1EC82768">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3.第三期保费：第二年保单生效后支付当期保险费的50%；</w:t>
            </w:r>
          </w:p>
          <w:p w14:paraId="366D7CBB">
            <w:pPr>
              <w:widowControl/>
              <w:adjustRightInd/>
              <w:spacing w:line="360" w:lineRule="auto"/>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4.第四期保费：第二年保单生效6个月后支付当期保险费的20%；</w:t>
            </w:r>
          </w:p>
          <w:p w14:paraId="5759C4CD">
            <w:pPr>
              <w:widowControl/>
              <w:adjustRightInd/>
              <w:spacing w:line="360" w:lineRule="auto"/>
              <w:jc w:val="left"/>
              <w:rPr>
                <w:rFonts w:hint="eastAsia" w:ascii="宋体" w:hAnsi="宋体" w:eastAsia="宋体" w:cs="宋体"/>
                <w:bCs/>
                <w:color w:val="auto"/>
                <w:kern w:val="0"/>
                <w:sz w:val="21"/>
                <w:szCs w:val="21"/>
                <w:highlight w:val="none"/>
                <w:lang w:eastAsia="zh-CN"/>
              </w:rPr>
            </w:pPr>
            <w:r>
              <w:rPr>
                <w:rFonts w:ascii="宋体" w:hAnsi="宋体" w:eastAsia="宋体" w:cs="宋体"/>
                <w:color w:val="auto"/>
                <w:kern w:val="0"/>
                <w:sz w:val="21"/>
                <w:szCs w:val="21"/>
                <w:highlight w:val="none"/>
              </w:rPr>
              <w:t>5.第五期保费：服务期结束，无赔案或所有赔案涉及赔款付清后，且保单对应期限内合同相关条款履约完毕，投保人向保险人结清余款。</w:t>
            </w:r>
          </w:p>
          <w:p w14:paraId="58CC9EE7">
            <w:pPr>
              <w:widowControl/>
              <w:adjustRightInd/>
              <w:spacing w:line="360" w:lineRule="auto"/>
              <w:jc w:val="left"/>
              <w:rPr>
                <w:rFonts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上述保费款项自被保险人账户划出即视为实际支付的履行。</w:t>
            </w:r>
            <w:r>
              <w:rPr>
                <w:rFonts w:ascii="宋体" w:hAnsi="宋体" w:eastAsia="宋体" w:cs="宋体"/>
                <w:color w:val="auto"/>
                <w:kern w:val="0"/>
                <w:sz w:val="21"/>
                <w:szCs w:val="21"/>
                <w:highlight w:val="none"/>
              </w:rPr>
              <w:t>被保险人</w:t>
            </w:r>
            <w:r>
              <w:rPr>
                <w:rFonts w:hint="eastAsia" w:ascii="宋体" w:hAnsi="宋体" w:eastAsia="宋体" w:cs="宋体"/>
                <w:bCs/>
                <w:color w:val="auto"/>
                <w:kern w:val="0"/>
                <w:sz w:val="21"/>
                <w:szCs w:val="21"/>
                <w:highlight w:val="none"/>
              </w:rPr>
              <w:t>在保险人提交符合投保人要求的支付申请资料</w:t>
            </w:r>
            <w:r>
              <w:rPr>
                <w:rFonts w:ascii="宋体" w:hAnsi="宋体" w:eastAsia="宋体" w:cs="宋体"/>
                <w:bCs/>
                <w:color w:val="auto"/>
                <w:kern w:val="0"/>
                <w:sz w:val="21"/>
                <w:szCs w:val="21"/>
                <w:highlight w:val="none"/>
              </w:rPr>
              <w:t>后安排</w:t>
            </w:r>
            <w:r>
              <w:rPr>
                <w:rFonts w:ascii="宋体" w:hAnsi="宋体" w:eastAsia="宋体" w:cs="宋体"/>
                <w:color w:val="auto"/>
                <w:kern w:val="0"/>
                <w:sz w:val="21"/>
                <w:szCs w:val="21"/>
                <w:highlight w:val="none"/>
              </w:rPr>
              <w:t>保费支付。</w:t>
            </w:r>
            <w:r>
              <w:rPr>
                <w:rFonts w:hint="eastAsia" w:ascii="宋体" w:hAnsi="宋体" w:eastAsia="宋体" w:cs="宋体"/>
                <w:color w:val="auto"/>
                <w:kern w:val="0"/>
                <w:sz w:val="21"/>
                <w:szCs w:val="21"/>
                <w:highlight w:val="none"/>
                <w:lang w:eastAsia="zh-CN"/>
              </w:rPr>
              <w:t>以上付款条件设置，</w:t>
            </w:r>
            <w:r>
              <w:rPr>
                <w:rFonts w:hint="eastAsia" w:ascii="宋体" w:hAnsi="宋体" w:eastAsia="宋体" w:cs="宋体"/>
                <w:color w:val="auto"/>
                <w:kern w:val="0"/>
                <w:sz w:val="21"/>
                <w:szCs w:val="21"/>
                <w:highlight w:val="none"/>
              </w:rPr>
              <w:t>保险人不得以未及时支付保险费为由，而拒绝或减轻承担赔偿责任。</w:t>
            </w:r>
          </w:p>
        </w:tc>
      </w:tr>
      <w:tr w14:paraId="1E7E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520168AF">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司法管辖</w:t>
            </w:r>
          </w:p>
        </w:tc>
        <w:tc>
          <w:tcPr>
            <w:tcW w:w="4297" w:type="pct"/>
          </w:tcPr>
          <w:p w14:paraId="1FCFCFF0">
            <w:pPr>
              <w:widowControl/>
              <w:adjustRightInd/>
              <w:spacing w:line="360" w:lineRule="auto"/>
              <w:ind w:firstLine="240"/>
              <w:jc w:val="left"/>
              <w:rPr>
                <w:rFonts w:ascii="宋体" w:hAnsi="宋体" w:eastAsia="宋体" w:cs="宋体"/>
                <w:bCs/>
                <w:color w:val="auto"/>
                <w:kern w:val="0"/>
                <w:sz w:val="21"/>
                <w:szCs w:val="21"/>
                <w:highlight w:val="none"/>
              </w:rPr>
            </w:pPr>
            <w:r>
              <w:rPr>
                <w:rFonts w:ascii="宋体" w:hAnsi="宋体" w:eastAsia="宋体" w:cs="宋体"/>
                <w:bCs/>
                <w:color w:val="auto"/>
                <w:kern w:val="0"/>
                <w:sz w:val="21"/>
                <w:szCs w:val="21"/>
                <w:highlight w:val="none"/>
                <w:lang w:val="en-US" w:eastAsia="zh-CN"/>
              </w:rPr>
              <w:t>因履行本保险合同发生的争议，由当事人协商解决。协商不成的，向绍兴仲裁委员会申请仲裁</w:t>
            </w:r>
            <w:r>
              <w:rPr>
                <w:rFonts w:hint="eastAsia" w:ascii="宋体" w:hAnsi="宋体" w:eastAsia="宋体" w:cs="宋体"/>
                <w:bCs/>
                <w:color w:val="auto"/>
                <w:kern w:val="0"/>
                <w:sz w:val="21"/>
                <w:szCs w:val="21"/>
                <w:highlight w:val="none"/>
                <w:lang w:val="en-US" w:eastAsia="zh-CN"/>
              </w:rPr>
              <w:t>。</w:t>
            </w:r>
          </w:p>
        </w:tc>
      </w:tr>
      <w:tr w14:paraId="67BB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tcPr>
          <w:p w14:paraId="2766F664">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基本条款</w:t>
            </w:r>
          </w:p>
        </w:tc>
        <w:tc>
          <w:tcPr>
            <w:tcW w:w="4297" w:type="pct"/>
          </w:tcPr>
          <w:p w14:paraId="74606E07">
            <w:pPr>
              <w:widowControl/>
              <w:adjustRightInd/>
              <w:spacing w:line="360" w:lineRule="auto"/>
              <w:ind w:firstLine="240"/>
              <w:jc w:val="left"/>
              <w:rPr>
                <w:rFonts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安全生产</w:t>
            </w:r>
            <w:r>
              <w:rPr>
                <w:rFonts w:ascii="宋体" w:hAnsi="宋体" w:eastAsia="宋体" w:cs="宋体"/>
                <w:bCs/>
                <w:color w:val="auto"/>
                <w:kern w:val="0"/>
                <w:sz w:val="21"/>
                <w:szCs w:val="21"/>
                <w:highlight w:val="none"/>
              </w:rPr>
              <w:t>责任</w:t>
            </w:r>
            <w:r>
              <w:rPr>
                <w:rFonts w:hint="eastAsia" w:ascii="宋体" w:hAnsi="宋体" w:eastAsia="宋体" w:cs="宋体"/>
                <w:bCs/>
                <w:color w:val="auto"/>
                <w:kern w:val="0"/>
                <w:sz w:val="21"/>
                <w:szCs w:val="21"/>
                <w:highlight w:val="none"/>
              </w:rPr>
              <w:t>险基本条款</w:t>
            </w:r>
          </w:p>
        </w:tc>
      </w:tr>
      <w:tr w14:paraId="76B6C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jc w:val="center"/>
        </w:trPr>
        <w:tc>
          <w:tcPr>
            <w:tcW w:w="702" w:type="pct"/>
          </w:tcPr>
          <w:p w14:paraId="4C9A564C">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附加条款</w:t>
            </w:r>
          </w:p>
        </w:tc>
        <w:tc>
          <w:tcPr>
            <w:tcW w:w="4297" w:type="pct"/>
          </w:tcPr>
          <w:p w14:paraId="4D595810">
            <w:pPr>
              <w:widowControl/>
              <w:adjustRightInd/>
              <w:spacing w:line="360" w:lineRule="auto"/>
              <w:ind w:firstLine="240"/>
              <w:jc w:val="left"/>
              <w:rPr>
                <w:rFonts w:ascii="宋体" w:hAnsi="宋体" w:eastAsia="宋体" w:cs="宋体"/>
                <w:bCs/>
                <w:color w:val="auto"/>
                <w:kern w:val="0"/>
                <w:sz w:val="21"/>
                <w:szCs w:val="21"/>
                <w:highlight w:val="none"/>
              </w:rPr>
            </w:pPr>
            <w:r>
              <w:rPr>
                <w:rFonts w:ascii="宋体" w:hAnsi="宋体" w:eastAsia="宋体" w:cs="宋体"/>
                <w:bCs/>
                <w:color w:val="auto"/>
                <w:kern w:val="0"/>
                <w:sz w:val="21"/>
                <w:szCs w:val="21"/>
                <w:highlight w:val="none"/>
              </w:rPr>
              <w:t>1、附加补充雇主责任条款</w:t>
            </w:r>
          </w:p>
          <w:p w14:paraId="65C1448B">
            <w:pPr>
              <w:widowControl/>
              <w:adjustRightInd/>
              <w:spacing w:line="360" w:lineRule="auto"/>
              <w:ind w:firstLine="240"/>
              <w:jc w:val="left"/>
              <w:rPr>
                <w:rFonts w:ascii="宋体" w:hAnsi="宋体" w:eastAsia="宋体" w:cs="宋体"/>
                <w:bCs/>
                <w:color w:val="auto"/>
                <w:kern w:val="0"/>
                <w:sz w:val="21"/>
                <w:szCs w:val="21"/>
                <w:highlight w:val="none"/>
              </w:rPr>
            </w:pPr>
            <w:r>
              <w:rPr>
                <w:rFonts w:ascii="宋体" w:hAnsi="宋体" w:eastAsia="宋体" w:cs="宋体"/>
                <w:bCs/>
                <w:color w:val="auto"/>
                <w:kern w:val="0"/>
                <w:sz w:val="21"/>
                <w:szCs w:val="21"/>
                <w:highlight w:val="none"/>
              </w:rPr>
              <w:t>2、附加医疗费条款</w:t>
            </w:r>
          </w:p>
          <w:p w14:paraId="0C54FFE2">
            <w:pPr>
              <w:widowControl/>
              <w:adjustRightInd/>
              <w:spacing w:line="360" w:lineRule="auto"/>
              <w:ind w:firstLine="240"/>
              <w:jc w:val="left"/>
              <w:rPr>
                <w:rFonts w:ascii="宋体" w:hAnsi="宋体" w:eastAsia="宋体" w:cs="宋体"/>
                <w:bCs/>
                <w:color w:val="auto"/>
                <w:kern w:val="0"/>
                <w:sz w:val="21"/>
                <w:szCs w:val="21"/>
                <w:highlight w:val="none"/>
              </w:rPr>
            </w:pPr>
            <w:r>
              <w:rPr>
                <w:rFonts w:ascii="宋体" w:hAnsi="宋体" w:eastAsia="宋体" w:cs="宋体"/>
                <w:bCs/>
                <w:color w:val="auto"/>
                <w:kern w:val="0"/>
                <w:sz w:val="21"/>
                <w:szCs w:val="21"/>
                <w:highlight w:val="none"/>
              </w:rPr>
              <w:t>3</w:t>
            </w:r>
            <w:r>
              <w:rPr>
                <w:rFonts w:hint="eastAsia" w:ascii="宋体" w:hAnsi="宋体" w:eastAsia="宋体" w:cs="宋体"/>
                <w:bCs/>
                <w:color w:val="auto"/>
                <w:kern w:val="0"/>
                <w:sz w:val="21"/>
                <w:szCs w:val="21"/>
                <w:highlight w:val="none"/>
              </w:rPr>
              <w:t>、附加法律费用保险条款</w:t>
            </w:r>
          </w:p>
          <w:p w14:paraId="7FF0CD6F">
            <w:pPr>
              <w:widowControl/>
              <w:adjustRightInd/>
              <w:spacing w:line="360" w:lineRule="auto"/>
              <w:ind w:firstLine="240"/>
              <w:jc w:val="left"/>
              <w:rPr>
                <w:rFonts w:ascii="宋体" w:hAnsi="宋体" w:eastAsia="宋体" w:cs="宋体"/>
                <w:bCs/>
                <w:color w:val="auto"/>
                <w:kern w:val="0"/>
                <w:sz w:val="21"/>
                <w:szCs w:val="21"/>
                <w:highlight w:val="none"/>
              </w:rPr>
            </w:pPr>
            <w:r>
              <w:rPr>
                <w:rFonts w:ascii="宋体" w:hAnsi="宋体" w:eastAsia="宋体" w:cs="宋体"/>
                <w:bCs/>
                <w:color w:val="auto"/>
                <w:kern w:val="0"/>
                <w:sz w:val="21"/>
                <w:szCs w:val="21"/>
                <w:highlight w:val="none"/>
              </w:rPr>
              <w:t>4</w:t>
            </w:r>
            <w:r>
              <w:rPr>
                <w:rFonts w:hint="eastAsia" w:ascii="宋体" w:hAnsi="宋体" w:eastAsia="宋体" w:cs="宋体"/>
                <w:bCs/>
                <w:color w:val="auto"/>
                <w:kern w:val="0"/>
                <w:sz w:val="21"/>
                <w:szCs w:val="21"/>
                <w:highlight w:val="none"/>
              </w:rPr>
              <w:t>、附加生产安全事故补充约定条款</w:t>
            </w:r>
          </w:p>
        </w:tc>
      </w:tr>
      <w:tr w14:paraId="254B7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702" w:type="pct"/>
          </w:tcPr>
          <w:p w14:paraId="5B67A956">
            <w:pPr>
              <w:widowControl/>
              <w:adjustRightInd/>
              <w:spacing w:line="360" w:lineRule="auto"/>
              <w:jc w:val="left"/>
              <w:rPr>
                <w:rFonts w:ascii="宋体" w:hAnsi="宋体" w:eastAsia="宋体" w:cs="宋体"/>
                <w:b/>
                <w:bCs/>
                <w:color w:val="auto"/>
                <w:kern w:val="0"/>
                <w:sz w:val="24"/>
                <w:szCs w:val="21"/>
                <w:highlight w:val="none"/>
              </w:rPr>
            </w:pPr>
            <w:r>
              <w:rPr>
                <w:rFonts w:hint="eastAsia" w:ascii="宋体" w:hAnsi="宋体" w:eastAsia="宋体" w:cs="宋体"/>
                <w:b/>
                <w:bCs/>
                <w:color w:val="auto"/>
                <w:kern w:val="0"/>
                <w:sz w:val="24"/>
                <w:szCs w:val="21"/>
                <w:highlight w:val="none"/>
              </w:rPr>
              <w:t>特别约定</w:t>
            </w:r>
          </w:p>
        </w:tc>
        <w:tc>
          <w:tcPr>
            <w:tcW w:w="4297" w:type="pct"/>
          </w:tcPr>
          <w:p w14:paraId="3C64626F">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兹经双方同意订立下列特别约定，下列特别约定如与基本条款冲突，以下列特别约定为准。</w:t>
            </w:r>
          </w:p>
          <w:p w14:paraId="369C2A22">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1、兹经双方同意，如发生下列情况，保险双方本着实事求是的原则，妥善处理、解决与理赔要求不一致之问题及争议：</w:t>
            </w:r>
          </w:p>
          <w:p w14:paraId="1CE74993">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rPr>
              <w:t>上级单位检查工作而导致未能及时报案和现场保留，但提供相关事故证明、证据的；</w:t>
            </w:r>
          </w:p>
          <w:p w14:paraId="2D1EABB0">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rPr>
              <w:t>因事故现场保护而不能进入的；</w:t>
            </w:r>
          </w:p>
          <w:p w14:paraId="004EAA4B">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rPr>
              <w:t>损失原因不能确定或有争议的；</w:t>
            </w:r>
          </w:p>
          <w:p w14:paraId="5DF65D9D">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rPr>
              <w:t>第三者责任事故自行处理、协商处理的；</w:t>
            </w:r>
          </w:p>
          <w:p w14:paraId="0631A9EC">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rPr>
              <w:t>其他因为特殊情况与理赔规定不一致情形的。</w:t>
            </w:r>
          </w:p>
          <w:p w14:paraId="4B85F005">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2、兹经双方同意，在现有保单保障内容基础上，从业人员赔偿项目还包括以下各项：</w:t>
            </w:r>
          </w:p>
          <w:p w14:paraId="76D77ABB">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rPr>
              <w:t>住院保障之住院杂费：包括住院伙食费，转往外省市就医之往返交通费，转往外省市就医之食宿费；</w:t>
            </w:r>
          </w:p>
          <w:p w14:paraId="39BB6D61">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rPr>
              <w:t>工伤暂时丧失工作能力的停工留薪保障；</w:t>
            </w:r>
          </w:p>
          <w:p w14:paraId="52A8D5B6">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rPr>
              <w:t>停工留薪期间护理费；</w:t>
            </w:r>
          </w:p>
          <w:p w14:paraId="258CACDC">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rPr>
              <w:t>伤残津贴（</w:t>
            </w:r>
            <w:r>
              <w:rPr>
                <w:rFonts w:ascii="宋体" w:hAnsi="宋体" w:eastAsia="宋体" w:cs="宋体"/>
                <w:color w:val="auto"/>
                <w:kern w:val="0"/>
                <w:sz w:val="21"/>
                <w:szCs w:val="21"/>
                <w:highlight w:val="none"/>
              </w:rPr>
              <w:t>5—10级）；</w:t>
            </w:r>
          </w:p>
          <w:p w14:paraId="1E2286FA">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rPr>
              <w:t>一次性工伤医疗补助金和伤残就业补助金（</w:t>
            </w:r>
            <w:r>
              <w:rPr>
                <w:rFonts w:ascii="宋体" w:hAnsi="宋体" w:eastAsia="宋体" w:cs="宋体"/>
                <w:color w:val="auto"/>
                <w:kern w:val="0"/>
                <w:sz w:val="21"/>
                <w:szCs w:val="21"/>
                <w:highlight w:val="none"/>
              </w:rPr>
              <w:t>5—10级）；</w:t>
            </w:r>
          </w:p>
          <w:p w14:paraId="06A792CE">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rPr>
              <w:t>因工外出期间发生事故下落不明或者在抢险救灾中下落不明的，从事故发生当月起</w:t>
            </w:r>
            <w:r>
              <w:rPr>
                <w:rFonts w:ascii="宋体" w:hAnsi="宋体" w:eastAsia="宋体" w:cs="宋体"/>
                <w:color w:val="auto"/>
                <w:kern w:val="0"/>
                <w:sz w:val="21"/>
                <w:szCs w:val="21"/>
                <w:highlight w:val="none"/>
              </w:rPr>
              <w:t>3个月内的工资。</w:t>
            </w:r>
          </w:p>
          <w:p w14:paraId="6309EE97">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以上项目按《工伤保险条例》和当地实施办法规定标准赔偿。</w:t>
            </w:r>
          </w:p>
          <w:p w14:paraId="7522247B">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3、鉴于本保险合同附加生产安全事故补充约定条款：发生保险合同约定的生产安全事故，若被保险人未能提供安全生产监督管理部门出具的事故证明，保险人认可被保险人盖章的事故报告说明，不以未提供安全生产监督管理部门的事故证明为理由拒赔。</w:t>
            </w:r>
          </w:p>
          <w:p w14:paraId="7B10D2B7">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4、兹经双方同意，从业人员依据《工伤保险条例》认定属于或视同工伤的，本保险均承担赔偿责任；没有被认定属于或视同工伤的，但根据保险条款属于保险责任的，本保险也承担赔偿责任：</w:t>
            </w:r>
          </w:p>
          <w:p w14:paraId="0AD6EFBC">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5、兹经双方同意，从业人员受伤人员暂时丧失工作能力的，经医院证明，保险人按</w:t>
            </w:r>
            <w:r>
              <w:rPr>
                <w:rFonts w:hint="eastAsia" w:ascii="宋体" w:hAnsi="宋体" w:eastAsia="宋体" w:cs="宋体"/>
                <w:color w:val="auto"/>
                <w:kern w:val="0"/>
                <w:sz w:val="21"/>
                <w:szCs w:val="21"/>
                <w:highlight w:val="none"/>
              </w:rPr>
              <w:t>以下标准补偿误工费，最长不超过</w:t>
            </w:r>
            <w:r>
              <w:rPr>
                <w:rFonts w:ascii="宋体" w:hAnsi="宋体" w:eastAsia="宋体" w:cs="宋体"/>
                <w:color w:val="auto"/>
                <w:kern w:val="0"/>
                <w:sz w:val="21"/>
                <w:szCs w:val="21"/>
                <w:highlight w:val="none"/>
              </w:rPr>
              <w:t>1年。</w:t>
            </w:r>
          </w:p>
          <w:p w14:paraId="7E3FD3F8">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保险人赔偿的误工费</w:t>
            </w:r>
            <w:r>
              <w:rPr>
                <w:rFonts w:ascii="宋体" w:hAnsi="宋体" w:eastAsia="宋体" w:cs="宋体"/>
                <w:color w:val="auto"/>
                <w:kern w:val="0"/>
                <w:sz w:val="21"/>
                <w:szCs w:val="21"/>
                <w:highlight w:val="none"/>
              </w:rPr>
              <w:t>=（被保险人雇员的月工资÷30天）×暂时失去工作能力的实际天数。</w:t>
            </w:r>
          </w:p>
          <w:p w14:paraId="371ECFFC">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1）受伤人员的月工资指被保险人的月应发工资；</w:t>
            </w:r>
          </w:p>
          <w:p w14:paraId="575E977A">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2）月工资计算方式为受伤员工受伤前12月应发工资的平均数，如该员工在受伤前岗位、职务有变动，则以变动后的月应发工资平均数计算。</w:t>
            </w:r>
          </w:p>
          <w:p w14:paraId="0B83CB2C">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3）误工期限的认定以三甲医院出具的建休天数为准。</w:t>
            </w:r>
          </w:p>
          <w:p w14:paraId="3D5A3113">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4）护理费赔偿方式：兹经双方同意，场所内发生意外伤害事故导致第三者人员及从业人员住院时，保险人同意对于被保险人向第三者赔偿的护理费按照160元/天标准赔付，营养费按照30元/天标准赔付。无法提供护工票据的，依据医嘱及相关医疗证明中所列的建休天数*160元/天标准赔付。</w:t>
            </w:r>
          </w:p>
          <w:p w14:paraId="4ABAAB3B">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r>
              <w:rPr>
                <w:rFonts w:ascii="宋体" w:hAnsi="宋体" w:eastAsia="宋体" w:cs="宋体"/>
                <w:color w:val="auto"/>
                <w:kern w:val="0"/>
                <w:sz w:val="21"/>
                <w:szCs w:val="21"/>
                <w:highlight w:val="none"/>
              </w:rPr>
              <w:t>5）经社会保险行政部门认定，被保险人雇员为永久丧失全部(部分)工作能力的，则认定之日前保险人应按上述第5条标准赔偿误工费，从认定之日起不再赔偿误工费，且已支付的误工费保险人不得从其它赔偿项目中扣除。</w:t>
            </w:r>
          </w:p>
          <w:p w14:paraId="3A02E7E8">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6、兹经双方同意，被保险人如果有工伤保险或其他类似商业保险保障，或保险事故中存在第三方赔偿，本保险单的伤残和死亡赔偿责任不因此而受影响，本保险合同的医疗费用赔偿责任与被保险人的工伤保险或其他类似商业保险保障互为补充。安全生产责任保险赔付后不影响被保险人从业人员请求工伤保险的权利。</w:t>
            </w:r>
          </w:p>
          <w:p w14:paraId="356F119B">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7、兹经双方同意，受伤人员的伤残或死亡或财产损失若存在第三责任方，保险人同意按本保单规定先行赔付被保险人，而后再向第三方进行追偿。追偿时，被保险人应提供相应的协助。</w:t>
            </w:r>
          </w:p>
          <w:p w14:paraId="224DD139">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8、兹经双方同意，导致受伤人员伤残的，依据《职工工伤与职业病致残程</w:t>
            </w:r>
            <w:r>
              <w:rPr>
                <w:rFonts w:hint="eastAsia" w:ascii="宋体" w:hAnsi="宋体" w:eastAsia="宋体" w:cs="宋体"/>
                <w:color w:val="auto"/>
                <w:kern w:val="0"/>
                <w:sz w:val="21"/>
                <w:szCs w:val="21"/>
                <w:highlight w:val="none"/>
              </w:rPr>
              <w:t>度鉴定》标准鉴定残疾程度，保险人按照以下残疾赔偿比例规定的百分比，乘以每人伤亡责任限额内进行赔付：</w:t>
            </w:r>
          </w:p>
          <w:p w14:paraId="2868A4CF">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伤亡程度</w:t>
            </w:r>
            <w:r>
              <w:rPr>
                <w:rFonts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限额百分比</w:t>
            </w:r>
          </w:p>
          <w:p w14:paraId="34EACD5C">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死亡</w:t>
            </w:r>
            <w:r>
              <w:rPr>
                <w:rFonts w:ascii="宋体" w:hAnsi="宋体" w:eastAsia="宋体" w:cs="宋体"/>
                <w:color w:val="auto"/>
                <w:kern w:val="0"/>
                <w:sz w:val="21"/>
                <w:szCs w:val="21"/>
                <w:highlight w:val="none"/>
              </w:rPr>
              <w:t>/永久丧失工作能力/一级残疾</w:t>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 xml:space="preserve">      100%</w:t>
            </w:r>
          </w:p>
          <w:p w14:paraId="29F60583">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二级残疾</w:t>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 xml:space="preserve">                           90%</w:t>
            </w:r>
          </w:p>
          <w:p w14:paraId="674813C4">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三级残疾</w:t>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 xml:space="preserve">                       80%</w:t>
            </w:r>
          </w:p>
          <w:p w14:paraId="4011C7CE">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四级残疾</w:t>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 xml:space="preserve">                       70%</w:t>
            </w:r>
          </w:p>
          <w:p w14:paraId="1F3651EE">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五级残疾</w:t>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 xml:space="preserve">                       60%</w:t>
            </w:r>
          </w:p>
          <w:p w14:paraId="260E1818">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六级残疾</w:t>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 xml:space="preserve">                       50%</w:t>
            </w:r>
          </w:p>
          <w:p w14:paraId="04235BF9">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七级残疾</w:t>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 xml:space="preserve">                       40%</w:t>
            </w:r>
          </w:p>
          <w:p w14:paraId="14043F25">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八级残疾</w:t>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 xml:space="preserve">                       30%</w:t>
            </w:r>
          </w:p>
          <w:p w14:paraId="5559964E">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九级残疾</w:t>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ab/>
            </w:r>
            <w:r>
              <w:rPr>
                <w:rFonts w:ascii="宋体" w:hAnsi="宋体" w:eastAsia="宋体" w:cs="宋体"/>
                <w:color w:val="auto"/>
                <w:kern w:val="0"/>
                <w:sz w:val="21"/>
                <w:szCs w:val="21"/>
                <w:highlight w:val="none"/>
              </w:rPr>
              <w:t xml:space="preserve">                       20%</w:t>
            </w:r>
          </w:p>
          <w:p w14:paraId="48BA1F93">
            <w:pPr>
              <w:widowControl/>
              <w:adjustRightInd/>
              <w:spacing w:line="360" w:lineRule="auto"/>
              <w:ind w:firstLine="24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十级残疾</w:t>
            </w:r>
            <w:r>
              <w:rPr>
                <w:rFonts w:ascii="宋体" w:hAnsi="宋体" w:eastAsia="宋体" w:cs="宋体"/>
                <w:color w:val="auto"/>
                <w:kern w:val="0"/>
                <w:sz w:val="21"/>
                <w:szCs w:val="21"/>
                <w:highlight w:val="none"/>
              </w:rPr>
              <w:t xml:space="preserve">                             10%</w:t>
            </w:r>
          </w:p>
          <w:p w14:paraId="4EACEE6E">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9、在发生危及生命的救治及整形时医院需采用非医保用药，保险人同意进行赔付。</w:t>
            </w:r>
          </w:p>
          <w:p w14:paraId="51561D75">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10、被保险人从业人员因突发急性病导致身故且符合工伤（需工伤部门认定），应按照伤亡程度对照的责任限额进行赔偿。</w:t>
            </w:r>
          </w:p>
          <w:p w14:paraId="600FAD17">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11、被保险人从业人员和第三者发生意外伤亡的，且因此产生需恢复形体、器官等功能的费用，包括但不限于安装假肢、假牙、假眼、面部恢复或皮肤整容等，保险人对于上述费用予以赔偿。</w:t>
            </w:r>
          </w:p>
          <w:p w14:paraId="058C39BA">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12、如相关人员发生保险责任事故，理赔时需进行伤残鉴定的，若由双方认</w:t>
            </w:r>
            <w:r>
              <w:rPr>
                <w:rFonts w:hint="eastAsia" w:ascii="宋体" w:hAnsi="宋体" w:eastAsia="宋体" w:cs="宋体"/>
                <w:color w:val="auto"/>
                <w:kern w:val="0"/>
                <w:sz w:val="21"/>
                <w:szCs w:val="21"/>
                <w:highlight w:val="none"/>
              </w:rPr>
              <w:t>可的伤残鉴定机构进行认定伤残等级的，鉴定费用由保险人支付。</w:t>
            </w:r>
          </w:p>
          <w:p w14:paraId="642EC998">
            <w:pPr>
              <w:widowControl/>
              <w:tabs>
                <w:tab w:val="left" w:pos="780"/>
              </w:tabs>
              <w:adjustRightInd/>
              <w:snapToGrid w:val="0"/>
              <w:spacing w:line="360" w:lineRule="auto"/>
              <w:ind w:firstLine="420" w:firstLineChars="20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13、兹经双方同意，被保险人按照本保单生效时的在册员工人数投保并计算预交保险费。本保险期限内，被保险人于每季度结束后20天内，申报上一季度实际员工人数。保险期满后，保险人按被保险人申报的实际员工人数调整计算保险费，多退少补。保险费调整依照全年保险费按日比例计算。被保险人在其员工出险时，以该员工与被保险人单位存在劳动关系的相关证明（临时员工以出险时的工资册为赔偿依据）进行理赔。保险人同意不会因被保险人实际员工人数超过已投保人数而拒赔或比例赔付。</w:t>
            </w:r>
          </w:p>
          <w:p w14:paraId="09C40402">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14、慰问关怀：为甲方困难员工提供慰问关怀。</w:t>
            </w:r>
          </w:p>
          <w:p w14:paraId="14543172">
            <w:pPr>
              <w:widowControl/>
              <w:adjustRightInd/>
              <w:spacing w:line="360" w:lineRule="auto"/>
              <w:ind w:firstLine="240"/>
              <w:jc w:val="left"/>
              <w:rPr>
                <w:rFonts w:ascii="宋体" w:hAnsi="宋体" w:eastAsia="宋体" w:cs="宋体"/>
                <w:color w:val="auto"/>
                <w:kern w:val="0"/>
                <w:sz w:val="21"/>
                <w:szCs w:val="21"/>
                <w:highlight w:val="none"/>
              </w:rPr>
            </w:pPr>
            <w:r>
              <w:rPr>
                <w:rFonts w:ascii="宋体" w:hAnsi="宋体" w:eastAsia="宋体" w:cs="宋体"/>
                <w:color w:val="auto"/>
                <w:kern w:val="0"/>
                <w:sz w:val="21"/>
                <w:szCs w:val="21"/>
                <w:highlight w:val="none"/>
              </w:rPr>
              <w:t>15</w:t>
            </w:r>
            <w:r>
              <w:rPr>
                <w:rFonts w:hint="eastAsia" w:ascii="宋体" w:hAnsi="宋体" w:eastAsia="宋体" w:cs="宋体"/>
                <w:color w:val="auto"/>
                <w:kern w:val="0"/>
                <w:sz w:val="21"/>
                <w:szCs w:val="21"/>
                <w:highlight w:val="none"/>
              </w:rPr>
              <w:t>、被保险人的从业人员在工会活动、疗休养、培训等公司组织的活动期间发生意外事故导致人身及财产损失的属于保险责任范围内，保险人负责赔偿。</w:t>
            </w:r>
          </w:p>
          <w:p w14:paraId="12FB2219">
            <w:pPr>
              <w:widowControl w:val="0"/>
              <w:overflowPunct/>
              <w:autoSpaceDE/>
              <w:autoSpaceDN/>
              <w:adjustRightInd/>
              <w:spacing w:before="0" w:after="0" w:line="360" w:lineRule="auto"/>
              <w:ind w:left="0" w:firstLine="210" w:firstLineChars="100"/>
              <w:jc w:val="both"/>
              <w:textAlignment w:val="auto"/>
              <w:rPr>
                <w:rFonts w:ascii="宋体" w:hAnsi="宋体" w:eastAsia="宋体" w:cs="Times New Roman"/>
                <w:color w:val="auto"/>
                <w:kern w:val="2"/>
                <w:sz w:val="21"/>
                <w:szCs w:val="21"/>
                <w:highlight w:val="none"/>
                <w:lang w:val="en-US" w:eastAsia="zh-CN" w:bidi="ar-SA"/>
              </w:rPr>
            </w:pPr>
            <w:r>
              <w:rPr>
                <w:rFonts w:ascii="宋体" w:hAnsi="宋体" w:eastAsia="宋体" w:cs="Times New Roman"/>
                <w:color w:val="auto"/>
                <w:kern w:val="2"/>
                <w:sz w:val="21"/>
                <w:szCs w:val="21"/>
                <w:highlight w:val="none"/>
                <w:lang w:val="en-US" w:eastAsia="zh-CN" w:bidi="ar-SA"/>
              </w:rPr>
              <w:t>16、</w:t>
            </w:r>
            <w:r>
              <w:rPr>
                <w:rFonts w:ascii="宋体" w:hAnsi="Times New Roman" w:eastAsia="宋体" w:cs="Times New Roman"/>
                <w:color w:val="auto"/>
                <w:kern w:val="2"/>
                <w:sz w:val="21"/>
                <w:szCs w:val="21"/>
                <w:highlight w:val="none"/>
                <w:lang w:val="en-US" w:eastAsia="zh-CN" w:bidi="ar-SA"/>
              </w:rPr>
              <w:t>兹经双方同意，本保险自动承保被保险人新增的员工，但被保险人在索赔时须出具相应的人事记录或用工合同。被保险人离职的员工也自动终止保险责任。</w:t>
            </w:r>
          </w:p>
        </w:tc>
      </w:tr>
    </w:tbl>
    <w:p w14:paraId="7F21882B">
      <w:pPr>
        <w:widowControl/>
        <w:adjustRightInd/>
        <w:jc w:val="left"/>
        <w:rPr>
          <w:rFonts w:ascii="宋体" w:hAnsi="宋体" w:eastAsia="宋体" w:cs="仿宋"/>
          <w:b/>
          <w:bCs/>
          <w:color w:val="auto"/>
          <w:kern w:val="0"/>
          <w:sz w:val="24"/>
          <w:szCs w:val="21"/>
          <w:highlight w:val="none"/>
        </w:rPr>
      </w:pPr>
    </w:p>
    <w:p w14:paraId="51EC13D1">
      <w:pPr>
        <w:keepNext/>
        <w:keepLines/>
        <w:widowControl w:val="0"/>
        <w:adjustRightInd/>
        <w:spacing w:line="400" w:lineRule="exact"/>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安全生产责任保险条款</w:t>
      </w:r>
    </w:p>
    <w:p w14:paraId="4E89EB8C">
      <w:pPr>
        <w:widowControl/>
        <w:tabs>
          <w:tab w:val="left" w:pos="6045"/>
        </w:tabs>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总则</w:t>
      </w:r>
    </w:p>
    <w:p w14:paraId="3B78E6E9">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第一条</w:t>
      </w:r>
      <w:r>
        <w:rPr>
          <w:rFonts w:hint="eastAsia" w:ascii="宋体" w:hAnsi="宋体" w:eastAsia="宋体" w:cs="宋体"/>
          <w:color w:val="auto"/>
          <w:kern w:val="0"/>
          <w:sz w:val="21"/>
          <w:szCs w:val="21"/>
          <w:highlight w:val="none"/>
        </w:rPr>
        <w:t xml:space="preserve"> 本保险合同由保险条款、投保单、保险单、保险凭证以及批单组成，凡涉及本保险合同的约定，均应采用书面形式。</w:t>
      </w:r>
    </w:p>
    <w:p w14:paraId="2D1ED906">
      <w:pPr>
        <w:widowControl/>
        <w:adjustRightInd/>
        <w:snapToGrid w:val="0"/>
        <w:spacing w:line="400" w:lineRule="exact"/>
        <w:ind w:firstLine="413" w:firstLineChars="196"/>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 xml:space="preserve">第二条 </w:t>
      </w:r>
      <w:r>
        <w:rPr>
          <w:rFonts w:hint="eastAsia" w:ascii="宋体" w:hAnsi="宋体" w:eastAsia="宋体" w:cs="宋体"/>
          <w:color w:val="auto"/>
          <w:kern w:val="0"/>
          <w:sz w:val="21"/>
          <w:szCs w:val="21"/>
          <w:highlight w:val="none"/>
        </w:rPr>
        <w:t>凡在中华人民共和国境内（不包括港、澳、台地区）依法成立，并取得相关领域生产/经营许可证，依法从事生产、经营的企事业单位等</w:t>
      </w:r>
      <w:r>
        <w:rPr>
          <w:rFonts w:hint="eastAsia" w:ascii="宋体" w:hAnsi="宋体" w:eastAsia="宋体" w:cs="宋体"/>
          <w:bCs/>
          <w:color w:val="auto"/>
          <w:kern w:val="0"/>
          <w:sz w:val="21"/>
          <w:szCs w:val="21"/>
          <w:highlight w:val="none"/>
        </w:rPr>
        <w:t>，均可</w:t>
      </w:r>
      <w:r>
        <w:rPr>
          <w:rFonts w:hint="eastAsia" w:ascii="宋体" w:hAnsi="宋体" w:eastAsia="宋体" w:cs="宋体"/>
          <w:color w:val="auto"/>
          <w:kern w:val="0"/>
          <w:sz w:val="21"/>
          <w:szCs w:val="21"/>
          <w:highlight w:val="none"/>
        </w:rPr>
        <w:t>作为本保险合同的投保人。</w:t>
      </w:r>
    </w:p>
    <w:p w14:paraId="1DC68491">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第三条</w:t>
      </w:r>
      <w:r>
        <w:rPr>
          <w:rFonts w:hint="eastAsia" w:ascii="宋体" w:hAnsi="宋体" w:eastAsia="宋体" w:cs="宋体"/>
          <w:color w:val="auto"/>
          <w:kern w:val="0"/>
          <w:sz w:val="21"/>
          <w:szCs w:val="21"/>
          <w:highlight w:val="none"/>
        </w:rPr>
        <w:t xml:space="preserve"> 本保险合同由总则、从业人员责任保险、第三者责任保险、救援费用保险、通用条款五部分组成。投保人可选择投保从业人员责任保险、第三者责任保险或救援费用保险，也可同时投保。</w:t>
      </w:r>
    </w:p>
    <w:p w14:paraId="5DF25AB9">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第四条 </w:t>
      </w:r>
      <w:r>
        <w:rPr>
          <w:rFonts w:hint="eastAsia" w:ascii="宋体" w:hAnsi="宋体" w:eastAsia="宋体" w:cs="宋体"/>
          <w:color w:val="auto"/>
          <w:kern w:val="0"/>
          <w:sz w:val="21"/>
          <w:szCs w:val="21"/>
          <w:highlight w:val="none"/>
        </w:rPr>
        <w:t>从业人员责任保险、第三者责任保险、救援费用保险的约定适用于该部分，总则和通用条款的约定适用于整个保险合同。</w:t>
      </w:r>
    </w:p>
    <w:p w14:paraId="2084512B">
      <w:pPr>
        <w:widowControl/>
        <w:adjustRightInd/>
        <w:snapToGrid w:val="0"/>
        <w:spacing w:line="400" w:lineRule="exact"/>
        <w:jc w:val="center"/>
        <w:outlineLvl w:val="2"/>
        <w:rPr>
          <w:rFonts w:hint="eastAsia" w:ascii="宋体" w:hAnsi="宋体" w:eastAsia="宋体" w:cs="宋体"/>
          <w:b/>
          <w:color w:val="auto"/>
          <w:kern w:val="0"/>
          <w:sz w:val="21"/>
          <w:szCs w:val="21"/>
          <w:highlight w:val="none"/>
        </w:rPr>
      </w:pPr>
      <w:bookmarkStart w:id="146" w:name="_Toc122095485"/>
      <w:bookmarkStart w:id="147" w:name="_Toc119178699"/>
      <w:bookmarkStart w:id="148" w:name="_Toc119659014"/>
      <w:bookmarkStart w:id="149" w:name="_Toc118833720"/>
      <w:bookmarkStart w:id="150" w:name="_Toc119522474"/>
      <w:bookmarkStart w:id="151" w:name="_Toc119522778"/>
      <w:bookmarkStart w:id="152" w:name="_Toc2999"/>
      <w:r>
        <w:rPr>
          <w:rFonts w:hint="eastAsia" w:ascii="宋体" w:hAnsi="宋体" w:eastAsia="宋体" w:cs="宋体"/>
          <w:b/>
          <w:color w:val="auto"/>
          <w:kern w:val="0"/>
          <w:sz w:val="21"/>
          <w:szCs w:val="21"/>
          <w:highlight w:val="none"/>
        </w:rPr>
        <w:t>第一部分 从业人员责任保险</w:t>
      </w:r>
      <w:bookmarkEnd w:id="146"/>
      <w:bookmarkEnd w:id="147"/>
      <w:bookmarkEnd w:id="148"/>
      <w:bookmarkEnd w:id="149"/>
      <w:bookmarkEnd w:id="150"/>
      <w:bookmarkEnd w:id="151"/>
      <w:bookmarkEnd w:id="152"/>
    </w:p>
    <w:p w14:paraId="2F22A371">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保险责任</w:t>
      </w:r>
    </w:p>
    <w:p w14:paraId="443C746F">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第五条 </w:t>
      </w:r>
      <w:r>
        <w:rPr>
          <w:rFonts w:hint="eastAsia" w:ascii="宋体" w:hAnsi="宋体" w:eastAsia="宋体" w:cs="宋体"/>
          <w:color w:val="auto"/>
          <w:kern w:val="0"/>
          <w:sz w:val="21"/>
          <w:szCs w:val="21"/>
          <w:highlight w:val="none"/>
        </w:rPr>
        <w:t>在保险期间内，投保人在保险单载明的场所内从事生产、经营等活动过程中，因发生生产安全事故，导致从业人员人身伤亡，依照中华人民共和国法律（不包括港、澳、台地区）应由投保人承担的经济赔偿责任，保险人按照本保险合同的约定负责赔偿。</w:t>
      </w:r>
    </w:p>
    <w:p w14:paraId="3F693980">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责任免除</w:t>
      </w:r>
    </w:p>
    <w:p w14:paraId="6A1C4D64">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第六条下列原因造成的损失、费用和责任，保险人不负责赔偿：</w:t>
      </w:r>
    </w:p>
    <w:p w14:paraId="758CB5A8">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（一）从业人员在工作时间和工作场所内，因履行工作职责受到暴力伤害的；</w:t>
      </w:r>
    </w:p>
    <w:p w14:paraId="7ABA7745">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（二）从业人员在工作时间和工作岗位，突发疾病死亡或者在48小时之内经抢救无效死亡；</w:t>
      </w:r>
    </w:p>
    <w:p w14:paraId="41C0D971">
      <w:pPr>
        <w:widowControl/>
        <w:adjustRightInd w:val="0"/>
        <w:snapToGrid w:val="0"/>
        <w:spacing w:line="400" w:lineRule="exact"/>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（三）从业人员因工外出期间，由于工作原因受到伤害或者发生事故下落不明的；</w:t>
      </w:r>
    </w:p>
    <w:p w14:paraId="2DF92D9E">
      <w:pPr>
        <w:widowControl/>
        <w:adjustRightInd w:val="0"/>
        <w:snapToGrid w:val="0"/>
        <w:spacing w:line="400" w:lineRule="exact"/>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（四）从业人员在上下班途中，受到非本人主要责任的交通事故或者城市轨道交通、客运轮渡、火车事故伤害的；</w:t>
      </w:r>
    </w:p>
    <w:p w14:paraId="14B513D7">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（五）从业人员在抢险救灾等维护国家利益、公共利益活动中受到伤害的；</w:t>
      </w:r>
    </w:p>
    <w:p w14:paraId="4A0E2AB3">
      <w:pPr>
        <w:widowControl/>
        <w:adjustRightInd/>
        <w:snapToGrid w:val="0"/>
        <w:spacing w:line="400" w:lineRule="exact"/>
        <w:ind w:firstLine="413" w:firstLineChars="196"/>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（六）从业人员的故意行为、犯罪行为，或自杀、自伤、醉酒、吸毒或受精神药品影响，造成自身人身伤亡。</w:t>
      </w:r>
    </w:p>
    <w:p w14:paraId="43303043">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 xml:space="preserve">第七条 下列损失、费用、责任，保险人也不负责赔偿： </w:t>
      </w:r>
    </w:p>
    <w:p w14:paraId="4F235FDD">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（一）财产损失；</w:t>
      </w:r>
    </w:p>
    <w:p w14:paraId="4E45D6A7">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（二）医疗费用。</w:t>
      </w:r>
    </w:p>
    <w:p w14:paraId="3D3E826E">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第八条 </w:t>
      </w:r>
      <w:r>
        <w:rPr>
          <w:rFonts w:hint="eastAsia" w:ascii="宋体" w:hAnsi="宋体" w:eastAsia="宋体" w:cs="宋体"/>
          <w:color w:val="auto"/>
          <w:kern w:val="0"/>
          <w:sz w:val="21"/>
          <w:szCs w:val="21"/>
          <w:highlight w:val="none"/>
        </w:rPr>
        <w:t>保险人按照投保时投保人提供的从业人员名单承担赔偿责任。投保人对名单范围以外的从业人员承担的赔偿责任，保险人不负责赔偿。</w:t>
      </w:r>
    </w:p>
    <w:p w14:paraId="3D054F01">
      <w:pPr>
        <w:widowControl/>
        <w:adjustRightInd/>
        <w:snapToGrid w:val="0"/>
        <w:spacing w:line="400" w:lineRule="exact"/>
        <w:ind w:firstLine="420"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经保险人同意按约定人数投保的，如发生保险事故时投保人的从业人员人数多于投保时人数，保险人按投保人数与实际人数的比例承担赔偿责任。</w:t>
      </w:r>
    </w:p>
    <w:p w14:paraId="08144726">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责任限额</w:t>
      </w:r>
    </w:p>
    <w:p w14:paraId="48CB9D01">
      <w:pPr>
        <w:widowControl/>
        <w:adjustRightInd/>
        <w:snapToGrid w:val="0"/>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第九条 </w:t>
      </w:r>
      <w:r>
        <w:rPr>
          <w:rFonts w:hint="eastAsia" w:ascii="宋体" w:hAnsi="宋体" w:eastAsia="宋体" w:cs="宋体"/>
          <w:color w:val="auto"/>
          <w:kern w:val="0"/>
          <w:sz w:val="21"/>
          <w:szCs w:val="21"/>
          <w:highlight w:val="none"/>
        </w:rPr>
        <w:t>除另有约定外，从业人员责任保险部分的</w:t>
      </w:r>
      <w:r>
        <w:rPr>
          <w:rFonts w:hint="eastAsia" w:ascii="宋体" w:hAnsi="宋体" w:eastAsia="宋体" w:cs="宋体"/>
          <w:bCs/>
          <w:color w:val="auto"/>
          <w:kern w:val="0"/>
          <w:sz w:val="21"/>
          <w:szCs w:val="21"/>
          <w:highlight w:val="none"/>
        </w:rPr>
        <w:t>责任限额包括</w:t>
      </w:r>
      <w:r>
        <w:rPr>
          <w:rFonts w:hint="eastAsia" w:ascii="宋体" w:hAnsi="宋体" w:eastAsia="宋体" w:cs="宋体"/>
          <w:color w:val="auto"/>
          <w:kern w:val="0"/>
          <w:sz w:val="21"/>
          <w:szCs w:val="21"/>
          <w:highlight w:val="none"/>
        </w:rPr>
        <w:t>每次事故责任限额、每人伤亡责任限额。</w:t>
      </w:r>
    </w:p>
    <w:p w14:paraId="6B57764C">
      <w:pPr>
        <w:widowControl/>
        <w:adjustRightInd/>
        <w:snapToGrid w:val="0"/>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各项责任限额由投保人和保险人协商确定，并在保险单中载明。</w:t>
      </w:r>
    </w:p>
    <w:p w14:paraId="447ED0C9">
      <w:pPr>
        <w:widowControl/>
        <w:adjustRightInd/>
        <w:snapToGrid w:val="0"/>
        <w:spacing w:line="400" w:lineRule="exact"/>
        <w:jc w:val="center"/>
        <w:outlineLvl w:val="2"/>
        <w:rPr>
          <w:rFonts w:hint="eastAsia" w:ascii="宋体" w:hAnsi="宋体" w:eastAsia="宋体" w:cs="宋体"/>
          <w:b/>
          <w:color w:val="auto"/>
          <w:kern w:val="0"/>
          <w:sz w:val="21"/>
          <w:szCs w:val="21"/>
          <w:highlight w:val="none"/>
        </w:rPr>
      </w:pPr>
      <w:bookmarkStart w:id="153" w:name="_Toc119522779"/>
      <w:bookmarkStart w:id="154" w:name="_Toc119178700"/>
      <w:bookmarkStart w:id="155" w:name="_Toc5377"/>
      <w:bookmarkStart w:id="156" w:name="_Toc122095486"/>
      <w:bookmarkStart w:id="157" w:name="_Toc119659015"/>
      <w:bookmarkStart w:id="158" w:name="_Toc119522475"/>
      <w:bookmarkStart w:id="159" w:name="_Toc118833721"/>
      <w:r>
        <w:rPr>
          <w:rFonts w:hint="eastAsia" w:ascii="宋体" w:hAnsi="宋体" w:eastAsia="宋体" w:cs="宋体"/>
          <w:b/>
          <w:color w:val="auto"/>
          <w:kern w:val="0"/>
          <w:sz w:val="21"/>
          <w:szCs w:val="21"/>
          <w:highlight w:val="none"/>
        </w:rPr>
        <w:t>第二部分 第三者责任保险</w:t>
      </w:r>
      <w:bookmarkEnd w:id="153"/>
      <w:bookmarkEnd w:id="154"/>
      <w:bookmarkEnd w:id="155"/>
      <w:bookmarkEnd w:id="156"/>
      <w:bookmarkEnd w:id="157"/>
      <w:bookmarkEnd w:id="158"/>
      <w:bookmarkEnd w:id="159"/>
    </w:p>
    <w:p w14:paraId="70F203AE">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保险责任</w:t>
      </w:r>
    </w:p>
    <w:p w14:paraId="56B9C0E8">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第十条 </w:t>
      </w:r>
      <w:r>
        <w:rPr>
          <w:rFonts w:hint="eastAsia" w:ascii="宋体" w:hAnsi="宋体" w:eastAsia="宋体" w:cs="宋体"/>
          <w:color w:val="auto"/>
          <w:kern w:val="0"/>
          <w:sz w:val="21"/>
          <w:szCs w:val="21"/>
          <w:highlight w:val="none"/>
        </w:rPr>
        <w:t>在保险期间内，投保人在保险单载明的场所内依法从事生产、经营等活动过程中，因发生生产安全事故，造成第三者的人身伤亡，依照中华人民共和国法律（不包括港、澳、台地区）应由投保人承担的经济赔偿责任，保险人按照本保险合同的约定负责赔偿。</w:t>
      </w:r>
    </w:p>
    <w:p w14:paraId="0912CDEA">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责任免除</w:t>
      </w:r>
    </w:p>
    <w:p w14:paraId="3CA413C8">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bCs/>
          <w:color w:val="auto"/>
          <w:kern w:val="0"/>
          <w:sz w:val="21"/>
          <w:szCs w:val="21"/>
          <w:highlight w:val="none"/>
        </w:rPr>
        <w:t>第十一条</w:t>
      </w:r>
      <w:r>
        <w:rPr>
          <w:rFonts w:hint="eastAsia" w:ascii="宋体" w:hAnsi="宋体" w:eastAsia="宋体" w:cs="宋体"/>
          <w:b/>
          <w:color w:val="auto"/>
          <w:kern w:val="0"/>
          <w:sz w:val="21"/>
          <w:szCs w:val="21"/>
          <w:highlight w:val="none"/>
        </w:rPr>
        <w:t>下列损失、费用和责任，保险人不负责赔偿：</w:t>
      </w:r>
    </w:p>
    <w:p w14:paraId="20695E3B">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（一）财产损失；</w:t>
      </w:r>
    </w:p>
    <w:p w14:paraId="17541787">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（二）医疗费用；</w:t>
      </w:r>
    </w:p>
    <w:p w14:paraId="290C5D61">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（三）本保险单未载明，但属于投保人所有、占有或以其名义使用的任何牲畜、车辆、火车头、船只、飞机、电梯、升降机、自动梯、起重机、吊车或其他升降装置造成的损失；</w:t>
      </w:r>
    </w:p>
    <w:p w14:paraId="452E5843">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（四）投保人或其从业人员因从事医师、律师、会计师、设计师、建筑师、美容师或其他专门职业所发生的赔偿责任；</w:t>
      </w:r>
    </w:p>
    <w:p w14:paraId="1D2EDB3D">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（五）投保人售出的商品、食物、饮料存在缺陷造成他人的损害。</w:t>
      </w:r>
    </w:p>
    <w:p w14:paraId="5DF38110">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责任限额</w:t>
      </w:r>
    </w:p>
    <w:p w14:paraId="16503236">
      <w:pPr>
        <w:widowControl/>
        <w:adjustRightInd/>
        <w:snapToGrid w:val="0"/>
        <w:spacing w:line="400" w:lineRule="exact"/>
        <w:ind w:firstLine="413" w:firstLineChars="196"/>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第十二条 </w:t>
      </w:r>
      <w:r>
        <w:rPr>
          <w:rFonts w:hint="eastAsia" w:ascii="宋体" w:hAnsi="宋体" w:eastAsia="宋体" w:cs="宋体"/>
          <w:color w:val="auto"/>
          <w:kern w:val="0"/>
          <w:sz w:val="21"/>
          <w:szCs w:val="21"/>
          <w:highlight w:val="none"/>
        </w:rPr>
        <w:t>除另有约定外，第三者责任保险部分的</w:t>
      </w:r>
      <w:r>
        <w:rPr>
          <w:rFonts w:hint="eastAsia" w:ascii="宋体" w:hAnsi="宋体" w:eastAsia="宋体" w:cs="宋体"/>
          <w:bCs/>
          <w:color w:val="auto"/>
          <w:kern w:val="0"/>
          <w:sz w:val="21"/>
          <w:szCs w:val="21"/>
          <w:highlight w:val="none"/>
        </w:rPr>
        <w:t>责任限额包括</w:t>
      </w:r>
      <w:r>
        <w:rPr>
          <w:rFonts w:hint="eastAsia" w:ascii="宋体" w:hAnsi="宋体" w:eastAsia="宋体" w:cs="宋体"/>
          <w:color w:val="auto"/>
          <w:kern w:val="0"/>
          <w:sz w:val="21"/>
          <w:szCs w:val="21"/>
          <w:highlight w:val="none"/>
        </w:rPr>
        <w:t>每次事故责任限额、每人伤亡责任限额。</w:t>
      </w:r>
    </w:p>
    <w:p w14:paraId="04071EF3">
      <w:pPr>
        <w:widowControl/>
        <w:adjustRightInd/>
        <w:snapToGrid w:val="0"/>
        <w:spacing w:line="40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各项责任限额由投保人和保险人协商确定，并在保险单中载明。</w:t>
      </w:r>
    </w:p>
    <w:p w14:paraId="7A6020C8">
      <w:pPr>
        <w:widowControl/>
        <w:adjustRightInd/>
        <w:snapToGrid w:val="0"/>
        <w:spacing w:line="400" w:lineRule="exact"/>
        <w:jc w:val="center"/>
        <w:outlineLvl w:val="2"/>
        <w:rPr>
          <w:rFonts w:hint="eastAsia" w:ascii="宋体" w:hAnsi="宋体" w:eastAsia="宋体" w:cs="宋体"/>
          <w:b/>
          <w:color w:val="auto"/>
          <w:kern w:val="0"/>
          <w:sz w:val="21"/>
          <w:szCs w:val="21"/>
          <w:highlight w:val="none"/>
        </w:rPr>
      </w:pPr>
      <w:bookmarkStart w:id="160" w:name="_Toc7585"/>
      <w:bookmarkStart w:id="161" w:name="_Toc118833722"/>
      <w:bookmarkStart w:id="162" w:name="_Toc119659016"/>
      <w:bookmarkStart w:id="163" w:name="_Toc119522780"/>
      <w:bookmarkStart w:id="164" w:name="_Toc122095487"/>
      <w:bookmarkStart w:id="165" w:name="_Toc119522476"/>
      <w:bookmarkStart w:id="166" w:name="_Toc119178701"/>
      <w:r>
        <w:rPr>
          <w:rFonts w:hint="eastAsia" w:ascii="宋体" w:hAnsi="宋体" w:eastAsia="宋体" w:cs="宋体"/>
          <w:b/>
          <w:color w:val="auto"/>
          <w:kern w:val="0"/>
          <w:sz w:val="21"/>
          <w:szCs w:val="21"/>
          <w:highlight w:val="none"/>
        </w:rPr>
        <w:t>第三部分 救援费用保险</w:t>
      </w:r>
      <w:bookmarkEnd w:id="160"/>
      <w:bookmarkEnd w:id="161"/>
      <w:bookmarkEnd w:id="162"/>
      <w:bookmarkEnd w:id="163"/>
      <w:bookmarkEnd w:id="164"/>
      <w:bookmarkEnd w:id="165"/>
      <w:bookmarkEnd w:id="166"/>
    </w:p>
    <w:p w14:paraId="6DF71F9D">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保险责任</w:t>
      </w:r>
    </w:p>
    <w:p w14:paraId="4F33E8B3">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第十三条 </w:t>
      </w:r>
      <w:r>
        <w:rPr>
          <w:rFonts w:hint="eastAsia" w:ascii="宋体" w:hAnsi="宋体" w:eastAsia="宋体" w:cs="宋体"/>
          <w:bCs/>
          <w:color w:val="auto"/>
          <w:kern w:val="0"/>
          <w:sz w:val="21"/>
          <w:szCs w:val="21"/>
          <w:highlight w:val="none"/>
        </w:rPr>
        <w:t>在保险期间内，投保人在保险单载明的工作场所内发生生产安全事故，导致投保人的从业人员或第三者发生意外，应由投保人负担的因采取紧急抢险救援措施而支出的下列必要、合理的救援费用，保险人按照本保险合同约定负责赔偿：</w:t>
      </w:r>
    </w:p>
    <w:p w14:paraId="5A7EDD5A">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（一）抢险救援人员的劳务费用；</w:t>
      </w:r>
    </w:p>
    <w:p w14:paraId="6EE88491">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（二）救援器材、设备的租赁、使用费用；</w:t>
      </w:r>
    </w:p>
    <w:p w14:paraId="269B7F7A">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（三）单价低于200元人民币的救援工具购置费用；</w:t>
      </w:r>
    </w:p>
    <w:p w14:paraId="034D027D">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（四）生产安全事故现场发生的医疗抢救费用。</w:t>
      </w:r>
    </w:p>
    <w:p w14:paraId="16BA4E26">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责任免除</w:t>
      </w:r>
    </w:p>
    <w:p w14:paraId="6E2A9F61">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第十四条 下列损失、费用和责任，保险人不负责赔偿：</w:t>
      </w:r>
    </w:p>
    <w:p w14:paraId="19FAE983">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（一）清污费用；</w:t>
      </w:r>
    </w:p>
    <w:p w14:paraId="428527A2">
      <w:pPr>
        <w:widowControl/>
        <w:adjustRightInd/>
        <w:snapToGrid w:val="0"/>
        <w:spacing w:line="400" w:lineRule="exact"/>
        <w:ind w:firstLine="422" w:firstLineChars="200"/>
        <w:jc w:val="left"/>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（二）</w:t>
      </w:r>
      <w:r>
        <w:rPr>
          <w:rFonts w:hint="eastAsia" w:ascii="宋体" w:hAnsi="宋体" w:eastAsia="宋体" w:cs="宋体"/>
          <w:b/>
          <w:bCs/>
          <w:color w:val="auto"/>
          <w:kern w:val="0"/>
          <w:sz w:val="21"/>
          <w:szCs w:val="21"/>
          <w:highlight w:val="none"/>
        </w:rPr>
        <w:t>保险事故发生后，受伤人员被送往医院以后产生的医疗费用。</w:t>
      </w:r>
    </w:p>
    <w:p w14:paraId="2D0D9DE2">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责任限额与免赔额</w:t>
      </w:r>
    </w:p>
    <w:p w14:paraId="178A9975">
      <w:pPr>
        <w:widowControl/>
        <w:adjustRightInd/>
        <w:snapToGrid w:val="0"/>
        <w:spacing w:line="400" w:lineRule="exact"/>
        <w:ind w:firstLine="413" w:firstLineChars="196"/>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第十五条</w:t>
      </w:r>
      <w:r>
        <w:rPr>
          <w:rFonts w:hint="eastAsia" w:ascii="宋体" w:hAnsi="宋体" w:eastAsia="宋体" w:cs="宋体"/>
          <w:color w:val="auto"/>
          <w:kern w:val="0"/>
          <w:sz w:val="21"/>
          <w:szCs w:val="21"/>
          <w:highlight w:val="none"/>
        </w:rPr>
        <w:t xml:space="preserve"> 除另有约定外，救援费用保险部分的责任限额包括每次事故救援费用限额、每人救援费用限额。</w:t>
      </w:r>
    </w:p>
    <w:p w14:paraId="26B35A3E">
      <w:pPr>
        <w:widowControl/>
        <w:adjustRightInd/>
        <w:snapToGrid w:val="0"/>
        <w:spacing w:line="400" w:lineRule="exact"/>
        <w:ind w:firstLine="411" w:firstLineChars="196"/>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各项责任限额，由投保人和保险人协商确定，并在保险单中载明。</w:t>
      </w:r>
    </w:p>
    <w:p w14:paraId="45C7C4D0">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第十六条 </w:t>
      </w:r>
      <w:r>
        <w:rPr>
          <w:rFonts w:hint="eastAsia" w:ascii="宋体" w:hAnsi="宋体" w:eastAsia="宋体" w:cs="宋体"/>
          <w:color w:val="auto"/>
          <w:kern w:val="0"/>
          <w:sz w:val="21"/>
          <w:szCs w:val="21"/>
          <w:highlight w:val="none"/>
        </w:rPr>
        <w:t>每次事故救援费用免赔额（率）由投保人与保险人在签订保险合同时协商确定，并在保险单中载明。</w:t>
      </w:r>
    </w:p>
    <w:p w14:paraId="1959858F">
      <w:pPr>
        <w:widowControl/>
        <w:adjustRightInd/>
        <w:snapToGrid w:val="0"/>
        <w:spacing w:line="400" w:lineRule="exact"/>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同时约定了免赔额和免赔率的，免赔金额以免赔额和按照免赔率计算的金额二者高者为准。</w:t>
      </w:r>
    </w:p>
    <w:p w14:paraId="502217B3">
      <w:pPr>
        <w:widowControl/>
        <w:adjustRightInd/>
        <w:snapToGrid w:val="0"/>
        <w:spacing w:line="400" w:lineRule="exact"/>
        <w:jc w:val="center"/>
        <w:outlineLvl w:val="2"/>
        <w:rPr>
          <w:rFonts w:hint="eastAsia" w:ascii="宋体" w:hAnsi="宋体" w:eastAsia="宋体" w:cs="宋体"/>
          <w:b/>
          <w:color w:val="auto"/>
          <w:kern w:val="0"/>
          <w:sz w:val="21"/>
          <w:szCs w:val="21"/>
          <w:highlight w:val="none"/>
        </w:rPr>
      </w:pPr>
      <w:bookmarkStart w:id="167" w:name="_Toc119178702"/>
      <w:bookmarkStart w:id="168" w:name="_Toc119522781"/>
      <w:bookmarkStart w:id="169" w:name="_Toc119659017"/>
      <w:bookmarkStart w:id="170" w:name="_Toc122095488"/>
      <w:bookmarkStart w:id="171" w:name="_Toc118833723"/>
      <w:bookmarkStart w:id="172" w:name="_Toc119522477"/>
      <w:bookmarkStart w:id="173" w:name="_Toc10300"/>
      <w:r>
        <w:rPr>
          <w:rFonts w:hint="eastAsia" w:ascii="宋体" w:hAnsi="宋体" w:eastAsia="宋体" w:cs="宋体"/>
          <w:b/>
          <w:color w:val="auto"/>
          <w:kern w:val="0"/>
          <w:sz w:val="21"/>
          <w:szCs w:val="21"/>
          <w:highlight w:val="none"/>
        </w:rPr>
        <w:t>第四部分 通用条款</w:t>
      </w:r>
      <w:bookmarkEnd w:id="167"/>
      <w:bookmarkEnd w:id="168"/>
      <w:bookmarkEnd w:id="169"/>
      <w:bookmarkEnd w:id="170"/>
      <w:bookmarkEnd w:id="171"/>
      <w:bookmarkEnd w:id="172"/>
      <w:bookmarkEnd w:id="173"/>
    </w:p>
    <w:p w14:paraId="6B0EECA0">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保险责任</w:t>
      </w:r>
    </w:p>
    <w:p w14:paraId="772F7D81">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第十七条</w:t>
      </w:r>
      <w:r>
        <w:rPr>
          <w:rFonts w:hint="eastAsia" w:ascii="宋体" w:hAnsi="宋体" w:eastAsia="宋体" w:cs="宋体"/>
          <w:color w:val="auto"/>
          <w:kern w:val="0"/>
          <w:sz w:val="21"/>
          <w:szCs w:val="21"/>
          <w:highlight w:val="none"/>
        </w:rPr>
        <w:t xml:space="preserve"> 事故发生后，投保人因保险事故而被提起仲裁或者诉讼的，对应由投保人支付的仲裁或诉讼费用以及事先经保险人书面同意支付的其它必要的、合理的费用（以下简称“法律费用”），保险人按照本保险合同约定也负责赔偿。</w:t>
      </w:r>
    </w:p>
    <w:p w14:paraId="63936DE9">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责任免除</w:t>
      </w:r>
    </w:p>
    <w:p w14:paraId="239BAD2A">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第十八条 下列原因造成的损失、费用和责任，保险人不负责赔偿：</w:t>
      </w:r>
    </w:p>
    <w:p w14:paraId="4C5846B5">
      <w:pPr>
        <w:widowControl/>
        <w:adjustRightInd/>
        <w:snapToGrid w:val="0"/>
        <w:spacing w:line="400" w:lineRule="exact"/>
        <w:ind w:left="643"/>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（一）投保人、投保人的故意行为、犯罪行为；</w:t>
      </w:r>
    </w:p>
    <w:p w14:paraId="58EEBF08">
      <w:pPr>
        <w:widowControl/>
        <w:adjustRightInd/>
        <w:snapToGrid w:val="0"/>
        <w:spacing w:line="400" w:lineRule="exact"/>
        <w:ind w:firstLine="413" w:firstLineChars="196"/>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（二）战争、敌对行动、军事行为、武装冲突、罢工、暴动、民众骚乱、恐怖活动；</w:t>
      </w:r>
    </w:p>
    <w:p w14:paraId="269BE3F6">
      <w:pPr>
        <w:widowControl/>
        <w:adjustRightInd/>
        <w:snapToGrid w:val="0"/>
        <w:spacing w:line="400" w:lineRule="exact"/>
        <w:ind w:firstLine="413" w:firstLineChars="196"/>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（三）行政行为或司法行为；</w:t>
      </w:r>
    </w:p>
    <w:p w14:paraId="49FA1ED4">
      <w:pPr>
        <w:widowControl/>
        <w:adjustRightInd/>
        <w:snapToGrid w:val="0"/>
        <w:spacing w:line="400" w:lineRule="exact"/>
        <w:ind w:firstLine="413" w:firstLineChars="196"/>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w:t>
      </w:r>
      <w:r>
        <w:rPr>
          <w:rFonts w:hint="eastAsia" w:ascii="宋体" w:hAnsi="宋体" w:eastAsia="宋体" w:cs="宋体"/>
          <w:b/>
          <w:bCs/>
          <w:color w:val="auto"/>
          <w:kern w:val="0"/>
          <w:sz w:val="21"/>
          <w:szCs w:val="21"/>
          <w:highlight w:val="none"/>
        </w:rPr>
        <w:t>大气污染、土地污染、水污染及其他各种</w:t>
      </w:r>
      <w:r>
        <w:rPr>
          <w:rFonts w:hint="eastAsia" w:ascii="宋体" w:hAnsi="宋体" w:eastAsia="宋体" w:cs="宋体"/>
          <w:b/>
          <w:color w:val="auto"/>
          <w:kern w:val="0"/>
          <w:sz w:val="21"/>
          <w:szCs w:val="21"/>
          <w:highlight w:val="none"/>
        </w:rPr>
        <w:t>污染；</w:t>
      </w:r>
    </w:p>
    <w:p w14:paraId="2A43AD4E">
      <w:pPr>
        <w:widowControl/>
        <w:adjustRightInd/>
        <w:snapToGrid w:val="0"/>
        <w:spacing w:line="400" w:lineRule="exact"/>
        <w:ind w:firstLine="413" w:firstLineChars="196"/>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w:t>
      </w:r>
      <w:r>
        <w:rPr>
          <w:rFonts w:hint="eastAsia" w:ascii="宋体" w:hAnsi="宋体" w:eastAsia="宋体" w:cs="宋体"/>
          <w:b/>
          <w:bCs/>
          <w:color w:val="auto"/>
          <w:kern w:val="0"/>
          <w:sz w:val="21"/>
          <w:szCs w:val="21"/>
          <w:highlight w:val="none"/>
        </w:rPr>
        <w:t>地震及其次生灾害、雷电、暴雨、洪水、暴风、龙卷风、风暴潮、冰雹、台风、飓风、海啸、沙尘暴、暴雪、冰凌、突发性滑坡、崩塌、泥石流。</w:t>
      </w:r>
    </w:p>
    <w:p w14:paraId="758EE178">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第十九条 下列损失、费用和责任，保险人也不负责赔偿：</w:t>
      </w:r>
    </w:p>
    <w:p w14:paraId="420F2B3B">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 xml:space="preserve">（一）罚款、罚金及惩罚性赔偿； </w:t>
      </w:r>
    </w:p>
    <w:p w14:paraId="6523A28F">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（二）间接损失；</w:t>
      </w:r>
    </w:p>
    <w:p w14:paraId="73D9C328">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（三）精神损害赔偿，但有法院判决的不在此限；</w:t>
      </w:r>
    </w:p>
    <w:p w14:paraId="148CFAF3">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（四）本保险单中载明的免赔额或按照本保险单中载明的免赔率计算的免赔额。</w:t>
      </w:r>
    </w:p>
    <w:p w14:paraId="0EA33BF7">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第二十条 有下列情形之一的，保险人不负责赔偿：</w:t>
      </w:r>
    </w:p>
    <w:p w14:paraId="36D44E42">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（一）投保人在主管部门责令停产整顿期间擅自从事生产发生的事故，或被主管部门关闭后擅自恢复生产发生的事故；</w:t>
      </w:r>
    </w:p>
    <w:p w14:paraId="79E428DA">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（二）投保人从事与保险单载明的经营范围不符的活动，或者投保人违法违规经营的。</w:t>
      </w:r>
    </w:p>
    <w:p w14:paraId="7C6F2B60">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责任限额</w:t>
      </w:r>
    </w:p>
    <w:p w14:paraId="4DB545FA">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 xml:space="preserve">第二十一条 </w:t>
      </w:r>
      <w:r>
        <w:rPr>
          <w:rFonts w:hint="eastAsia" w:ascii="宋体" w:hAnsi="宋体" w:eastAsia="宋体" w:cs="宋体"/>
          <w:color w:val="auto"/>
          <w:kern w:val="0"/>
          <w:sz w:val="21"/>
          <w:szCs w:val="21"/>
          <w:highlight w:val="none"/>
        </w:rPr>
        <w:t>除另有约定外，通用部分的责任限额包括每次事故法律费用责任限额及累计责任限额。</w:t>
      </w:r>
    </w:p>
    <w:p w14:paraId="7C7C7BF1">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保险期间</w:t>
      </w:r>
    </w:p>
    <w:p w14:paraId="2FE073CF">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rPr>
        <w:t xml:space="preserve">第二十二条 </w:t>
      </w:r>
      <w:r>
        <w:rPr>
          <w:rFonts w:hint="eastAsia" w:ascii="宋体" w:hAnsi="宋体" w:eastAsia="宋体" w:cs="宋体"/>
          <w:color w:val="auto"/>
          <w:kern w:val="0"/>
          <w:sz w:val="21"/>
          <w:szCs w:val="21"/>
          <w:highlight w:val="none"/>
        </w:rPr>
        <w:t>除另有约定外，保险期间为一年，以保险单载明的起讫时间为准。</w:t>
      </w:r>
    </w:p>
    <w:p w14:paraId="7D06D153">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保险人义务</w:t>
      </w:r>
    </w:p>
    <w:p w14:paraId="099F2E89">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第二十三条 </w:t>
      </w:r>
      <w:r>
        <w:rPr>
          <w:rFonts w:hint="eastAsia" w:ascii="宋体" w:hAnsi="宋体" w:eastAsia="宋体" w:cs="宋体"/>
          <w:color w:val="auto"/>
          <w:kern w:val="0"/>
          <w:sz w:val="21"/>
          <w:szCs w:val="21"/>
          <w:highlight w:val="none"/>
        </w:rPr>
        <w:t>本保险合同成立后，保险人应当及时向投保人签发保险单或其他保险凭证。</w:t>
      </w:r>
    </w:p>
    <w:p w14:paraId="28C4FB95">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第二十四条 </w:t>
      </w:r>
      <w:r>
        <w:rPr>
          <w:rFonts w:hint="eastAsia" w:ascii="宋体" w:hAnsi="宋体" w:eastAsia="宋体" w:cs="宋体"/>
          <w:color w:val="auto"/>
          <w:kern w:val="0"/>
          <w:sz w:val="21"/>
          <w:szCs w:val="21"/>
          <w:highlight w:val="none"/>
        </w:rPr>
        <w:t>保险事故发生后，投保人、投保人提供的有关索赔的证明和资料不完整的，保险人应当及时一次性通知投保人、投保人补充提供。</w:t>
      </w:r>
    </w:p>
    <w:p w14:paraId="1319452D">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第二十五条 </w:t>
      </w:r>
      <w:r>
        <w:rPr>
          <w:rFonts w:hint="eastAsia" w:ascii="宋体" w:hAnsi="宋体" w:eastAsia="宋体" w:cs="宋体"/>
          <w:color w:val="auto"/>
          <w:kern w:val="0"/>
          <w:sz w:val="21"/>
          <w:szCs w:val="21"/>
          <w:highlight w:val="none"/>
        </w:rPr>
        <w:t>保险人收到投保人的赔偿请求后，应当及时就是否属于保险责任作出核定，并将核定结果通知投保人。</w:t>
      </w:r>
    </w:p>
    <w:p w14:paraId="20C10691">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投保人、投保人义务</w:t>
      </w:r>
    </w:p>
    <w:p w14:paraId="0667A754">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第二十六条 </w:t>
      </w:r>
      <w:r>
        <w:rPr>
          <w:rFonts w:hint="eastAsia" w:ascii="宋体" w:hAnsi="宋体" w:eastAsia="宋体" w:cs="宋体"/>
          <w:color w:val="auto"/>
          <w:kern w:val="0"/>
          <w:sz w:val="21"/>
          <w:szCs w:val="21"/>
          <w:highlight w:val="none"/>
        </w:rPr>
        <w:t>投保人应履行如实告知义务，如实回答保险人就投保人的有关情况提出的询问，并如实填写投保单。</w:t>
      </w:r>
    </w:p>
    <w:p w14:paraId="368D79E2">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第二十七条 </w:t>
      </w:r>
      <w:r>
        <w:rPr>
          <w:rFonts w:hint="eastAsia" w:ascii="宋体" w:hAnsi="宋体" w:eastAsia="宋体" w:cs="宋体"/>
          <w:color w:val="auto"/>
          <w:kern w:val="0"/>
          <w:sz w:val="21"/>
          <w:szCs w:val="21"/>
          <w:highlight w:val="none"/>
        </w:rPr>
        <w:t>如未约定分期付费，投保人应当在保险合同成立时交清保险费。</w:t>
      </w:r>
    </w:p>
    <w:p w14:paraId="3F54AB25">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第二十八条 </w:t>
      </w:r>
      <w:r>
        <w:rPr>
          <w:rFonts w:hint="eastAsia" w:ascii="宋体" w:hAnsi="宋体" w:eastAsia="宋体" w:cs="宋体"/>
          <w:color w:val="auto"/>
          <w:kern w:val="0"/>
          <w:sz w:val="21"/>
          <w:szCs w:val="21"/>
          <w:highlight w:val="none"/>
        </w:rPr>
        <w:t>投保人应严格遵守有关安全生产的法律法规以及国家及政府有关部门制定的其他相关法律、法规及规定，加强管理，采取合理的预防措施，尽力避免或减少责任事故的发生。</w:t>
      </w:r>
    </w:p>
    <w:p w14:paraId="26956584">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第二十九条 </w:t>
      </w:r>
      <w:r>
        <w:rPr>
          <w:rFonts w:hint="eastAsia" w:ascii="宋体" w:hAnsi="宋体" w:eastAsia="宋体" w:cs="宋体"/>
          <w:color w:val="auto"/>
          <w:kern w:val="0"/>
          <w:sz w:val="21"/>
          <w:szCs w:val="21"/>
          <w:highlight w:val="none"/>
        </w:rPr>
        <w:t xml:space="preserve">在合同有效期内，如保险标的的危险程度显著增加的，投保人应当按照合同的约定及时通知保险人，保险人可以按照合同约定增加保险费或者解除合同。 </w:t>
      </w:r>
    </w:p>
    <w:p w14:paraId="64CBC79C">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第三十条 </w:t>
      </w:r>
      <w:r>
        <w:rPr>
          <w:rFonts w:hint="eastAsia" w:ascii="宋体" w:hAnsi="宋体" w:eastAsia="宋体" w:cs="宋体"/>
          <w:color w:val="auto"/>
          <w:kern w:val="0"/>
          <w:sz w:val="21"/>
          <w:szCs w:val="21"/>
          <w:highlight w:val="none"/>
        </w:rPr>
        <w:t>保险事故发生时，投保人应当尽力采取必要的措施，防止或者减少损失。投保人、投保人知道保险事故发生后，应当及时通知保险人。</w:t>
      </w:r>
    </w:p>
    <w:p w14:paraId="2C97BC50">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第三十一条 </w:t>
      </w:r>
      <w:r>
        <w:rPr>
          <w:rFonts w:hint="eastAsia" w:ascii="宋体" w:hAnsi="宋体" w:eastAsia="宋体" w:cs="宋体"/>
          <w:color w:val="auto"/>
          <w:kern w:val="0"/>
          <w:sz w:val="21"/>
          <w:szCs w:val="21"/>
          <w:highlight w:val="none"/>
        </w:rPr>
        <w:t>投保人收到投保人的从业人员或第三者的损害赔偿请求或得知可能产生损害赔偿时，应及时以书面形式通知保险人，并就损害赔偿请求与保险人进行协商。</w:t>
      </w:r>
    </w:p>
    <w:p w14:paraId="2100CEED">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第三十二条 </w:t>
      </w:r>
      <w:r>
        <w:rPr>
          <w:rFonts w:hint="eastAsia" w:ascii="宋体" w:hAnsi="宋体" w:eastAsia="宋体" w:cs="宋体"/>
          <w:color w:val="auto"/>
          <w:kern w:val="0"/>
          <w:sz w:val="21"/>
          <w:szCs w:val="21"/>
          <w:highlight w:val="none"/>
        </w:rPr>
        <w:t>发生保险责任范围内的损失，应由有关责任方负责赔偿的，投保人应行使或者保留向该责任方请求赔偿的权利。</w:t>
      </w:r>
    </w:p>
    <w:p w14:paraId="284FDF45">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在保险人向有关责任方行使代位请求赔偿权利时，投保人应当向保险人提供必要的文件和其所知道的有关情况。</w:t>
      </w:r>
    </w:p>
    <w:p w14:paraId="4DBF5D4A">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第三十三条</w:t>
      </w:r>
      <w:r>
        <w:rPr>
          <w:rFonts w:hint="eastAsia" w:ascii="宋体" w:hAnsi="宋体" w:eastAsia="宋体" w:cs="宋体"/>
          <w:color w:val="auto"/>
          <w:kern w:val="0"/>
          <w:sz w:val="21"/>
          <w:szCs w:val="21"/>
          <w:highlight w:val="none"/>
        </w:rPr>
        <w:t xml:space="preserve"> 投保人向保险人请求赔偿时，应提交下列索赔材料：</w:t>
      </w:r>
    </w:p>
    <w:p w14:paraId="5F9029D6">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（一）保险单、批单、投保清单、保费发票；</w:t>
      </w:r>
    </w:p>
    <w:p w14:paraId="77652F66">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（二）县级以上（含）安全生产监督管理部门出具的事故证明，医疗机构或司法机构出具的死亡证明、伤残鉴定书；</w:t>
      </w:r>
    </w:p>
    <w:p w14:paraId="0315A669">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（三）伤亡人员的人事关系证明、身份证明、书面赔偿请求以及投保人已经向伤亡人员或其代表支付赔偿金的书面证明材料;</w:t>
      </w:r>
    </w:p>
    <w:p w14:paraId="769AC08C">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（四）如存在救援情况下，投保人支付的救援费用凭据；</w:t>
      </w:r>
    </w:p>
    <w:p w14:paraId="5B39BE57">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（五）能够确定投保人责任及赔偿金额的有关法律文书或经保险人同意，投保人与受害人达成的赔偿协议及赔偿金支付凭据；</w:t>
      </w:r>
    </w:p>
    <w:p w14:paraId="7F717347">
      <w:pPr>
        <w:widowControl/>
        <w:adjustRightInd/>
        <w:snapToGrid w:val="0"/>
        <w:spacing w:line="400" w:lineRule="exact"/>
        <w:ind w:firstLine="420"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（六）保险出险/索赔通知书；</w:t>
      </w:r>
    </w:p>
    <w:p w14:paraId="073903C1">
      <w:pPr>
        <w:widowControl/>
        <w:adjustRightInd/>
        <w:snapToGrid w:val="0"/>
        <w:spacing w:line="400" w:lineRule="exact"/>
        <w:ind w:firstLine="420"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（七）投保人、投保人所能提供的其他与确认保险事故性质、原因、损失程度等有关的证明和资料。</w:t>
      </w:r>
    </w:p>
    <w:p w14:paraId="1C85C19D">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赔偿处理</w:t>
      </w:r>
    </w:p>
    <w:p w14:paraId="2D34E700">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第三十四条 </w:t>
      </w:r>
      <w:r>
        <w:rPr>
          <w:rFonts w:hint="eastAsia" w:ascii="宋体" w:hAnsi="宋体" w:eastAsia="宋体" w:cs="宋体"/>
          <w:color w:val="auto"/>
          <w:kern w:val="0"/>
          <w:sz w:val="21"/>
          <w:szCs w:val="21"/>
          <w:highlight w:val="none"/>
        </w:rPr>
        <w:t>保险人以下列方式之一确定的投保人的赔偿责任为基础，按照保险合同的约定进行赔偿：</w:t>
      </w:r>
    </w:p>
    <w:p w14:paraId="38F02081">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（一）投保人和向其提出损害赔偿请求的受害人协商并经保险人确认； </w:t>
      </w:r>
    </w:p>
    <w:p w14:paraId="4327A412">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（二）仲裁机构裁决；</w:t>
      </w:r>
    </w:p>
    <w:p w14:paraId="3CCC5CE8">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（三）人民法院判决；</w:t>
      </w:r>
    </w:p>
    <w:p w14:paraId="6B893AB0">
      <w:pPr>
        <w:widowControl/>
        <w:adjustRightInd/>
        <w:snapToGrid w:val="0"/>
        <w:spacing w:line="400" w:lineRule="exact"/>
        <w:ind w:firstLine="420"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（四）保险人认可的其它方式。</w:t>
      </w:r>
    </w:p>
    <w:p w14:paraId="18443CBD">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第三十五条 </w:t>
      </w:r>
      <w:r>
        <w:rPr>
          <w:rFonts w:hint="eastAsia" w:ascii="宋体" w:hAnsi="宋体" w:eastAsia="宋体" w:cs="宋体"/>
          <w:color w:val="auto"/>
          <w:kern w:val="0"/>
          <w:sz w:val="21"/>
          <w:szCs w:val="21"/>
          <w:highlight w:val="none"/>
        </w:rPr>
        <w:t>发生本保险合同第五条、第十条约定的保险事故时，投保人对伤亡人员依法应承担的经济赔偿责任，保险人按照以下方式赔偿：</w:t>
      </w:r>
    </w:p>
    <w:p w14:paraId="6EA27191">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（一）发生人员死亡的，保险人在每人伤亡责任限额内赔偿；</w:t>
      </w:r>
    </w:p>
    <w:p w14:paraId="5DF09A34">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（二）发生人员残疾的，由二级及以上医疗机构或司法机构依据《职工工伤与职业病致残程度鉴定》标准鉴定残疾程度，保险人按照本保险合同所附残疾赔偿比例表规定的百分比，乘以每人伤亡责任限额内赔付；</w:t>
      </w:r>
    </w:p>
    <w:p w14:paraId="2522FF32">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受伤人员暂时丧失工作能力超过五天（不包括五天）的，经医院证明，保险人依据事故发生地政府公布的最低生活保障金，按照每人／天补偿误工费，医疗期满或确定残疾程度后停发，最长不超过1年；如最终鉴定为残疾的，保险人对残疾赔偿金及误工费的赔偿以第（二）款计算的责任限额为限；</w:t>
      </w:r>
    </w:p>
    <w:p w14:paraId="51DE755E">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（四）对于每次事故造成的人身伤亡损失，保险人在每次事故责任限额内赔偿，其中从业人员与第三者不共用每次事故责任限额。</w:t>
      </w:r>
    </w:p>
    <w:p w14:paraId="35DE70B8">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第三十六条</w:t>
      </w:r>
      <w:r>
        <w:rPr>
          <w:rFonts w:hint="eastAsia" w:ascii="宋体" w:hAnsi="宋体" w:eastAsia="宋体" w:cs="宋体"/>
          <w:color w:val="auto"/>
          <w:kern w:val="0"/>
          <w:sz w:val="21"/>
          <w:szCs w:val="21"/>
          <w:highlight w:val="none"/>
        </w:rPr>
        <w:t xml:space="preserve"> 发生本保险合同第十三条约定的保险事故时，投保人支付或承担的救援费用，保险人按照以下方式赔偿：</w:t>
      </w:r>
    </w:p>
    <w:p w14:paraId="1B7D5B3B">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（一）保险人在扣除每次事故救援费用免赔额后，依照本条第（二）项进行赔偿；</w:t>
      </w:r>
    </w:p>
    <w:p w14:paraId="3408CD2E">
      <w:pPr>
        <w:widowControl/>
        <w:adjustRightInd/>
        <w:snapToGrid w:val="0"/>
        <w:spacing w:line="400" w:lineRule="exact"/>
        <w:ind w:firstLine="420"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（二）对于每次事故造成的损失，保险人在每次事故救援费用限额内赔偿。</w:t>
      </w:r>
    </w:p>
    <w:p w14:paraId="6E515132">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 xml:space="preserve">第三十七条 </w:t>
      </w:r>
      <w:r>
        <w:rPr>
          <w:rFonts w:hint="eastAsia" w:ascii="宋体" w:hAnsi="宋体" w:eastAsia="宋体" w:cs="宋体"/>
          <w:color w:val="auto"/>
          <w:kern w:val="0"/>
          <w:sz w:val="21"/>
          <w:szCs w:val="21"/>
          <w:highlight w:val="none"/>
        </w:rPr>
        <w:t>投保人因一次保险事故，在主险及附加险项下支出的法律费用，保险人在每次事故法律费用责任限额内赔偿。</w:t>
      </w:r>
    </w:p>
    <w:p w14:paraId="7E474022">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第三十八条 </w:t>
      </w:r>
      <w:r>
        <w:rPr>
          <w:rFonts w:hint="eastAsia" w:ascii="宋体" w:hAnsi="宋体" w:eastAsia="宋体" w:cs="宋体"/>
          <w:color w:val="auto"/>
          <w:kern w:val="0"/>
          <w:sz w:val="21"/>
          <w:szCs w:val="21"/>
          <w:highlight w:val="none"/>
        </w:rPr>
        <w:t>在保险期间内，保险人在主险及附加险项下对投保人多次保险事故的赔偿金额合计，不超过保险单载明的累计责任限额。</w:t>
      </w:r>
    </w:p>
    <w:p w14:paraId="280DEB07">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争议处理</w:t>
      </w:r>
    </w:p>
    <w:p w14:paraId="50A0164C">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第三十九条 </w:t>
      </w:r>
      <w:r>
        <w:rPr>
          <w:rFonts w:hint="eastAsia" w:ascii="宋体" w:hAnsi="宋体" w:eastAsia="宋体" w:cs="宋体"/>
          <w:color w:val="auto"/>
          <w:kern w:val="0"/>
          <w:sz w:val="21"/>
          <w:szCs w:val="21"/>
          <w:highlight w:val="none"/>
        </w:rPr>
        <w:t>合同争议解决方式由当事人在合同约定从下列两种方式中选择一种：</w:t>
      </w:r>
    </w:p>
    <w:p w14:paraId="06F753E9">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（一）因履行本合同发生的争议，由当事人协商解决，协商不成的，</w:t>
      </w:r>
      <w:r>
        <w:rPr>
          <w:rFonts w:hint="eastAsia" w:ascii="宋体" w:hAnsi="宋体" w:eastAsia="宋体" w:cs="宋体"/>
          <w:color w:val="auto"/>
          <w:kern w:val="0"/>
          <w:sz w:val="21"/>
          <w:szCs w:val="21"/>
          <w:highlight w:val="none"/>
          <w:lang w:val="en-US" w:eastAsia="zh-CN"/>
        </w:rPr>
        <w:t>向绍兴仲裁委员会申请仲裁</w:t>
      </w:r>
      <w:r>
        <w:rPr>
          <w:rFonts w:hint="eastAsia" w:ascii="宋体" w:hAnsi="宋体" w:eastAsia="宋体" w:cs="宋体"/>
          <w:color w:val="auto"/>
          <w:kern w:val="0"/>
          <w:sz w:val="21"/>
          <w:szCs w:val="21"/>
          <w:highlight w:val="none"/>
          <w:lang w:eastAsia="zh-CN"/>
        </w:rPr>
        <w:t>。</w:t>
      </w:r>
    </w:p>
    <w:p w14:paraId="0904694B">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（二）因履行本合同发生的争议，由当事人协商解决，协商不成的，依法向人民法院起诉。</w:t>
      </w:r>
    </w:p>
    <w:p w14:paraId="702228A1">
      <w:pPr>
        <w:widowControl/>
        <w:adjustRightInd/>
        <w:snapToGrid w:val="0"/>
        <w:spacing w:line="400" w:lineRule="exact"/>
        <w:ind w:firstLine="413" w:firstLineChars="196"/>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第四十条 </w:t>
      </w:r>
      <w:r>
        <w:rPr>
          <w:rFonts w:hint="eastAsia" w:ascii="宋体" w:hAnsi="宋体" w:eastAsia="宋体" w:cs="宋体"/>
          <w:color w:val="auto"/>
          <w:kern w:val="0"/>
          <w:sz w:val="21"/>
          <w:szCs w:val="21"/>
          <w:highlight w:val="none"/>
        </w:rPr>
        <w:t>本保险合同的争议处理适用中华人民共和国法律（不包括港、澳、台地区）</w:t>
      </w:r>
    </w:p>
    <w:p w14:paraId="06B0628A">
      <w:pPr>
        <w:widowControl/>
        <w:adjustRightInd/>
        <w:snapToGrid w:val="0"/>
        <w:spacing w:line="400"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其他事项</w:t>
      </w:r>
    </w:p>
    <w:p w14:paraId="29F25546">
      <w:pPr>
        <w:widowControl/>
        <w:adjustRightInd/>
        <w:snapToGrid w:val="0"/>
        <w:spacing w:line="400" w:lineRule="exact"/>
        <w:ind w:firstLine="420" w:firstLineChars="199"/>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第四十一条 </w:t>
      </w:r>
      <w:r>
        <w:rPr>
          <w:rFonts w:hint="eastAsia" w:ascii="宋体" w:hAnsi="宋体" w:eastAsia="宋体" w:cs="宋体"/>
          <w:color w:val="auto"/>
          <w:kern w:val="0"/>
          <w:sz w:val="21"/>
          <w:szCs w:val="21"/>
          <w:highlight w:val="none"/>
        </w:rPr>
        <w:t>保险责任开始前，投保人要求解除保险合同的，应当向保险人支付相当于保险费5%的退保手续费，保险人应当退还剩余部分保险费。</w:t>
      </w:r>
    </w:p>
    <w:p w14:paraId="2537D286">
      <w:pPr>
        <w:widowControl/>
        <w:adjustRightInd/>
        <w:snapToGrid w:val="0"/>
        <w:spacing w:line="400" w:lineRule="exact"/>
        <w:ind w:firstLine="417" w:firstLineChars="199"/>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保险责任开始后，投保人要求解除保险合同的，自通知保险人之日起，保险合同解除，保险人按照保险责任开始之日起至合同解除之日止期间与保险期间的日比例计收保险费，并退还剩余部分保险费。</w:t>
      </w:r>
    </w:p>
    <w:p w14:paraId="300D484E">
      <w:pPr>
        <w:widowControl/>
        <w:adjustRightInd/>
        <w:snapToGrid w:val="0"/>
        <w:spacing w:line="400" w:lineRule="exact"/>
        <w:ind w:firstLine="422" w:firstLineChars="200"/>
        <w:jc w:val="lef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 xml:space="preserve">第四十二条 </w:t>
      </w:r>
      <w:r>
        <w:rPr>
          <w:rFonts w:hint="eastAsia" w:ascii="宋体" w:hAnsi="宋体" w:eastAsia="宋体" w:cs="宋体"/>
          <w:color w:val="auto"/>
          <w:kern w:val="0"/>
          <w:sz w:val="21"/>
          <w:szCs w:val="21"/>
          <w:highlight w:val="none"/>
        </w:rPr>
        <w:t>本保险合同约定与《中华人民共和国保险法》等法律规定相悖之处，以法律规定为准。本保险合同未尽事宜，以法律规定为准。</w:t>
      </w:r>
    </w:p>
    <w:p w14:paraId="16DCAF4F">
      <w:pPr>
        <w:widowControl/>
        <w:adjustRightInd/>
        <w:snapToGrid w:val="0"/>
        <w:spacing w:line="400" w:lineRule="exact"/>
        <w:ind w:firstLine="422"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第四十三条 释义</w:t>
      </w:r>
    </w:p>
    <w:p w14:paraId="2A44216C">
      <w:pPr>
        <w:widowControl/>
        <w:adjustRightInd/>
        <w:snapToGrid w:val="0"/>
        <w:spacing w:line="400" w:lineRule="exact"/>
        <w:ind w:firstLine="411" w:firstLineChars="196"/>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本保险合同所涉及的下列术语，其含义为：</w:t>
      </w:r>
    </w:p>
    <w:p w14:paraId="6AE685F3">
      <w:pPr>
        <w:widowControl/>
        <w:adjustRightInd/>
        <w:snapToGrid w:val="0"/>
        <w:spacing w:line="400" w:lineRule="exact"/>
        <w:ind w:firstLine="415" w:firstLineChars="198"/>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【从业人员】：是指与投保人存在劳动关系（包括事实劳动关系）的各种用工形式、各种用工期限劳动者。</w:t>
      </w:r>
    </w:p>
    <w:p w14:paraId="4889B61B">
      <w:pPr>
        <w:widowControl/>
        <w:adjustRightInd/>
        <w:snapToGrid w:val="0"/>
        <w:spacing w:line="400" w:lineRule="exact"/>
        <w:ind w:firstLine="415" w:firstLineChars="198"/>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【第三者】：指除保险人、投保人及其从业人员以外的人。</w:t>
      </w:r>
    </w:p>
    <w:p w14:paraId="3F07E8DF">
      <w:pPr>
        <w:widowControl/>
        <w:adjustRightInd/>
        <w:snapToGrid w:val="0"/>
        <w:spacing w:line="400" w:lineRule="exact"/>
        <w:ind w:firstLine="420" w:firstLineChars="200"/>
        <w:jc w:val="left"/>
        <w:rPr>
          <w:rFonts w:hint="eastAsia" w:ascii="宋体" w:hAnsi="宋体" w:eastAsia="宋体" w:cs="宋体"/>
          <w:b/>
          <w:color w:val="auto"/>
          <w:kern w:val="0"/>
          <w:sz w:val="21"/>
          <w:szCs w:val="21"/>
          <w:highlight w:val="none"/>
        </w:rPr>
      </w:pPr>
      <w:r>
        <w:rPr>
          <w:rFonts w:hint="eastAsia" w:ascii="宋体" w:hAnsi="宋体" w:eastAsia="宋体" w:cs="宋体"/>
          <w:color w:val="auto"/>
          <w:kern w:val="0"/>
          <w:sz w:val="21"/>
          <w:szCs w:val="21"/>
          <w:highlight w:val="none"/>
        </w:rPr>
        <w:t>【生产安全事故】：本保险中的生产安全事故是指符合《生产安全事故报告和调查处理条例》（国务院令第493号）规定的、在生产经营活动中发生的造成人身伤亡或者直接经济损失的生产安全事故。</w:t>
      </w:r>
    </w:p>
    <w:p w14:paraId="71881A73">
      <w:pPr>
        <w:widowControl/>
        <w:adjustRightInd/>
        <w:snapToGrid w:val="0"/>
        <w:spacing w:line="400" w:lineRule="exact"/>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【每次事故】：指与一次生产安全事故或是同一事件引起的一系列生产安全事故。因同一起火灾、爆炸、渗漏等事故造成多人伤亡，导致多人同时或先后向投保人索赔的，也视为一次保险事故。</w:t>
      </w:r>
    </w:p>
    <w:p w14:paraId="4E24DB3B">
      <w:pPr>
        <w:widowControl/>
        <w:adjustRightInd/>
        <w:snapToGrid w:val="0"/>
        <w:spacing w:before="240" w:beforeLines="100" w:after="120" w:afterLines="50" w:line="400" w:lineRule="exact"/>
        <w:jc w:val="left"/>
        <w:rPr>
          <w:rFonts w:ascii="宋体" w:hAnsi="宋体" w:eastAsia="宋体" w:cs="仿宋"/>
          <w:b/>
          <w:bCs/>
          <w:color w:val="auto"/>
          <w:kern w:val="0"/>
          <w:sz w:val="24"/>
          <w:szCs w:val="21"/>
          <w:highlight w:val="none"/>
        </w:rPr>
      </w:pPr>
      <w:r>
        <w:rPr>
          <w:rFonts w:hint="eastAsia" w:ascii="宋体" w:hAnsi="宋体" w:eastAsia="宋体" w:cs="仿宋"/>
          <w:b/>
          <w:color w:val="auto"/>
          <w:kern w:val="0"/>
          <w:sz w:val="24"/>
          <w:szCs w:val="21"/>
          <w:highlight w:val="none"/>
        </w:rPr>
        <w:t>附表：残疾赔偿比例表</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7"/>
        <w:gridCol w:w="2285"/>
      </w:tblGrid>
      <w:tr w14:paraId="3B91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10FAA845">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残疾程度</w:t>
            </w:r>
          </w:p>
        </w:tc>
        <w:tc>
          <w:tcPr>
            <w:tcW w:w="2285" w:type="dxa"/>
            <w:tcBorders>
              <w:top w:val="single" w:color="auto" w:sz="4" w:space="0"/>
              <w:left w:val="single" w:color="auto" w:sz="4" w:space="0"/>
              <w:bottom w:val="single" w:color="auto" w:sz="4" w:space="0"/>
              <w:right w:val="single" w:color="auto" w:sz="4" w:space="0"/>
            </w:tcBorders>
            <w:vAlign w:val="center"/>
          </w:tcPr>
          <w:p w14:paraId="5DA177E3">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限额百分比</w:t>
            </w:r>
          </w:p>
        </w:tc>
      </w:tr>
      <w:tr w14:paraId="0E23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5B1AFE5C">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永久丧失工作能力或一级残疾</w:t>
            </w:r>
          </w:p>
        </w:tc>
        <w:tc>
          <w:tcPr>
            <w:tcW w:w="2285" w:type="dxa"/>
            <w:tcBorders>
              <w:top w:val="single" w:color="auto" w:sz="4" w:space="0"/>
              <w:left w:val="single" w:color="auto" w:sz="4" w:space="0"/>
              <w:bottom w:val="single" w:color="auto" w:sz="4" w:space="0"/>
              <w:right w:val="single" w:color="auto" w:sz="4" w:space="0"/>
            </w:tcBorders>
            <w:vAlign w:val="center"/>
          </w:tcPr>
          <w:p w14:paraId="05753F19">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100%</w:t>
            </w:r>
          </w:p>
        </w:tc>
      </w:tr>
      <w:tr w14:paraId="5B3B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67D9A65E">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二级残疾</w:t>
            </w:r>
          </w:p>
        </w:tc>
        <w:tc>
          <w:tcPr>
            <w:tcW w:w="2285" w:type="dxa"/>
            <w:tcBorders>
              <w:top w:val="single" w:color="auto" w:sz="4" w:space="0"/>
              <w:left w:val="single" w:color="auto" w:sz="4" w:space="0"/>
              <w:bottom w:val="single" w:color="auto" w:sz="4" w:space="0"/>
              <w:right w:val="single" w:color="auto" w:sz="4" w:space="0"/>
            </w:tcBorders>
            <w:vAlign w:val="center"/>
          </w:tcPr>
          <w:p w14:paraId="43D37450">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80%</w:t>
            </w:r>
          </w:p>
        </w:tc>
      </w:tr>
      <w:tr w14:paraId="3CA2F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01FA7539">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三级残疾</w:t>
            </w:r>
          </w:p>
        </w:tc>
        <w:tc>
          <w:tcPr>
            <w:tcW w:w="2285" w:type="dxa"/>
            <w:tcBorders>
              <w:top w:val="single" w:color="auto" w:sz="4" w:space="0"/>
              <w:left w:val="single" w:color="auto" w:sz="4" w:space="0"/>
              <w:bottom w:val="single" w:color="auto" w:sz="4" w:space="0"/>
              <w:right w:val="single" w:color="auto" w:sz="4" w:space="0"/>
            </w:tcBorders>
            <w:vAlign w:val="center"/>
          </w:tcPr>
          <w:p w14:paraId="79895150">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65%</w:t>
            </w:r>
          </w:p>
        </w:tc>
      </w:tr>
      <w:tr w14:paraId="4CF4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5E3AA85F">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四级残疾</w:t>
            </w:r>
          </w:p>
        </w:tc>
        <w:tc>
          <w:tcPr>
            <w:tcW w:w="2285" w:type="dxa"/>
            <w:tcBorders>
              <w:top w:val="single" w:color="auto" w:sz="4" w:space="0"/>
              <w:left w:val="single" w:color="auto" w:sz="4" w:space="0"/>
              <w:bottom w:val="single" w:color="auto" w:sz="4" w:space="0"/>
              <w:right w:val="single" w:color="auto" w:sz="4" w:space="0"/>
            </w:tcBorders>
            <w:vAlign w:val="center"/>
          </w:tcPr>
          <w:p w14:paraId="4229FA0D">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55%</w:t>
            </w:r>
          </w:p>
        </w:tc>
      </w:tr>
      <w:tr w14:paraId="506E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62C4FC0C">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五级残疾</w:t>
            </w:r>
          </w:p>
        </w:tc>
        <w:tc>
          <w:tcPr>
            <w:tcW w:w="2285" w:type="dxa"/>
            <w:tcBorders>
              <w:top w:val="single" w:color="auto" w:sz="4" w:space="0"/>
              <w:left w:val="single" w:color="auto" w:sz="4" w:space="0"/>
              <w:bottom w:val="single" w:color="auto" w:sz="4" w:space="0"/>
              <w:right w:val="single" w:color="auto" w:sz="4" w:space="0"/>
            </w:tcBorders>
            <w:vAlign w:val="center"/>
          </w:tcPr>
          <w:p w14:paraId="3CF79A73">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45%</w:t>
            </w:r>
          </w:p>
        </w:tc>
      </w:tr>
      <w:tr w14:paraId="07F5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7006F097">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六级残疾</w:t>
            </w:r>
          </w:p>
        </w:tc>
        <w:tc>
          <w:tcPr>
            <w:tcW w:w="2285" w:type="dxa"/>
            <w:tcBorders>
              <w:top w:val="single" w:color="auto" w:sz="4" w:space="0"/>
              <w:left w:val="single" w:color="auto" w:sz="4" w:space="0"/>
              <w:bottom w:val="single" w:color="auto" w:sz="4" w:space="0"/>
              <w:right w:val="single" w:color="auto" w:sz="4" w:space="0"/>
            </w:tcBorders>
            <w:vAlign w:val="center"/>
          </w:tcPr>
          <w:p w14:paraId="1F0A33F0">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25%</w:t>
            </w:r>
          </w:p>
        </w:tc>
      </w:tr>
      <w:tr w14:paraId="1A54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4BC7AC79">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七级残疾</w:t>
            </w:r>
          </w:p>
        </w:tc>
        <w:tc>
          <w:tcPr>
            <w:tcW w:w="2285" w:type="dxa"/>
            <w:tcBorders>
              <w:top w:val="single" w:color="auto" w:sz="4" w:space="0"/>
              <w:left w:val="single" w:color="auto" w:sz="4" w:space="0"/>
              <w:bottom w:val="single" w:color="auto" w:sz="4" w:space="0"/>
              <w:right w:val="single" w:color="auto" w:sz="4" w:space="0"/>
            </w:tcBorders>
            <w:vAlign w:val="center"/>
          </w:tcPr>
          <w:p w14:paraId="73287C0C">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15%</w:t>
            </w:r>
          </w:p>
        </w:tc>
      </w:tr>
      <w:tr w14:paraId="2F8E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66009BDB">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八级残疾</w:t>
            </w:r>
          </w:p>
        </w:tc>
        <w:tc>
          <w:tcPr>
            <w:tcW w:w="2285" w:type="dxa"/>
            <w:tcBorders>
              <w:top w:val="single" w:color="auto" w:sz="4" w:space="0"/>
              <w:left w:val="single" w:color="auto" w:sz="4" w:space="0"/>
              <w:bottom w:val="single" w:color="auto" w:sz="4" w:space="0"/>
              <w:right w:val="single" w:color="auto" w:sz="4" w:space="0"/>
            </w:tcBorders>
            <w:vAlign w:val="center"/>
          </w:tcPr>
          <w:p w14:paraId="730DFD22">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10%</w:t>
            </w:r>
          </w:p>
        </w:tc>
      </w:tr>
      <w:tr w14:paraId="6AFA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2EBE37FD">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九级残疾</w:t>
            </w:r>
          </w:p>
        </w:tc>
        <w:tc>
          <w:tcPr>
            <w:tcW w:w="2285" w:type="dxa"/>
            <w:tcBorders>
              <w:top w:val="single" w:color="auto" w:sz="4" w:space="0"/>
              <w:left w:val="single" w:color="auto" w:sz="4" w:space="0"/>
              <w:bottom w:val="single" w:color="auto" w:sz="4" w:space="0"/>
              <w:right w:val="single" w:color="auto" w:sz="4" w:space="0"/>
            </w:tcBorders>
            <w:vAlign w:val="center"/>
          </w:tcPr>
          <w:p w14:paraId="0131D944">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4%</w:t>
            </w:r>
          </w:p>
        </w:tc>
      </w:tr>
      <w:tr w14:paraId="68FA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7" w:type="dxa"/>
            <w:tcBorders>
              <w:top w:val="single" w:color="auto" w:sz="4" w:space="0"/>
              <w:left w:val="single" w:color="auto" w:sz="4" w:space="0"/>
              <w:bottom w:val="single" w:color="auto" w:sz="4" w:space="0"/>
              <w:right w:val="single" w:color="auto" w:sz="4" w:space="0"/>
            </w:tcBorders>
            <w:vAlign w:val="center"/>
          </w:tcPr>
          <w:p w14:paraId="3FF6D9FB">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十级残疾</w:t>
            </w:r>
          </w:p>
        </w:tc>
        <w:tc>
          <w:tcPr>
            <w:tcW w:w="2285" w:type="dxa"/>
            <w:tcBorders>
              <w:top w:val="single" w:color="auto" w:sz="4" w:space="0"/>
              <w:left w:val="single" w:color="auto" w:sz="4" w:space="0"/>
              <w:bottom w:val="single" w:color="auto" w:sz="4" w:space="0"/>
              <w:right w:val="single" w:color="auto" w:sz="4" w:space="0"/>
            </w:tcBorders>
            <w:vAlign w:val="center"/>
          </w:tcPr>
          <w:p w14:paraId="731985DA">
            <w:pPr>
              <w:widowControl/>
              <w:adjustRightInd/>
              <w:spacing w:line="400" w:lineRule="exact"/>
              <w:jc w:val="center"/>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1%</w:t>
            </w:r>
          </w:p>
        </w:tc>
      </w:tr>
    </w:tbl>
    <w:p w14:paraId="7430DD3A">
      <w:pPr>
        <w:widowControl/>
        <w:adjustRightInd/>
        <w:spacing w:line="400" w:lineRule="exact"/>
        <w:jc w:val="center"/>
        <w:rPr>
          <w:rFonts w:ascii="宋体" w:hAnsi="宋体" w:eastAsia="宋体" w:cs="仿宋"/>
          <w:b/>
          <w:bCs/>
          <w:color w:val="auto"/>
          <w:kern w:val="0"/>
          <w:sz w:val="24"/>
          <w:szCs w:val="21"/>
          <w:highlight w:val="none"/>
        </w:rPr>
      </w:pPr>
      <w:r>
        <w:rPr>
          <w:rFonts w:ascii="宋体" w:hAnsi="宋体" w:eastAsia="宋体" w:cs="仿宋"/>
          <w:b/>
          <w:bCs/>
          <w:color w:val="auto"/>
          <w:kern w:val="0"/>
          <w:sz w:val="24"/>
          <w:szCs w:val="21"/>
          <w:highlight w:val="none"/>
        </w:rPr>
        <w:br w:type="page"/>
      </w:r>
      <w:bookmarkStart w:id="174" w:name="_Toc118833724"/>
      <w:r>
        <w:rPr>
          <w:rFonts w:hint="eastAsia" w:ascii="宋体" w:hAnsi="宋体" w:eastAsia="宋体" w:cs="仿宋"/>
          <w:b/>
          <w:bCs/>
          <w:color w:val="auto"/>
          <w:kern w:val="0"/>
          <w:sz w:val="24"/>
          <w:szCs w:val="21"/>
          <w:highlight w:val="none"/>
        </w:rPr>
        <w:t>安全生产责任保险附加条款</w:t>
      </w:r>
      <w:bookmarkEnd w:id="174"/>
    </w:p>
    <w:p w14:paraId="1016A8FF">
      <w:pPr>
        <w:widowControl w:val="0"/>
        <w:overflowPunct/>
        <w:autoSpaceDE/>
        <w:autoSpaceDN/>
        <w:adjustRightInd/>
        <w:spacing w:before="0" w:after="120" w:line="400" w:lineRule="exact"/>
        <w:ind w:left="0" w:firstLine="420" w:firstLineChars="200"/>
        <w:jc w:val="both"/>
        <w:textAlignment w:val="auto"/>
        <w:rPr>
          <w:rFonts w:ascii="宋体" w:hAnsi="宋体" w:eastAsia="仿宋_GB2312" w:cs="仿宋"/>
          <w:bCs/>
          <w:color w:val="auto"/>
          <w:kern w:val="2"/>
          <w:sz w:val="21"/>
          <w:szCs w:val="21"/>
          <w:highlight w:val="none"/>
          <w:lang w:val="zh-CN" w:eastAsia="zh-CN" w:bidi="ar-SA"/>
        </w:rPr>
      </w:pPr>
      <w:r>
        <w:rPr>
          <w:rFonts w:hint="eastAsia" w:ascii="宋体" w:hAnsi="宋体" w:eastAsia="仿宋_GB2312" w:cs="仿宋"/>
          <w:bCs/>
          <w:color w:val="auto"/>
          <w:kern w:val="2"/>
          <w:sz w:val="21"/>
          <w:szCs w:val="21"/>
          <w:highlight w:val="none"/>
          <w:lang w:val="zh-CN" w:eastAsia="zh-CN" w:bidi="ar-SA"/>
        </w:rPr>
        <w:t>下列附加条款适用于本保险单的各个部分，若其与本保险单的其他规定相冲突，则以下列附加条款为准</w:t>
      </w:r>
    </w:p>
    <w:p w14:paraId="0FD42332">
      <w:pPr>
        <w:widowControl/>
        <w:adjustRightInd/>
        <w:spacing w:line="400" w:lineRule="exact"/>
        <w:ind w:firstLine="482" w:firstLineChars="200"/>
        <w:jc w:val="left"/>
        <w:outlineLvl w:val="3"/>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1）附加补充雇主责任条款</w:t>
      </w:r>
    </w:p>
    <w:p w14:paraId="1B2BF4EB">
      <w:pPr>
        <w:widowControl/>
        <w:adjustRightInd w:val="0"/>
        <w:snapToGrid w:val="0"/>
        <w:spacing w:line="400" w:lineRule="exact"/>
        <w:jc w:val="center"/>
        <w:rPr>
          <w:rFonts w:ascii="宋体" w:hAnsi="宋体" w:eastAsia="宋体" w:cs="仿宋"/>
          <w:b/>
          <w:bCs/>
          <w:color w:val="auto"/>
          <w:kern w:val="0"/>
          <w:sz w:val="24"/>
          <w:szCs w:val="21"/>
          <w:highlight w:val="none"/>
          <w:lang w:val="zh-CN"/>
        </w:rPr>
      </w:pPr>
      <w:r>
        <w:rPr>
          <w:rFonts w:hint="eastAsia" w:ascii="宋体" w:hAnsi="宋体" w:eastAsia="宋体" w:cs="仿宋"/>
          <w:b/>
          <w:bCs/>
          <w:color w:val="auto"/>
          <w:kern w:val="0"/>
          <w:sz w:val="24"/>
          <w:szCs w:val="21"/>
          <w:highlight w:val="none"/>
          <w:lang w:val="zh-CN"/>
        </w:rPr>
        <w:t>总则</w:t>
      </w:r>
    </w:p>
    <w:p w14:paraId="2AF74A91">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第一条</w:t>
      </w:r>
      <w:r>
        <w:rPr>
          <w:rFonts w:hint="eastAsia" w:ascii="宋体" w:hAnsi="宋体" w:eastAsia="宋体" w:cs="仿宋"/>
          <w:bCs/>
          <w:color w:val="auto"/>
          <w:kern w:val="0"/>
          <w:sz w:val="21"/>
          <w:szCs w:val="21"/>
          <w:highlight w:val="none"/>
          <w:lang w:val="zh-CN"/>
        </w:rPr>
        <w:t xml:space="preserve"> 本条款是《安全生产责任保险》等安全生产类责任保险（以下简称“主险”）的附加险条款，只有在投保了主险的基础上，方可投保本附加险。</w:t>
      </w:r>
    </w:p>
    <w:p w14:paraId="451C35AB">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保险责任</w:t>
      </w:r>
    </w:p>
    <w:p w14:paraId="6722A61F">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第二条</w:t>
      </w:r>
      <w:r>
        <w:rPr>
          <w:rFonts w:hint="eastAsia" w:ascii="宋体" w:hAnsi="宋体" w:eastAsia="宋体" w:cs="仿宋"/>
          <w:bCs/>
          <w:color w:val="auto"/>
          <w:kern w:val="0"/>
          <w:sz w:val="21"/>
          <w:szCs w:val="21"/>
          <w:highlight w:val="none"/>
          <w:lang w:val="zh-CN"/>
        </w:rPr>
        <w:t xml:space="preserve"> 在保险期间内，投保人的从业人员遭受主险生产安全事故以外的下列其它意外事故造成人身伤亡，依照中华人民共和国法律（不包括港、澳、台地区）应由投保人承担的经济赔偿责任，保险人按照本附加险合同约定负责赔偿：</w:t>
      </w:r>
    </w:p>
    <w:p w14:paraId="707F2F0B">
      <w:pPr>
        <w:widowControl/>
        <w:adjustRightInd/>
        <w:snapToGrid w:val="0"/>
        <w:spacing w:line="400" w:lineRule="exact"/>
        <w:ind w:firstLine="420" w:firstLineChars="200"/>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（一）在工作时间和工作场所内，因履行工作职责受到暴力伤害；</w:t>
      </w:r>
    </w:p>
    <w:p w14:paraId="5BF1E8C5">
      <w:pPr>
        <w:widowControl/>
        <w:adjustRightInd w:val="0"/>
        <w:snapToGrid w:val="0"/>
        <w:spacing w:line="400" w:lineRule="exact"/>
        <w:jc w:val="left"/>
        <w:rPr>
          <w:rFonts w:ascii="宋体" w:hAnsi="宋体" w:eastAsia="宋体" w:cs="仿宋"/>
          <w:color w:val="auto"/>
          <w:kern w:val="0"/>
          <w:sz w:val="21"/>
          <w:szCs w:val="21"/>
          <w:highlight w:val="none"/>
        </w:rPr>
      </w:pPr>
      <w:r>
        <w:rPr>
          <w:rFonts w:hint="eastAsia" w:ascii="宋体" w:hAnsi="宋体" w:eastAsia="宋体" w:cs="仿宋"/>
          <w:bCs/>
          <w:color w:val="auto"/>
          <w:kern w:val="0"/>
          <w:sz w:val="21"/>
          <w:szCs w:val="21"/>
          <w:highlight w:val="none"/>
          <w:lang w:val="zh-CN"/>
        </w:rPr>
        <w:t>（</w:t>
      </w:r>
      <w:r>
        <w:rPr>
          <w:rFonts w:hint="eastAsia" w:ascii="宋体" w:hAnsi="宋体" w:eastAsia="宋体" w:cs="仿宋"/>
          <w:bCs/>
          <w:color w:val="auto"/>
          <w:kern w:val="0"/>
          <w:sz w:val="21"/>
          <w:szCs w:val="21"/>
          <w:highlight w:val="none"/>
        </w:rPr>
        <w:t>二</w:t>
      </w:r>
      <w:r>
        <w:rPr>
          <w:rFonts w:hint="eastAsia" w:ascii="宋体" w:hAnsi="宋体" w:eastAsia="宋体" w:cs="仿宋"/>
          <w:bCs/>
          <w:color w:val="auto"/>
          <w:kern w:val="0"/>
          <w:sz w:val="21"/>
          <w:szCs w:val="21"/>
          <w:highlight w:val="none"/>
          <w:lang w:val="zh-CN"/>
        </w:rPr>
        <w:t>）</w:t>
      </w:r>
      <w:r>
        <w:rPr>
          <w:rFonts w:hint="eastAsia" w:ascii="宋体" w:hAnsi="宋体" w:eastAsia="宋体" w:cs="仿宋"/>
          <w:color w:val="auto"/>
          <w:kern w:val="0"/>
          <w:sz w:val="21"/>
          <w:szCs w:val="21"/>
          <w:highlight w:val="none"/>
        </w:rPr>
        <w:t>因工外出期间，由于工作原因受到伤害或者发生事故下落不明的；</w:t>
      </w:r>
    </w:p>
    <w:p w14:paraId="7E7F5DED">
      <w:pPr>
        <w:widowControl/>
        <w:adjustRightInd w:val="0"/>
        <w:snapToGrid w:val="0"/>
        <w:spacing w:line="400" w:lineRule="exact"/>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（三）在上下班途中，受到非本人主要责任的交通事故或者城市轨道交通、客运轮渡、火车事故伤害的；</w:t>
      </w:r>
    </w:p>
    <w:p w14:paraId="6ACB5B15">
      <w:pPr>
        <w:widowControl/>
        <w:adjustRightInd w:val="0"/>
        <w:snapToGrid w:val="0"/>
        <w:spacing w:line="400" w:lineRule="exact"/>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（四）</w:t>
      </w:r>
      <w:r>
        <w:rPr>
          <w:rFonts w:hint="eastAsia" w:ascii="宋体" w:hAnsi="宋体" w:eastAsia="宋体" w:cs="仿宋"/>
          <w:bCs/>
          <w:color w:val="auto"/>
          <w:kern w:val="0"/>
          <w:sz w:val="21"/>
          <w:szCs w:val="21"/>
          <w:highlight w:val="none"/>
          <w:lang w:val="zh-CN"/>
        </w:rPr>
        <w:t>在工作时间和工作岗位，突发疾病死亡或者在48小时之内经抢救无效死亡；</w:t>
      </w:r>
    </w:p>
    <w:p w14:paraId="03E26357">
      <w:pPr>
        <w:widowControl/>
        <w:adjustRightInd w:val="0"/>
        <w:snapToGrid w:val="0"/>
        <w:spacing w:line="400" w:lineRule="exact"/>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（五）在抢险救灾等维护国家利益、公共利益活动中受到伤害的。</w:t>
      </w:r>
    </w:p>
    <w:p w14:paraId="5B48DF97">
      <w:pPr>
        <w:widowControl/>
        <w:adjustRightInd/>
        <w:snapToGrid w:val="0"/>
        <w:spacing w:line="400" w:lineRule="exact"/>
        <w:ind w:firstLine="422" w:firstLineChars="200"/>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 xml:space="preserve">第三条 </w:t>
      </w:r>
      <w:r>
        <w:rPr>
          <w:rFonts w:hint="eastAsia" w:ascii="宋体" w:hAnsi="宋体" w:eastAsia="宋体" w:cs="仿宋"/>
          <w:bCs/>
          <w:color w:val="auto"/>
          <w:kern w:val="0"/>
          <w:sz w:val="21"/>
          <w:szCs w:val="21"/>
          <w:highlight w:val="none"/>
          <w:lang w:val="zh-CN"/>
        </w:rPr>
        <w:t>保险事故发生后，投保人因保险事故而被提起仲裁或者诉讼的，对应由投保人支付的仲裁或诉讼费用以及事先经保险人书面同意支付的其它必要的、合理的费用（以下简称“法律费用”），保险人按照本保险合同约定也负责赔偿。</w:t>
      </w:r>
    </w:p>
    <w:p w14:paraId="7542777C">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责任限额及免赔额</w:t>
      </w:r>
    </w:p>
    <w:p w14:paraId="31B297A1">
      <w:pPr>
        <w:widowControl/>
        <w:adjustRightInd w:val="0"/>
        <w:snapToGrid w:val="0"/>
        <w:spacing w:line="400" w:lineRule="exact"/>
        <w:ind w:firstLine="413"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第四条</w:t>
      </w:r>
      <w:r>
        <w:rPr>
          <w:rFonts w:hint="eastAsia" w:ascii="宋体" w:hAnsi="宋体" w:eastAsia="宋体" w:cs="仿宋"/>
          <w:bCs/>
          <w:color w:val="auto"/>
          <w:kern w:val="0"/>
          <w:sz w:val="21"/>
          <w:szCs w:val="21"/>
          <w:highlight w:val="none"/>
          <w:lang w:val="zh-CN"/>
        </w:rPr>
        <w:t xml:space="preserve"> 除另有约定外，本附加险的责任限额包括每次事故责任限额、每人伤亡责任限额。</w:t>
      </w:r>
    </w:p>
    <w:p w14:paraId="334357F4">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各项责任限额由投保人和保险人协商确定，并在保险单中载明。</w:t>
      </w:r>
    </w:p>
    <w:p w14:paraId="3EB833E3">
      <w:pPr>
        <w:widowControl/>
        <w:adjustRightInd w:val="0"/>
        <w:snapToGrid w:val="0"/>
        <w:spacing w:line="400" w:lineRule="exact"/>
        <w:ind w:firstLine="413" w:firstLineChars="196"/>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投保人、投保人义务</w:t>
      </w:r>
    </w:p>
    <w:p w14:paraId="2A27ED94">
      <w:pPr>
        <w:widowControl/>
        <w:adjustRightInd w:val="0"/>
        <w:snapToGrid w:val="0"/>
        <w:spacing w:line="400" w:lineRule="exact"/>
        <w:ind w:firstLine="413"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 xml:space="preserve">第五条 </w:t>
      </w:r>
      <w:r>
        <w:rPr>
          <w:rFonts w:hint="eastAsia" w:ascii="宋体" w:hAnsi="宋体" w:eastAsia="宋体" w:cs="仿宋"/>
          <w:bCs/>
          <w:color w:val="auto"/>
          <w:kern w:val="0"/>
          <w:sz w:val="21"/>
          <w:szCs w:val="21"/>
          <w:highlight w:val="none"/>
          <w:lang w:val="zh-CN"/>
        </w:rPr>
        <w:t>投保人向保险人请求赔偿时，应提交下列索赔材料：</w:t>
      </w:r>
    </w:p>
    <w:p w14:paraId="51556C66">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（一）保险单、批单、投保清单、保费发票；</w:t>
      </w:r>
    </w:p>
    <w:p w14:paraId="50F292B7">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（二）医疗机构或司法机构出具的死亡证明、伤残鉴定书；</w:t>
      </w:r>
    </w:p>
    <w:p w14:paraId="6D97F234">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（三）伤亡人员的人事关系证明、身份证明、书面赔偿请求以及投保人已经向受害人或其代表支付赔偿金的书面证明材料;</w:t>
      </w:r>
    </w:p>
    <w:p w14:paraId="1A4A5541">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（四）能够确定投保人责任及赔偿金额的有关法律文书或经保险人同意，投保人与受害人达成的赔偿协议及赔偿金支付凭据；</w:t>
      </w:r>
    </w:p>
    <w:p w14:paraId="041F2E8F">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（五）保险出险/索赔通知书；</w:t>
      </w:r>
    </w:p>
    <w:p w14:paraId="0C8CDDC8">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（六）投保人、投保人所能提供的其他与确认保险事故性质、原因、损失程度等有关的证明和资料。</w:t>
      </w:r>
    </w:p>
    <w:p w14:paraId="2F4F8D01">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赔偿处理</w:t>
      </w:r>
    </w:p>
    <w:p w14:paraId="1BD09A8D">
      <w:pPr>
        <w:widowControl/>
        <w:adjustRightInd/>
        <w:snapToGrid w:val="0"/>
        <w:spacing w:line="400" w:lineRule="exact"/>
        <w:ind w:firstLine="422" w:firstLineChars="200"/>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第六条</w:t>
      </w:r>
      <w:r>
        <w:rPr>
          <w:rFonts w:hint="eastAsia" w:ascii="宋体" w:hAnsi="宋体" w:eastAsia="宋体" w:cs="仿宋"/>
          <w:bCs/>
          <w:color w:val="auto"/>
          <w:kern w:val="0"/>
          <w:sz w:val="21"/>
          <w:szCs w:val="21"/>
          <w:highlight w:val="none"/>
          <w:lang w:val="zh-CN"/>
        </w:rPr>
        <w:t xml:space="preserve"> 发生本附加险约定的保险事故时，投保人对其从业人员人身伤亡依法应承担的经济赔偿责任，保险人按照以下方式赔偿：</w:t>
      </w:r>
    </w:p>
    <w:p w14:paraId="27B38E5D">
      <w:pPr>
        <w:widowControl/>
        <w:adjustRightInd/>
        <w:snapToGrid w:val="0"/>
        <w:spacing w:line="400" w:lineRule="exact"/>
        <w:ind w:firstLine="420" w:firstLineChars="200"/>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（一）从业人员死亡的，保险人在保险单载明的每人伤亡责任限额内赔偿；</w:t>
      </w:r>
    </w:p>
    <w:p w14:paraId="55C8DF72">
      <w:pPr>
        <w:widowControl/>
        <w:adjustRightInd/>
        <w:snapToGrid w:val="0"/>
        <w:spacing w:line="400" w:lineRule="exact"/>
        <w:ind w:firstLine="420" w:firstLineChars="200"/>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二）从业人员残疾的，由二级及以上医疗机构依据《职工工伤与职业病致残程度鉴定》标准鉴定残疾程度，保险人按照主险保险合同所附残疾赔偿比例表确定对应的百分比，乘以保险单载明的每人伤亡责任限额的数额内赔偿；</w:t>
      </w:r>
    </w:p>
    <w:p w14:paraId="45544244">
      <w:pPr>
        <w:widowControl/>
        <w:adjustRightInd w:val="0"/>
        <w:snapToGrid w:val="0"/>
        <w:spacing w:line="400" w:lineRule="exact"/>
        <w:ind w:firstLine="411" w:firstLineChars="196"/>
        <w:jc w:val="left"/>
        <w:rPr>
          <w:rFonts w:ascii="宋体" w:hAnsi="宋体" w:eastAsia="宋体" w:cs="仿宋"/>
          <w:color w:val="auto"/>
          <w:kern w:val="0"/>
          <w:sz w:val="21"/>
          <w:szCs w:val="21"/>
          <w:highlight w:val="none"/>
        </w:rPr>
      </w:pPr>
      <w:r>
        <w:rPr>
          <w:rFonts w:hint="eastAsia" w:ascii="宋体" w:hAnsi="宋体" w:eastAsia="宋体" w:cs="仿宋"/>
          <w:bCs/>
          <w:color w:val="auto"/>
          <w:kern w:val="0"/>
          <w:sz w:val="21"/>
          <w:szCs w:val="21"/>
          <w:highlight w:val="none"/>
          <w:lang w:val="zh-CN"/>
        </w:rPr>
        <w:t>（三）</w:t>
      </w:r>
      <w:r>
        <w:rPr>
          <w:rFonts w:hint="eastAsia" w:ascii="宋体" w:hAnsi="宋体" w:eastAsia="宋体" w:cs="仿宋"/>
          <w:color w:val="auto"/>
          <w:kern w:val="0"/>
          <w:sz w:val="21"/>
          <w:szCs w:val="21"/>
          <w:highlight w:val="none"/>
        </w:rPr>
        <w:t>从业人员暂时丧失工作能力超过五天（不包括五天）的，经医院证明，保险人依据事故发生地政府公布的最低生活保障金，按照每人／天补偿误工费，医疗期满或确定残疾程度后停发，最长不超过1年；如最终鉴定为残疾的，保险人对残疾赔偿金及误工费的赔偿以第（二）款计算的责任限额为限；</w:t>
      </w:r>
    </w:p>
    <w:p w14:paraId="28BAC5D8">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（四）对于每次事故造成的损失，保险人在每次事故责任限额内赔偿。</w:t>
      </w:r>
    </w:p>
    <w:p w14:paraId="4752BEAF">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其他事项</w:t>
      </w:r>
    </w:p>
    <w:p w14:paraId="6E74EE22">
      <w:pPr>
        <w:widowControl/>
        <w:adjustRightInd/>
        <w:snapToGrid w:val="0"/>
        <w:spacing w:line="400" w:lineRule="exact"/>
        <w:ind w:firstLine="413" w:firstLineChars="196"/>
        <w:jc w:val="left"/>
        <w:rPr>
          <w:rFonts w:ascii="宋体" w:hAnsi="宋体" w:eastAsia="宋体" w:cs="仿宋"/>
          <w:color w:val="auto"/>
          <w:kern w:val="0"/>
          <w:sz w:val="21"/>
          <w:szCs w:val="21"/>
          <w:highlight w:val="none"/>
        </w:rPr>
      </w:pPr>
      <w:r>
        <w:rPr>
          <w:rFonts w:hint="eastAsia" w:ascii="宋体" w:hAnsi="宋体" w:eastAsia="宋体" w:cs="仿宋"/>
          <w:b/>
          <w:color w:val="auto"/>
          <w:kern w:val="0"/>
          <w:sz w:val="21"/>
          <w:szCs w:val="21"/>
          <w:highlight w:val="none"/>
        </w:rPr>
        <w:t xml:space="preserve">第七条 </w:t>
      </w:r>
      <w:r>
        <w:rPr>
          <w:rFonts w:hint="eastAsia" w:ascii="宋体" w:hAnsi="宋体" w:eastAsia="宋体" w:cs="仿宋"/>
          <w:color w:val="auto"/>
          <w:kern w:val="0"/>
          <w:sz w:val="21"/>
          <w:szCs w:val="21"/>
          <w:highlight w:val="none"/>
        </w:rPr>
        <w:t>凡涉及本附加险合同的约定，均应采用书面形式。主险合同与本附加险合同相抵触，以本附加险合同为准；本附加险合同未约定事项，以主险合同为准。</w:t>
      </w:r>
    </w:p>
    <w:p w14:paraId="37FB77C5">
      <w:pPr>
        <w:widowControl/>
        <w:adjustRightInd/>
        <w:spacing w:line="400" w:lineRule="exact"/>
        <w:ind w:firstLine="420" w:firstLineChars="200"/>
        <w:jc w:val="left"/>
        <w:rPr>
          <w:rFonts w:ascii="宋体" w:hAnsi="宋体" w:eastAsia="宋体" w:cs="仿宋"/>
          <w:color w:val="auto"/>
          <w:kern w:val="0"/>
          <w:sz w:val="21"/>
          <w:szCs w:val="21"/>
          <w:highlight w:val="none"/>
        </w:rPr>
      </w:pPr>
    </w:p>
    <w:p w14:paraId="3D45990A">
      <w:pPr>
        <w:widowControl/>
        <w:adjustRightInd/>
        <w:spacing w:line="400" w:lineRule="exact"/>
        <w:ind w:firstLine="422" w:firstLineChars="200"/>
        <w:jc w:val="left"/>
        <w:outlineLvl w:val="3"/>
        <w:rPr>
          <w:rFonts w:ascii="宋体" w:hAnsi="宋体" w:eastAsia="宋体" w:cs="仿宋"/>
          <w:b/>
          <w:color w:val="auto"/>
          <w:kern w:val="0"/>
          <w:sz w:val="21"/>
          <w:szCs w:val="21"/>
          <w:highlight w:val="none"/>
        </w:rPr>
      </w:pPr>
      <w:r>
        <w:rPr>
          <w:rFonts w:hint="eastAsia" w:ascii="宋体" w:hAnsi="宋体" w:eastAsia="宋体" w:cs="仿宋"/>
          <w:b/>
          <w:color w:val="auto"/>
          <w:kern w:val="0"/>
          <w:sz w:val="21"/>
          <w:szCs w:val="21"/>
          <w:highlight w:val="none"/>
        </w:rPr>
        <w:t>2）附加医疗费条款</w:t>
      </w:r>
    </w:p>
    <w:p w14:paraId="40E8644E">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总则</w:t>
      </w:r>
    </w:p>
    <w:p w14:paraId="596D6D78">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 xml:space="preserve">第一条 </w:t>
      </w:r>
      <w:r>
        <w:rPr>
          <w:rFonts w:hint="eastAsia" w:ascii="宋体" w:hAnsi="宋体" w:eastAsia="宋体" w:cs="仿宋"/>
          <w:bCs/>
          <w:color w:val="auto"/>
          <w:kern w:val="0"/>
          <w:sz w:val="21"/>
          <w:szCs w:val="21"/>
          <w:highlight w:val="none"/>
          <w:lang w:val="zh-CN"/>
        </w:rPr>
        <w:t>本条款是《安全生产责任保险》等安全生产类责任保险（以下简称“主险”）的附加险条款，只有在投保了主险的基础上，方可投保本附加险。</w:t>
      </w:r>
    </w:p>
    <w:p w14:paraId="025073DC">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保险责任</w:t>
      </w:r>
    </w:p>
    <w:p w14:paraId="518F1115">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第二条</w:t>
      </w:r>
      <w:r>
        <w:rPr>
          <w:rFonts w:hint="eastAsia" w:ascii="宋体" w:hAnsi="宋体" w:eastAsia="宋体" w:cs="仿宋"/>
          <w:bCs/>
          <w:color w:val="auto"/>
          <w:kern w:val="0"/>
          <w:sz w:val="21"/>
          <w:szCs w:val="21"/>
          <w:highlight w:val="none"/>
          <w:lang w:val="zh-CN"/>
        </w:rPr>
        <w:t xml:space="preserve"> 在保险期间内，发生保险责任范围内的安全生产事故，导致投保人的工作人员或第三者人身伤亡，依照中华人民共和国法律（不包括港、澳、台地区）应由投保人承担的医疗费用，保险人按照本附加险合同约定负责赔偿。</w:t>
      </w:r>
    </w:p>
    <w:p w14:paraId="69A14EC4">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责任限额及免赔额</w:t>
      </w:r>
    </w:p>
    <w:p w14:paraId="4DB11DDB">
      <w:pPr>
        <w:widowControl/>
        <w:adjustRightInd w:val="0"/>
        <w:snapToGrid w:val="0"/>
        <w:spacing w:line="400" w:lineRule="exact"/>
        <w:ind w:firstLine="422" w:firstLineChars="200"/>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第三条</w:t>
      </w:r>
      <w:r>
        <w:rPr>
          <w:rFonts w:hint="eastAsia" w:ascii="宋体" w:hAnsi="宋体" w:eastAsia="宋体" w:cs="仿宋"/>
          <w:bCs/>
          <w:color w:val="auto"/>
          <w:kern w:val="0"/>
          <w:sz w:val="21"/>
          <w:szCs w:val="21"/>
          <w:highlight w:val="none"/>
          <w:lang w:val="zh-CN"/>
        </w:rPr>
        <w:t xml:space="preserve"> 除另有约定外，本附加险的责任限额包括每人医疗费用责任限额，由投保人和保险人协商确定，并在保险单中载明。</w:t>
      </w:r>
    </w:p>
    <w:p w14:paraId="390F1271">
      <w:pPr>
        <w:widowControl/>
        <w:adjustRightInd w:val="0"/>
        <w:snapToGrid w:val="0"/>
        <w:spacing w:line="400" w:lineRule="exact"/>
        <w:ind w:firstLine="413"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第四条</w:t>
      </w:r>
      <w:r>
        <w:rPr>
          <w:rFonts w:hint="eastAsia" w:ascii="宋体" w:hAnsi="宋体" w:eastAsia="宋体" w:cs="仿宋"/>
          <w:bCs/>
          <w:color w:val="auto"/>
          <w:kern w:val="0"/>
          <w:sz w:val="21"/>
          <w:szCs w:val="21"/>
          <w:highlight w:val="none"/>
          <w:lang w:val="zh-CN"/>
        </w:rPr>
        <w:t xml:space="preserve"> 每次事故每人医疗费用免赔额由投保人和保险人协商确定，并在保险单中载明。</w:t>
      </w:r>
    </w:p>
    <w:p w14:paraId="7477BE22">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投保人及投保人义务</w:t>
      </w:r>
    </w:p>
    <w:p w14:paraId="021E42FD">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w:t>
      </w:r>
      <w:r>
        <w:rPr>
          <w:rFonts w:hint="eastAsia" w:ascii="宋体" w:hAnsi="宋体" w:eastAsia="宋体" w:cs="仿宋"/>
          <w:b/>
          <w:bCs/>
          <w:color w:val="auto"/>
          <w:kern w:val="0"/>
          <w:sz w:val="21"/>
          <w:szCs w:val="21"/>
          <w:highlight w:val="none"/>
        </w:rPr>
        <w:t>五</w:t>
      </w:r>
      <w:r>
        <w:rPr>
          <w:rFonts w:hint="eastAsia" w:ascii="宋体" w:hAnsi="宋体" w:eastAsia="宋体" w:cs="仿宋"/>
          <w:b/>
          <w:bCs/>
          <w:color w:val="auto"/>
          <w:kern w:val="0"/>
          <w:sz w:val="21"/>
          <w:szCs w:val="21"/>
          <w:highlight w:val="none"/>
          <w:lang w:val="zh-CN"/>
        </w:rPr>
        <w:t>条</w:t>
      </w:r>
      <w:r>
        <w:rPr>
          <w:rFonts w:hint="eastAsia" w:ascii="宋体" w:hAnsi="宋体" w:eastAsia="宋体" w:cs="仿宋"/>
          <w:bCs/>
          <w:color w:val="auto"/>
          <w:kern w:val="0"/>
          <w:sz w:val="21"/>
          <w:szCs w:val="21"/>
          <w:highlight w:val="none"/>
          <w:lang w:val="zh-CN"/>
        </w:rPr>
        <w:t xml:space="preserve"> 投保人向保险人请求赔偿时，应提供以下材料：</w:t>
      </w:r>
    </w:p>
    <w:p w14:paraId="58A18362">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（一）保险单、批单、投保清单、保费发票；</w:t>
      </w:r>
    </w:p>
    <w:p w14:paraId="39FA156D">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（二）医疗机构或司法机构出具的死亡证明、伤残鉴定书；</w:t>
      </w:r>
    </w:p>
    <w:p w14:paraId="68B7E8FD">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（三）伤亡人员的人事关系证明、身份证明、书面赔偿请求以及投保人已经向受害人或其代表支付赔偿金的书面证明材料;</w:t>
      </w:r>
    </w:p>
    <w:p w14:paraId="1F925048">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（四）门诊及住院病历、检查报告、医疗费用项目清单、医疗费用单据；</w:t>
      </w:r>
    </w:p>
    <w:p w14:paraId="44314AB5">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（五）能够确定投保人责任及赔偿金额的有关法律文书或经保险人同意，投保人与受害人达成的赔偿协议及赔偿金支付凭据；</w:t>
      </w:r>
    </w:p>
    <w:p w14:paraId="45D89994">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（六）保险出险/索赔通知书；</w:t>
      </w:r>
    </w:p>
    <w:p w14:paraId="118D7700">
      <w:pPr>
        <w:widowControl/>
        <w:adjustRightInd w:val="0"/>
        <w:snapToGrid w:val="0"/>
        <w:spacing w:line="400" w:lineRule="exact"/>
        <w:ind w:firstLine="411"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（七）投保人、投保人所能提供的其他与确认保险事故性质、原因、损失程度等有关的证明和资料。</w:t>
      </w:r>
    </w:p>
    <w:p w14:paraId="54C8DE72">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赔偿处理</w:t>
      </w:r>
    </w:p>
    <w:p w14:paraId="765BB06D">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第六条</w:t>
      </w:r>
      <w:r>
        <w:rPr>
          <w:rFonts w:hint="eastAsia" w:ascii="宋体" w:hAnsi="宋体" w:eastAsia="宋体" w:cs="仿宋"/>
          <w:bCs/>
          <w:color w:val="auto"/>
          <w:kern w:val="0"/>
          <w:sz w:val="21"/>
          <w:szCs w:val="21"/>
          <w:highlight w:val="none"/>
          <w:lang w:val="zh-CN"/>
        </w:rPr>
        <w:t xml:space="preserve"> 发生本附加险约定的保险事故时，投保人对其工作人员、第三者依法应承担的符合按照本保险合同签发地政府颁布的工伤保险报销范围的下列医疗费用，保险人在扣除每次事故每人医疗费用免赔额后在每人医疗费用责任限额内据实赔偿，医疗费用包括： </w:t>
      </w:r>
    </w:p>
    <w:p w14:paraId="1BE78881">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（一）挂号费、治疗费、手术费、检查费、医药费；</w:t>
      </w:r>
    </w:p>
    <w:p w14:paraId="57CC704F">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（二）住院期间的床位费、陪护费、伙食费、取暖费、空调费；</w:t>
      </w:r>
    </w:p>
    <w:p w14:paraId="52D5AA17">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（三）就（转）诊交通费、急救车费;</w:t>
      </w:r>
    </w:p>
    <w:p w14:paraId="7CA8F116">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（四）安装假肢、假牙、假眼和残疾用具费用。</w:t>
      </w:r>
    </w:p>
    <w:p w14:paraId="5FA92677">
      <w:pPr>
        <w:widowControl/>
        <w:adjustRightInd w:val="0"/>
        <w:snapToGrid w:val="0"/>
        <w:spacing w:line="400" w:lineRule="exact"/>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除紧急抢救外，受伤工作人员均应在二级以上（含二级）医院或保险人认可的医疗机构就诊。</w:t>
      </w:r>
    </w:p>
    <w:p w14:paraId="18A0DC2E">
      <w:pPr>
        <w:widowControl/>
        <w:adjustRightInd w:val="0"/>
        <w:snapToGrid w:val="0"/>
        <w:spacing w:line="400" w:lineRule="exact"/>
        <w:jc w:val="center"/>
        <w:rPr>
          <w:rFonts w:ascii="宋体" w:hAnsi="宋体" w:eastAsia="宋体" w:cs="仿宋"/>
          <w:b/>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其它事项</w:t>
      </w:r>
    </w:p>
    <w:p w14:paraId="6BB8AA93">
      <w:pPr>
        <w:widowControl/>
        <w:adjustRightInd w:val="0"/>
        <w:snapToGrid w:val="0"/>
        <w:spacing w:line="400" w:lineRule="exact"/>
        <w:ind w:firstLine="422" w:firstLineChars="200"/>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 xml:space="preserve">第七条 </w:t>
      </w:r>
      <w:r>
        <w:rPr>
          <w:rFonts w:hint="eastAsia" w:ascii="宋体" w:hAnsi="宋体" w:eastAsia="宋体" w:cs="仿宋"/>
          <w:color w:val="auto"/>
          <w:kern w:val="0"/>
          <w:sz w:val="21"/>
          <w:szCs w:val="21"/>
          <w:highlight w:val="none"/>
        </w:rPr>
        <w:t>凡涉及本附加险合同的约定，均应采用书面形式。主险合同与本附加险合同相抵触，以本附加险合同为准；本附加险合同未约定事项，以主险合同为准。</w:t>
      </w:r>
    </w:p>
    <w:p w14:paraId="39A08658">
      <w:pPr>
        <w:widowControl/>
        <w:adjustRightInd/>
        <w:spacing w:line="400" w:lineRule="exact"/>
        <w:jc w:val="left"/>
        <w:rPr>
          <w:rFonts w:ascii="宋体" w:hAnsi="宋体" w:eastAsia="宋体" w:cs="仿宋"/>
          <w:color w:val="auto"/>
          <w:kern w:val="0"/>
          <w:sz w:val="21"/>
          <w:szCs w:val="21"/>
          <w:highlight w:val="none"/>
        </w:rPr>
      </w:pPr>
    </w:p>
    <w:p w14:paraId="5F83A369">
      <w:pPr>
        <w:widowControl/>
        <w:adjustRightInd/>
        <w:spacing w:line="400" w:lineRule="exact"/>
        <w:ind w:firstLine="422" w:firstLineChars="200"/>
        <w:jc w:val="left"/>
        <w:outlineLvl w:val="3"/>
        <w:rPr>
          <w:rFonts w:ascii="宋体" w:hAnsi="宋体" w:eastAsia="宋体" w:cs="仿宋"/>
          <w:b/>
          <w:color w:val="auto"/>
          <w:kern w:val="0"/>
          <w:sz w:val="21"/>
          <w:szCs w:val="21"/>
          <w:highlight w:val="none"/>
        </w:rPr>
      </w:pPr>
      <w:r>
        <w:rPr>
          <w:rFonts w:ascii="宋体" w:hAnsi="宋体" w:eastAsia="宋体" w:cs="仿宋"/>
          <w:b/>
          <w:color w:val="auto"/>
          <w:kern w:val="0"/>
          <w:sz w:val="21"/>
          <w:szCs w:val="21"/>
          <w:highlight w:val="none"/>
        </w:rPr>
        <w:t>3</w:t>
      </w:r>
      <w:r>
        <w:rPr>
          <w:rFonts w:hint="eastAsia" w:ascii="宋体" w:hAnsi="宋体" w:eastAsia="宋体" w:cs="仿宋"/>
          <w:b/>
          <w:color w:val="auto"/>
          <w:kern w:val="0"/>
          <w:sz w:val="21"/>
          <w:szCs w:val="21"/>
          <w:highlight w:val="none"/>
        </w:rPr>
        <w:t>）附加法律费用保险条款</w:t>
      </w:r>
    </w:p>
    <w:p w14:paraId="33E80F9C">
      <w:pPr>
        <w:widowControl/>
        <w:adjustRightInd/>
        <w:spacing w:line="400" w:lineRule="exact"/>
        <w:jc w:val="center"/>
        <w:rPr>
          <w:rFonts w:ascii="宋体" w:hAnsi="宋体" w:eastAsia="宋体" w:cs="仿宋"/>
          <w:color w:val="auto"/>
          <w:kern w:val="0"/>
          <w:sz w:val="21"/>
          <w:szCs w:val="21"/>
          <w:highlight w:val="none"/>
        </w:rPr>
      </w:pPr>
      <w:r>
        <w:rPr>
          <w:rFonts w:hint="eastAsia" w:ascii="宋体" w:hAnsi="宋体" w:eastAsia="宋体" w:cs="仿宋"/>
          <w:b/>
          <w:bCs/>
          <w:color w:val="auto"/>
          <w:kern w:val="0"/>
          <w:sz w:val="21"/>
          <w:szCs w:val="21"/>
          <w:highlight w:val="none"/>
        </w:rPr>
        <w:t>投保附加险的条件</w:t>
      </w:r>
    </w:p>
    <w:p w14:paraId="6136C2A0">
      <w:pPr>
        <w:widowControl/>
        <w:autoSpaceDE w:val="0"/>
        <w:autoSpaceDN w:val="0"/>
        <w:adjustRightInd w:val="0"/>
        <w:snapToGrid w:val="0"/>
        <w:spacing w:line="400" w:lineRule="exact"/>
        <w:ind w:firstLine="413"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 xml:space="preserve">第一条 </w:t>
      </w:r>
      <w:r>
        <w:rPr>
          <w:rFonts w:hint="eastAsia" w:ascii="宋体" w:hAnsi="宋体" w:eastAsia="宋体" w:cs="仿宋"/>
          <w:color w:val="auto"/>
          <w:kern w:val="0"/>
          <w:sz w:val="21"/>
          <w:szCs w:val="21"/>
          <w:highlight w:val="none"/>
        </w:rPr>
        <w:t>本条款为安全生产类责任保险（以下简称主险）的附加险条款，只有在投保了主险的基础上，方可投保本附加险。</w:t>
      </w:r>
    </w:p>
    <w:p w14:paraId="27EBC4B4">
      <w:pPr>
        <w:widowControl/>
        <w:adjustRightInd/>
        <w:spacing w:line="400" w:lineRule="exact"/>
        <w:jc w:val="center"/>
        <w:rPr>
          <w:rFonts w:ascii="宋体" w:hAnsi="宋体" w:eastAsia="宋体" w:cs="仿宋"/>
          <w:color w:val="auto"/>
          <w:kern w:val="0"/>
          <w:sz w:val="21"/>
          <w:szCs w:val="21"/>
          <w:highlight w:val="none"/>
        </w:rPr>
      </w:pPr>
      <w:r>
        <w:rPr>
          <w:rFonts w:hint="eastAsia" w:ascii="宋体" w:hAnsi="宋体" w:eastAsia="宋体" w:cs="仿宋"/>
          <w:b/>
          <w:bCs/>
          <w:color w:val="auto"/>
          <w:kern w:val="0"/>
          <w:sz w:val="21"/>
          <w:szCs w:val="21"/>
          <w:highlight w:val="none"/>
        </w:rPr>
        <w:t>附加险内容</w:t>
      </w:r>
    </w:p>
    <w:p w14:paraId="039AF3F7">
      <w:pPr>
        <w:widowControl/>
        <w:autoSpaceDE w:val="0"/>
        <w:autoSpaceDN w:val="0"/>
        <w:adjustRightInd w:val="0"/>
        <w:snapToGrid w:val="0"/>
        <w:spacing w:line="400" w:lineRule="exact"/>
        <w:ind w:firstLine="413"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第二条</w:t>
      </w:r>
      <w:r>
        <w:rPr>
          <w:rFonts w:hint="eastAsia" w:ascii="宋体" w:hAnsi="宋体" w:eastAsia="宋体" w:cs="仿宋"/>
          <w:bCs/>
          <w:color w:val="auto"/>
          <w:kern w:val="0"/>
          <w:sz w:val="21"/>
          <w:szCs w:val="21"/>
          <w:highlight w:val="none"/>
          <w:lang w:val="zh-CN"/>
        </w:rPr>
        <w:t xml:space="preserve"> 在保险期间内，发生保险责任范围内的安全生产事故，投保人因此被提起仲裁或者诉讼的，对应由投保人支付的仲裁或诉讼费用以及事先经保险人书面同意支付的其他必要的、合理的法律费用（以下简称法律费用），保险人按照本附加险合同的约定，在法律费用责任限额内负责赔偿。</w:t>
      </w:r>
    </w:p>
    <w:p w14:paraId="6ABD4BC2">
      <w:pPr>
        <w:widowControl/>
        <w:autoSpaceDE w:val="0"/>
        <w:autoSpaceDN w:val="0"/>
        <w:adjustRightInd w:val="0"/>
        <w:snapToGrid w:val="0"/>
        <w:spacing w:line="400" w:lineRule="exact"/>
        <w:ind w:firstLine="413"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第三条</w:t>
      </w:r>
      <w:r>
        <w:rPr>
          <w:rFonts w:hint="eastAsia" w:ascii="宋体" w:hAnsi="宋体" w:eastAsia="宋体" w:cs="仿宋"/>
          <w:bCs/>
          <w:color w:val="auto"/>
          <w:kern w:val="0"/>
          <w:sz w:val="21"/>
          <w:szCs w:val="21"/>
          <w:highlight w:val="none"/>
          <w:lang w:val="zh-CN"/>
        </w:rPr>
        <w:t xml:space="preserve"> 本附加险合同的责任限额包括每次事故法律费用责任限额及累计法律费用责任限额，由投保人和保险人协商确定，并在保险单中载明。</w:t>
      </w:r>
    </w:p>
    <w:p w14:paraId="0D787C1F">
      <w:pPr>
        <w:widowControl/>
        <w:autoSpaceDE w:val="0"/>
        <w:autoSpaceDN w:val="0"/>
        <w:adjustRightInd w:val="0"/>
        <w:snapToGrid w:val="0"/>
        <w:spacing w:line="400" w:lineRule="exact"/>
        <w:ind w:firstLine="413"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 xml:space="preserve">第四条 </w:t>
      </w:r>
      <w:r>
        <w:rPr>
          <w:rFonts w:hint="eastAsia" w:ascii="宋体" w:hAnsi="宋体" w:eastAsia="宋体" w:cs="仿宋"/>
          <w:bCs/>
          <w:color w:val="auto"/>
          <w:kern w:val="0"/>
          <w:sz w:val="21"/>
          <w:szCs w:val="21"/>
          <w:highlight w:val="none"/>
          <w:lang w:val="zh-CN"/>
        </w:rPr>
        <w:t>保险人对每次事故的法律费用的赔偿金额不超过每次事故法律费用责任限额。</w:t>
      </w:r>
    </w:p>
    <w:p w14:paraId="50FD1F62">
      <w:pPr>
        <w:widowControl/>
        <w:autoSpaceDE w:val="0"/>
        <w:autoSpaceDN w:val="0"/>
        <w:adjustRightInd w:val="0"/>
        <w:snapToGrid w:val="0"/>
        <w:spacing w:line="400" w:lineRule="exact"/>
        <w:ind w:firstLine="315" w:firstLineChars="150"/>
        <w:jc w:val="left"/>
        <w:rPr>
          <w:rFonts w:ascii="宋体" w:hAnsi="宋体" w:eastAsia="宋体" w:cs="仿宋"/>
          <w:bCs/>
          <w:color w:val="auto"/>
          <w:kern w:val="0"/>
          <w:sz w:val="21"/>
          <w:szCs w:val="21"/>
          <w:highlight w:val="none"/>
          <w:lang w:val="zh-CN"/>
        </w:rPr>
      </w:pPr>
      <w:r>
        <w:rPr>
          <w:rFonts w:hint="eastAsia" w:ascii="宋体" w:hAnsi="宋体" w:eastAsia="宋体" w:cs="仿宋"/>
          <w:bCs/>
          <w:color w:val="auto"/>
          <w:kern w:val="0"/>
          <w:sz w:val="21"/>
          <w:szCs w:val="21"/>
          <w:highlight w:val="none"/>
          <w:lang w:val="zh-CN"/>
        </w:rPr>
        <w:t>在保险期间内，保险人对多次事故的法律费用的赔偿金额不超过累计法律费用责任限额。</w:t>
      </w:r>
    </w:p>
    <w:p w14:paraId="614D1919">
      <w:pPr>
        <w:widowControl/>
        <w:adjustRightInd/>
        <w:spacing w:line="400" w:lineRule="exact"/>
        <w:jc w:val="center"/>
        <w:rPr>
          <w:rFonts w:ascii="宋体" w:hAnsi="宋体" w:eastAsia="宋体" w:cs="仿宋"/>
          <w:color w:val="auto"/>
          <w:kern w:val="0"/>
          <w:sz w:val="21"/>
          <w:szCs w:val="21"/>
          <w:highlight w:val="none"/>
        </w:rPr>
      </w:pPr>
      <w:r>
        <w:rPr>
          <w:rFonts w:hint="eastAsia" w:ascii="宋体" w:hAnsi="宋体" w:eastAsia="宋体" w:cs="仿宋"/>
          <w:b/>
          <w:bCs/>
          <w:color w:val="auto"/>
          <w:kern w:val="0"/>
          <w:sz w:val="21"/>
          <w:szCs w:val="21"/>
          <w:highlight w:val="none"/>
        </w:rPr>
        <w:t>主险与附加险关系</w:t>
      </w:r>
    </w:p>
    <w:p w14:paraId="5846EB8C">
      <w:pPr>
        <w:widowControl/>
        <w:numPr>
          <w:ilvl w:val="0"/>
          <w:numId w:val="8"/>
        </w:numPr>
        <w:adjustRightInd/>
        <w:spacing w:line="400" w:lineRule="exact"/>
        <w:ind w:left="0" w:firstLine="420" w:firstLineChars="200"/>
        <w:jc w:val="left"/>
        <w:rPr>
          <w:rFonts w:ascii="宋体" w:hAnsi="宋体" w:eastAsia="宋体" w:cs="仿宋"/>
          <w:color w:val="auto"/>
          <w:kern w:val="0"/>
          <w:sz w:val="21"/>
          <w:szCs w:val="21"/>
          <w:highlight w:val="none"/>
        </w:rPr>
      </w:pPr>
      <w:r>
        <w:rPr>
          <w:rFonts w:hint="eastAsia" w:ascii="宋体" w:hAnsi="宋体" w:eastAsia="宋体" w:cs="仿宋"/>
          <w:color w:val="auto"/>
          <w:kern w:val="0"/>
          <w:sz w:val="21"/>
          <w:szCs w:val="21"/>
          <w:highlight w:val="none"/>
        </w:rPr>
        <w:t>凡涉及本附加险合同的约定，均应采用书面形式。主险合同与本附加险合同相抵触之处，以本附加险合同为准；本附加险合同未约定事项，以主险合同为准。主险合同效力终止，本附加险合同效力亦同时终止；主险合同无效，本附加险合同亦无效。</w:t>
      </w:r>
    </w:p>
    <w:p w14:paraId="62C92A4B">
      <w:pPr>
        <w:widowControl w:val="0"/>
        <w:overflowPunct/>
        <w:autoSpaceDE/>
        <w:autoSpaceDN/>
        <w:adjustRightInd/>
        <w:spacing w:before="0" w:after="120" w:line="400" w:lineRule="exact"/>
        <w:ind w:left="0" w:firstLine="0" w:firstLineChars="0"/>
        <w:jc w:val="both"/>
        <w:textAlignment w:val="auto"/>
        <w:rPr>
          <w:rFonts w:ascii="宋体" w:hAnsi="宋体" w:eastAsia="仿宋_GB2312" w:cs="Times New Roman"/>
          <w:color w:val="auto"/>
          <w:kern w:val="2"/>
          <w:sz w:val="21"/>
          <w:szCs w:val="21"/>
          <w:highlight w:val="none"/>
          <w:lang w:val="en-US" w:eastAsia="zh-CN" w:bidi="ar-SA"/>
        </w:rPr>
      </w:pPr>
    </w:p>
    <w:p w14:paraId="340958AB">
      <w:pPr>
        <w:widowControl/>
        <w:adjustRightInd/>
        <w:spacing w:line="400" w:lineRule="exact"/>
        <w:ind w:firstLine="422" w:firstLineChars="200"/>
        <w:jc w:val="left"/>
        <w:outlineLvl w:val="3"/>
        <w:rPr>
          <w:rFonts w:ascii="宋体" w:hAnsi="宋体" w:eastAsia="宋体" w:cs="仿宋"/>
          <w:b/>
          <w:color w:val="auto"/>
          <w:kern w:val="0"/>
          <w:sz w:val="21"/>
          <w:szCs w:val="21"/>
          <w:highlight w:val="none"/>
        </w:rPr>
      </w:pPr>
      <w:r>
        <w:rPr>
          <w:rFonts w:ascii="宋体" w:hAnsi="宋体" w:eastAsia="宋体" w:cs="仿宋"/>
          <w:b/>
          <w:color w:val="auto"/>
          <w:kern w:val="0"/>
          <w:sz w:val="21"/>
          <w:szCs w:val="21"/>
          <w:highlight w:val="none"/>
        </w:rPr>
        <w:t>4</w:t>
      </w:r>
      <w:r>
        <w:rPr>
          <w:rFonts w:hint="eastAsia" w:ascii="宋体" w:hAnsi="宋体" w:eastAsia="宋体" w:cs="仿宋"/>
          <w:b/>
          <w:color w:val="auto"/>
          <w:kern w:val="0"/>
          <w:sz w:val="21"/>
          <w:szCs w:val="21"/>
          <w:highlight w:val="none"/>
        </w:rPr>
        <w:t>）附加生产安全事故补充约定条款</w:t>
      </w:r>
    </w:p>
    <w:p w14:paraId="6FC36114">
      <w:pPr>
        <w:widowControl/>
        <w:adjustRightInd/>
        <w:spacing w:line="400" w:lineRule="exact"/>
        <w:jc w:val="center"/>
        <w:rPr>
          <w:rFonts w:ascii="宋体" w:hAnsi="宋体" w:eastAsia="宋体" w:cs="仿宋"/>
          <w:color w:val="auto"/>
          <w:kern w:val="0"/>
          <w:sz w:val="21"/>
          <w:szCs w:val="21"/>
          <w:highlight w:val="none"/>
        </w:rPr>
      </w:pPr>
      <w:r>
        <w:rPr>
          <w:rFonts w:hint="eastAsia" w:ascii="宋体" w:hAnsi="宋体" w:eastAsia="宋体" w:cs="仿宋"/>
          <w:b/>
          <w:bCs/>
          <w:color w:val="auto"/>
          <w:kern w:val="0"/>
          <w:sz w:val="21"/>
          <w:szCs w:val="21"/>
          <w:highlight w:val="none"/>
        </w:rPr>
        <w:t>投保附加险的条件</w:t>
      </w:r>
    </w:p>
    <w:p w14:paraId="78505302">
      <w:pPr>
        <w:widowControl/>
        <w:autoSpaceDE w:val="0"/>
        <w:autoSpaceDN w:val="0"/>
        <w:adjustRightInd w:val="0"/>
        <w:snapToGrid w:val="0"/>
        <w:spacing w:line="400" w:lineRule="exact"/>
        <w:ind w:firstLine="413"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 xml:space="preserve">第一条 </w:t>
      </w:r>
      <w:r>
        <w:rPr>
          <w:rFonts w:hint="eastAsia" w:ascii="宋体" w:hAnsi="宋体" w:eastAsia="宋体" w:cs="仿宋"/>
          <w:color w:val="auto"/>
          <w:kern w:val="0"/>
          <w:sz w:val="21"/>
          <w:szCs w:val="21"/>
          <w:highlight w:val="none"/>
        </w:rPr>
        <w:t>本条款为安全生产类责任保险（以下简称主险）的附加险条款，只有在投保了主险的基础上，方可投保本附加险。</w:t>
      </w:r>
    </w:p>
    <w:p w14:paraId="010A8D19">
      <w:pPr>
        <w:widowControl/>
        <w:adjustRightInd/>
        <w:spacing w:line="400" w:lineRule="exact"/>
        <w:jc w:val="center"/>
        <w:rPr>
          <w:rFonts w:ascii="宋体" w:hAnsi="宋体" w:eastAsia="宋体" w:cs="仿宋"/>
          <w:color w:val="auto"/>
          <w:kern w:val="0"/>
          <w:sz w:val="21"/>
          <w:szCs w:val="21"/>
          <w:highlight w:val="none"/>
        </w:rPr>
      </w:pPr>
      <w:r>
        <w:rPr>
          <w:rFonts w:hint="eastAsia" w:ascii="宋体" w:hAnsi="宋体" w:eastAsia="宋体" w:cs="仿宋"/>
          <w:b/>
          <w:bCs/>
          <w:color w:val="auto"/>
          <w:kern w:val="0"/>
          <w:sz w:val="21"/>
          <w:szCs w:val="21"/>
          <w:highlight w:val="none"/>
        </w:rPr>
        <w:t>附加险内容</w:t>
      </w:r>
    </w:p>
    <w:p w14:paraId="52F2B34D">
      <w:pPr>
        <w:widowControl/>
        <w:autoSpaceDE w:val="0"/>
        <w:autoSpaceDN w:val="0"/>
        <w:adjustRightInd w:val="0"/>
        <w:snapToGrid w:val="0"/>
        <w:spacing w:line="400" w:lineRule="exact"/>
        <w:ind w:firstLine="413" w:firstLineChars="196"/>
        <w:jc w:val="left"/>
        <w:rPr>
          <w:rFonts w:ascii="宋体" w:hAnsi="宋体" w:eastAsia="宋体" w:cs="仿宋"/>
          <w:bCs/>
          <w:color w:val="auto"/>
          <w:kern w:val="0"/>
          <w:sz w:val="21"/>
          <w:szCs w:val="21"/>
          <w:highlight w:val="none"/>
          <w:lang w:val="zh-CN"/>
        </w:rPr>
      </w:pPr>
      <w:r>
        <w:rPr>
          <w:rFonts w:hint="eastAsia" w:ascii="宋体" w:hAnsi="宋体" w:eastAsia="宋体" w:cs="仿宋"/>
          <w:b/>
          <w:bCs/>
          <w:color w:val="auto"/>
          <w:kern w:val="0"/>
          <w:sz w:val="21"/>
          <w:szCs w:val="21"/>
          <w:highlight w:val="none"/>
          <w:lang w:val="zh-CN"/>
        </w:rPr>
        <w:t>第二条</w:t>
      </w:r>
      <w:r>
        <w:rPr>
          <w:rFonts w:hint="eastAsia" w:ascii="宋体" w:hAnsi="宋体" w:eastAsia="宋体" w:cs="仿宋"/>
          <w:bCs/>
          <w:color w:val="auto"/>
          <w:kern w:val="0"/>
          <w:sz w:val="21"/>
          <w:szCs w:val="21"/>
          <w:highlight w:val="none"/>
          <w:lang w:val="zh-CN"/>
        </w:rPr>
        <w:t xml:space="preserve"> 在保险期间内，发生主险合同约定的生产安全事故，虽投保人未能提供安全生产监督管理部门出具的事故证明，但提供了其他可以证明发生了生产安全事故的事故报告且保险人认可的，保险人同意按照主险保险的约定负责赔偿。</w:t>
      </w:r>
    </w:p>
    <w:p w14:paraId="3A740A90">
      <w:pPr>
        <w:widowControl/>
        <w:adjustRightInd/>
        <w:spacing w:line="400" w:lineRule="exact"/>
        <w:jc w:val="center"/>
        <w:rPr>
          <w:rFonts w:ascii="宋体" w:hAnsi="宋体" w:eastAsia="宋体" w:cs="仿宋"/>
          <w:color w:val="auto"/>
          <w:kern w:val="0"/>
          <w:sz w:val="21"/>
          <w:szCs w:val="21"/>
          <w:highlight w:val="none"/>
        </w:rPr>
      </w:pPr>
      <w:r>
        <w:rPr>
          <w:rFonts w:hint="eastAsia" w:ascii="宋体" w:hAnsi="宋体" w:eastAsia="宋体" w:cs="仿宋"/>
          <w:b/>
          <w:bCs/>
          <w:color w:val="auto"/>
          <w:kern w:val="0"/>
          <w:sz w:val="21"/>
          <w:szCs w:val="21"/>
          <w:highlight w:val="none"/>
        </w:rPr>
        <w:t>主险与附加险关系</w:t>
      </w:r>
    </w:p>
    <w:p w14:paraId="68B4AF32">
      <w:pPr>
        <w:widowControl/>
        <w:numPr>
          <w:ilvl w:val="0"/>
          <w:numId w:val="0"/>
        </w:numPr>
        <w:autoSpaceDE w:val="0"/>
        <w:autoSpaceDN w:val="0"/>
        <w:adjustRightInd w:val="0"/>
        <w:snapToGrid w:val="0"/>
        <w:spacing w:line="400" w:lineRule="exact"/>
        <w:jc w:val="left"/>
        <w:rPr>
          <w:rFonts w:ascii="宋体" w:hAnsi="宋体" w:eastAsia="宋体" w:cs="宋体"/>
          <w:color w:val="auto"/>
          <w:kern w:val="0"/>
          <w:sz w:val="21"/>
          <w:szCs w:val="21"/>
          <w:highlight w:val="none"/>
          <w:lang w:val="zh-CN"/>
        </w:rPr>
      </w:pPr>
      <w:bookmarkStart w:id="175" w:name="_Toc26326"/>
      <w:r>
        <w:rPr>
          <w:rFonts w:hint="eastAsia" w:ascii="宋体" w:hAnsi="宋体" w:eastAsia="宋体" w:cs="仿宋"/>
          <w:color w:val="auto"/>
          <w:kern w:val="0"/>
          <w:sz w:val="21"/>
          <w:szCs w:val="21"/>
          <w:highlight w:val="none"/>
          <w:lang w:val="zh-CN"/>
        </w:rPr>
        <w:t>凡涉及本附加险合同的约定，均应采用书面形式。主险合同与本附加险合同相抵触之处，以本附加险合同为准；本附加险合同未约定事项，以主险合同为准。主险合同效力终止，本附加险合同效力亦同时终止；主险合同无效，本附加险合同亦无效。</w:t>
      </w:r>
      <w:bookmarkEnd w:id="175"/>
    </w:p>
    <w:bookmarkEnd w:id="35"/>
    <w:p w14:paraId="3545E5A6">
      <w:pPr>
        <w:rPr>
          <w:rFonts w:hint="eastAsia" w:ascii="仿宋" w:hAnsi="仿宋" w:eastAsia="仿宋" w:cs="仿宋"/>
          <w:b/>
          <w:color w:val="auto"/>
          <w:sz w:val="36"/>
          <w:szCs w:val="36"/>
          <w:highlight w:val="none"/>
        </w:rPr>
      </w:pPr>
      <w:bookmarkStart w:id="176" w:name="_Toc86217003"/>
      <w:bookmarkStart w:id="177" w:name="第五部分"/>
      <w:r>
        <w:rPr>
          <w:rFonts w:hint="eastAsia" w:ascii="仿宋" w:hAnsi="仿宋" w:eastAsia="仿宋" w:cs="仿宋"/>
          <w:b/>
          <w:color w:val="auto"/>
          <w:sz w:val="36"/>
          <w:szCs w:val="36"/>
          <w:highlight w:val="none"/>
        </w:rPr>
        <w:br w:type="page"/>
      </w:r>
    </w:p>
    <w:p w14:paraId="0D38BB26">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4DE548B4">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14:paraId="2C0EB343">
      <w:pPr>
        <w:spacing w:line="480" w:lineRule="auto"/>
        <w:jc w:val="center"/>
        <w:rPr>
          <w:rFonts w:ascii="仿宋" w:hAnsi="仿宋" w:eastAsia="仿宋" w:cs="仿宋"/>
          <w:b/>
          <w:color w:val="auto"/>
          <w:sz w:val="28"/>
          <w:szCs w:val="28"/>
          <w:highlight w:val="none"/>
        </w:rPr>
      </w:pPr>
    </w:p>
    <w:p w14:paraId="6C0798AC">
      <w:pPr>
        <w:spacing w:line="480" w:lineRule="auto"/>
        <w:jc w:val="center"/>
        <w:rPr>
          <w:rFonts w:ascii="仿宋" w:hAnsi="仿宋" w:eastAsia="仿宋" w:cs="仿宋"/>
          <w:b/>
          <w:color w:val="auto"/>
          <w:sz w:val="24"/>
          <w:highlight w:val="none"/>
        </w:rPr>
      </w:pPr>
    </w:p>
    <w:p w14:paraId="014E259D">
      <w:pPr>
        <w:spacing w:line="480" w:lineRule="auto"/>
        <w:jc w:val="center"/>
        <w:rPr>
          <w:rFonts w:ascii="仿宋" w:hAnsi="仿宋" w:eastAsia="仿宋" w:cs="仿宋"/>
          <w:b/>
          <w:color w:val="auto"/>
          <w:sz w:val="24"/>
          <w:highlight w:val="none"/>
        </w:rPr>
      </w:pPr>
    </w:p>
    <w:p w14:paraId="09B8A70A">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采购合同参考范本</w:t>
      </w:r>
    </w:p>
    <w:p w14:paraId="57CE5184">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A6BAC12">
      <w:pPr>
        <w:pStyle w:val="701"/>
        <w:ind w:firstLine="2843" w:firstLineChars="1180"/>
        <w:outlineLvl w:val="1"/>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53D4776">
      <w:pPr>
        <w:spacing w:before="120" w:line="22" w:lineRule="atLeast"/>
        <w:rPr>
          <w:rFonts w:ascii="仿宋" w:hAnsi="仿宋" w:eastAsia="仿宋" w:cs="仿宋"/>
          <w:color w:val="auto"/>
          <w:sz w:val="24"/>
          <w:highlight w:val="none"/>
        </w:rPr>
      </w:pPr>
    </w:p>
    <w:p w14:paraId="68BB5EEC">
      <w:pPr>
        <w:tabs>
          <w:tab w:val="left" w:pos="432"/>
        </w:tabs>
        <w:outlineLvl w:val="9"/>
        <w:rPr>
          <w:rFonts w:ascii="仿宋" w:eastAsia="仿宋" w:cs="仿宋"/>
          <w:color w:val="auto"/>
          <w:highlight w:val="none"/>
        </w:rPr>
      </w:pPr>
    </w:p>
    <w:p w14:paraId="52036C76">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14:paraId="53631987">
      <w:pPr>
        <w:pStyle w:val="598"/>
        <w:spacing w:before="120" w:line="22" w:lineRule="atLeast"/>
        <w:rPr>
          <w:rFonts w:ascii="仿宋" w:hAnsi="仿宋" w:eastAsia="仿宋" w:cs="仿宋"/>
          <w:color w:val="auto"/>
          <w:szCs w:val="24"/>
          <w:highlight w:val="none"/>
        </w:rPr>
      </w:pPr>
    </w:p>
    <w:p w14:paraId="04A1F654">
      <w:pPr>
        <w:pStyle w:val="598"/>
        <w:spacing w:before="120" w:line="22" w:lineRule="atLeast"/>
        <w:rPr>
          <w:rFonts w:ascii="仿宋" w:hAnsi="仿宋" w:eastAsia="仿宋" w:cs="仿宋"/>
          <w:color w:val="auto"/>
          <w:szCs w:val="24"/>
          <w:highlight w:val="none"/>
        </w:rPr>
      </w:pPr>
    </w:p>
    <w:p w14:paraId="005E24C2">
      <w:pPr>
        <w:rPr>
          <w:rFonts w:ascii="仿宋" w:hAnsi="仿宋" w:eastAsia="仿宋" w:cs="仿宋"/>
          <w:color w:val="auto"/>
          <w:sz w:val="24"/>
          <w:highlight w:val="none"/>
        </w:rPr>
      </w:pPr>
    </w:p>
    <w:p w14:paraId="1E185660">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14:paraId="0954270F">
      <w:pPr>
        <w:spacing w:before="120" w:line="22" w:lineRule="atLeast"/>
        <w:rPr>
          <w:rFonts w:ascii="仿宋" w:hAnsi="仿宋" w:eastAsia="仿宋" w:cs="仿宋"/>
          <w:color w:val="auto"/>
          <w:sz w:val="24"/>
          <w:highlight w:val="none"/>
        </w:rPr>
      </w:pPr>
    </w:p>
    <w:p w14:paraId="63AD3499">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14:paraId="5C060B13">
      <w:pPr>
        <w:spacing w:before="120" w:line="22" w:lineRule="atLeast"/>
        <w:rPr>
          <w:rFonts w:ascii="仿宋" w:hAnsi="仿宋" w:eastAsia="仿宋" w:cs="仿宋"/>
          <w:color w:val="auto"/>
          <w:sz w:val="24"/>
          <w:highlight w:val="none"/>
        </w:rPr>
      </w:pPr>
    </w:p>
    <w:p w14:paraId="546CA602">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14:paraId="44A95182">
      <w:pPr>
        <w:spacing w:before="120" w:line="22" w:lineRule="atLeast"/>
        <w:rPr>
          <w:rFonts w:ascii="仿宋" w:hAnsi="仿宋" w:eastAsia="仿宋" w:cs="仿宋"/>
          <w:color w:val="auto"/>
          <w:sz w:val="24"/>
          <w:highlight w:val="none"/>
        </w:rPr>
      </w:pPr>
    </w:p>
    <w:p w14:paraId="4405C5D8">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752CB668">
      <w:pPr>
        <w:widowControl/>
        <w:jc w:val="left"/>
        <w:rPr>
          <w:rFonts w:ascii="仿宋" w:hAnsi="仿宋" w:eastAsia="仿宋" w:cs="仿宋"/>
          <w:color w:val="auto"/>
          <w:kern w:val="0"/>
          <w:sz w:val="24"/>
          <w:highlight w:val="none"/>
        </w:rPr>
        <w:sectPr>
          <w:headerReference r:id="rId11" w:type="default"/>
          <w:footerReference r:id="rId12" w:type="default"/>
          <w:pgSz w:w="11907" w:h="16840"/>
          <w:pgMar w:top="1474" w:right="1814" w:bottom="1474" w:left="1814" w:header="720" w:footer="720" w:gutter="0"/>
          <w:pgBorders>
            <w:top w:val="none" w:sz="0" w:space="0"/>
            <w:left w:val="none" w:sz="0" w:space="0"/>
            <w:bottom w:val="none" w:sz="0" w:space="0"/>
            <w:right w:val="none" w:sz="0" w:space="0"/>
          </w:pgBorders>
          <w:pgNumType w:fmt="decimal"/>
          <w:cols w:space="720" w:num="1"/>
        </w:sectPr>
      </w:pPr>
    </w:p>
    <w:p w14:paraId="48EB416A">
      <w:pPr>
        <w:pStyle w:val="2"/>
        <w:rPr>
          <w:color w:val="auto"/>
          <w:highlight w:val="none"/>
        </w:rPr>
      </w:pPr>
    </w:p>
    <w:p w14:paraId="73C54182">
      <w:pPr>
        <w:pStyle w:val="3"/>
        <w:rPr>
          <w:rFonts w:eastAsia="仿宋"/>
          <w:color w:val="auto"/>
          <w:highlight w:val="none"/>
        </w:rPr>
      </w:pPr>
    </w:p>
    <w:p w14:paraId="707F495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588F5AF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8C9CE7D">
      <w:pPr>
        <w:spacing w:line="440" w:lineRule="exact"/>
        <w:ind w:firstLine="482" w:firstLineChars="200"/>
        <w:outlineLvl w:val="1"/>
        <w:rPr>
          <w:rFonts w:ascii="仿宋" w:hAnsi="仿宋" w:eastAsia="仿宋" w:cs="仿宋"/>
          <w:color w:val="auto"/>
          <w:sz w:val="24"/>
          <w:highlight w:val="none"/>
        </w:rPr>
      </w:pPr>
      <w:bookmarkStart w:id="178" w:name="_Toc19273"/>
      <w:bookmarkStart w:id="179" w:name="_Toc15367"/>
      <w:bookmarkStart w:id="180" w:name="_Toc22967"/>
      <w:bookmarkStart w:id="181" w:name="_Toc20421"/>
      <w:bookmarkStart w:id="182" w:name="_Toc28855"/>
      <w:r>
        <w:rPr>
          <w:rFonts w:hint="eastAsia" w:ascii="仿宋" w:hAnsi="仿宋" w:eastAsia="仿宋" w:cs="仿宋"/>
          <w:b/>
          <w:color w:val="auto"/>
          <w:sz w:val="24"/>
          <w:highlight w:val="none"/>
        </w:rPr>
        <w:t>1.1合同组成部分</w:t>
      </w:r>
      <w:bookmarkEnd w:id="178"/>
      <w:bookmarkEnd w:id="179"/>
      <w:bookmarkEnd w:id="180"/>
      <w:bookmarkEnd w:id="181"/>
      <w:bookmarkEnd w:id="182"/>
    </w:p>
    <w:p w14:paraId="76EDF86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A12C7A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1.1.1本合同及其补充合同、变更协议；</w:t>
      </w:r>
    </w:p>
    <w:p w14:paraId="4670790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1.1.2中标或者成交通知书；</w:t>
      </w:r>
    </w:p>
    <w:p w14:paraId="56EF0459">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1.1.3投标或者响应文件（含澄清或者说明文件）；</w:t>
      </w:r>
    </w:p>
    <w:p w14:paraId="573E2E9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1.1.4采购文件（含澄清或者修改文件）；</w:t>
      </w:r>
    </w:p>
    <w:p w14:paraId="5207595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1.1.5其他相关采购文件。</w:t>
      </w:r>
    </w:p>
    <w:p w14:paraId="7C2B1F58">
      <w:pPr>
        <w:spacing w:line="440" w:lineRule="exact"/>
        <w:ind w:firstLine="482" w:firstLineChars="200"/>
        <w:outlineLvl w:val="1"/>
        <w:rPr>
          <w:rFonts w:ascii="仿宋" w:hAnsi="仿宋" w:eastAsia="仿宋" w:cs="仿宋"/>
          <w:b/>
          <w:color w:val="auto"/>
          <w:sz w:val="24"/>
          <w:highlight w:val="none"/>
        </w:rPr>
      </w:pPr>
      <w:bookmarkStart w:id="183" w:name="_Toc6311"/>
      <w:bookmarkStart w:id="184" w:name="_Toc18585"/>
      <w:bookmarkStart w:id="185" w:name="_Toc6773"/>
      <w:bookmarkStart w:id="186" w:name="_Toc2918"/>
      <w:bookmarkStart w:id="187" w:name="_Toc22185"/>
      <w:r>
        <w:rPr>
          <w:rFonts w:hint="eastAsia" w:ascii="仿宋" w:hAnsi="仿宋" w:eastAsia="仿宋" w:cs="仿宋"/>
          <w:b/>
          <w:color w:val="auto"/>
          <w:sz w:val="24"/>
          <w:highlight w:val="none"/>
        </w:rPr>
        <w:t>1.2标的</w:t>
      </w:r>
      <w:bookmarkEnd w:id="183"/>
      <w:bookmarkEnd w:id="184"/>
      <w:bookmarkEnd w:id="185"/>
      <w:bookmarkEnd w:id="186"/>
      <w:bookmarkEnd w:id="187"/>
    </w:p>
    <w:p w14:paraId="3B921788">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1.2.1服务内容：</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7DBF57E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1.2.2服务标准：</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33078D9C">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1.2.3技术保障：</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14:paraId="355DCC2E">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201D22A">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（是/否）涉及货物。若涉及货物的的，则：</w:t>
      </w:r>
    </w:p>
    <w:p w14:paraId="4C5E2FF1">
      <w:pPr>
        <w:spacing w:line="440" w:lineRule="exact"/>
        <w:ind w:firstLine="480" w:firstLineChars="200"/>
        <w:rPr>
          <w:rFonts w:ascii="仿宋" w:hAnsi="仿宋" w:eastAsia="仿宋" w:cs="仿宋"/>
          <w:color w:val="auto"/>
          <w:sz w:val="24"/>
          <w:highlight w:val="none"/>
          <w:u w:val="single"/>
        </w:rPr>
      </w:pPr>
      <w:bookmarkStart w:id="188" w:name="_Toc13918"/>
      <w:bookmarkStart w:id="189" w:name="_Toc5635"/>
      <w:bookmarkStart w:id="190" w:name="_Toc21124"/>
      <w:bookmarkStart w:id="191" w:name="_Toc1386"/>
      <w:bookmarkStart w:id="192" w:name="_Toc4929"/>
      <w:r>
        <w:rPr>
          <w:rFonts w:hint="eastAsia" w:ascii="仿宋" w:hAnsi="仿宋" w:eastAsia="仿宋" w:cs="仿宋"/>
          <w:color w:val="auto"/>
          <w:sz w:val="24"/>
          <w:highlight w:val="none"/>
        </w:rPr>
        <w:t>1.2.5.1货物名称、品牌、规格型号、花色：</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20C45B9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3874A3BB">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98F8196">
      <w:pPr>
        <w:spacing w:line="440" w:lineRule="exact"/>
        <w:ind w:firstLine="482" w:firstLineChars="20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1.3价款</w:t>
      </w:r>
      <w:bookmarkEnd w:id="188"/>
      <w:bookmarkEnd w:id="189"/>
      <w:bookmarkEnd w:id="190"/>
      <w:bookmarkEnd w:id="191"/>
      <w:bookmarkEnd w:id="192"/>
    </w:p>
    <w:p w14:paraId="614F6A66">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条款规定的计价方式计价。</w:t>
      </w:r>
    </w:p>
    <w:p w14:paraId="05AE0235">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元人民币）。</w:t>
      </w:r>
    </w:p>
    <w:p w14:paraId="4C3B11C0">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B1E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ECBB2AD">
            <w:pPr>
              <w:pStyle w:val="319"/>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1EB5A540">
            <w:pPr>
              <w:pStyle w:val="319"/>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B5C7863">
            <w:pPr>
              <w:pStyle w:val="319"/>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C3E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C675329">
            <w:pPr>
              <w:pStyle w:val="319"/>
              <w:spacing w:line="440" w:lineRule="exact"/>
              <w:jc w:val="center"/>
              <w:textAlignment w:val="center"/>
              <w:rPr>
                <w:rFonts w:ascii="仿宋" w:hAnsi="仿宋" w:eastAsia="仿宋" w:cs="仿宋"/>
                <w:color w:val="auto"/>
                <w:sz w:val="24"/>
                <w:szCs w:val="24"/>
                <w:highlight w:val="none"/>
              </w:rPr>
            </w:pPr>
          </w:p>
        </w:tc>
        <w:tc>
          <w:tcPr>
            <w:tcW w:w="3402" w:type="dxa"/>
            <w:vAlign w:val="center"/>
          </w:tcPr>
          <w:p w14:paraId="4C1A5AAA">
            <w:pPr>
              <w:pStyle w:val="319"/>
              <w:spacing w:line="440" w:lineRule="exact"/>
              <w:jc w:val="center"/>
              <w:textAlignment w:val="center"/>
              <w:rPr>
                <w:rFonts w:ascii="仿宋" w:hAnsi="仿宋" w:eastAsia="仿宋" w:cs="仿宋"/>
                <w:color w:val="auto"/>
                <w:sz w:val="24"/>
                <w:szCs w:val="24"/>
                <w:highlight w:val="none"/>
              </w:rPr>
            </w:pPr>
          </w:p>
        </w:tc>
        <w:tc>
          <w:tcPr>
            <w:tcW w:w="2552" w:type="dxa"/>
            <w:vAlign w:val="center"/>
          </w:tcPr>
          <w:p w14:paraId="62DAAD7C">
            <w:pPr>
              <w:pStyle w:val="319"/>
              <w:spacing w:line="440" w:lineRule="exact"/>
              <w:jc w:val="center"/>
              <w:textAlignment w:val="center"/>
              <w:rPr>
                <w:rFonts w:ascii="仿宋" w:hAnsi="仿宋" w:eastAsia="仿宋" w:cs="仿宋"/>
                <w:color w:val="auto"/>
                <w:sz w:val="24"/>
                <w:szCs w:val="24"/>
                <w:highlight w:val="none"/>
              </w:rPr>
            </w:pPr>
          </w:p>
        </w:tc>
      </w:tr>
      <w:tr w14:paraId="1FE8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5C5928">
            <w:pPr>
              <w:pStyle w:val="319"/>
              <w:spacing w:line="440" w:lineRule="exact"/>
              <w:jc w:val="center"/>
              <w:textAlignment w:val="center"/>
              <w:rPr>
                <w:rFonts w:ascii="仿宋" w:hAnsi="仿宋" w:eastAsia="仿宋" w:cs="仿宋"/>
                <w:color w:val="auto"/>
                <w:sz w:val="24"/>
                <w:szCs w:val="24"/>
                <w:highlight w:val="none"/>
              </w:rPr>
            </w:pPr>
          </w:p>
        </w:tc>
        <w:tc>
          <w:tcPr>
            <w:tcW w:w="3402" w:type="dxa"/>
            <w:vAlign w:val="center"/>
          </w:tcPr>
          <w:p w14:paraId="3FC48CD4">
            <w:pPr>
              <w:pStyle w:val="319"/>
              <w:spacing w:line="440" w:lineRule="exact"/>
              <w:jc w:val="center"/>
              <w:textAlignment w:val="center"/>
              <w:rPr>
                <w:rFonts w:ascii="仿宋" w:hAnsi="仿宋" w:eastAsia="仿宋" w:cs="仿宋"/>
                <w:color w:val="auto"/>
                <w:sz w:val="24"/>
                <w:szCs w:val="24"/>
                <w:highlight w:val="none"/>
              </w:rPr>
            </w:pPr>
          </w:p>
        </w:tc>
        <w:tc>
          <w:tcPr>
            <w:tcW w:w="2552" w:type="dxa"/>
            <w:vAlign w:val="center"/>
          </w:tcPr>
          <w:p w14:paraId="07ED6BA0">
            <w:pPr>
              <w:pStyle w:val="319"/>
              <w:spacing w:line="440" w:lineRule="exact"/>
              <w:jc w:val="center"/>
              <w:textAlignment w:val="center"/>
              <w:rPr>
                <w:rFonts w:ascii="仿宋" w:hAnsi="仿宋" w:eastAsia="仿宋" w:cs="仿宋"/>
                <w:color w:val="auto"/>
                <w:sz w:val="24"/>
                <w:szCs w:val="24"/>
                <w:highlight w:val="none"/>
              </w:rPr>
            </w:pPr>
          </w:p>
        </w:tc>
      </w:tr>
      <w:tr w14:paraId="7D17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078FBA">
            <w:pPr>
              <w:pStyle w:val="319"/>
              <w:spacing w:line="440" w:lineRule="exact"/>
              <w:jc w:val="center"/>
              <w:textAlignment w:val="center"/>
              <w:rPr>
                <w:rFonts w:ascii="仿宋" w:hAnsi="仿宋" w:eastAsia="仿宋" w:cs="仿宋"/>
                <w:color w:val="auto"/>
                <w:sz w:val="24"/>
                <w:szCs w:val="24"/>
                <w:highlight w:val="none"/>
              </w:rPr>
            </w:pPr>
          </w:p>
        </w:tc>
        <w:tc>
          <w:tcPr>
            <w:tcW w:w="3402" w:type="dxa"/>
            <w:vAlign w:val="center"/>
          </w:tcPr>
          <w:p w14:paraId="1A16380C">
            <w:pPr>
              <w:pStyle w:val="319"/>
              <w:spacing w:line="440" w:lineRule="exact"/>
              <w:jc w:val="center"/>
              <w:textAlignment w:val="center"/>
              <w:rPr>
                <w:rFonts w:ascii="仿宋" w:hAnsi="仿宋" w:eastAsia="仿宋" w:cs="仿宋"/>
                <w:color w:val="auto"/>
                <w:sz w:val="24"/>
                <w:szCs w:val="24"/>
                <w:highlight w:val="none"/>
              </w:rPr>
            </w:pPr>
          </w:p>
        </w:tc>
        <w:tc>
          <w:tcPr>
            <w:tcW w:w="2552" w:type="dxa"/>
            <w:vAlign w:val="center"/>
          </w:tcPr>
          <w:p w14:paraId="504CFD87">
            <w:pPr>
              <w:pStyle w:val="319"/>
              <w:spacing w:line="440" w:lineRule="exact"/>
              <w:jc w:val="center"/>
              <w:textAlignment w:val="center"/>
              <w:rPr>
                <w:rFonts w:ascii="仿宋" w:hAnsi="仿宋" w:eastAsia="仿宋" w:cs="仿宋"/>
                <w:color w:val="auto"/>
                <w:sz w:val="24"/>
                <w:szCs w:val="24"/>
                <w:highlight w:val="none"/>
              </w:rPr>
            </w:pPr>
          </w:p>
        </w:tc>
      </w:tr>
      <w:tr w14:paraId="42F3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201A5E9">
            <w:pPr>
              <w:pStyle w:val="319"/>
              <w:spacing w:line="440" w:lineRule="exact"/>
              <w:jc w:val="center"/>
              <w:textAlignment w:val="center"/>
              <w:rPr>
                <w:rFonts w:ascii="仿宋" w:hAnsi="仿宋" w:eastAsia="仿宋" w:cs="仿宋"/>
                <w:color w:val="auto"/>
                <w:sz w:val="24"/>
                <w:szCs w:val="24"/>
                <w:highlight w:val="none"/>
              </w:rPr>
            </w:pPr>
          </w:p>
        </w:tc>
        <w:tc>
          <w:tcPr>
            <w:tcW w:w="3402" w:type="dxa"/>
            <w:vAlign w:val="center"/>
          </w:tcPr>
          <w:p w14:paraId="24F94574">
            <w:pPr>
              <w:pStyle w:val="319"/>
              <w:spacing w:line="440" w:lineRule="exact"/>
              <w:jc w:val="center"/>
              <w:textAlignment w:val="center"/>
              <w:rPr>
                <w:rFonts w:ascii="仿宋" w:hAnsi="仿宋" w:eastAsia="仿宋" w:cs="仿宋"/>
                <w:color w:val="auto"/>
                <w:sz w:val="24"/>
                <w:szCs w:val="24"/>
                <w:highlight w:val="none"/>
              </w:rPr>
            </w:pPr>
          </w:p>
        </w:tc>
        <w:tc>
          <w:tcPr>
            <w:tcW w:w="2552" w:type="dxa"/>
            <w:vAlign w:val="center"/>
          </w:tcPr>
          <w:p w14:paraId="4D58A8CE">
            <w:pPr>
              <w:pStyle w:val="319"/>
              <w:spacing w:line="440" w:lineRule="exact"/>
              <w:jc w:val="center"/>
              <w:textAlignment w:val="center"/>
              <w:rPr>
                <w:rFonts w:ascii="仿宋" w:hAnsi="仿宋" w:eastAsia="仿宋" w:cs="仿宋"/>
                <w:color w:val="auto"/>
                <w:sz w:val="24"/>
                <w:szCs w:val="24"/>
                <w:highlight w:val="none"/>
              </w:rPr>
            </w:pPr>
          </w:p>
        </w:tc>
      </w:tr>
      <w:tr w14:paraId="66C6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014AF5D">
            <w:pPr>
              <w:pStyle w:val="319"/>
              <w:spacing w:line="440" w:lineRule="exact"/>
              <w:jc w:val="center"/>
              <w:textAlignment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65F7EEAB">
            <w:pPr>
              <w:pStyle w:val="319"/>
              <w:spacing w:line="440" w:lineRule="exact"/>
              <w:jc w:val="center"/>
              <w:textAlignment w:val="center"/>
              <w:rPr>
                <w:rFonts w:ascii="仿宋" w:hAnsi="仿宋" w:eastAsia="仿宋" w:cs="仿宋"/>
                <w:color w:val="auto"/>
                <w:sz w:val="24"/>
                <w:szCs w:val="24"/>
                <w:highlight w:val="none"/>
              </w:rPr>
            </w:pPr>
          </w:p>
        </w:tc>
      </w:tr>
    </w:tbl>
    <w:p w14:paraId="07E1BEEF">
      <w:pPr>
        <w:spacing w:line="440" w:lineRule="exact"/>
        <w:ind w:firstLine="480" w:firstLineChars="200"/>
        <w:rPr>
          <w:rFonts w:ascii="仿宋" w:hAnsi="仿宋" w:eastAsia="仿宋" w:cs="仿宋"/>
          <w:color w:val="auto"/>
          <w:sz w:val="24"/>
          <w:highlight w:val="none"/>
        </w:rPr>
      </w:pPr>
      <w:bookmarkStart w:id="193" w:name="_Toc3654"/>
      <w:bookmarkStart w:id="194" w:name="_Toc30158"/>
      <w:bookmarkStart w:id="195" w:name="_Toc14993"/>
      <w:bookmarkStart w:id="196" w:name="_Toc26916"/>
      <w:bookmarkStart w:id="197"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元人民币）。</w:t>
      </w:r>
    </w:p>
    <w:p w14:paraId="598AE534">
      <w:pPr>
        <w:tabs>
          <w:tab w:val="left" w:pos="432"/>
        </w:tabs>
        <w:spacing w:line="440" w:lineRule="exact"/>
        <w:ind w:left="0" w:firstLine="480" w:firstLineChars="200"/>
        <w:outlineLvl w:val="9"/>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eastAsia="zh-CN"/>
        </w:rPr>
        <w:t xml:space="preserve">    </w:t>
      </w:r>
      <w:r>
        <w:rPr>
          <w:rFonts w:hint="eastAsia" w:ascii="仿宋" w:eastAsia="仿宋" w:cs="仿宋"/>
          <w:b w:val="0"/>
          <w:bCs w:val="0"/>
          <w:color w:val="auto"/>
          <w:sz w:val="24"/>
          <w:highlight w:val="none"/>
        </w:rPr>
        <w:t>。</w:t>
      </w:r>
    </w:p>
    <w:bookmarkEnd w:id="193"/>
    <w:bookmarkEnd w:id="194"/>
    <w:bookmarkEnd w:id="195"/>
    <w:bookmarkEnd w:id="196"/>
    <w:bookmarkEnd w:id="197"/>
    <w:p w14:paraId="2B0DE6AC">
      <w:pPr>
        <w:pStyle w:val="959"/>
        <w:spacing w:before="0" w:beforeAutospacing="0" w:after="0" w:afterAutospacing="0" w:line="440" w:lineRule="exact"/>
        <w:ind w:firstLine="482" w:firstLineChars="200"/>
        <w:outlineLvl w:val="1"/>
        <w:rPr>
          <w:rFonts w:ascii="仿宋" w:hAnsi="仿宋" w:eastAsia="仿宋" w:cs="仿宋"/>
          <w:b/>
          <w:color w:val="auto"/>
          <w:highlight w:val="none"/>
        </w:rPr>
      </w:pPr>
      <w:bookmarkStart w:id="198" w:name="_Toc10340"/>
      <w:bookmarkStart w:id="199" w:name="_Toc1814"/>
      <w:bookmarkStart w:id="200" w:name="_Toc22618"/>
      <w:bookmarkStart w:id="201" w:name="_Toc11108"/>
      <w:bookmarkStart w:id="202" w:name="_Toc3625"/>
      <w:bookmarkStart w:id="203" w:name="_Toc8772"/>
      <w:bookmarkStart w:id="204" w:name="_Toc4760"/>
      <w:bookmarkStart w:id="205" w:name="_Toc31421"/>
      <w:r>
        <w:rPr>
          <w:rFonts w:hint="eastAsia" w:ascii="仿宋" w:hAnsi="仿宋" w:eastAsia="仿宋" w:cs="仿宋"/>
          <w:b/>
          <w:color w:val="auto"/>
          <w:highlight w:val="none"/>
        </w:rPr>
        <w:t>1.4履约保证金</w:t>
      </w:r>
    </w:p>
    <w:p w14:paraId="692F853E">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14:paraId="2CB9DD1B">
      <w:pPr>
        <w:spacing w:line="440" w:lineRule="exact"/>
        <w:ind w:firstLine="480" w:firstLineChars="20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lang w:val="en-US" w:eastAsia="zh-CN"/>
        </w:rPr>
        <w:t xml:space="preserve"> 1 </w:t>
      </w:r>
      <w:r>
        <w:rPr>
          <w:rFonts w:hint="eastAsia" w:ascii="仿宋" w:hAnsi="仿宋" w:eastAsia="仿宋" w:cs="仿宋"/>
          <w:color w:val="auto"/>
          <w:kern w:val="0"/>
          <w:sz w:val="24"/>
          <w:highlight w:val="none"/>
        </w:rPr>
        <w:t>%；</w:t>
      </w:r>
    </w:p>
    <w:p w14:paraId="07CBC099">
      <w:pPr>
        <w:spacing w:line="440" w:lineRule="exact"/>
        <w:ind w:firstLine="480" w:firstLineChars="20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685A23BA">
      <w:pPr>
        <w:tabs>
          <w:tab w:val="left" w:pos="0"/>
          <w:tab w:val="left" w:pos="432"/>
        </w:tabs>
        <w:spacing w:line="440" w:lineRule="exact"/>
        <w:ind w:left="0" w:firstLine="480" w:firstLineChars="200"/>
        <w:outlineLvl w:val="9"/>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88BC3DE">
      <w:pPr>
        <w:spacing w:line="440" w:lineRule="exact"/>
        <w:ind w:firstLine="480" w:firstLineChars="200"/>
        <w:outlineLvl w:val="9"/>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lang w:eastAsia="zh-CN"/>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w:t>
      </w:r>
    </w:p>
    <w:p w14:paraId="1A6ADEEB">
      <w:pPr>
        <w:spacing w:line="440" w:lineRule="exact"/>
        <w:ind w:firstLine="482" w:firstLineChars="20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198"/>
      <w:bookmarkEnd w:id="199"/>
      <w:bookmarkEnd w:id="200"/>
      <w:r>
        <w:rPr>
          <w:rFonts w:hint="eastAsia" w:ascii="仿宋" w:hAnsi="仿宋" w:eastAsia="仿宋" w:cs="仿宋"/>
          <w:b/>
          <w:color w:val="auto"/>
          <w:sz w:val="24"/>
          <w:highlight w:val="none"/>
        </w:rPr>
        <w:t>预付款</w:t>
      </w:r>
    </w:p>
    <w:p w14:paraId="3B454310">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rPr>
        <w:t>（是/否）需要支付预付款。若需要支付预付款的，则：</w:t>
      </w:r>
    </w:p>
    <w:p w14:paraId="0EC9B504">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14:paraId="55AE1E8D">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021ED58E">
      <w:pPr>
        <w:pStyle w:val="959"/>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14:paraId="3601294D">
      <w:pPr>
        <w:pStyle w:val="959"/>
        <w:spacing w:before="0" w:beforeAutospacing="0" w:after="0" w:afterAutospacing="0" w:line="440" w:lineRule="exact"/>
        <w:ind w:firstLine="482" w:firstLineChars="200"/>
        <w:outlineLvl w:val="1"/>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14:paraId="5C419E4A">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4C25A1A">
      <w:pPr>
        <w:spacing w:line="440" w:lineRule="exact"/>
        <w:ind w:firstLine="480" w:firstLineChars="200"/>
        <w:outlineLvl w:val="9"/>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3B7EFDD">
      <w:pPr>
        <w:spacing w:line="440" w:lineRule="exact"/>
        <w:ind w:firstLine="482" w:firstLineChars="20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1.7履行期限、地点和方式</w:t>
      </w:r>
      <w:bookmarkEnd w:id="201"/>
      <w:bookmarkEnd w:id="202"/>
      <w:bookmarkEnd w:id="203"/>
      <w:bookmarkEnd w:id="204"/>
      <w:bookmarkEnd w:id="205"/>
    </w:p>
    <w:p w14:paraId="3732FBF4">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5A4961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316C774">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F5F86A">
      <w:pPr>
        <w:spacing w:line="440" w:lineRule="exact"/>
        <w:ind w:firstLine="480" w:firstLineChars="200"/>
        <w:outlineLvl w:val="9"/>
        <w:rPr>
          <w:rFonts w:ascii="仿宋" w:hAnsi="仿宋" w:eastAsia="仿宋" w:cs="仿宋"/>
          <w:bCs/>
          <w:color w:val="auto"/>
          <w:sz w:val="24"/>
          <w:highlight w:val="none"/>
        </w:rPr>
      </w:pPr>
      <w:bookmarkStart w:id="206" w:name="_Toc8586"/>
      <w:bookmarkStart w:id="207" w:name="_Toc24662"/>
      <w:bookmarkStart w:id="208" w:name="_Toc3079"/>
      <w:bookmarkStart w:id="209" w:name="_Toc5698"/>
      <w:bookmarkStart w:id="210" w:name="_Toc2375"/>
      <w:r>
        <w:rPr>
          <w:rFonts w:hint="eastAsia" w:ascii="仿宋" w:hAnsi="仿宋" w:eastAsia="仿宋" w:cs="仿宋"/>
          <w:bCs/>
          <w:color w:val="auto"/>
          <w:sz w:val="24"/>
          <w:highlight w:val="none"/>
        </w:rPr>
        <w:t>1.7.4若服务涉及货物的，则货物的：</w:t>
      </w:r>
    </w:p>
    <w:p w14:paraId="267F844D">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B1340D2">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D6E607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1BE7680">
      <w:pPr>
        <w:spacing w:line="440" w:lineRule="exact"/>
        <w:ind w:firstLine="482" w:firstLineChars="200"/>
        <w:outlineLvl w:val="1"/>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206"/>
      <w:bookmarkEnd w:id="207"/>
      <w:bookmarkEnd w:id="208"/>
      <w:bookmarkEnd w:id="209"/>
      <w:bookmarkEnd w:id="210"/>
    </w:p>
    <w:p w14:paraId="2B948323">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48B4419A">
      <w:pPr>
        <w:tabs>
          <w:tab w:val="left" w:pos="432"/>
        </w:tabs>
        <w:spacing w:line="440" w:lineRule="exact"/>
        <w:ind w:left="0" w:firstLine="480" w:firstLineChars="200"/>
        <w:outlineLvl w:val="9"/>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eastAsia="zh-CN"/>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976BF7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6D96E99">
      <w:pPr>
        <w:spacing w:line="440" w:lineRule="exact"/>
        <w:ind w:firstLine="480" w:firstLineChars="200"/>
        <w:rPr>
          <w:rFonts w:ascii="仿宋" w:hAnsi="仿宋" w:eastAsia="仿宋" w:cs="仿宋"/>
          <w:color w:val="auto"/>
          <w:sz w:val="24"/>
          <w:highlight w:val="none"/>
        </w:rPr>
      </w:pPr>
      <w:bookmarkStart w:id="211" w:name="_Toc26807"/>
      <w:bookmarkStart w:id="212" w:name="_Toc30329"/>
      <w:bookmarkStart w:id="213" w:name="_Toc9497"/>
      <w:bookmarkStart w:id="214" w:name="_Toc18683"/>
      <w:bookmarkStart w:id="215" w:name="_Toc32454"/>
      <w:r>
        <w:rPr>
          <w:rFonts w:hint="eastAsia" w:ascii="仿宋" w:hAnsi="仿宋" w:eastAsia="仿宋" w:cs="仿宋"/>
          <w:color w:val="auto"/>
          <w:sz w:val="24"/>
          <w:highlight w:val="none"/>
        </w:rPr>
        <w:t>1.8.4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4E00BBE">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53485D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1.8.6如果出现采购监督管理部门在处理投诉事项期间，书面通知甲方暂停采购活动的情形，或者询问或质疑事项可能影响中标或者成交结果的，导致甲方中止履行合同的情形，均不视为甲方违约。</w:t>
      </w:r>
    </w:p>
    <w:p w14:paraId="3A5DB43A">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211"/>
    <w:bookmarkEnd w:id="212"/>
    <w:bookmarkEnd w:id="213"/>
    <w:bookmarkEnd w:id="214"/>
    <w:bookmarkEnd w:id="215"/>
    <w:p w14:paraId="61AAC823">
      <w:pPr>
        <w:spacing w:line="440" w:lineRule="exact"/>
        <w:ind w:firstLine="482" w:firstLineChars="200"/>
        <w:outlineLvl w:val="1"/>
        <w:rPr>
          <w:rFonts w:ascii="仿宋" w:hAnsi="仿宋" w:eastAsia="仿宋" w:cs="仿宋"/>
          <w:b/>
          <w:color w:val="auto"/>
          <w:sz w:val="24"/>
          <w:highlight w:val="none"/>
        </w:rPr>
      </w:pPr>
      <w:bookmarkStart w:id="216" w:name="_Toc15583"/>
      <w:bookmarkStart w:id="217" w:name="_Toc16021"/>
      <w:bookmarkStart w:id="218" w:name="_Toc28375"/>
      <w:r>
        <w:rPr>
          <w:rFonts w:hint="eastAsia" w:ascii="仿宋" w:hAnsi="仿宋" w:eastAsia="仿宋" w:cs="仿宋"/>
          <w:b/>
          <w:color w:val="auto"/>
          <w:sz w:val="24"/>
          <w:highlight w:val="none"/>
        </w:rPr>
        <w:t>1.9合同争议的解决</w:t>
      </w:r>
      <w:bookmarkEnd w:id="216"/>
      <w:bookmarkEnd w:id="217"/>
      <w:bookmarkEnd w:id="218"/>
    </w:p>
    <w:p w14:paraId="55EC0CA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65676926">
      <w:pPr>
        <w:spacing w:line="440" w:lineRule="exact"/>
        <w:ind w:firstLine="482" w:firstLineChars="200"/>
        <w:outlineLvl w:val="1"/>
        <w:rPr>
          <w:rFonts w:ascii="仿宋" w:hAnsi="仿宋" w:eastAsia="仿宋" w:cs="仿宋"/>
          <w:b/>
          <w:color w:val="auto"/>
          <w:sz w:val="24"/>
          <w:highlight w:val="none"/>
        </w:rPr>
      </w:pPr>
      <w:bookmarkStart w:id="219" w:name="_Toc11173"/>
      <w:bookmarkStart w:id="220" w:name="_Toc15322"/>
      <w:bookmarkStart w:id="221" w:name="_Toc7245"/>
      <w:r>
        <w:rPr>
          <w:rFonts w:hint="eastAsia" w:ascii="仿宋" w:hAnsi="仿宋" w:eastAsia="仿宋" w:cs="仿宋"/>
          <w:b/>
          <w:color w:val="auto"/>
          <w:sz w:val="24"/>
          <w:highlight w:val="none"/>
        </w:rPr>
        <w:t>2.0合同生效</w:t>
      </w:r>
      <w:bookmarkEnd w:id="219"/>
      <w:bookmarkEnd w:id="220"/>
      <w:bookmarkEnd w:id="221"/>
    </w:p>
    <w:p w14:paraId="1BADFBA7">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6CB11F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32226D3">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3840C62">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4121579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D34C110">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授权代表（签字）：                       授权代表（签字）:</w:t>
      </w:r>
    </w:p>
    <w:p w14:paraId="6287E7DE">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7B3A272D">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09D3348">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1207E19">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B91F846">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8F51ADF">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F9353D9">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                               开户银行：</w:t>
      </w:r>
    </w:p>
    <w:p w14:paraId="496F54A7">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开户名称：                               开户名称：</w:t>
      </w:r>
    </w:p>
    <w:p w14:paraId="602D8E6E">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开户账号：</w:t>
      </w:r>
    </w:p>
    <w:p w14:paraId="34D23EA1">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14:paraId="4E89C8BD">
      <w:pPr>
        <w:pStyle w:val="701"/>
        <w:spacing w:line="560" w:lineRule="exact"/>
        <w:ind w:firstLine="482"/>
        <w:jc w:val="center"/>
        <w:outlineLvl w:val="1"/>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C1229B5">
      <w:pPr>
        <w:spacing w:line="560" w:lineRule="exact"/>
        <w:ind w:firstLine="482" w:firstLineChars="200"/>
        <w:outlineLvl w:val="1"/>
        <w:rPr>
          <w:rFonts w:ascii="仿宋" w:hAnsi="仿宋" w:eastAsia="仿宋" w:cs="仿宋"/>
          <w:b/>
          <w:color w:val="auto"/>
          <w:sz w:val="24"/>
          <w:highlight w:val="none"/>
        </w:rPr>
      </w:pPr>
      <w:bookmarkStart w:id="222" w:name="_Toc25079"/>
      <w:bookmarkStart w:id="223" w:name="_Toc14021"/>
      <w:bookmarkStart w:id="224" w:name="_Toc31297"/>
      <w:bookmarkStart w:id="225" w:name="_Toc19680"/>
      <w:bookmarkStart w:id="226" w:name="_Toc5228"/>
      <w:r>
        <w:rPr>
          <w:rFonts w:hint="eastAsia" w:ascii="仿宋" w:hAnsi="仿宋" w:eastAsia="仿宋" w:cs="仿宋"/>
          <w:b/>
          <w:color w:val="auto"/>
          <w:sz w:val="24"/>
          <w:highlight w:val="none"/>
        </w:rPr>
        <w:t>2.1定义</w:t>
      </w:r>
      <w:bookmarkEnd w:id="222"/>
      <w:bookmarkEnd w:id="223"/>
      <w:bookmarkEnd w:id="224"/>
      <w:bookmarkEnd w:id="225"/>
      <w:bookmarkEnd w:id="226"/>
    </w:p>
    <w:p w14:paraId="6E9768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1FB579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2.1.1“合同”系指采购人和中标或成交供应商签订的载明双方当事人所达成的协议，并包括所有的附件、附录和构成合同的其他文件。</w:t>
      </w:r>
    </w:p>
    <w:p w14:paraId="0BB0C58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2.1.2“合同价”系指根据合同约定，中标或成交供应商在完全履行合同义务后，采购人应支付给中标或成交供应商的价格。</w:t>
      </w:r>
    </w:p>
    <w:p w14:paraId="2757D34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2.1.3“服务”系指中标或成交供应商根据合同约定应向采购人履行的除货物和工程以外的其他采购对象，包括采购人自身需要的服务和向社会公众提供的公共服务。</w:t>
      </w:r>
    </w:p>
    <w:p w14:paraId="20CF011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2.1.4“甲方”系指与中标或成交供应商签署合同的采购人；采购人委托采购代理机构代表其与乙方签订合同的，采购人的授权委托书作为合同附件。</w:t>
      </w:r>
    </w:p>
    <w:p w14:paraId="6CB44B5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乙方”系指根据合同约定提供服务的中标或成交供应商；两个以上的自然人、法人或者其他组织组成一个联合体，以一个供应商的身份共同参加采购的，联合体各方均应为乙方或者与乙方相同地位的合同当事人，并就合同约定的事项对甲方承担连带责任。</w:t>
      </w:r>
    </w:p>
    <w:p w14:paraId="3B588D0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2.1.6“现场”系指合同约定提供服务的地点。</w:t>
      </w:r>
    </w:p>
    <w:p w14:paraId="50BF729E">
      <w:pPr>
        <w:spacing w:line="560" w:lineRule="exact"/>
        <w:ind w:firstLine="482" w:firstLineChars="200"/>
        <w:outlineLvl w:val="1"/>
        <w:rPr>
          <w:rFonts w:ascii="仿宋" w:hAnsi="仿宋" w:eastAsia="仿宋" w:cs="仿宋"/>
          <w:b/>
          <w:color w:val="auto"/>
          <w:sz w:val="24"/>
          <w:highlight w:val="none"/>
        </w:rPr>
      </w:pPr>
      <w:bookmarkStart w:id="227" w:name="_Toc19539"/>
      <w:bookmarkStart w:id="228" w:name="_Toc31402"/>
      <w:bookmarkStart w:id="229" w:name="_Toc3769"/>
      <w:bookmarkStart w:id="230" w:name="_Toc16752"/>
      <w:bookmarkStart w:id="231" w:name="_Toc23289"/>
      <w:r>
        <w:rPr>
          <w:rFonts w:hint="eastAsia" w:ascii="仿宋" w:hAnsi="仿宋" w:eastAsia="仿宋" w:cs="仿宋"/>
          <w:b/>
          <w:color w:val="auto"/>
          <w:sz w:val="24"/>
          <w:highlight w:val="none"/>
        </w:rPr>
        <w:t>2.2技术规范</w:t>
      </w:r>
      <w:bookmarkEnd w:id="227"/>
      <w:bookmarkEnd w:id="228"/>
      <w:bookmarkEnd w:id="229"/>
      <w:bookmarkEnd w:id="230"/>
      <w:bookmarkEnd w:id="231"/>
    </w:p>
    <w:p w14:paraId="0EFB444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97FBAFB">
      <w:pPr>
        <w:spacing w:line="560" w:lineRule="exact"/>
        <w:ind w:firstLine="482" w:firstLineChars="200"/>
        <w:outlineLvl w:val="1"/>
        <w:rPr>
          <w:rFonts w:ascii="仿宋" w:hAnsi="仿宋" w:eastAsia="仿宋" w:cs="仿宋"/>
          <w:b/>
          <w:color w:val="auto"/>
          <w:sz w:val="24"/>
          <w:highlight w:val="none"/>
        </w:rPr>
      </w:pPr>
      <w:bookmarkStart w:id="232" w:name="_Toc4133"/>
      <w:bookmarkStart w:id="233" w:name="_Toc9161"/>
      <w:bookmarkStart w:id="234" w:name="_Toc27945"/>
      <w:bookmarkStart w:id="235" w:name="_Toc13673"/>
      <w:bookmarkStart w:id="236" w:name="_Toc12412"/>
      <w:r>
        <w:rPr>
          <w:rFonts w:hint="eastAsia" w:ascii="仿宋" w:hAnsi="仿宋" w:eastAsia="仿宋" w:cs="仿宋"/>
          <w:b/>
          <w:color w:val="auto"/>
          <w:sz w:val="24"/>
          <w:highlight w:val="none"/>
        </w:rPr>
        <w:t>2.3知识产权</w:t>
      </w:r>
      <w:bookmarkEnd w:id="232"/>
      <w:bookmarkEnd w:id="233"/>
      <w:bookmarkEnd w:id="234"/>
      <w:bookmarkEnd w:id="235"/>
      <w:bookmarkEnd w:id="236"/>
    </w:p>
    <w:p w14:paraId="5735040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0E3DE1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4DB1AC">
      <w:pPr>
        <w:spacing w:line="560" w:lineRule="exact"/>
        <w:ind w:firstLine="482" w:firstLineChars="20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2.4履约检查和问题反馈</w:t>
      </w:r>
    </w:p>
    <w:p w14:paraId="4C553EC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A718F5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2.4.2合同履行期间，甲方有权将履行过程中出现的问题反馈给乙方，双方当事人应以书面形式约定需要完善和改进的内容。</w:t>
      </w:r>
    </w:p>
    <w:p w14:paraId="00F82924">
      <w:pPr>
        <w:spacing w:line="560" w:lineRule="exact"/>
        <w:ind w:firstLine="482" w:firstLineChars="200"/>
        <w:outlineLvl w:val="1"/>
        <w:rPr>
          <w:rFonts w:ascii="仿宋" w:hAnsi="仿宋" w:eastAsia="仿宋" w:cs="仿宋"/>
          <w:b/>
          <w:color w:val="auto"/>
          <w:sz w:val="24"/>
          <w:highlight w:val="none"/>
        </w:rPr>
      </w:pPr>
      <w:bookmarkStart w:id="237" w:name="_Toc15447"/>
      <w:bookmarkStart w:id="238" w:name="_Toc31233"/>
      <w:bookmarkStart w:id="239" w:name="_Toc22011"/>
      <w:bookmarkStart w:id="240" w:name="_Toc26555"/>
      <w:bookmarkStart w:id="241" w:name="_Toc32670"/>
      <w:r>
        <w:rPr>
          <w:rFonts w:hint="eastAsia" w:ascii="仿宋" w:hAnsi="仿宋" w:eastAsia="仿宋" w:cs="仿宋"/>
          <w:b/>
          <w:color w:val="auto"/>
          <w:sz w:val="24"/>
          <w:highlight w:val="none"/>
        </w:rPr>
        <w:t>2.5结算方式和付款条件</w:t>
      </w:r>
      <w:bookmarkEnd w:id="237"/>
      <w:bookmarkEnd w:id="238"/>
      <w:bookmarkEnd w:id="239"/>
      <w:bookmarkEnd w:id="240"/>
      <w:bookmarkEnd w:id="241"/>
    </w:p>
    <w:p w14:paraId="41E9D39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398A91">
      <w:pPr>
        <w:spacing w:line="560" w:lineRule="exact"/>
        <w:ind w:firstLine="482" w:firstLineChars="200"/>
        <w:outlineLvl w:val="1"/>
        <w:rPr>
          <w:rFonts w:ascii="仿宋" w:hAnsi="仿宋" w:eastAsia="仿宋" w:cs="仿宋"/>
          <w:b/>
          <w:color w:val="auto"/>
          <w:sz w:val="24"/>
          <w:highlight w:val="none"/>
        </w:rPr>
      </w:pPr>
      <w:bookmarkStart w:id="242" w:name="_Toc16163"/>
      <w:bookmarkStart w:id="243" w:name="_Toc30507"/>
      <w:bookmarkStart w:id="244" w:name="_Toc13154"/>
      <w:bookmarkStart w:id="245" w:name="_Toc18990"/>
      <w:bookmarkStart w:id="246" w:name="_Toc13467"/>
      <w:r>
        <w:rPr>
          <w:rFonts w:hint="eastAsia" w:ascii="仿宋" w:hAnsi="仿宋" w:eastAsia="仿宋" w:cs="仿宋"/>
          <w:b/>
          <w:color w:val="auto"/>
          <w:sz w:val="24"/>
          <w:highlight w:val="none"/>
        </w:rPr>
        <w:t>2.6技术资料和保密义务</w:t>
      </w:r>
      <w:bookmarkEnd w:id="242"/>
      <w:bookmarkEnd w:id="243"/>
      <w:bookmarkEnd w:id="244"/>
      <w:bookmarkEnd w:id="245"/>
      <w:bookmarkEnd w:id="246"/>
    </w:p>
    <w:p w14:paraId="1931723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2.6.1乙方有权依据合同约定和项目需要，向甲方了解有关情况，调阅有关资料等，甲方应予积极配合；</w:t>
      </w:r>
    </w:p>
    <w:p w14:paraId="43E8053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2.6.2乙方有义务妥善保管和保护由甲方提供的前款信息和资料等；</w:t>
      </w:r>
    </w:p>
    <w:p w14:paraId="7437F9D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3A6BE2E">
      <w:pPr>
        <w:spacing w:line="560" w:lineRule="exact"/>
        <w:ind w:firstLine="482" w:firstLineChars="200"/>
        <w:outlineLvl w:val="1"/>
        <w:rPr>
          <w:rFonts w:ascii="仿宋" w:hAnsi="仿宋" w:eastAsia="仿宋" w:cs="仿宋"/>
          <w:b/>
          <w:color w:val="auto"/>
          <w:sz w:val="24"/>
          <w:highlight w:val="none"/>
        </w:rPr>
      </w:pPr>
      <w:bookmarkStart w:id="247" w:name="_Toc19069"/>
      <w:r>
        <w:rPr>
          <w:rFonts w:hint="eastAsia" w:ascii="仿宋" w:hAnsi="仿宋" w:eastAsia="仿宋" w:cs="仿宋"/>
          <w:b/>
          <w:color w:val="auto"/>
          <w:sz w:val="24"/>
          <w:highlight w:val="none"/>
        </w:rPr>
        <w:t>2.7质量保证</w:t>
      </w:r>
      <w:bookmarkEnd w:id="247"/>
    </w:p>
    <w:p w14:paraId="565BB44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2.7.1乙方应建立和完善履行合同的内部质量保证体系，并提供相关内部规章制度给甲方，以便甲方进行监督检查；</w:t>
      </w:r>
    </w:p>
    <w:p w14:paraId="65D444C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2.7.2乙方应保证履行合同的人员数量和素质、软件和硬件设备的配置、场地、环境和设施等满足全面履行合同的要求，并应接受甲方的监督检查。</w:t>
      </w:r>
    </w:p>
    <w:p w14:paraId="6033B7E4">
      <w:pPr>
        <w:spacing w:line="560" w:lineRule="exact"/>
        <w:ind w:firstLine="482" w:firstLineChars="200"/>
        <w:outlineLvl w:val="1"/>
        <w:rPr>
          <w:rFonts w:ascii="仿宋" w:hAnsi="仿宋" w:eastAsia="仿宋" w:cs="仿宋"/>
          <w:b/>
          <w:color w:val="auto"/>
          <w:sz w:val="24"/>
          <w:highlight w:val="none"/>
        </w:rPr>
      </w:pPr>
      <w:bookmarkStart w:id="248" w:name="_Toc22267"/>
      <w:r>
        <w:rPr>
          <w:rFonts w:hint="eastAsia" w:ascii="仿宋" w:hAnsi="仿宋" w:eastAsia="仿宋" w:cs="仿宋"/>
          <w:b/>
          <w:color w:val="auto"/>
          <w:sz w:val="24"/>
          <w:highlight w:val="none"/>
        </w:rPr>
        <w:t>2.8延迟履行</w:t>
      </w:r>
      <w:bookmarkEnd w:id="248"/>
    </w:p>
    <w:p w14:paraId="4D0B6DA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43B75AE">
      <w:pPr>
        <w:spacing w:line="560" w:lineRule="exact"/>
        <w:ind w:firstLine="482" w:firstLineChars="200"/>
        <w:outlineLvl w:val="1"/>
        <w:rPr>
          <w:rFonts w:ascii="仿宋" w:hAnsi="仿宋" w:eastAsia="仿宋" w:cs="仿宋"/>
          <w:b/>
          <w:color w:val="auto"/>
          <w:sz w:val="24"/>
          <w:highlight w:val="none"/>
        </w:rPr>
      </w:pPr>
      <w:bookmarkStart w:id="249" w:name="_Toc10611"/>
      <w:r>
        <w:rPr>
          <w:rFonts w:hint="eastAsia" w:ascii="仿宋" w:hAnsi="仿宋" w:eastAsia="仿宋" w:cs="仿宋"/>
          <w:b/>
          <w:color w:val="auto"/>
          <w:sz w:val="24"/>
          <w:highlight w:val="none"/>
        </w:rPr>
        <w:t>2.9合同变更</w:t>
      </w:r>
      <w:bookmarkEnd w:id="249"/>
    </w:p>
    <w:p w14:paraId="5198FE2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671EE249">
      <w:pPr>
        <w:spacing w:line="560" w:lineRule="exact"/>
        <w:ind w:firstLine="482" w:firstLineChars="200"/>
        <w:outlineLvl w:val="1"/>
        <w:rPr>
          <w:rFonts w:ascii="仿宋" w:hAnsi="仿宋" w:eastAsia="仿宋" w:cs="仿宋"/>
          <w:b/>
          <w:color w:val="auto"/>
          <w:sz w:val="24"/>
          <w:highlight w:val="none"/>
        </w:rPr>
      </w:pPr>
      <w:bookmarkStart w:id="250" w:name="_Toc21830"/>
      <w:bookmarkStart w:id="251" w:name="_Toc23368"/>
      <w:bookmarkStart w:id="252" w:name="_Toc26689"/>
      <w:bookmarkStart w:id="253" w:name="_Toc10663"/>
      <w:bookmarkStart w:id="254" w:name="_Toc42"/>
      <w:r>
        <w:rPr>
          <w:rFonts w:hint="eastAsia" w:ascii="仿宋" w:hAnsi="仿宋" w:eastAsia="仿宋" w:cs="仿宋"/>
          <w:b/>
          <w:color w:val="auto"/>
          <w:sz w:val="24"/>
          <w:highlight w:val="none"/>
        </w:rPr>
        <w:t>2.10合同转让和分包</w:t>
      </w:r>
      <w:bookmarkEnd w:id="250"/>
      <w:bookmarkEnd w:id="251"/>
      <w:bookmarkEnd w:id="252"/>
      <w:bookmarkEnd w:id="253"/>
      <w:bookmarkEnd w:id="254"/>
    </w:p>
    <w:p w14:paraId="1FEECE1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26D5428">
      <w:pPr>
        <w:spacing w:line="560" w:lineRule="exact"/>
        <w:ind w:firstLine="482" w:firstLineChars="200"/>
        <w:outlineLvl w:val="1"/>
        <w:rPr>
          <w:rFonts w:ascii="仿宋" w:hAnsi="仿宋" w:eastAsia="仿宋" w:cs="仿宋"/>
          <w:b/>
          <w:color w:val="auto"/>
          <w:sz w:val="24"/>
          <w:highlight w:val="none"/>
        </w:rPr>
      </w:pPr>
      <w:bookmarkStart w:id="255" w:name="_Toc26633"/>
      <w:bookmarkStart w:id="256" w:name="_Toc32494"/>
      <w:bookmarkStart w:id="257" w:name="_Toc14371"/>
      <w:bookmarkStart w:id="258" w:name="_Toc25571"/>
      <w:bookmarkStart w:id="259" w:name="_Toc4720"/>
      <w:r>
        <w:rPr>
          <w:rFonts w:hint="eastAsia" w:ascii="仿宋" w:hAnsi="仿宋" w:eastAsia="仿宋" w:cs="仿宋"/>
          <w:b/>
          <w:color w:val="auto"/>
          <w:sz w:val="24"/>
          <w:highlight w:val="none"/>
        </w:rPr>
        <w:t>2.11不可抗力</w:t>
      </w:r>
      <w:bookmarkEnd w:id="255"/>
      <w:bookmarkEnd w:id="256"/>
      <w:bookmarkEnd w:id="257"/>
      <w:bookmarkEnd w:id="258"/>
      <w:bookmarkEnd w:id="259"/>
    </w:p>
    <w:p w14:paraId="631662E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7EE4B4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2.11.2因不可抗力致使不能实现合同目的的，当事人可以解除合同；</w:t>
      </w:r>
    </w:p>
    <w:p w14:paraId="17A5780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0C1BAEE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A087A29">
      <w:pPr>
        <w:spacing w:line="560" w:lineRule="exact"/>
        <w:ind w:firstLine="482" w:firstLineChars="200"/>
        <w:outlineLvl w:val="1"/>
        <w:rPr>
          <w:rFonts w:ascii="仿宋" w:hAnsi="仿宋" w:eastAsia="仿宋" w:cs="仿宋"/>
          <w:b/>
          <w:color w:val="auto"/>
          <w:sz w:val="24"/>
          <w:highlight w:val="none"/>
        </w:rPr>
      </w:pPr>
      <w:bookmarkStart w:id="260" w:name="_Toc23854"/>
      <w:bookmarkStart w:id="261" w:name="_Toc25783"/>
      <w:bookmarkStart w:id="262" w:name="_Toc3638"/>
      <w:bookmarkStart w:id="263" w:name="_Toc14115"/>
      <w:bookmarkStart w:id="264" w:name="_Toc24465"/>
      <w:r>
        <w:rPr>
          <w:rFonts w:hint="eastAsia" w:ascii="仿宋" w:hAnsi="仿宋" w:eastAsia="仿宋" w:cs="仿宋"/>
          <w:b/>
          <w:color w:val="auto"/>
          <w:sz w:val="24"/>
          <w:highlight w:val="none"/>
        </w:rPr>
        <w:t>2.12税费</w:t>
      </w:r>
      <w:bookmarkEnd w:id="260"/>
      <w:bookmarkEnd w:id="261"/>
      <w:bookmarkEnd w:id="262"/>
      <w:bookmarkEnd w:id="263"/>
      <w:bookmarkEnd w:id="264"/>
    </w:p>
    <w:p w14:paraId="7FA8D2E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92AE8E7">
      <w:pPr>
        <w:spacing w:line="560" w:lineRule="exact"/>
        <w:ind w:firstLine="482" w:firstLineChars="200"/>
        <w:outlineLvl w:val="1"/>
        <w:rPr>
          <w:rFonts w:ascii="仿宋" w:hAnsi="仿宋" w:eastAsia="仿宋" w:cs="仿宋"/>
          <w:b/>
          <w:color w:val="auto"/>
          <w:sz w:val="24"/>
          <w:highlight w:val="none"/>
        </w:rPr>
      </w:pPr>
      <w:bookmarkStart w:id="265" w:name="_Toc14814"/>
      <w:bookmarkStart w:id="266" w:name="_Toc26883"/>
      <w:bookmarkStart w:id="267" w:name="_Toc25525"/>
      <w:bookmarkStart w:id="268" w:name="_Toc7315"/>
      <w:bookmarkStart w:id="269" w:name="_Toc30105"/>
      <w:r>
        <w:rPr>
          <w:rFonts w:hint="eastAsia" w:ascii="仿宋" w:hAnsi="仿宋" w:eastAsia="仿宋" w:cs="仿宋"/>
          <w:b/>
          <w:color w:val="auto"/>
          <w:sz w:val="24"/>
          <w:highlight w:val="none"/>
        </w:rPr>
        <w:t>2.13乙方破产</w:t>
      </w:r>
      <w:bookmarkEnd w:id="265"/>
      <w:bookmarkEnd w:id="266"/>
      <w:bookmarkEnd w:id="267"/>
      <w:bookmarkEnd w:id="268"/>
      <w:bookmarkEnd w:id="269"/>
    </w:p>
    <w:p w14:paraId="507B596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734A012">
      <w:pPr>
        <w:spacing w:line="560" w:lineRule="exact"/>
        <w:ind w:firstLine="482" w:firstLineChars="200"/>
        <w:outlineLvl w:val="1"/>
        <w:rPr>
          <w:rFonts w:ascii="仿宋" w:hAnsi="仿宋" w:eastAsia="仿宋" w:cs="仿宋"/>
          <w:b/>
          <w:color w:val="auto"/>
          <w:sz w:val="24"/>
          <w:highlight w:val="none"/>
        </w:rPr>
      </w:pPr>
      <w:bookmarkStart w:id="270" w:name="_Toc1123"/>
      <w:bookmarkStart w:id="271" w:name="_Toc23323"/>
      <w:bookmarkStart w:id="272" w:name="_Toc2016"/>
      <w:r>
        <w:rPr>
          <w:rFonts w:hint="eastAsia" w:ascii="仿宋" w:hAnsi="仿宋" w:eastAsia="仿宋" w:cs="仿宋"/>
          <w:b/>
          <w:color w:val="auto"/>
          <w:sz w:val="24"/>
          <w:highlight w:val="none"/>
        </w:rPr>
        <w:t>2.14合同中止、终止</w:t>
      </w:r>
      <w:bookmarkEnd w:id="270"/>
      <w:bookmarkEnd w:id="271"/>
      <w:bookmarkEnd w:id="272"/>
    </w:p>
    <w:p w14:paraId="3F3B5C8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2.14.1双方当事人不得擅自中止或者终止合同；</w:t>
      </w:r>
    </w:p>
    <w:p w14:paraId="7089662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97212B8">
      <w:pPr>
        <w:spacing w:line="560" w:lineRule="exact"/>
        <w:ind w:firstLine="482" w:firstLineChars="200"/>
        <w:outlineLvl w:val="1"/>
        <w:rPr>
          <w:rFonts w:ascii="仿宋" w:hAnsi="仿宋" w:eastAsia="仿宋" w:cs="仿宋"/>
          <w:b/>
          <w:color w:val="auto"/>
          <w:sz w:val="24"/>
          <w:highlight w:val="none"/>
        </w:rPr>
      </w:pPr>
      <w:bookmarkStart w:id="273" w:name="_Toc1969"/>
      <w:bookmarkStart w:id="274" w:name="_Toc14525"/>
      <w:bookmarkStart w:id="275" w:name="_Toc17363"/>
      <w:r>
        <w:rPr>
          <w:rFonts w:hint="eastAsia" w:ascii="仿宋" w:hAnsi="仿宋" w:eastAsia="仿宋" w:cs="仿宋"/>
          <w:b/>
          <w:color w:val="auto"/>
          <w:sz w:val="24"/>
          <w:highlight w:val="none"/>
        </w:rPr>
        <w:t>2.15 检验和验收</w:t>
      </w:r>
      <w:bookmarkEnd w:id="273"/>
      <w:bookmarkEnd w:id="274"/>
      <w:bookmarkEnd w:id="275"/>
    </w:p>
    <w:p w14:paraId="0334B06E">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78D1A63">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48564A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D81BAC4">
      <w:pPr>
        <w:spacing w:line="560" w:lineRule="exact"/>
        <w:ind w:firstLine="482" w:firstLineChars="200"/>
        <w:outlineLvl w:val="1"/>
        <w:rPr>
          <w:rFonts w:ascii="仿宋" w:hAnsi="仿宋" w:eastAsia="仿宋" w:cs="仿宋"/>
          <w:b/>
          <w:color w:val="auto"/>
          <w:sz w:val="24"/>
          <w:highlight w:val="none"/>
        </w:rPr>
      </w:pPr>
      <w:bookmarkStart w:id="276" w:name="_Toc25198"/>
      <w:bookmarkStart w:id="277" w:name="_Toc31892"/>
      <w:bookmarkStart w:id="278" w:name="_Toc12666"/>
      <w:bookmarkStart w:id="279" w:name="_Toc9808"/>
      <w:bookmarkStart w:id="280" w:name="_Toc2308"/>
      <w:r>
        <w:rPr>
          <w:rFonts w:hint="eastAsia" w:ascii="仿宋" w:hAnsi="仿宋" w:eastAsia="仿宋" w:cs="仿宋"/>
          <w:b/>
          <w:color w:val="auto"/>
          <w:sz w:val="24"/>
          <w:highlight w:val="none"/>
        </w:rPr>
        <w:t>2.16通知和送达</w:t>
      </w:r>
      <w:bookmarkEnd w:id="276"/>
      <w:bookmarkEnd w:id="277"/>
      <w:bookmarkEnd w:id="278"/>
      <w:bookmarkEnd w:id="279"/>
      <w:bookmarkEnd w:id="280"/>
    </w:p>
    <w:p w14:paraId="7B882270">
      <w:pPr>
        <w:spacing w:line="560" w:lineRule="exact"/>
        <w:ind w:firstLine="480" w:firstLineChars="200"/>
        <w:rPr>
          <w:rFonts w:ascii="仿宋" w:hAnsi="仿宋" w:eastAsia="仿宋" w:cs="仿宋"/>
          <w:color w:val="auto"/>
          <w:sz w:val="24"/>
          <w:highlight w:val="none"/>
        </w:rPr>
      </w:pPr>
      <w:bookmarkStart w:id="281" w:name="_Toc18401"/>
      <w:bookmarkStart w:id="282" w:name="_Toc27674"/>
      <w:r>
        <w:rPr>
          <w:rFonts w:hint="eastAsia" w:ascii="仿宋" w:hAnsi="仿宋" w:eastAsia="仿宋" w:cs="仿宋"/>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0772874B">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1"/>
      <w:bookmarkEnd w:id="282"/>
    </w:p>
    <w:p w14:paraId="4D96C7F3">
      <w:pPr>
        <w:spacing w:line="560" w:lineRule="exact"/>
        <w:ind w:firstLine="482" w:firstLineChars="200"/>
        <w:outlineLvl w:val="1"/>
        <w:rPr>
          <w:rFonts w:ascii="仿宋" w:hAnsi="仿宋" w:eastAsia="仿宋" w:cs="仿宋"/>
          <w:b/>
          <w:color w:val="auto"/>
          <w:sz w:val="24"/>
          <w:highlight w:val="none"/>
        </w:rPr>
      </w:pPr>
      <w:bookmarkStart w:id="283" w:name="_Toc20808"/>
      <w:bookmarkStart w:id="284" w:name="_Toc28906"/>
      <w:bookmarkStart w:id="285" w:name="_Toc12254"/>
      <w:bookmarkStart w:id="286" w:name="_Toc27644"/>
      <w:bookmarkStart w:id="287" w:name="_Toc5063"/>
      <w:r>
        <w:rPr>
          <w:rFonts w:hint="eastAsia" w:ascii="仿宋" w:hAnsi="仿宋" w:eastAsia="仿宋" w:cs="仿宋"/>
          <w:b/>
          <w:color w:val="auto"/>
          <w:sz w:val="24"/>
          <w:highlight w:val="none"/>
        </w:rPr>
        <w:t>2.17合同使用的文字和适用的法律</w:t>
      </w:r>
      <w:bookmarkEnd w:id="283"/>
      <w:bookmarkEnd w:id="284"/>
      <w:bookmarkEnd w:id="285"/>
      <w:bookmarkEnd w:id="286"/>
      <w:bookmarkEnd w:id="287"/>
    </w:p>
    <w:p w14:paraId="54990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2.17.1合同使用汉语书就、变更和解释；</w:t>
      </w:r>
    </w:p>
    <w:p w14:paraId="3627A1F9">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2.17.2合同适用中华人民共和国法律。</w:t>
      </w:r>
    </w:p>
    <w:p w14:paraId="16DCA81C">
      <w:pPr>
        <w:spacing w:line="560" w:lineRule="exact"/>
        <w:ind w:firstLine="482" w:firstLineChars="200"/>
        <w:outlineLvl w:val="1"/>
        <w:rPr>
          <w:rFonts w:ascii="仿宋" w:hAnsi="仿宋" w:eastAsia="仿宋" w:cs="仿宋"/>
          <w:b/>
          <w:color w:val="auto"/>
          <w:sz w:val="24"/>
          <w:highlight w:val="none"/>
        </w:rPr>
      </w:pPr>
      <w:bookmarkStart w:id="288" w:name="_Toc4355"/>
      <w:bookmarkStart w:id="289" w:name="_Toc18540"/>
      <w:bookmarkStart w:id="290" w:name="_Toc30599"/>
      <w:r>
        <w:rPr>
          <w:rFonts w:hint="eastAsia" w:ascii="仿宋" w:hAnsi="仿宋" w:eastAsia="仿宋" w:cs="仿宋"/>
          <w:b/>
          <w:color w:val="auto"/>
          <w:sz w:val="24"/>
          <w:highlight w:val="none"/>
        </w:rPr>
        <w:t>2.18计量单位</w:t>
      </w:r>
      <w:bookmarkEnd w:id="288"/>
      <w:bookmarkEnd w:id="289"/>
      <w:bookmarkEnd w:id="290"/>
    </w:p>
    <w:p w14:paraId="7F02483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2A49D3A">
      <w:pPr>
        <w:spacing w:line="560" w:lineRule="exact"/>
        <w:ind w:firstLine="482" w:firstLineChars="200"/>
        <w:outlineLvl w:val="1"/>
        <w:rPr>
          <w:rFonts w:ascii="仿宋" w:hAnsi="仿宋" w:eastAsia="仿宋" w:cs="仿宋"/>
          <w:b/>
          <w:color w:val="auto"/>
          <w:sz w:val="24"/>
          <w:highlight w:val="none"/>
        </w:rPr>
      </w:pPr>
      <w:bookmarkStart w:id="291" w:name="_Toc12773"/>
      <w:bookmarkStart w:id="292" w:name="_Toc259093692"/>
      <w:bookmarkStart w:id="293" w:name="_Toc18567"/>
      <w:bookmarkStart w:id="294" w:name="_Toc279701263"/>
      <w:bookmarkStart w:id="295" w:name="_Toc10330"/>
      <w:bookmarkStart w:id="296" w:name="_Toc487900373"/>
      <w:r>
        <w:rPr>
          <w:rFonts w:hint="eastAsia" w:ascii="仿宋" w:hAnsi="仿宋" w:eastAsia="仿宋" w:cs="仿宋"/>
          <w:b/>
          <w:color w:val="auto"/>
          <w:sz w:val="24"/>
          <w:highlight w:val="none"/>
        </w:rPr>
        <w:t>2.19合同使用的文字和适用的法律</w:t>
      </w:r>
      <w:bookmarkEnd w:id="291"/>
      <w:bookmarkEnd w:id="292"/>
      <w:bookmarkEnd w:id="293"/>
      <w:bookmarkEnd w:id="294"/>
      <w:bookmarkEnd w:id="295"/>
      <w:bookmarkEnd w:id="296"/>
    </w:p>
    <w:p w14:paraId="3DCCA79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2.19.1合同使用汉语书就、变更和解释；</w:t>
      </w:r>
    </w:p>
    <w:p w14:paraId="3C96D8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2.19.2合同适用中华人民共和国法律。</w:t>
      </w:r>
    </w:p>
    <w:p w14:paraId="40AF72AB">
      <w:pPr>
        <w:spacing w:line="560" w:lineRule="exact"/>
        <w:ind w:firstLine="482" w:firstLineChars="20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6A9125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FF90718">
      <w:pPr>
        <w:spacing w:line="440" w:lineRule="atLeast"/>
        <w:ind w:firstLine="420" w:firstLineChars="200"/>
        <w:jc w:val="center"/>
        <w:outlineLvl w:val="1"/>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297" w:name="_Toc331685784"/>
      <w:bookmarkEnd w:id="297"/>
      <w:r>
        <w:rPr>
          <w:rFonts w:hint="eastAsia" w:ascii="仿宋" w:hAnsi="仿宋" w:eastAsia="仿宋" w:cs="仿宋"/>
          <w:b/>
          <w:color w:val="auto"/>
          <w:sz w:val="24"/>
          <w:highlight w:val="none"/>
        </w:rPr>
        <w:t>第三部分 合同专用条款</w:t>
      </w:r>
    </w:p>
    <w:p w14:paraId="437CA459">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62"/>
        <w:gridCol w:w="7964"/>
      </w:tblGrid>
      <w:tr w14:paraId="706CA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1C41A868">
            <w:pPr>
              <w:spacing w:line="440" w:lineRule="exact"/>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7964" w:type="dxa"/>
            <w:vAlign w:val="center"/>
          </w:tcPr>
          <w:p w14:paraId="7EDCD3B6">
            <w:pPr>
              <w:spacing w:line="440" w:lineRule="exact"/>
              <w:jc w:val="center"/>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D07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228A0C54">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7964" w:type="dxa"/>
            <w:vAlign w:val="center"/>
          </w:tcPr>
          <w:p w14:paraId="5C9A447F">
            <w:pPr>
              <w:spacing w:line="440" w:lineRule="exact"/>
              <w:jc w:val="center"/>
              <w:textAlignment w:val="center"/>
              <w:rPr>
                <w:rFonts w:ascii="仿宋" w:hAnsi="仿宋" w:eastAsia="仿宋" w:cs="仿宋"/>
                <w:color w:val="auto"/>
                <w:sz w:val="24"/>
                <w:highlight w:val="none"/>
              </w:rPr>
            </w:pPr>
          </w:p>
        </w:tc>
      </w:tr>
      <w:tr w14:paraId="59D1A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7E7C473F">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1.5.1</w:t>
            </w:r>
          </w:p>
        </w:tc>
        <w:tc>
          <w:tcPr>
            <w:tcW w:w="7964" w:type="dxa"/>
            <w:vAlign w:val="center"/>
          </w:tcPr>
          <w:p w14:paraId="5B82E228">
            <w:pPr>
              <w:spacing w:line="440" w:lineRule="exact"/>
              <w:jc w:val="center"/>
              <w:textAlignment w:val="center"/>
              <w:rPr>
                <w:rFonts w:ascii="仿宋" w:hAnsi="仿宋" w:eastAsia="仿宋" w:cs="仿宋"/>
                <w:color w:val="auto"/>
                <w:sz w:val="24"/>
                <w:highlight w:val="none"/>
              </w:rPr>
            </w:pPr>
          </w:p>
        </w:tc>
      </w:tr>
      <w:tr w14:paraId="2EA88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65EF5185">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7964" w:type="dxa"/>
            <w:vAlign w:val="center"/>
          </w:tcPr>
          <w:p w14:paraId="70BBE1E9">
            <w:pPr>
              <w:spacing w:line="440" w:lineRule="exact"/>
              <w:jc w:val="center"/>
              <w:textAlignment w:val="center"/>
              <w:rPr>
                <w:rFonts w:ascii="仿宋" w:hAnsi="仿宋" w:eastAsia="仿宋" w:cs="仿宋"/>
                <w:color w:val="auto"/>
                <w:sz w:val="24"/>
                <w:highlight w:val="none"/>
              </w:rPr>
            </w:pPr>
          </w:p>
        </w:tc>
      </w:tr>
      <w:tr w14:paraId="26F98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003BCB0A">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1.5.3</w:t>
            </w:r>
          </w:p>
        </w:tc>
        <w:tc>
          <w:tcPr>
            <w:tcW w:w="7964" w:type="dxa"/>
            <w:vAlign w:val="center"/>
          </w:tcPr>
          <w:p w14:paraId="08B2D275">
            <w:pPr>
              <w:spacing w:line="440" w:lineRule="exact"/>
              <w:jc w:val="center"/>
              <w:textAlignment w:val="center"/>
              <w:rPr>
                <w:rFonts w:ascii="仿宋" w:hAnsi="仿宋" w:eastAsia="仿宋" w:cs="仿宋"/>
                <w:color w:val="auto"/>
                <w:sz w:val="24"/>
                <w:highlight w:val="none"/>
              </w:rPr>
            </w:pPr>
          </w:p>
        </w:tc>
      </w:tr>
      <w:tr w14:paraId="78500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1977E4FC">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7964" w:type="dxa"/>
            <w:vAlign w:val="center"/>
          </w:tcPr>
          <w:p w14:paraId="45BF0C52">
            <w:pPr>
              <w:spacing w:line="440" w:lineRule="exact"/>
              <w:jc w:val="center"/>
              <w:textAlignment w:val="center"/>
              <w:rPr>
                <w:rFonts w:ascii="仿宋" w:hAnsi="仿宋" w:eastAsia="仿宋" w:cs="仿宋"/>
                <w:color w:val="auto"/>
                <w:sz w:val="24"/>
                <w:highlight w:val="none"/>
              </w:rPr>
            </w:pPr>
          </w:p>
        </w:tc>
      </w:tr>
      <w:tr w14:paraId="64B7F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070AB7AE">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7964" w:type="dxa"/>
            <w:vAlign w:val="center"/>
          </w:tcPr>
          <w:p w14:paraId="2B6ADC8B">
            <w:pPr>
              <w:spacing w:line="440" w:lineRule="exact"/>
              <w:jc w:val="center"/>
              <w:textAlignment w:val="center"/>
              <w:rPr>
                <w:rFonts w:ascii="仿宋" w:hAnsi="仿宋" w:eastAsia="仿宋" w:cs="仿宋"/>
                <w:color w:val="auto"/>
                <w:sz w:val="24"/>
                <w:highlight w:val="none"/>
              </w:rPr>
            </w:pPr>
          </w:p>
        </w:tc>
      </w:tr>
      <w:tr w14:paraId="374D6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6D70F87F">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7964" w:type="dxa"/>
            <w:vAlign w:val="center"/>
          </w:tcPr>
          <w:p w14:paraId="7DA1602F">
            <w:pPr>
              <w:spacing w:line="440" w:lineRule="exact"/>
              <w:jc w:val="center"/>
              <w:textAlignment w:val="center"/>
              <w:rPr>
                <w:rFonts w:ascii="仿宋" w:hAnsi="仿宋" w:eastAsia="仿宋" w:cs="仿宋"/>
                <w:color w:val="auto"/>
                <w:sz w:val="24"/>
                <w:highlight w:val="none"/>
              </w:rPr>
            </w:pPr>
          </w:p>
        </w:tc>
      </w:tr>
      <w:tr w14:paraId="2DA03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6B99DA32">
            <w:pPr>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7964" w:type="dxa"/>
            <w:vAlign w:val="center"/>
          </w:tcPr>
          <w:p w14:paraId="7C668397">
            <w:pPr>
              <w:spacing w:line="440" w:lineRule="exact"/>
              <w:jc w:val="center"/>
              <w:textAlignment w:val="center"/>
              <w:rPr>
                <w:rFonts w:ascii="仿宋" w:hAnsi="仿宋" w:eastAsia="仿宋" w:cs="仿宋"/>
                <w:color w:val="auto"/>
                <w:sz w:val="24"/>
                <w:highlight w:val="none"/>
              </w:rPr>
            </w:pPr>
          </w:p>
        </w:tc>
      </w:tr>
      <w:tr w14:paraId="382B4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3624BDB9">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7964" w:type="dxa"/>
            <w:vAlign w:val="center"/>
          </w:tcPr>
          <w:p w14:paraId="5189A98A">
            <w:pPr>
              <w:spacing w:line="440" w:lineRule="exact"/>
              <w:jc w:val="center"/>
              <w:textAlignment w:val="center"/>
              <w:rPr>
                <w:rFonts w:ascii="仿宋" w:hAnsi="仿宋" w:eastAsia="仿宋" w:cs="仿宋"/>
                <w:color w:val="auto"/>
                <w:sz w:val="24"/>
                <w:highlight w:val="none"/>
              </w:rPr>
            </w:pPr>
          </w:p>
        </w:tc>
      </w:tr>
      <w:tr w14:paraId="4E84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30A100E6">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7964" w:type="dxa"/>
            <w:vAlign w:val="center"/>
          </w:tcPr>
          <w:p w14:paraId="30B1BEC3">
            <w:pPr>
              <w:spacing w:line="440" w:lineRule="exact"/>
              <w:jc w:val="center"/>
              <w:textAlignment w:val="center"/>
              <w:rPr>
                <w:rFonts w:ascii="仿宋" w:hAnsi="仿宋" w:eastAsia="仿宋" w:cs="仿宋"/>
                <w:color w:val="auto"/>
                <w:sz w:val="24"/>
                <w:highlight w:val="none"/>
              </w:rPr>
            </w:pPr>
          </w:p>
        </w:tc>
      </w:tr>
      <w:tr w14:paraId="63A17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7B1F0481">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7964" w:type="dxa"/>
            <w:vAlign w:val="center"/>
          </w:tcPr>
          <w:p w14:paraId="0D59B93F">
            <w:pPr>
              <w:spacing w:line="440" w:lineRule="exact"/>
              <w:jc w:val="center"/>
              <w:textAlignment w:val="center"/>
              <w:rPr>
                <w:rFonts w:ascii="仿宋" w:hAnsi="仿宋" w:eastAsia="仿宋" w:cs="仿宋"/>
                <w:color w:val="auto"/>
                <w:sz w:val="24"/>
                <w:highlight w:val="none"/>
              </w:rPr>
            </w:pPr>
          </w:p>
        </w:tc>
      </w:tr>
      <w:tr w14:paraId="114570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367885CD">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7964" w:type="dxa"/>
            <w:vAlign w:val="center"/>
          </w:tcPr>
          <w:p w14:paraId="4301BDBE">
            <w:pPr>
              <w:spacing w:line="440" w:lineRule="exact"/>
              <w:jc w:val="center"/>
              <w:textAlignment w:val="center"/>
              <w:rPr>
                <w:rFonts w:ascii="仿宋" w:hAnsi="仿宋" w:eastAsia="仿宋" w:cs="仿宋"/>
                <w:color w:val="auto"/>
                <w:sz w:val="24"/>
                <w:highlight w:val="none"/>
              </w:rPr>
            </w:pPr>
          </w:p>
        </w:tc>
      </w:tr>
      <w:tr w14:paraId="709AA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top"/>
          </w:tcPr>
          <w:p w14:paraId="03B1B791">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2.8</w:t>
            </w:r>
          </w:p>
        </w:tc>
        <w:tc>
          <w:tcPr>
            <w:tcW w:w="7964" w:type="dxa"/>
            <w:vAlign w:val="center"/>
          </w:tcPr>
          <w:p w14:paraId="6620BA0B">
            <w:pPr>
              <w:spacing w:line="440" w:lineRule="exact"/>
              <w:jc w:val="center"/>
              <w:textAlignment w:val="center"/>
              <w:rPr>
                <w:rFonts w:ascii="仿宋" w:hAnsi="仿宋" w:eastAsia="仿宋" w:cs="仿宋"/>
                <w:color w:val="auto"/>
                <w:sz w:val="24"/>
                <w:highlight w:val="none"/>
              </w:rPr>
            </w:pPr>
          </w:p>
        </w:tc>
      </w:tr>
      <w:tr w14:paraId="571A3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5AFBCCF7">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7964" w:type="dxa"/>
            <w:vAlign w:val="center"/>
          </w:tcPr>
          <w:p w14:paraId="5B42A9D6">
            <w:pPr>
              <w:spacing w:line="440" w:lineRule="exact"/>
              <w:jc w:val="center"/>
              <w:textAlignment w:val="center"/>
              <w:rPr>
                <w:rFonts w:ascii="仿宋" w:hAnsi="仿宋" w:eastAsia="仿宋" w:cs="仿宋"/>
                <w:color w:val="auto"/>
                <w:sz w:val="24"/>
                <w:highlight w:val="none"/>
              </w:rPr>
            </w:pPr>
          </w:p>
        </w:tc>
      </w:tr>
      <w:tr w14:paraId="08B46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259B964A">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7964" w:type="dxa"/>
            <w:vAlign w:val="center"/>
          </w:tcPr>
          <w:p w14:paraId="6D95B148">
            <w:pPr>
              <w:spacing w:line="440" w:lineRule="exact"/>
              <w:jc w:val="center"/>
              <w:textAlignment w:val="center"/>
              <w:rPr>
                <w:rFonts w:ascii="仿宋" w:hAnsi="仿宋" w:eastAsia="仿宋" w:cs="仿宋"/>
                <w:color w:val="auto"/>
                <w:sz w:val="24"/>
                <w:highlight w:val="none"/>
              </w:rPr>
            </w:pPr>
          </w:p>
        </w:tc>
      </w:tr>
      <w:tr w14:paraId="55A093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0EC6FC7C">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7964" w:type="dxa"/>
            <w:vAlign w:val="center"/>
          </w:tcPr>
          <w:p w14:paraId="72BF98F8">
            <w:pPr>
              <w:spacing w:line="440" w:lineRule="exact"/>
              <w:jc w:val="center"/>
              <w:textAlignment w:val="center"/>
              <w:rPr>
                <w:rFonts w:ascii="仿宋" w:hAnsi="仿宋" w:eastAsia="仿宋" w:cs="仿宋"/>
                <w:color w:val="auto"/>
                <w:sz w:val="24"/>
                <w:highlight w:val="none"/>
              </w:rPr>
            </w:pPr>
          </w:p>
        </w:tc>
      </w:tr>
      <w:tr w14:paraId="69DE66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34999321">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7964" w:type="dxa"/>
            <w:vAlign w:val="center"/>
          </w:tcPr>
          <w:p w14:paraId="59618F84">
            <w:pPr>
              <w:spacing w:line="440" w:lineRule="exact"/>
              <w:jc w:val="center"/>
              <w:textAlignment w:val="center"/>
              <w:rPr>
                <w:rFonts w:ascii="仿宋" w:hAnsi="仿宋" w:eastAsia="仿宋" w:cs="仿宋"/>
                <w:color w:val="auto"/>
                <w:sz w:val="24"/>
                <w:highlight w:val="none"/>
              </w:rPr>
            </w:pPr>
          </w:p>
        </w:tc>
      </w:tr>
      <w:tr w14:paraId="4133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1162" w:type="dxa"/>
            <w:tcBorders>
              <w:left w:val="single" w:color="auto" w:sz="4" w:space="0"/>
            </w:tcBorders>
            <w:vAlign w:val="center"/>
          </w:tcPr>
          <w:p w14:paraId="11CBEFCA">
            <w:pPr>
              <w:spacing w:line="440" w:lineRule="exact"/>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2.20</w:t>
            </w:r>
          </w:p>
        </w:tc>
        <w:tc>
          <w:tcPr>
            <w:tcW w:w="7964" w:type="dxa"/>
          </w:tcPr>
          <w:p w14:paraId="630F498D">
            <w:pPr>
              <w:spacing w:line="440" w:lineRule="exact"/>
              <w:jc w:val="center"/>
              <w:textAlignment w:val="center"/>
              <w:rPr>
                <w:rFonts w:ascii="仿宋" w:hAnsi="仿宋" w:eastAsia="仿宋" w:cs="仿宋"/>
                <w:color w:val="auto"/>
                <w:sz w:val="24"/>
                <w:highlight w:val="none"/>
              </w:rPr>
            </w:pPr>
          </w:p>
        </w:tc>
      </w:tr>
    </w:tbl>
    <w:p w14:paraId="68BF324E">
      <w:pPr>
        <w:spacing w:line="440" w:lineRule="exact"/>
        <w:textAlignment w:val="center"/>
        <w:rPr>
          <w:rFonts w:ascii="仿宋" w:hAnsi="仿宋" w:eastAsia="仿宋" w:cs="仿宋"/>
          <w:color w:val="auto"/>
          <w:sz w:val="24"/>
          <w:highlight w:val="none"/>
        </w:rPr>
      </w:pPr>
    </w:p>
    <w:p w14:paraId="0712EB77">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5E2B2F41">
      <w:pPr>
        <w:spacing w:line="360" w:lineRule="auto"/>
        <w:jc w:val="center"/>
        <w:outlineLvl w:val="0"/>
        <w:rPr>
          <w:rFonts w:ascii="仿宋" w:hAnsi="仿宋" w:eastAsia="仿宋" w:cs="仿宋"/>
          <w:b/>
          <w:color w:val="auto"/>
          <w:sz w:val="36"/>
          <w:szCs w:val="36"/>
          <w:highlight w:val="none"/>
        </w:rPr>
      </w:pPr>
      <w:bookmarkStart w:id="303" w:name="_GoBack"/>
      <w:bookmarkEnd w:id="303"/>
      <w:r>
        <w:rPr>
          <w:rFonts w:hint="eastAsia" w:ascii="仿宋" w:hAnsi="仿宋" w:eastAsia="仿宋" w:cs="仿宋"/>
          <w:b/>
          <w:color w:val="auto"/>
          <w:sz w:val="36"/>
          <w:szCs w:val="36"/>
          <w:highlight w:val="none"/>
        </w:rPr>
        <w:t>第五部分 评标方法及标准</w:t>
      </w:r>
    </w:p>
    <w:p w14:paraId="73834204">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58CBD121">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4EC571C">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3AF17AF">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8F1FE6F">
      <w:pPr>
        <w:spacing w:line="44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2C828025">
      <w:pPr>
        <w:spacing w:line="440" w:lineRule="exact"/>
        <w:rPr>
          <w:rFonts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80</w:t>
      </w:r>
      <w:r>
        <w:rPr>
          <w:rFonts w:hint="eastAsia" w:ascii="仿宋" w:hAnsi="仿宋" w:eastAsia="仿宋" w:cs="仿宋"/>
          <w:b/>
          <w:bCs/>
          <w:iCs/>
          <w:color w:val="auto"/>
          <w:sz w:val="24"/>
          <w:highlight w:val="none"/>
        </w:rPr>
        <w:t>分）</w:t>
      </w:r>
    </w:p>
    <w:tbl>
      <w:tblPr>
        <w:tblStyle w:val="64"/>
        <w:tblW w:w="9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348"/>
        <w:gridCol w:w="6353"/>
        <w:gridCol w:w="887"/>
      </w:tblGrid>
      <w:tr w14:paraId="6E5A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blHeader/>
          <w:jc w:val="center"/>
        </w:trPr>
        <w:tc>
          <w:tcPr>
            <w:tcW w:w="706" w:type="dxa"/>
            <w:vAlign w:val="center"/>
          </w:tcPr>
          <w:p w14:paraId="1B576C51">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序号</w:t>
            </w:r>
          </w:p>
        </w:tc>
        <w:tc>
          <w:tcPr>
            <w:tcW w:w="1348" w:type="dxa"/>
            <w:vAlign w:val="center"/>
          </w:tcPr>
          <w:p w14:paraId="4A8FEDEF">
            <w:pPr>
              <w:jc w:val="center"/>
              <w:rPr>
                <w:rFonts w:hint="eastAsia" w:ascii="宋体" w:hAnsi="宋体" w:eastAsia="宋体" w:cs="宋体"/>
                <w:b/>
                <w:bCs/>
                <w:color w:val="auto"/>
                <w:highlight w:val="none"/>
              </w:rPr>
            </w:pPr>
            <w:r>
              <w:rPr>
                <w:rFonts w:hint="eastAsia" w:ascii="仿宋_GB2312" w:hAnsi="仿宋_GB2312" w:eastAsia="仿宋_GB2312" w:cs="仿宋_GB2312"/>
                <w:b/>
                <w:bCs/>
                <w:color w:val="auto"/>
                <w:kern w:val="0"/>
                <w:sz w:val="24"/>
              </w:rPr>
              <w:t>评分项</w:t>
            </w:r>
          </w:p>
        </w:tc>
        <w:tc>
          <w:tcPr>
            <w:tcW w:w="6353" w:type="dxa"/>
            <w:vAlign w:val="center"/>
          </w:tcPr>
          <w:p w14:paraId="2C77BDC6">
            <w:pPr>
              <w:jc w:val="center"/>
              <w:rPr>
                <w:rFonts w:hint="eastAsia" w:ascii="宋体" w:hAnsi="宋体" w:eastAsia="宋体" w:cs="宋体"/>
                <w:b/>
                <w:bCs/>
                <w:color w:val="auto"/>
                <w:highlight w:val="none"/>
              </w:rPr>
            </w:pPr>
            <w:r>
              <w:rPr>
                <w:rFonts w:hint="eastAsia" w:ascii="仿宋_GB2312" w:hAnsi="仿宋_GB2312" w:eastAsia="仿宋_GB2312" w:cs="仿宋_GB2312"/>
                <w:b/>
                <w:bCs/>
                <w:color w:val="auto"/>
                <w:kern w:val="0"/>
                <w:sz w:val="24"/>
              </w:rPr>
              <w:t>评审依据及标准</w:t>
            </w:r>
          </w:p>
        </w:tc>
        <w:tc>
          <w:tcPr>
            <w:tcW w:w="887" w:type="dxa"/>
            <w:vAlign w:val="center"/>
          </w:tcPr>
          <w:p w14:paraId="1602CEAD">
            <w:pPr>
              <w:jc w:val="center"/>
              <w:rPr>
                <w:rFonts w:hint="eastAsia" w:ascii="宋体" w:hAnsi="宋体" w:eastAsia="宋体" w:cs="宋体"/>
                <w:b/>
                <w:bCs/>
                <w:color w:val="auto"/>
                <w:highlight w:val="none"/>
                <w:lang w:eastAsia="zh-CN"/>
              </w:rPr>
            </w:pPr>
            <w:r>
              <w:rPr>
                <w:rFonts w:hint="eastAsia" w:ascii="宋体" w:hAnsi="宋体" w:cs="宋体"/>
                <w:b/>
                <w:bCs/>
                <w:color w:val="auto"/>
                <w:highlight w:val="none"/>
                <w:lang w:val="en-US" w:eastAsia="zh-CN"/>
              </w:rPr>
              <w:t>分值</w:t>
            </w:r>
          </w:p>
        </w:tc>
      </w:tr>
      <w:tr w14:paraId="1686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06" w:type="dxa"/>
            <w:vAlign w:val="center"/>
          </w:tcPr>
          <w:p w14:paraId="0F42E044">
            <w:pPr>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1</w:t>
            </w:r>
          </w:p>
        </w:tc>
        <w:tc>
          <w:tcPr>
            <w:tcW w:w="1348" w:type="dxa"/>
            <w:vAlign w:val="center"/>
          </w:tcPr>
          <w:p w14:paraId="751E4FE0">
            <w:pPr>
              <w:jc w:val="cente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lang w:eastAsia="zh-CN"/>
              </w:rPr>
              <w:t>主要</w:t>
            </w:r>
            <w:r>
              <w:rPr>
                <w:rFonts w:hint="eastAsia" w:ascii="宋体" w:hAnsi="宋体" w:eastAsia="宋体" w:cs="宋体"/>
                <w:color w:val="auto"/>
                <w:highlight w:val="none"/>
              </w:rPr>
              <w:t>业绩</w:t>
            </w:r>
          </w:p>
        </w:tc>
        <w:tc>
          <w:tcPr>
            <w:tcW w:w="6353" w:type="dxa"/>
            <w:vAlign w:val="center"/>
          </w:tcPr>
          <w:p w14:paraId="3648806D">
            <w:pPr>
              <w:rPr>
                <w:rFonts w:hint="eastAsia" w:ascii="宋体" w:hAnsi="宋体" w:eastAsia="宋体" w:cs="宋体"/>
                <w:color w:val="auto"/>
                <w:highlight w:val="none"/>
              </w:rPr>
            </w:pPr>
            <w:r>
              <w:rPr>
                <w:rFonts w:hint="eastAsia" w:ascii="宋体" w:hAnsi="宋体" w:eastAsia="宋体" w:cs="宋体"/>
                <w:color w:val="auto"/>
                <w:highlight w:val="none"/>
              </w:rPr>
              <w:t>投标人自2021年</w:t>
            </w:r>
            <w:r>
              <w:rPr>
                <w:rFonts w:hint="eastAsia" w:ascii="宋体" w:hAnsi="宋体" w:cs="宋体"/>
                <w:color w:val="auto"/>
                <w:highlight w:val="none"/>
                <w:lang w:val="en-US" w:eastAsia="zh-CN"/>
              </w:rPr>
              <w:t>7</w:t>
            </w:r>
            <w:r>
              <w:rPr>
                <w:rFonts w:hint="eastAsia" w:ascii="宋体" w:hAnsi="宋体" w:eastAsia="宋体" w:cs="宋体"/>
                <w:color w:val="auto"/>
                <w:highlight w:val="none"/>
              </w:rPr>
              <w:t>月1日以来（以合同签订时间为准）完成的同类</w:t>
            </w:r>
            <w:r>
              <w:rPr>
                <w:rFonts w:hint="eastAsia" w:ascii="宋体" w:hAnsi="宋体" w:cs="宋体"/>
                <w:color w:val="auto"/>
                <w:highlight w:val="none"/>
                <w:lang w:val="en-US" w:eastAsia="zh-CN"/>
              </w:rPr>
              <w:t>案例</w:t>
            </w:r>
            <w:r>
              <w:rPr>
                <w:rFonts w:hint="eastAsia" w:ascii="宋体" w:hAnsi="宋体" w:eastAsia="宋体" w:cs="宋体"/>
                <w:color w:val="auto"/>
                <w:highlight w:val="none"/>
              </w:rPr>
              <w:t>，每提供一个得0.5分，最高得1.5分。</w:t>
            </w:r>
          </w:p>
          <w:p w14:paraId="7A0F794A">
            <w:pPr>
              <w:rPr>
                <w:rFonts w:hint="eastAsia" w:ascii="宋体" w:hAnsi="宋体" w:eastAsia="宋体" w:cs="宋体"/>
                <w:color w:val="auto"/>
                <w:kern w:val="2"/>
                <w:sz w:val="21"/>
                <w:highlight w:val="none"/>
                <w:lang w:val="en-US" w:eastAsia="zh-CN" w:bidi="ar-SA"/>
              </w:rPr>
            </w:pPr>
            <w:r>
              <w:rPr>
                <w:rFonts w:hint="eastAsia" w:ascii="宋体" w:hAnsi="宋体" w:eastAsia="宋体" w:cs="宋体"/>
                <w:b/>
                <w:bCs/>
                <w:color w:val="auto"/>
                <w:highlight w:val="none"/>
              </w:rPr>
              <w:t>注：每个</w:t>
            </w:r>
            <w:r>
              <w:rPr>
                <w:rFonts w:hint="eastAsia" w:ascii="宋体" w:hAnsi="宋体" w:cs="宋体"/>
                <w:b/>
                <w:bCs/>
                <w:color w:val="auto"/>
                <w:highlight w:val="none"/>
                <w:lang w:val="en-US" w:eastAsia="zh-CN"/>
              </w:rPr>
              <w:t>案例</w:t>
            </w:r>
            <w:r>
              <w:rPr>
                <w:rFonts w:hint="eastAsia" w:ascii="宋体" w:hAnsi="宋体" w:eastAsia="宋体" w:cs="宋体"/>
                <w:b/>
                <w:bCs/>
                <w:color w:val="auto"/>
                <w:highlight w:val="none"/>
              </w:rPr>
              <w:t>提供合同的复印件，并加盖投标人公章。</w:t>
            </w:r>
          </w:p>
        </w:tc>
        <w:tc>
          <w:tcPr>
            <w:tcW w:w="887" w:type="dxa"/>
            <w:vAlign w:val="center"/>
          </w:tcPr>
          <w:p w14:paraId="20A4BE7D">
            <w:pPr>
              <w:jc w:val="cente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1.5</w:t>
            </w:r>
            <w:r>
              <w:rPr>
                <w:rFonts w:hint="eastAsia" w:ascii="仿宋_GB2312" w:hAnsi="仿宋_GB2312" w:eastAsia="仿宋_GB2312" w:cs="仿宋_GB2312"/>
                <w:color w:val="auto"/>
                <w:kern w:val="0"/>
                <w:sz w:val="24"/>
              </w:rPr>
              <w:t>分</w:t>
            </w:r>
          </w:p>
        </w:tc>
      </w:tr>
      <w:tr w14:paraId="520A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06" w:type="dxa"/>
            <w:vMerge w:val="restart"/>
            <w:vAlign w:val="center"/>
          </w:tcPr>
          <w:p w14:paraId="1EA71526">
            <w:pPr>
              <w:jc w:val="center"/>
              <w:rPr>
                <w:rFonts w:hint="default" w:ascii="宋体" w:hAnsi="宋体" w:cs="宋体"/>
                <w:color w:val="auto"/>
                <w:highlight w:val="none"/>
                <w:lang w:val="en-US" w:eastAsia="zh-CN"/>
              </w:rPr>
            </w:pPr>
            <w:r>
              <w:rPr>
                <w:rFonts w:hint="eastAsia" w:ascii="宋体" w:hAnsi="宋体" w:cs="宋体"/>
                <w:color w:val="auto"/>
                <w:highlight w:val="none"/>
                <w:lang w:val="en-US" w:eastAsia="zh-CN"/>
              </w:rPr>
              <w:t>2</w:t>
            </w:r>
          </w:p>
        </w:tc>
        <w:tc>
          <w:tcPr>
            <w:tcW w:w="1348" w:type="dxa"/>
            <w:vMerge w:val="restart"/>
            <w:vAlign w:val="center"/>
          </w:tcPr>
          <w:p w14:paraId="42DC4BF5">
            <w:pPr>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技术解决方案</w:t>
            </w:r>
          </w:p>
        </w:tc>
        <w:tc>
          <w:tcPr>
            <w:tcW w:w="6353" w:type="dxa"/>
            <w:vAlign w:val="center"/>
          </w:tcPr>
          <w:p w14:paraId="4F6109F3">
            <w:pPr>
              <w:rPr>
                <w:rFonts w:hint="eastAsia" w:ascii="宋体" w:hAnsi="宋体" w:eastAsia="宋体" w:cs="宋体"/>
                <w:color w:val="auto"/>
                <w:highlight w:val="none"/>
              </w:rPr>
            </w:pPr>
            <w:r>
              <w:rPr>
                <w:rFonts w:hint="eastAsia" w:ascii="宋体" w:hAnsi="宋体" w:cs="宋体"/>
                <w:color w:val="auto"/>
                <w:highlight w:val="none"/>
                <w:lang w:val="en-US" w:eastAsia="zh-CN"/>
              </w:rPr>
              <w:t>以投标人总公司</w:t>
            </w:r>
            <w:r>
              <w:rPr>
                <w:rFonts w:hint="eastAsia" w:ascii="宋体" w:hAnsi="宋体" w:eastAsia="宋体" w:cs="宋体"/>
                <w:color w:val="auto"/>
                <w:highlight w:val="none"/>
              </w:rPr>
              <w:t>202</w:t>
            </w:r>
            <w:r>
              <w:rPr>
                <w:rFonts w:hint="eastAsia" w:ascii="宋体" w:hAnsi="宋体" w:eastAsia="宋体" w:cs="宋体"/>
                <w:color w:val="auto"/>
                <w:highlight w:val="none"/>
                <w:lang w:eastAsia="zh-CN"/>
              </w:rPr>
              <w:t>2</w:t>
            </w:r>
            <w:r>
              <w:rPr>
                <w:rFonts w:hint="eastAsia" w:ascii="宋体" w:hAnsi="宋体" w:eastAsia="宋体" w:cs="宋体"/>
                <w:color w:val="auto"/>
                <w:highlight w:val="none"/>
              </w:rPr>
              <w:t>年度财产险公司经营评价结果</w:t>
            </w:r>
            <w:r>
              <w:rPr>
                <w:rFonts w:hint="eastAsia" w:ascii="宋体" w:hAnsi="宋体" w:cs="宋体"/>
                <w:color w:val="auto"/>
                <w:highlight w:val="none"/>
                <w:lang w:val="en-US" w:eastAsia="zh-CN"/>
              </w:rPr>
              <w:t>进行评审</w:t>
            </w:r>
            <w:r>
              <w:rPr>
                <w:rFonts w:hint="eastAsia" w:ascii="宋体" w:hAnsi="宋体" w:cs="宋体"/>
                <w:color w:val="auto"/>
                <w:highlight w:val="none"/>
                <w:lang w:eastAsia="zh-CN"/>
              </w:rPr>
              <w:t>：</w:t>
            </w:r>
            <w:r>
              <w:rPr>
                <w:rFonts w:hint="eastAsia" w:ascii="宋体" w:hAnsi="宋体" w:eastAsia="宋体" w:cs="宋体"/>
                <w:color w:val="auto"/>
                <w:highlight w:val="none"/>
              </w:rPr>
              <w:t>A类得</w:t>
            </w:r>
            <w:r>
              <w:rPr>
                <w:rFonts w:hint="eastAsia" w:ascii="宋体" w:hAnsi="宋体" w:cs="宋体"/>
                <w:color w:val="auto"/>
                <w:highlight w:val="none"/>
                <w:lang w:val="en-US" w:eastAsia="zh-CN"/>
              </w:rPr>
              <w:t>4</w:t>
            </w:r>
            <w:r>
              <w:rPr>
                <w:rFonts w:hint="eastAsia" w:ascii="宋体" w:hAnsi="宋体" w:eastAsia="宋体" w:cs="宋体"/>
                <w:color w:val="auto"/>
                <w:highlight w:val="none"/>
              </w:rPr>
              <w:t>分，B类得</w:t>
            </w:r>
            <w:r>
              <w:rPr>
                <w:rFonts w:hint="eastAsia" w:ascii="宋体" w:hAnsi="宋体" w:cs="宋体"/>
                <w:color w:val="auto"/>
                <w:highlight w:val="none"/>
                <w:lang w:val="en-US" w:eastAsia="zh-CN"/>
              </w:rPr>
              <w:t>2</w:t>
            </w:r>
            <w:r>
              <w:rPr>
                <w:rFonts w:hint="eastAsia" w:ascii="宋体" w:hAnsi="宋体" w:eastAsia="宋体" w:cs="宋体"/>
                <w:color w:val="auto"/>
                <w:highlight w:val="none"/>
              </w:rPr>
              <w:t>分，C类得</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分，不提供不得分。</w:t>
            </w:r>
          </w:p>
          <w:p w14:paraId="2BF23EF3">
            <w:pPr>
              <w:rPr>
                <w:rFonts w:hint="eastAsia" w:ascii="宋体" w:hAnsi="宋体" w:eastAsia="宋体" w:cs="宋体"/>
                <w:color w:val="auto"/>
                <w:kern w:val="2"/>
                <w:sz w:val="21"/>
                <w:highlight w:val="none"/>
                <w:lang w:val="en-US" w:eastAsia="zh-CN" w:bidi="ar-SA"/>
              </w:rPr>
            </w:pPr>
            <w:r>
              <w:rPr>
                <w:rFonts w:hint="eastAsia" w:ascii="宋体" w:hAnsi="宋体" w:eastAsia="宋体" w:cs="宋体"/>
                <w:b/>
                <w:bCs/>
                <w:color w:val="auto"/>
                <w:highlight w:val="none"/>
              </w:rPr>
              <w:t>注：投标人提供经营评价相关证明材料加盖投标人公章，未提供该项不得分。</w:t>
            </w:r>
          </w:p>
        </w:tc>
        <w:tc>
          <w:tcPr>
            <w:tcW w:w="887" w:type="dxa"/>
            <w:vAlign w:val="center"/>
          </w:tcPr>
          <w:p w14:paraId="32B1ED67">
            <w:pPr>
              <w:jc w:val="center"/>
              <w:rPr>
                <w:rFonts w:hint="eastAsia" w:ascii="宋体" w:hAnsi="宋体" w:eastAsia="宋体" w:cs="宋体"/>
                <w:color w:val="auto"/>
                <w:kern w:val="2"/>
                <w:sz w:val="21"/>
                <w:highlight w:val="none"/>
                <w:lang w:val="en-US" w:eastAsia="zh-CN" w:bidi="ar-SA"/>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tc>
      </w:tr>
      <w:tr w14:paraId="1A69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706" w:type="dxa"/>
            <w:vMerge w:val="continue"/>
            <w:vAlign w:val="center"/>
          </w:tcPr>
          <w:p w14:paraId="2E2F6E45">
            <w:pPr>
              <w:jc w:val="center"/>
              <w:rPr>
                <w:rFonts w:hint="eastAsia" w:ascii="宋体" w:hAnsi="宋体" w:cs="宋体"/>
                <w:color w:val="auto"/>
                <w:highlight w:val="none"/>
                <w:lang w:val="en-US" w:eastAsia="zh-CN"/>
              </w:rPr>
            </w:pPr>
          </w:p>
        </w:tc>
        <w:tc>
          <w:tcPr>
            <w:tcW w:w="1348" w:type="dxa"/>
            <w:vMerge w:val="continue"/>
            <w:vAlign w:val="center"/>
          </w:tcPr>
          <w:p w14:paraId="6E42E8BD">
            <w:pPr>
              <w:jc w:val="center"/>
              <w:rPr>
                <w:rFonts w:hint="eastAsia" w:ascii="宋体" w:hAnsi="宋体" w:eastAsia="宋体" w:cs="宋体"/>
                <w:color w:val="auto"/>
                <w:kern w:val="2"/>
                <w:sz w:val="21"/>
                <w:highlight w:val="none"/>
                <w:lang w:val="en-US" w:eastAsia="zh-CN" w:bidi="ar-SA"/>
              </w:rPr>
            </w:pPr>
          </w:p>
        </w:tc>
        <w:tc>
          <w:tcPr>
            <w:tcW w:w="6353" w:type="dxa"/>
            <w:vAlign w:val="center"/>
          </w:tcPr>
          <w:p w14:paraId="11D9C5A5">
            <w:pP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以投标人总公司</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-202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年综合偿付能力充足率三年平均值</w:t>
            </w:r>
            <w:r>
              <w:rPr>
                <w:rFonts w:hint="eastAsia" w:ascii="宋体" w:hAnsi="宋体" w:cs="宋体"/>
                <w:color w:val="auto"/>
                <w:highlight w:val="none"/>
                <w:lang w:val="en-US" w:eastAsia="zh-CN"/>
              </w:rPr>
              <w:t>进行评审</w:t>
            </w:r>
            <w:r>
              <w:rPr>
                <w:rFonts w:hint="eastAsia" w:ascii="宋体" w:hAnsi="宋体" w:cs="宋体"/>
                <w:color w:val="auto"/>
                <w:highlight w:val="none"/>
                <w:lang w:eastAsia="zh-CN"/>
              </w:rPr>
              <w:t>：</w:t>
            </w:r>
          </w:p>
          <w:p w14:paraId="41DC0D8F">
            <w:pPr>
              <w:rPr>
                <w:rFonts w:hint="eastAsia" w:ascii="宋体" w:hAnsi="宋体" w:eastAsia="宋体" w:cs="宋体"/>
                <w:color w:val="auto"/>
                <w:highlight w:val="none"/>
              </w:rPr>
            </w:pPr>
            <w:r>
              <w:rPr>
                <w:rFonts w:hint="eastAsia" w:ascii="宋体" w:hAnsi="宋体" w:eastAsia="宋体" w:cs="宋体"/>
                <w:color w:val="auto"/>
                <w:highlight w:val="none"/>
              </w:rPr>
              <w:t>（1）综合偿付能力充足率高于2</w:t>
            </w:r>
            <w:r>
              <w:rPr>
                <w:rFonts w:hint="eastAsia" w:ascii="宋体" w:hAnsi="宋体" w:cs="宋体"/>
                <w:color w:val="auto"/>
                <w:highlight w:val="none"/>
                <w:lang w:val="en-US" w:eastAsia="zh-CN"/>
              </w:rPr>
              <w:t>2</w:t>
            </w:r>
            <w:r>
              <w:rPr>
                <w:rFonts w:hint="eastAsia" w:ascii="宋体" w:hAnsi="宋体" w:eastAsia="宋体" w:cs="宋体"/>
                <w:color w:val="auto"/>
                <w:highlight w:val="none"/>
              </w:rPr>
              <w:t>0％（含），得</w:t>
            </w:r>
            <w:r>
              <w:rPr>
                <w:rFonts w:hint="eastAsia" w:ascii="宋体" w:hAnsi="宋体" w:cs="宋体"/>
                <w:color w:val="auto"/>
                <w:highlight w:val="none"/>
                <w:lang w:val="en-US" w:eastAsia="zh-CN"/>
              </w:rPr>
              <w:t>6</w:t>
            </w:r>
            <w:r>
              <w:rPr>
                <w:rFonts w:hint="eastAsia" w:ascii="宋体" w:hAnsi="宋体" w:eastAsia="宋体" w:cs="宋体"/>
                <w:color w:val="auto"/>
                <w:highlight w:val="none"/>
              </w:rPr>
              <w:t>分；</w:t>
            </w:r>
          </w:p>
          <w:p w14:paraId="440378FA">
            <w:pPr>
              <w:rPr>
                <w:rFonts w:hint="eastAsia" w:ascii="宋体" w:hAnsi="宋体" w:eastAsia="宋体" w:cs="宋体"/>
                <w:color w:val="auto"/>
                <w:highlight w:val="none"/>
              </w:rPr>
            </w:pPr>
            <w:r>
              <w:rPr>
                <w:rFonts w:hint="eastAsia" w:ascii="宋体" w:hAnsi="宋体" w:eastAsia="宋体" w:cs="宋体"/>
                <w:color w:val="auto"/>
                <w:highlight w:val="none"/>
              </w:rPr>
              <w:t>（2）综合偿付能力充足率在180％（含）到2</w:t>
            </w:r>
            <w:r>
              <w:rPr>
                <w:rFonts w:hint="eastAsia" w:ascii="宋体" w:hAnsi="宋体" w:cs="宋体"/>
                <w:color w:val="auto"/>
                <w:highlight w:val="none"/>
                <w:lang w:val="en-US" w:eastAsia="zh-CN"/>
              </w:rPr>
              <w:t>2</w:t>
            </w:r>
            <w:r>
              <w:rPr>
                <w:rFonts w:hint="eastAsia" w:ascii="宋体" w:hAnsi="宋体" w:eastAsia="宋体" w:cs="宋体"/>
                <w:color w:val="auto"/>
                <w:highlight w:val="none"/>
              </w:rPr>
              <w:t>0％（不含）之间，得</w:t>
            </w: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p w14:paraId="1974BE32">
            <w:pPr>
              <w:rPr>
                <w:rFonts w:hint="eastAsia" w:ascii="宋体" w:hAnsi="宋体" w:eastAsia="宋体" w:cs="宋体"/>
                <w:color w:val="auto"/>
                <w:highlight w:val="none"/>
              </w:rPr>
            </w:pPr>
            <w:r>
              <w:rPr>
                <w:rFonts w:hint="eastAsia" w:ascii="宋体" w:hAnsi="宋体" w:eastAsia="宋体" w:cs="宋体"/>
                <w:color w:val="auto"/>
                <w:highlight w:val="none"/>
              </w:rPr>
              <w:t>（3）综合偿付能力充足率在100％（含）到180%（不含）之间，得2分；</w:t>
            </w:r>
          </w:p>
          <w:p w14:paraId="04EB2876">
            <w:pPr>
              <w:rPr>
                <w:rFonts w:hint="eastAsia" w:ascii="宋体" w:hAnsi="宋体" w:eastAsia="宋体" w:cs="宋体"/>
                <w:color w:val="auto"/>
                <w:highlight w:val="none"/>
              </w:rPr>
            </w:pPr>
            <w:r>
              <w:rPr>
                <w:rFonts w:hint="eastAsia" w:ascii="宋体" w:hAnsi="宋体" w:eastAsia="宋体" w:cs="宋体"/>
                <w:color w:val="auto"/>
                <w:highlight w:val="none"/>
              </w:rPr>
              <w:t>（4）综合偿付能力充足率低于100％（不含）的，不得分。</w:t>
            </w:r>
          </w:p>
          <w:p w14:paraId="6026C75D">
            <w:pPr>
              <w:rPr>
                <w:rFonts w:hint="eastAsia" w:ascii="宋体" w:hAnsi="宋体" w:eastAsia="宋体" w:cs="宋体"/>
                <w:color w:val="auto"/>
                <w:kern w:val="2"/>
                <w:sz w:val="21"/>
                <w:highlight w:val="none"/>
                <w:lang w:val="en-US" w:eastAsia="zh-CN" w:bidi="ar-SA"/>
              </w:rPr>
            </w:pPr>
            <w:r>
              <w:rPr>
                <w:rFonts w:hint="eastAsia" w:ascii="宋体" w:hAnsi="宋体" w:eastAsia="宋体" w:cs="宋体"/>
                <w:b/>
                <w:bCs/>
                <w:color w:val="auto"/>
                <w:highlight w:val="none"/>
              </w:rPr>
              <w:t>注：投标人提供偿付能力充足率等相关证明材料加盖投标人公章，未提供该项不得分。</w:t>
            </w:r>
          </w:p>
        </w:tc>
        <w:tc>
          <w:tcPr>
            <w:tcW w:w="887" w:type="dxa"/>
            <w:vAlign w:val="center"/>
          </w:tcPr>
          <w:p w14:paraId="7A24AE61">
            <w:pPr>
              <w:jc w:val="center"/>
              <w:rPr>
                <w:rFonts w:hint="eastAsia" w:ascii="宋体" w:hAnsi="宋体" w:eastAsia="宋体" w:cs="宋体"/>
                <w:color w:val="auto"/>
                <w:kern w:val="2"/>
                <w:sz w:val="21"/>
                <w:highlight w:val="none"/>
                <w:lang w:val="en-US" w:eastAsia="zh-CN" w:bidi="ar-SA"/>
              </w:rPr>
            </w:pPr>
            <w:r>
              <w:rPr>
                <w:rFonts w:hint="eastAsia" w:ascii="宋体" w:hAnsi="宋体" w:cs="宋体"/>
                <w:color w:val="auto"/>
                <w:highlight w:val="none"/>
                <w:lang w:val="en-US" w:eastAsia="zh-CN"/>
              </w:rPr>
              <w:t>6</w:t>
            </w:r>
            <w:r>
              <w:rPr>
                <w:rFonts w:hint="eastAsia" w:ascii="宋体" w:hAnsi="宋体" w:eastAsia="宋体" w:cs="宋体"/>
                <w:color w:val="auto"/>
                <w:highlight w:val="none"/>
              </w:rPr>
              <w:t>分</w:t>
            </w:r>
          </w:p>
        </w:tc>
      </w:tr>
      <w:tr w14:paraId="38DC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06" w:type="dxa"/>
            <w:vMerge w:val="continue"/>
            <w:vAlign w:val="center"/>
          </w:tcPr>
          <w:p w14:paraId="60514874">
            <w:pPr>
              <w:jc w:val="center"/>
              <w:rPr>
                <w:rFonts w:hint="eastAsia" w:ascii="宋体" w:hAnsi="宋体" w:eastAsia="宋体" w:cs="宋体"/>
                <w:color w:val="auto"/>
                <w:highlight w:val="none"/>
              </w:rPr>
            </w:pPr>
          </w:p>
        </w:tc>
        <w:tc>
          <w:tcPr>
            <w:tcW w:w="1348" w:type="dxa"/>
            <w:vMerge w:val="continue"/>
            <w:vAlign w:val="center"/>
          </w:tcPr>
          <w:p w14:paraId="3109B74B">
            <w:pPr>
              <w:jc w:val="center"/>
              <w:rPr>
                <w:rFonts w:hint="eastAsia" w:ascii="宋体" w:hAnsi="宋体" w:eastAsia="宋体" w:cs="宋体"/>
                <w:color w:val="auto"/>
                <w:highlight w:val="none"/>
                <w:lang w:eastAsia="zh-CN"/>
              </w:rPr>
            </w:pPr>
          </w:p>
        </w:tc>
        <w:tc>
          <w:tcPr>
            <w:tcW w:w="6353" w:type="dxa"/>
            <w:vAlign w:val="center"/>
          </w:tcPr>
          <w:p w14:paraId="5CC5D450">
            <w:pPr>
              <w:rPr>
                <w:rFonts w:hint="eastAsia" w:ascii="宋体" w:hAnsi="宋体" w:eastAsia="宋体" w:cs="宋体"/>
                <w:color w:val="auto"/>
                <w:highlight w:val="none"/>
                <w:lang w:eastAsia="zh-CN"/>
              </w:rPr>
            </w:pPr>
            <w:r>
              <w:rPr>
                <w:rFonts w:hint="eastAsia" w:ascii="宋体" w:hAnsi="宋体" w:eastAsia="宋体" w:cs="宋体"/>
                <w:color w:val="auto"/>
                <w:highlight w:val="none"/>
              </w:rPr>
              <w:t>风险管控服务方案</w:t>
            </w:r>
            <w:r>
              <w:rPr>
                <w:rFonts w:hint="eastAsia" w:ascii="宋体" w:hAnsi="宋体" w:eastAsia="宋体" w:cs="宋体"/>
                <w:color w:val="auto"/>
                <w:highlight w:val="none"/>
                <w:lang w:eastAsia="zh-CN"/>
              </w:rPr>
              <w:t>：</w:t>
            </w:r>
          </w:p>
          <w:p w14:paraId="47BC5C89">
            <w:pPr>
              <w:rPr>
                <w:rFonts w:hint="eastAsia" w:ascii="宋体" w:hAnsi="宋体" w:eastAsia="宋体" w:cs="宋体"/>
                <w:color w:val="auto"/>
                <w:highlight w:val="none"/>
              </w:rPr>
            </w:pPr>
            <w:r>
              <w:rPr>
                <w:rFonts w:hint="eastAsia" w:ascii="宋体" w:hAnsi="宋体" w:eastAsia="宋体" w:cs="宋体"/>
                <w:color w:val="auto"/>
                <w:highlight w:val="none"/>
              </w:rPr>
              <w:t>根据投标人对本项目的风险管控服务方案的合理性、可行性和针对性进行评审。（0-</w:t>
            </w:r>
            <w:r>
              <w:rPr>
                <w:rFonts w:hint="eastAsia" w:ascii="宋体" w:hAnsi="宋体" w:cs="宋体"/>
                <w:color w:val="auto"/>
                <w:highlight w:val="none"/>
                <w:lang w:val="en-US" w:eastAsia="zh-CN"/>
              </w:rPr>
              <w:t>5</w:t>
            </w:r>
            <w:r>
              <w:rPr>
                <w:rFonts w:hint="eastAsia" w:ascii="宋体" w:hAnsi="宋体" w:eastAsia="宋体" w:cs="宋体"/>
                <w:color w:val="auto"/>
                <w:highlight w:val="none"/>
              </w:rPr>
              <w:t>）</w:t>
            </w:r>
          </w:p>
          <w:p w14:paraId="094C4363">
            <w:pP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根据投标人对本项目风险管控服务计划内容的合理性、可行性和针对性进行评审。（0-</w:t>
            </w:r>
            <w:r>
              <w:rPr>
                <w:rFonts w:hint="eastAsia" w:ascii="宋体" w:hAnsi="宋体" w:cs="宋体"/>
                <w:color w:val="auto"/>
                <w:highlight w:val="none"/>
                <w:lang w:val="en-US" w:eastAsia="zh-CN"/>
              </w:rPr>
              <w:t>5</w:t>
            </w:r>
            <w:r>
              <w:rPr>
                <w:rFonts w:hint="eastAsia" w:ascii="宋体" w:hAnsi="宋体" w:eastAsia="宋体" w:cs="宋体"/>
                <w:color w:val="auto"/>
                <w:highlight w:val="none"/>
              </w:rPr>
              <w:t>）</w:t>
            </w:r>
          </w:p>
        </w:tc>
        <w:tc>
          <w:tcPr>
            <w:tcW w:w="887" w:type="dxa"/>
            <w:vAlign w:val="center"/>
          </w:tcPr>
          <w:p w14:paraId="3574832D">
            <w:pPr>
              <w:jc w:val="center"/>
              <w:rPr>
                <w:rFonts w:hint="eastAsia" w:ascii="宋体" w:hAnsi="宋体" w:eastAsia="宋体" w:cs="宋体"/>
                <w:color w:val="auto"/>
                <w:kern w:val="2"/>
                <w:sz w:val="21"/>
                <w:highlight w:val="none"/>
                <w:lang w:val="en-US" w:eastAsia="zh-CN" w:bidi="ar-SA"/>
              </w:rPr>
            </w:pPr>
            <w:r>
              <w:rPr>
                <w:rFonts w:hint="eastAsia" w:ascii="宋体" w:hAnsi="宋体" w:cs="宋体"/>
                <w:color w:val="auto"/>
                <w:highlight w:val="none"/>
                <w:lang w:val="en-US" w:eastAsia="zh-CN"/>
              </w:rPr>
              <w:t>10</w:t>
            </w:r>
            <w:r>
              <w:rPr>
                <w:rFonts w:hint="eastAsia" w:ascii="宋体" w:hAnsi="宋体" w:eastAsia="宋体" w:cs="宋体"/>
                <w:color w:val="auto"/>
                <w:highlight w:val="none"/>
              </w:rPr>
              <w:t>分</w:t>
            </w:r>
          </w:p>
        </w:tc>
      </w:tr>
      <w:tr w14:paraId="36C95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vMerge w:val="continue"/>
            <w:vAlign w:val="center"/>
          </w:tcPr>
          <w:p w14:paraId="1492EEF2">
            <w:pPr>
              <w:jc w:val="center"/>
              <w:rPr>
                <w:rFonts w:hint="eastAsia" w:ascii="宋体" w:hAnsi="宋体" w:eastAsia="宋体" w:cs="宋体"/>
                <w:color w:val="auto"/>
                <w:highlight w:val="none"/>
              </w:rPr>
            </w:pPr>
          </w:p>
        </w:tc>
        <w:tc>
          <w:tcPr>
            <w:tcW w:w="1348" w:type="dxa"/>
            <w:vMerge w:val="continue"/>
            <w:vAlign w:val="center"/>
          </w:tcPr>
          <w:p w14:paraId="06D373E1">
            <w:pPr>
              <w:jc w:val="center"/>
              <w:rPr>
                <w:rFonts w:hint="eastAsia" w:ascii="宋体" w:hAnsi="宋体" w:eastAsia="宋体" w:cs="宋体"/>
                <w:color w:val="auto"/>
                <w:highlight w:val="none"/>
              </w:rPr>
            </w:pPr>
          </w:p>
        </w:tc>
        <w:tc>
          <w:tcPr>
            <w:tcW w:w="6353" w:type="dxa"/>
            <w:vAlign w:val="center"/>
          </w:tcPr>
          <w:p w14:paraId="67AEB96F">
            <w:pPr>
              <w:rPr>
                <w:rFonts w:hint="eastAsia" w:ascii="宋体" w:hAnsi="宋体" w:eastAsia="宋体" w:cs="宋体"/>
                <w:color w:val="auto"/>
                <w:highlight w:val="none"/>
                <w:lang w:eastAsia="zh-CN"/>
              </w:rPr>
            </w:pPr>
            <w:r>
              <w:rPr>
                <w:rFonts w:hint="eastAsia" w:ascii="宋体" w:hAnsi="宋体" w:eastAsia="宋体" w:cs="宋体"/>
                <w:color w:val="auto"/>
                <w:highlight w:val="none"/>
              </w:rPr>
              <w:t>理赔服务方案</w:t>
            </w:r>
            <w:r>
              <w:rPr>
                <w:rFonts w:hint="eastAsia" w:ascii="宋体" w:hAnsi="宋体" w:eastAsia="宋体" w:cs="宋体"/>
                <w:color w:val="auto"/>
                <w:highlight w:val="none"/>
                <w:lang w:eastAsia="zh-CN"/>
              </w:rPr>
              <w:t>：</w:t>
            </w:r>
          </w:p>
          <w:p w14:paraId="07E5B95A">
            <w:pPr>
              <w:rPr>
                <w:rFonts w:hint="eastAsia" w:ascii="宋体" w:hAnsi="宋体" w:eastAsia="宋体" w:cs="宋体"/>
                <w:color w:val="auto"/>
                <w:highlight w:val="none"/>
              </w:rPr>
            </w:pPr>
            <w:r>
              <w:rPr>
                <w:rFonts w:hint="eastAsia" w:ascii="宋体" w:hAnsi="宋体" w:eastAsia="宋体" w:cs="宋体"/>
                <w:color w:val="auto"/>
                <w:highlight w:val="none"/>
              </w:rPr>
              <w:t>根据投标人对本项目所提出的理赔服务方案对投保人日常工作的便利性、主动性进行评审。（0-</w:t>
            </w:r>
            <w:r>
              <w:rPr>
                <w:rFonts w:hint="eastAsia" w:ascii="宋体" w:hAnsi="宋体" w:cs="宋体"/>
                <w:color w:val="auto"/>
                <w:highlight w:val="none"/>
                <w:lang w:val="en-US" w:eastAsia="zh-CN"/>
              </w:rPr>
              <w:t>5</w:t>
            </w:r>
            <w:r>
              <w:rPr>
                <w:rFonts w:hint="eastAsia" w:ascii="宋体" w:hAnsi="宋体" w:eastAsia="宋体" w:cs="宋体"/>
                <w:color w:val="auto"/>
                <w:highlight w:val="none"/>
              </w:rPr>
              <w:t>分）</w:t>
            </w:r>
          </w:p>
          <w:p w14:paraId="5E9AB167">
            <w:pPr>
              <w:rPr>
                <w:rFonts w:hint="eastAsia" w:ascii="宋体" w:hAnsi="宋体" w:eastAsia="宋体" w:cs="宋体"/>
                <w:color w:val="auto"/>
                <w:kern w:val="2"/>
                <w:sz w:val="21"/>
                <w:highlight w:val="none"/>
                <w:lang w:val="en-US" w:eastAsia="zh-CN" w:bidi="ar-SA"/>
              </w:rPr>
            </w:pPr>
            <w:r>
              <w:rPr>
                <w:rFonts w:hint="eastAsia" w:ascii="宋体" w:hAnsi="宋体" w:cs="宋体"/>
                <w:color w:val="auto"/>
                <w:highlight w:val="none"/>
                <w:lang w:val="en-US" w:eastAsia="zh-CN"/>
              </w:rPr>
              <w:t>根据</w:t>
            </w:r>
            <w:r>
              <w:rPr>
                <w:rFonts w:hint="eastAsia" w:ascii="宋体" w:hAnsi="宋体" w:eastAsia="宋体" w:cs="宋体"/>
                <w:color w:val="auto"/>
                <w:highlight w:val="none"/>
              </w:rPr>
              <w:t>投标人对本项目确定的内部理赔工作流程进行说明，根据说明的清晰性、专业性、可操作性进行评审。（0-</w:t>
            </w:r>
            <w:r>
              <w:rPr>
                <w:rFonts w:hint="eastAsia" w:ascii="宋体" w:hAnsi="宋体" w:cs="宋体"/>
                <w:color w:val="auto"/>
                <w:highlight w:val="none"/>
                <w:lang w:val="en-US" w:eastAsia="zh-CN"/>
              </w:rPr>
              <w:t>5</w:t>
            </w:r>
            <w:r>
              <w:rPr>
                <w:rFonts w:hint="eastAsia" w:ascii="宋体" w:hAnsi="宋体" w:eastAsia="宋体" w:cs="宋体"/>
                <w:color w:val="auto"/>
                <w:highlight w:val="none"/>
              </w:rPr>
              <w:t>分）</w:t>
            </w:r>
          </w:p>
        </w:tc>
        <w:tc>
          <w:tcPr>
            <w:tcW w:w="887" w:type="dxa"/>
            <w:vAlign w:val="center"/>
          </w:tcPr>
          <w:p w14:paraId="57B364F6">
            <w:pPr>
              <w:jc w:val="center"/>
              <w:rPr>
                <w:rFonts w:hint="eastAsia" w:ascii="宋体" w:hAnsi="宋体" w:eastAsia="宋体" w:cs="宋体"/>
                <w:color w:val="auto"/>
                <w:kern w:val="2"/>
                <w:sz w:val="21"/>
                <w:highlight w:val="none"/>
                <w:lang w:val="en-US" w:eastAsia="zh-CN" w:bidi="ar-SA"/>
              </w:rPr>
            </w:pPr>
            <w:r>
              <w:rPr>
                <w:rFonts w:hint="eastAsia" w:ascii="宋体" w:hAnsi="宋体" w:cs="宋体"/>
                <w:color w:val="auto"/>
                <w:highlight w:val="none"/>
                <w:lang w:val="en-US" w:eastAsia="zh-CN"/>
              </w:rPr>
              <w:t>10</w:t>
            </w:r>
            <w:r>
              <w:rPr>
                <w:rFonts w:hint="eastAsia" w:ascii="宋体" w:hAnsi="宋体" w:eastAsia="宋体" w:cs="宋体"/>
                <w:color w:val="auto"/>
                <w:highlight w:val="none"/>
              </w:rPr>
              <w:t>分</w:t>
            </w:r>
          </w:p>
        </w:tc>
      </w:tr>
      <w:tr w14:paraId="08A2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14:paraId="270BA87D">
            <w:pPr>
              <w:jc w:val="center"/>
              <w:rPr>
                <w:rFonts w:hint="default" w:ascii="宋体" w:hAnsi="宋体" w:eastAsia="宋体" w:cs="宋体"/>
                <w:color w:val="auto"/>
                <w:highlight w:val="none"/>
                <w:lang w:val="en-US"/>
              </w:rPr>
            </w:pPr>
            <w:r>
              <w:rPr>
                <w:rFonts w:hint="eastAsia" w:ascii="宋体" w:hAnsi="宋体" w:cs="宋体"/>
                <w:color w:val="auto"/>
                <w:highlight w:val="none"/>
                <w:lang w:val="en-US" w:eastAsia="zh-CN"/>
              </w:rPr>
              <w:t>3</w:t>
            </w:r>
          </w:p>
        </w:tc>
        <w:tc>
          <w:tcPr>
            <w:tcW w:w="1348" w:type="dxa"/>
            <w:vMerge w:val="restart"/>
            <w:vAlign w:val="center"/>
          </w:tcPr>
          <w:p w14:paraId="5AB15910">
            <w:pPr>
              <w:jc w:val="center"/>
              <w:rPr>
                <w:rFonts w:hint="eastAsia" w:ascii="宋体" w:hAnsi="宋体" w:eastAsia="宋体" w:cs="宋体"/>
                <w:color w:val="auto"/>
                <w:highlight w:val="none"/>
              </w:rPr>
            </w:pPr>
            <w:r>
              <w:rPr>
                <w:rFonts w:hint="eastAsia" w:ascii="宋体" w:hAnsi="宋体" w:cs="宋体"/>
                <w:color w:val="auto"/>
                <w:highlight w:val="none"/>
                <w:lang w:eastAsia="zh-CN"/>
              </w:rPr>
              <w:t>组织实施方案</w:t>
            </w:r>
          </w:p>
        </w:tc>
        <w:tc>
          <w:tcPr>
            <w:tcW w:w="6353" w:type="dxa"/>
            <w:vAlign w:val="center"/>
          </w:tcPr>
          <w:p w14:paraId="52E47489">
            <w:pPr>
              <w:rPr>
                <w:rFonts w:hint="eastAsia" w:ascii="宋体" w:hAnsi="宋体" w:eastAsia="宋体" w:cs="宋体"/>
                <w:color w:val="auto"/>
                <w:highlight w:val="none"/>
                <w:lang w:eastAsia="zh-CN"/>
              </w:rPr>
            </w:pPr>
            <w:r>
              <w:rPr>
                <w:rFonts w:hint="eastAsia" w:ascii="宋体" w:hAnsi="宋体" w:eastAsia="宋体" w:cs="宋体"/>
                <w:color w:val="auto"/>
                <w:highlight w:val="none"/>
              </w:rPr>
              <w:t>常规理赔权限额度</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根据投标人提供的</w:t>
            </w:r>
            <w:r>
              <w:rPr>
                <w:rFonts w:hint="eastAsia" w:ascii="宋体" w:hAnsi="宋体" w:cs="宋体"/>
                <w:color w:val="auto"/>
                <w:highlight w:val="none"/>
                <w:lang w:eastAsia="zh-CN"/>
              </w:rPr>
              <w:t>详细实施计划中</w:t>
            </w:r>
            <w:r>
              <w:rPr>
                <w:rFonts w:hint="eastAsia" w:ascii="宋体" w:hAnsi="宋体" w:eastAsia="宋体" w:cs="宋体"/>
                <w:color w:val="auto"/>
                <w:highlight w:val="none"/>
              </w:rPr>
              <w:t>常规理赔权限额度证明进行评审。（0-</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w:t>
            </w:r>
          </w:p>
        </w:tc>
        <w:tc>
          <w:tcPr>
            <w:tcW w:w="887" w:type="dxa"/>
            <w:vAlign w:val="center"/>
          </w:tcPr>
          <w:p w14:paraId="3D2AE6C4">
            <w:pPr>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w:t>
            </w:r>
          </w:p>
        </w:tc>
      </w:tr>
      <w:tr w14:paraId="72CA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6" w:type="dxa"/>
            <w:vMerge w:val="continue"/>
            <w:vAlign w:val="center"/>
          </w:tcPr>
          <w:p w14:paraId="046DF387">
            <w:pPr>
              <w:jc w:val="center"/>
              <w:rPr>
                <w:rFonts w:hint="eastAsia" w:ascii="宋体" w:hAnsi="宋体" w:eastAsia="宋体" w:cs="宋体"/>
                <w:color w:val="auto"/>
                <w:highlight w:val="none"/>
              </w:rPr>
            </w:pPr>
          </w:p>
        </w:tc>
        <w:tc>
          <w:tcPr>
            <w:tcW w:w="1348" w:type="dxa"/>
            <w:vMerge w:val="continue"/>
            <w:vAlign w:val="center"/>
          </w:tcPr>
          <w:p w14:paraId="72E92BCA">
            <w:pPr>
              <w:jc w:val="center"/>
              <w:rPr>
                <w:rFonts w:hint="eastAsia" w:ascii="宋体" w:hAnsi="宋体" w:eastAsia="宋体" w:cs="宋体"/>
                <w:color w:val="auto"/>
                <w:highlight w:val="none"/>
              </w:rPr>
            </w:pPr>
          </w:p>
        </w:tc>
        <w:tc>
          <w:tcPr>
            <w:tcW w:w="6353" w:type="dxa"/>
          </w:tcPr>
          <w:p w14:paraId="4D8AE8F2">
            <w:pPr>
              <w:rPr>
                <w:rFonts w:hint="eastAsia" w:ascii="宋体" w:hAnsi="宋体" w:eastAsia="宋体" w:cs="宋体"/>
                <w:color w:val="auto"/>
                <w:highlight w:val="none"/>
              </w:rPr>
            </w:pPr>
            <w:r>
              <w:rPr>
                <w:rFonts w:hint="eastAsia" w:ascii="宋体" w:hAnsi="宋体" w:cs="宋体"/>
                <w:color w:val="auto"/>
                <w:highlight w:val="none"/>
                <w:lang w:eastAsia="zh-CN"/>
              </w:rPr>
              <w:t>赔付时效承诺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根据投标人</w:t>
            </w:r>
            <w:r>
              <w:rPr>
                <w:rFonts w:hint="eastAsia" w:ascii="宋体" w:hAnsi="宋体" w:cs="宋体"/>
                <w:color w:val="auto"/>
                <w:highlight w:val="none"/>
                <w:lang w:eastAsia="zh-CN"/>
              </w:rPr>
              <w:t>详细实施计划中</w:t>
            </w:r>
            <w:r>
              <w:rPr>
                <w:rFonts w:hint="eastAsia" w:ascii="宋体" w:hAnsi="宋体" w:eastAsia="宋体" w:cs="宋体"/>
                <w:color w:val="auto"/>
                <w:highlight w:val="none"/>
              </w:rPr>
              <w:t>理赔金额大于500万元及以上的赔案，签订赔付协议后10</w:t>
            </w:r>
            <w:r>
              <w:rPr>
                <w:rFonts w:hint="eastAsia" w:ascii="宋体" w:hAnsi="宋体" w:eastAsia="宋体" w:cs="宋体"/>
                <w:color w:val="auto"/>
                <w:highlight w:val="none"/>
                <w:lang w:eastAsia="zh-CN"/>
              </w:rPr>
              <w:t>个</w:t>
            </w:r>
            <w:r>
              <w:rPr>
                <w:rFonts w:hint="eastAsia" w:ascii="宋体" w:hAnsi="宋体" w:eastAsia="宋体" w:cs="宋体"/>
                <w:color w:val="auto"/>
                <w:highlight w:val="none"/>
                <w:lang w:val="en-US" w:eastAsia="zh-CN"/>
              </w:rPr>
              <w:t>工作日</w:t>
            </w:r>
            <w:r>
              <w:rPr>
                <w:rFonts w:hint="eastAsia" w:ascii="宋体" w:hAnsi="宋体" w:eastAsia="宋体" w:cs="宋体"/>
                <w:color w:val="auto"/>
                <w:highlight w:val="none"/>
              </w:rPr>
              <w:t>内划拨保险赔款，承诺提前3</w:t>
            </w:r>
            <w:r>
              <w:rPr>
                <w:rFonts w:hint="eastAsia" w:ascii="宋体" w:hAnsi="宋体" w:eastAsia="宋体" w:cs="宋体"/>
                <w:color w:val="auto"/>
                <w:highlight w:val="none"/>
                <w:lang w:eastAsia="zh-CN"/>
              </w:rPr>
              <w:t>个</w:t>
            </w:r>
            <w:r>
              <w:rPr>
                <w:rFonts w:hint="eastAsia" w:ascii="宋体" w:hAnsi="宋体" w:eastAsia="宋体" w:cs="宋体"/>
                <w:color w:val="auto"/>
                <w:highlight w:val="none"/>
                <w:lang w:val="en-US" w:eastAsia="zh-CN"/>
              </w:rPr>
              <w:t>工作日</w:t>
            </w:r>
            <w:r>
              <w:rPr>
                <w:rFonts w:hint="eastAsia" w:ascii="宋体" w:hAnsi="宋体" w:eastAsia="宋体" w:cs="宋体"/>
                <w:color w:val="auto"/>
                <w:highlight w:val="none"/>
              </w:rPr>
              <w:t>及以上的得6分。</w:t>
            </w:r>
          </w:p>
        </w:tc>
        <w:tc>
          <w:tcPr>
            <w:tcW w:w="887" w:type="dxa"/>
            <w:vAlign w:val="center"/>
          </w:tcPr>
          <w:p w14:paraId="04E3B819">
            <w:pPr>
              <w:jc w:val="center"/>
              <w:rPr>
                <w:rFonts w:hint="eastAsia" w:ascii="宋体" w:hAnsi="宋体" w:eastAsia="宋体" w:cs="宋体"/>
                <w:color w:val="auto"/>
                <w:highlight w:val="none"/>
              </w:rPr>
            </w:pPr>
            <w:r>
              <w:rPr>
                <w:rFonts w:hint="eastAsia" w:ascii="宋体" w:hAnsi="宋体" w:eastAsia="宋体" w:cs="宋体"/>
                <w:color w:val="auto"/>
                <w:highlight w:val="none"/>
              </w:rPr>
              <w:t>6分</w:t>
            </w:r>
          </w:p>
        </w:tc>
      </w:tr>
      <w:tr w14:paraId="417D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47C8B224">
            <w:pPr>
              <w:jc w:val="center"/>
              <w:rPr>
                <w:rFonts w:hint="eastAsia" w:ascii="宋体" w:hAnsi="宋体" w:eastAsia="宋体" w:cs="宋体"/>
                <w:color w:val="auto"/>
                <w:highlight w:val="none"/>
              </w:rPr>
            </w:pPr>
          </w:p>
        </w:tc>
        <w:tc>
          <w:tcPr>
            <w:tcW w:w="1348" w:type="dxa"/>
            <w:vMerge w:val="continue"/>
            <w:vAlign w:val="center"/>
          </w:tcPr>
          <w:p w14:paraId="6EACC3E0">
            <w:pPr>
              <w:jc w:val="center"/>
              <w:rPr>
                <w:rFonts w:hint="eastAsia" w:ascii="宋体" w:hAnsi="宋体" w:eastAsia="宋体" w:cs="宋体"/>
                <w:color w:val="auto"/>
                <w:highlight w:val="none"/>
              </w:rPr>
            </w:pPr>
          </w:p>
        </w:tc>
        <w:tc>
          <w:tcPr>
            <w:tcW w:w="6353" w:type="dxa"/>
          </w:tcPr>
          <w:p w14:paraId="3733DDF7">
            <w:pPr>
              <w:rPr>
                <w:rFonts w:hint="eastAsia" w:ascii="宋体" w:hAnsi="宋体" w:eastAsia="宋体" w:cs="宋体"/>
                <w:color w:val="auto"/>
                <w:highlight w:val="none"/>
              </w:rPr>
            </w:pPr>
            <w:r>
              <w:rPr>
                <w:rFonts w:hint="eastAsia" w:ascii="宋体" w:hAnsi="宋体" w:eastAsia="宋体" w:cs="宋体"/>
                <w:color w:val="auto"/>
                <w:highlight w:val="none"/>
              </w:rPr>
              <w:t>预赔付承诺</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根据投标人</w:t>
            </w:r>
            <w:r>
              <w:rPr>
                <w:rFonts w:hint="eastAsia" w:ascii="宋体" w:hAnsi="宋体" w:cs="宋体"/>
                <w:color w:val="auto"/>
                <w:highlight w:val="none"/>
                <w:lang w:eastAsia="zh-CN"/>
              </w:rPr>
              <w:t>详细实施计划中</w:t>
            </w:r>
            <w:r>
              <w:rPr>
                <w:rFonts w:hint="eastAsia" w:ascii="宋体" w:hAnsi="宋体" w:eastAsia="宋体" w:cs="宋体"/>
                <w:color w:val="auto"/>
                <w:highlight w:val="none"/>
              </w:rPr>
              <w:t>对本项目所提出的预赔付估损金额进行评审</w:t>
            </w:r>
            <w:r>
              <w:rPr>
                <w:rFonts w:hint="eastAsia" w:ascii="宋体" w:hAnsi="宋体" w:cs="宋体"/>
                <w:color w:val="auto"/>
                <w:highlight w:val="none"/>
                <w:lang w:eastAsia="zh-CN"/>
              </w:rPr>
              <w:t>：</w:t>
            </w:r>
            <w:r>
              <w:rPr>
                <w:rFonts w:hint="eastAsia" w:ascii="宋体" w:hAnsi="宋体" w:eastAsia="宋体" w:cs="宋体"/>
                <w:color w:val="auto"/>
                <w:highlight w:val="none"/>
              </w:rPr>
              <w:t>预赔付为70%及以上的得5分；预赔付为60%（含）-70%的得3分；预赔付为50%（含）-60%的得1分，预赔付小于50%的不得分。</w:t>
            </w:r>
          </w:p>
        </w:tc>
        <w:tc>
          <w:tcPr>
            <w:tcW w:w="887" w:type="dxa"/>
            <w:vAlign w:val="center"/>
          </w:tcPr>
          <w:p w14:paraId="17A61DEE">
            <w:pPr>
              <w:jc w:val="center"/>
              <w:rPr>
                <w:rFonts w:hint="eastAsia" w:ascii="宋体" w:hAnsi="宋体" w:eastAsia="宋体" w:cs="宋体"/>
                <w:color w:val="auto"/>
                <w:highlight w:val="none"/>
              </w:rPr>
            </w:pPr>
            <w:r>
              <w:rPr>
                <w:rFonts w:hint="eastAsia" w:ascii="宋体" w:hAnsi="宋体" w:eastAsia="宋体" w:cs="宋体"/>
                <w:color w:val="auto"/>
                <w:highlight w:val="none"/>
              </w:rPr>
              <w:t>5分</w:t>
            </w:r>
          </w:p>
        </w:tc>
      </w:tr>
      <w:tr w14:paraId="6D3F2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14:paraId="14BF6049">
            <w:pPr>
              <w:jc w:val="center"/>
              <w:rPr>
                <w:rFonts w:hint="eastAsia" w:ascii="宋体" w:hAnsi="宋体" w:eastAsia="宋体" w:cs="宋体"/>
                <w:color w:val="auto"/>
                <w:highlight w:val="none"/>
                <w:lang w:eastAsia="zh-CN"/>
              </w:rPr>
            </w:pPr>
            <w:r>
              <w:rPr>
                <w:rFonts w:hint="eastAsia" w:ascii="宋体" w:hAnsi="宋体" w:cs="宋体"/>
                <w:color w:val="auto"/>
                <w:highlight w:val="none"/>
                <w:lang w:val="en-US" w:eastAsia="zh-CN"/>
              </w:rPr>
              <w:t>4</w:t>
            </w:r>
          </w:p>
        </w:tc>
        <w:tc>
          <w:tcPr>
            <w:tcW w:w="1348" w:type="dxa"/>
            <w:vAlign w:val="center"/>
          </w:tcPr>
          <w:p w14:paraId="75D289FC">
            <w:pPr>
              <w:jc w:val="center"/>
              <w:rPr>
                <w:rFonts w:hint="eastAsia" w:ascii="宋体" w:hAnsi="宋体" w:eastAsia="宋体" w:cs="宋体"/>
                <w:color w:val="auto"/>
                <w:kern w:val="2"/>
                <w:sz w:val="21"/>
                <w:highlight w:val="none"/>
                <w:lang w:val="en-US" w:eastAsia="zh-CN" w:bidi="ar-SA"/>
              </w:rPr>
            </w:pPr>
            <w:r>
              <w:rPr>
                <w:rFonts w:hint="eastAsia" w:ascii="宋体" w:hAnsi="宋体" w:cs="宋体"/>
                <w:color w:val="auto"/>
                <w:highlight w:val="none"/>
                <w:lang w:eastAsia="zh-CN"/>
              </w:rPr>
              <w:t>售后服务方案</w:t>
            </w:r>
          </w:p>
        </w:tc>
        <w:tc>
          <w:tcPr>
            <w:tcW w:w="6353" w:type="dxa"/>
            <w:vAlign w:val="top"/>
          </w:tcPr>
          <w:p w14:paraId="5AD2E459">
            <w:pP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根据投标人</w:t>
            </w:r>
            <w:r>
              <w:rPr>
                <w:rFonts w:hint="eastAsia" w:ascii="宋体" w:hAnsi="宋体" w:cs="宋体"/>
                <w:color w:val="auto"/>
                <w:highlight w:val="none"/>
                <w:lang w:val="en-US" w:eastAsia="zh-CN"/>
              </w:rPr>
              <w:t>的</w:t>
            </w:r>
            <w:r>
              <w:rPr>
                <w:rFonts w:hint="eastAsia" w:ascii="宋体" w:hAnsi="宋体" w:eastAsia="宋体" w:cs="宋体"/>
                <w:color w:val="auto"/>
                <w:highlight w:val="none"/>
              </w:rPr>
              <w:t>服务响应时间、服务渠道多样性、服务的便捷性进行评审。（0-</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w:t>
            </w:r>
          </w:p>
        </w:tc>
        <w:tc>
          <w:tcPr>
            <w:tcW w:w="887" w:type="dxa"/>
            <w:vAlign w:val="center"/>
          </w:tcPr>
          <w:p w14:paraId="1F57F0F2">
            <w:pPr>
              <w:jc w:val="cente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w:t>
            </w:r>
          </w:p>
        </w:tc>
      </w:tr>
      <w:tr w14:paraId="1DF2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14:paraId="273DB29B">
            <w:pPr>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5</w:t>
            </w:r>
          </w:p>
        </w:tc>
        <w:tc>
          <w:tcPr>
            <w:tcW w:w="1348" w:type="dxa"/>
            <w:vMerge w:val="restart"/>
            <w:vAlign w:val="center"/>
          </w:tcPr>
          <w:p w14:paraId="19BE163F">
            <w:pPr>
              <w:jc w:val="center"/>
              <w:rPr>
                <w:rFonts w:hint="eastAsia" w:ascii="宋体" w:hAnsi="宋体" w:eastAsia="宋体" w:cs="宋体"/>
                <w:color w:val="auto"/>
                <w:highlight w:val="none"/>
              </w:rPr>
            </w:pPr>
            <w:r>
              <w:rPr>
                <w:rFonts w:hint="eastAsia" w:ascii="宋体" w:hAnsi="宋体" w:cs="宋体"/>
                <w:color w:val="auto"/>
                <w:highlight w:val="none"/>
                <w:lang w:eastAsia="zh-CN"/>
              </w:rPr>
              <w:t>项目小组人员名单</w:t>
            </w:r>
          </w:p>
        </w:tc>
        <w:tc>
          <w:tcPr>
            <w:tcW w:w="6353" w:type="dxa"/>
            <w:vAlign w:val="center"/>
          </w:tcPr>
          <w:p w14:paraId="6B3BEF0B">
            <w:pP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拟派项目负责人的职称、任职经历</w:t>
            </w:r>
            <w:r>
              <w:rPr>
                <w:rFonts w:hint="eastAsia" w:ascii="宋体" w:hAnsi="宋体" w:cs="宋体"/>
                <w:color w:val="auto"/>
                <w:highlight w:val="none"/>
                <w:lang w:eastAsia="zh-CN"/>
              </w:rPr>
              <w:t>的</w:t>
            </w:r>
            <w:r>
              <w:rPr>
                <w:rFonts w:hint="eastAsia" w:ascii="宋体" w:hAnsi="宋体" w:cs="宋体"/>
                <w:color w:val="auto"/>
                <w:highlight w:val="none"/>
                <w:lang w:val="en-US" w:eastAsia="zh-CN"/>
              </w:rPr>
              <w:t>专业性</w:t>
            </w:r>
            <w:r>
              <w:rPr>
                <w:rFonts w:hint="eastAsia" w:ascii="宋体" w:hAnsi="宋体" w:eastAsia="宋体" w:cs="宋体"/>
                <w:color w:val="auto"/>
                <w:highlight w:val="none"/>
              </w:rPr>
              <w:t>进行评审。（0-</w:t>
            </w: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tc>
        <w:tc>
          <w:tcPr>
            <w:tcW w:w="887" w:type="dxa"/>
            <w:vAlign w:val="center"/>
          </w:tcPr>
          <w:p w14:paraId="0EC8FD6D">
            <w:pPr>
              <w:jc w:val="center"/>
              <w:rPr>
                <w:rFonts w:hint="eastAsia" w:ascii="宋体" w:hAnsi="宋体" w:eastAsia="宋体" w:cs="宋体"/>
                <w:color w:val="auto"/>
                <w:kern w:val="2"/>
                <w:sz w:val="21"/>
                <w:highlight w:val="none"/>
                <w:lang w:val="en-US" w:eastAsia="zh-CN" w:bidi="ar-SA"/>
              </w:rPr>
            </w:pP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tc>
      </w:tr>
      <w:tr w14:paraId="36AB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06379766">
            <w:pPr>
              <w:jc w:val="center"/>
              <w:rPr>
                <w:rFonts w:hint="eastAsia" w:ascii="宋体" w:hAnsi="宋体" w:eastAsia="宋体" w:cs="宋体"/>
                <w:color w:val="auto"/>
                <w:highlight w:val="none"/>
              </w:rPr>
            </w:pPr>
          </w:p>
        </w:tc>
        <w:tc>
          <w:tcPr>
            <w:tcW w:w="1348" w:type="dxa"/>
            <w:vMerge w:val="continue"/>
            <w:vAlign w:val="center"/>
          </w:tcPr>
          <w:p w14:paraId="78EDC06A">
            <w:pPr>
              <w:jc w:val="center"/>
              <w:rPr>
                <w:rFonts w:hint="eastAsia" w:ascii="宋体" w:hAnsi="宋体" w:eastAsia="宋体" w:cs="宋体"/>
                <w:color w:val="auto"/>
                <w:highlight w:val="none"/>
              </w:rPr>
            </w:pPr>
          </w:p>
        </w:tc>
        <w:tc>
          <w:tcPr>
            <w:tcW w:w="6353" w:type="dxa"/>
            <w:vAlign w:val="center"/>
          </w:tcPr>
          <w:p w14:paraId="6F863F72">
            <w:pPr>
              <w:rPr>
                <w:rFonts w:hint="eastAsia" w:ascii="宋体" w:hAnsi="宋体" w:eastAsia="宋体" w:cs="宋体"/>
                <w:color w:val="auto"/>
                <w:highlight w:val="none"/>
              </w:rPr>
            </w:pPr>
            <w:r>
              <w:rPr>
                <w:rFonts w:hint="eastAsia" w:ascii="宋体" w:hAnsi="宋体" w:eastAsia="宋体" w:cs="宋体"/>
                <w:color w:val="auto"/>
                <w:highlight w:val="none"/>
              </w:rPr>
              <w:t>拟派项目负责人自2021年</w:t>
            </w:r>
            <w:r>
              <w:rPr>
                <w:rFonts w:hint="eastAsia" w:ascii="宋体" w:hAnsi="宋体" w:cs="宋体"/>
                <w:color w:val="auto"/>
                <w:highlight w:val="none"/>
                <w:lang w:val="en-US" w:eastAsia="zh-CN"/>
              </w:rPr>
              <w:t>7</w:t>
            </w:r>
            <w:r>
              <w:rPr>
                <w:rFonts w:hint="eastAsia" w:ascii="宋体" w:hAnsi="宋体" w:eastAsia="宋体" w:cs="宋体"/>
                <w:color w:val="auto"/>
                <w:highlight w:val="none"/>
              </w:rPr>
              <w:t>月1日以来（以合同签订时间为准）完成的同类</w:t>
            </w:r>
            <w:r>
              <w:rPr>
                <w:rFonts w:hint="eastAsia" w:ascii="宋体" w:hAnsi="宋体" w:cs="宋体"/>
                <w:color w:val="auto"/>
                <w:highlight w:val="none"/>
                <w:lang w:val="en-US" w:eastAsia="zh-CN"/>
              </w:rPr>
              <w:t>案例</w:t>
            </w:r>
            <w:r>
              <w:rPr>
                <w:rFonts w:hint="eastAsia" w:ascii="宋体" w:hAnsi="宋体" w:eastAsia="宋体" w:cs="宋体"/>
                <w:color w:val="auto"/>
                <w:highlight w:val="none"/>
              </w:rPr>
              <w:t>，每提供一个得0.5分，最高得0.5分。</w:t>
            </w:r>
          </w:p>
          <w:p w14:paraId="191F4B7F">
            <w:pP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注：每个案例提供合同的复印件，并加盖投标人公章，如合同内容无法体现项目负责人身份的，还须提供</w:t>
            </w:r>
            <w:r>
              <w:rPr>
                <w:rFonts w:hint="eastAsia" w:ascii="宋体" w:hAnsi="宋体" w:cs="宋体"/>
                <w:color w:val="auto"/>
                <w:highlight w:val="none"/>
                <w:lang w:val="en-US" w:eastAsia="zh-CN"/>
              </w:rPr>
              <w:t>委托方</w:t>
            </w:r>
            <w:r>
              <w:rPr>
                <w:rFonts w:hint="eastAsia" w:ascii="宋体" w:hAnsi="宋体" w:eastAsia="宋体" w:cs="宋体"/>
                <w:color w:val="auto"/>
                <w:highlight w:val="none"/>
              </w:rPr>
              <w:t>证明</w:t>
            </w:r>
            <w:r>
              <w:rPr>
                <w:rFonts w:hint="eastAsia" w:ascii="宋体" w:hAnsi="宋体" w:cs="宋体"/>
                <w:color w:val="auto"/>
                <w:highlight w:val="none"/>
                <w:lang w:val="en-US" w:eastAsia="zh-CN"/>
              </w:rPr>
              <w:t>材料</w:t>
            </w:r>
            <w:r>
              <w:rPr>
                <w:rFonts w:hint="eastAsia" w:ascii="宋体" w:hAnsi="宋体" w:eastAsia="宋体" w:cs="宋体"/>
                <w:color w:val="auto"/>
                <w:highlight w:val="none"/>
              </w:rPr>
              <w:t>（须加盖</w:t>
            </w:r>
            <w:r>
              <w:rPr>
                <w:rFonts w:hint="eastAsia" w:ascii="宋体" w:hAnsi="宋体" w:cs="宋体"/>
                <w:color w:val="auto"/>
                <w:highlight w:val="none"/>
                <w:lang w:val="en-US" w:eastAsia="zh-CN"/>
              </w:rPr>
              <w:t>委托方</w:t>
            </w:r>
            <w:r>
              <w:rPr>
                <w:rFonts w:hint="eastAsia" w:ascii="宋体" w:hAnsi="宋体" w:eastAsia="宋体" w:cs="宋体"/>
                <w:color w:val="auto"/>
                <w:highlight w:val="none"/>
              </w:rPr>
              <w:t>单位公章）。</w:t>
            </w:r>
          </w:p>
        </w:tc>
        <w:tc>
          <w:tcPr>
            <w:tcW w:w="887" w:type="dxa"/>
            <w:vAlign w:val="center"/>
          </w:tcPr>
          <w:p w14:paraId="5CC66DD8">
            <w:pPr>
              <w:jc w:val="cente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0.5分</w:t>
            </w:r>
          </w:p>
        </w:tc>
      </w:tr>
      <w:tr w14:paraId="4D17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593D1C0A">
            <w:pPr>
              <w:jc w:val="center"/>
              <w:rPr>
                <w:rFonts w:hint="eastAsia" w:ascii="宋体" w:hAnsi="宋体" w:eastAsia="宋体" w:cs="宋体"/>
                <w:color w:val="auto"/>
                <w:highlight w:val="none"/>
              </w:rPr>
            </w:pPr>
          </w:p>
        </w:tc>
        <w:tc>
          <w:tcPr>
            <w:tcW w:w="1348" w:type="dxa"/>
            <w:vMerge w:val="continue"/>
            <w:vAlign w:val="center"/>
          </w:tcPr>
          <w:p w14:paraId="1AD873DC">
            <w:pPr>
              <w:jc w:val="center"/>
              <w:rPr>
                <w:rFonts w:hint="eastAsia" w:ascii="宋体" w:hAnsi="宋体" w:eastAsia="宋体" w:cs="宋体"/>
                <w:color w:val="auto"/>
                <w:highlight w:val="none"/>
              </w:rPr>
            </w:pPr>
          </w:p>
        </w:tc>
        <w:tc>
          <w:tcPr>
            <w:tcW w:w="6353" w:type="dxa"/>
            <w:vAlign w:val="center"/>
          </w:tcPr>
          <w:p w14:paraId="63B7E258">
            <w:pPr>
              <w:rPr>
                <w:rFonts w:hint="eastAsia" w:ascii="宋体" w:hAnsi="宋体" w:eastAsia="宋体" w:cs="宋体"/>
                <w:color w:val="auto"/>
                <w:highlight w:val="none"/>
              </w:rPr>
            </w:pPr>
            <w:r>
              <w:rPr>
                <w:rFonts w:hint="eastAsia" w:ascii="宋体" w:hAnsi="宋体" w:eastAsia="宋体" w:cs="宋体"/>
                <w:color w:val="auto"/>
                <w:highlight w:val="none"/>
              </w:rPr>
              <w:t>综合考虑成立轨道交通专业服务团队，组织、结构、人数、人员构成</w:t>
            </w:r>
            <w:r>
              <w:rPr>
                <w:rFonts w:hint="eastAsia" w:ascii="宋体" w:hAnsi="宋体" w:eastAsia="宋体" w:cs="宋体"/>
                <w:color w:val="auto"/>
                <w:highlight w:val="none"/>
                <w:lang w:eastAsia="zh-CN"/>
              </w:rPr>
              <w:t>的</w:t>
            </w:r>
            <w:r>
              <w:rPr>
                <w:rFonts w:hint="eastAsia" w:ascii="宋体" w:hAnsi="宋体" w:eastAsia="宋体" w:cs="宋体"/>
                <w:color w:val="auto"/>
                <w:highlight w:val="none"/>
              </w:rPr>
              <w:t>专业性、科学合理性进行评审。（0-5分）</w:t>
            </w:r>
          </w:p>
          <w:p w14:paraId="4E312098">
            <w:pP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日常联系人稳定性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服务的</w:t>
            </w:r>
            <w:r>
              <w:rPr>
                <w:rFonts w:hint="eastAsia" w:ascii="宋体" w:hAnsi="宋体" w:eastAsia="宋体" w:cs="宋体"/>
                <w:color w:val="auto"/>
                <w:highlight w:val="none"/>
                <w:lang w:val="en-US" w:eastAsia="zh-CN"/>
              </w:rPr>
              <w:t>专业</w:t>
            </w:r>
            <w:r>
              <w:rPr>
                <w:rFonts w:hint="eastAsia" w:ascii="宋体" w:hAnsi="宋体" w:eastAsia="宋体" w:cs="宋体"/>
                <w:color w:val="auto"/>
                <w:highlight w:val="none"/>
              </w:rPr>
              <w:t>性</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响应性</w:t>
            </w:r>
            <w:r>
              <w:rPr>
                <w:rFonts w:hint="eastAsia" w:ascii="宋体" w:hAnsi="宋体" w:eastAsia="宋体" w:cs="宋体"/>
                <w:color w:val="auto"/>
                <w:highlight w:val="none"/>
              </w:rPr>
              <w:t>进行评审。（0-</w:t>
            </w:r>
            <w:r>
              <w:rPr>
                <w:rFonts w:hint="eastAsia" w:ascii="宋体" w:hAnsi="宋体" w:cs="宋体"/>
                <w:color w:val="auto"/>
                <w:highlight w:val="none"/>
                <w:lang w:val="en-US" w:eastAsia="zh-CN"/>
              </w:rPr>
              <w:t>4</w:t>
            </w:r>
            <w:r>
              <w:rPr>
                <w:rFonts w:hint="eastAsia" w:ascii="宋体" w:hAnsi="宋体" w:eastAsia="宋体" w:cs="宋体"/>
                <w:color w:val="auto"/>
                <w:highlight w:val="none"/>
              </w:rPr>
              <w:t>分）</w:t>
            </w:r>
          </w:p>
        </w:tc>
        <w:tc>
          <w:tcPr>
            <w:tcW w:w="887" w:type="dxa"/>
            <w:vAlign w:val="center"/>
          </w:tcPr>
          <w:p w14:paraId="2F6EE860">
            <w:pPr>
              <w:jc w:val="center"/>
              <w:rPr>
                <w:rFonts w:hint="eastAsia" w:ascii="宋体" w:hAnsi="宋体" w:eastAsia="宋体" w:cs="宋体"/>
                <w:color w:val="auto"/>
                <w:kern w:val="2"/>
                <w:sz w:val="21"/>
                <w:highlight w:val="none"/>
                <w:lang w:val="en-US" w:eastAsia="zh-CN" w:bidi="ar-SA"/>
              </w:rPr>
            </w:pPr>
            <w:r>
              <w:rPr>
                <w:rFonts w:hint="eastAsia" w:ascii="宋体" w:hAnsi="宋体" w:cs="宋体"/>
                <w:color w:val="auto"/>
                <w:highlight w:val="none"/>
                <w:lang w:val="en-US" w:eastAsia="zh-CN"/>
              </w:rPr>
              <w:t>9</w:t>
            </w:r>
            <w:r>
              <w:rPr>
                <w:rFonts w:hint="eastAsia" w:ascii="宋体" w:hAnsi="宋体" w:eastAsia="宋体" w:cs="宋体"/>
                <w:color w:val="auto"/>
                <w:highlight w:val="none"/>
              </w:rPr>
              <w:t>分</w:t>
            </w:r>
          </w:p>
        </w:tc>
      </w:tr>
      <w:tr w14:paraId="354A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14:paraId="6309FE84">
            <w:pPr>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6</w:t>
            </w:r>
          </w:p>
        </w:tc>
        <w:tc>
          <w:tcPr>
            <w:tcW w:w="1348" w:type="dxa"/>
            <w:vAlign w:val="center"/>
          </w:tcPr>
          <w:p w14:paraId="346BDA15">
            <w:pPr>
              <w:jc w:val="cente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优惠条件</w:t>
            </w:r>
            <w:r>
              <w:rPr>
                <w:rFonts w:hint="eastAsia" w:ascii="宋体" w:hAnsi="宋体" w:cs="宋体"/>
                <w:color w:val="auto"/>
                <w:highlight w:val="none"/>
                <w:lang w:eastAsia="zh-CN"/>
              </w:rPr>
              <w:t>及特殊承诺</w:t>
            </w:r>
          </w:p>
        </w:tc>
        <w:tc>
          <w:tcPr>
            <w:tcW w:w="6353" w:type="dxa"/>
            <w:vAlign w:val="top"/>
          </w:tcPr>
          <w:p w14:paraId="1FA2C7A4">
            <w:pP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提出对招标人有利的实质性优惠条件或增值服务的</w:t>
            </w:r>
            <w:r>
              <w:rPr>
                <w:rFonts w:hint="eastAsia" w:ascii="宋体" w:hAnsi="宋体" w:cs="宋体"/>
                <w:color w:val="auto"/>
                <w:highlight w:val="none"/>
                <w:lang w:eastAsia="zh-CN"/>
              </w:rPr>
              <w:t>，每项</w:t>
            </w:r>
            <w:r>
              <w:rPr>
                <w:rFonts w:hint="eastAsia" w:ascii="宋体" w:hAnsi="宋体" w:eastAsia="宋体" w:cs="宋体"/>
                <w:color w:val="auto"/>
                <w:highlight w:val="none"/>
              </w:rPr>
              <w:t>得2分，最高6分。不提供不得分。</w:t>
            </w:r>
          </w:p>
        </w:tc>
        <w:tc>
          <w:tcPr>
            <w:tcW w:w="887" w:type="dxa"/>
            <w:vAlign w:val="center"/>
          </w:tcPr>
          <w:p w14:paraId="77F86FBE">
            <w:pPr>
              <w:jc w:val="cente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6分</w:t>
            </w:r>
          </w:p>
        </w:tc>
      </w:tr>
      <w:tr w14:paraId="06D8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14:paraId="76416D31">
            <w:pPr>
              <w:jc w:val="center"/>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7</w:t>
            </w:r>
          </w:p>
        </w:tc>
        <w:tc>
          <w:tcPr>
            <w:tcW w:w="1348" w:type="dxa"/>
            <w:vAlign w:val="center"/>
          </w:tcPr>
          <w:p w14:paraId="1B02C538">
            <w:pPr>
              <w:jc w:val="cente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培训</w:t>
            </w:r>
            <w:r>
              <w:rPr>
                <w:rFonts w:hint="eastAsia" w:ascii="宋体" w:hAnsi="宋体" w:cs="宋体"/>
                <w:color w:val="auto"/>
                <w:highlight w:val="none"/>
                <w:lang w:eastAsia="zh-CN"/>
              </w:rPr>
              <w:t>计划</w:t>
            </w:r>
          </w:p>
        </w:tc>
        <w:tc>
          <w:tcPr>
            <w:tcW w:w="6353" w:type="dxa"/>
            <w:vAlign w:val="center"/>
          </w:tcPr>
          <w:p w14:paraId="7FD64DE1">
            <w:pP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根据</w:t>
            </w:r>
            <w:r>
              <w:rPr>
                <w:rFonts w:hint="eastAsia" w:ascii="宋体" w:hAnsi="宋体" w:eastAsia="宋体" w:cs="宋体"/>
                <w:color w:val="auto"/>
                <w:highlight w:val="none"/>
              </w:rPr>
              <w:t>投保人提供的培训方案</w:t>
            </w:r>
            <w:r>
              <w:rPr>
                <w:rFonts w:hint="eastAsia" w:ascii="宋体" w:hAnsi="宋体" w:cs="宋体"/>
                <w:color w:val="auto"/>
                <w:highlight w:val="none"/>
                <w:lang w:eastAsia="zh-CN"/>
              </w:rPr>
              <w:t>，</w:t>
            </w:r>
            <w:r>
              <w:rPr>
                <w:rFonts w:hint="eastAsia" w:ascii="宋体" w:hAnsi="宋体" w:eastAsia="宋体" w:cs="宋体"/>
                <w:color w:val="auto"/>
                <w:highlight w:val="none"/>
              </w:rPr>
              <w:t>从培训次数、培训对象、课程设置、培训形式</w:t>
            </w:r>
            <w:r>
              <w:rPr>
                <w:rFonts w:hint="eastAsia" w:ascii="宋体" w:hAnsi="宋体" w:cs="宋体"/>
                <w:color w:val="auto"/>
                <w:highlight w:val="none"/>
                <w:lang w:eastAsia="zh-CN"/>
              </w:rPr>
              <w:t>的</w:t>
            </w:r>
            <w:r>
              <w:rPr>
                <w:rFonts w:hint="eastAsia" w:ascii="宋体" w:hAnsi="宋体" w:eastAsia="宋体" w:cs="宋体"/>
                <w:color w:val="auto"/>
                <w:highlight w:val="none"/>
              </w:rPr>
              <w:t>合理性、全面性进行评审。（0-4分）</w:t>
            </w:r>
          </w:p>
          <w:p w14:paraId="61533372">
            <w:pP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针对地铁主要保险</w:t>
            </w:r>
            <w:r>
              <w:rPr>
                <w:rFonts w:hint="eastAsia" w:ascii="宋体" w:hAnsi="宋体" w:cs="宋体"/>
                <w:color w:val="auto"/>
                <w:highlight w:val="none"/>
                <w:lang w:eastAsia="zh-CN"/>
              </w:rPr>
              <w:t>进行培训，对培训</w:t>
            </w:r>
            <w:r>
              <w:rPr>
                <w:rFonts w:hint="eastAsia" w:ascii="宋体" w:hAnsi="宋体" w:eastAsia="宋体" w:cs="宋体"/>
                <w:color w:val="auto"/>
                <w:highlight w:val="none"/>
              </w:rPr>
              <w:t>授课专家、培训案例</w:t>
            </w:r>
            <w:r>
              <w:rPr>
                <w:rFonts w:hint="eastAsia" w:ascii="宋体" w:hAnsi="宋体" w:cs="宋体"/>
                <w:color w:val="auto"/>
                <w:highlight w:val="none"/>
                <w:lang w:eastAsia="zh-CN"/>
              </w:rPr>
              <w:t>的</w:t>
            </w:r>
            <w:r>
              <w:rPr>
                <w:rFonts w:hint="eastAsia" w:ascii="宋体" w:hAnsi="宋体" w:eastAsia="宋体" w:cs="宋体"/>
                <w:color w:val="auto"/>
                <w:highlight w:val="none"/>
              </w:rPr>
              <w:t>专业性、科学性进行评审。（0-4分）</w:t>
            </w:r>
          </w:p>
        </w:tc>
        <w:tc>
          <w:tcPr>
            <w:tcW w:w="887" w:type="dxa"/>
            <w:vAlign w:val="center"/>
          </w:tcPr>
          <w:p w14:paraId="22CB4F9C">
            <w:pPr>
              <w:jc w:val="center"/>
              <w:rPr>
                <w:rFonts w:hint="eastAsia" w:ascii="宋体" w:hAnsi="宋体" w:eastAsia="宋体" w:cs="宋体"/>
                <w:color w:val="auto"/>
                <w:kern w:val="2"/>
                <w:sz w:val="21"/>
                <w:highlight w:val="none"/>
                <w:lang w:val="en-US" w:eastAsia="zh-CN" w:bidi="ar-SA"/>
              </w:rPr>
            </w:pPr>
            <w:r>
              <w:rPr>
                <w:rFonts w:hint="eastAsia" w:ascii="宋体" w:hAnsi="宋体" w:eastAsia="宋体" w:cs="宋体"/>
                <w:color w:val="auto"/>
                <w:highlight w:val="none"/>
              </w:rPr>
              <w:t>8分</w:t>
            </w:r>
          </w:p>
        </w:tc>
      </w:tr>
    </w:tbl>
    <w:p w14:paraId="30E3FDBE">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4FD31866">
      <w:pPr>
        <w:spacing w:line="440" w:lineRule="exact"/>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20</w:t>
      </w:r>
      <w:r>
        <w:rPr>
          <w:rFonts w:hint="eastAsia" w:ascii="仿宋" w:hAnsi="仿宋" w:eastAsia="仿宋" w:cs="仿宋"/>
          <w:b/>
          <w:bCs/>
          <w:iCs/>
          <w:color w:val="auto"/>
          <w:sz w:val="24"/>
          <w:highlight w:val="none"/>
        </w:rPr>
        <w:t>分）</w:t>
      </w:r>
    </w:p>
    <w:p w14:paraId="4E43EE5B">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37A62C34">
      <w:pPr>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2E1DC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EF21A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20</w:t>
      </w:r>
    </w:p>
    <w:p w14:paraId="2D8AC64D">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6B9FCD0">
      <w:pPr>
        <w:widowControl/>
        <w:adjustRightInd/>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176"/>
      <w:bookmarkEnd w:id="177"/>
      <w:r>
        <w:rPr>
          <w:rFonts w:hint="eastAsia" w:ascii="仿宋" w:hAnsi="仿宋" w:eastAsia="仿宋" w:cs="仿宋"/>
          <w:b/>
          <w:color w:val="auto"/>
          <w:sz w:val="36"/>
          <w:szCs w:val="20"/>
          <w:highlight w:val="none"/>
          <w:lang w:val="en-US" w:eastAsia="zh-CN"/>
        </w:rPr>
        <w:t xml:space="preserve"> </w:t>
      </w:r>
      <w:r>
        <w:rPr>
          <w:rFonts w:hint="eastAsia" w:ascii="仿宋" w:hAnsi="仿宋" w:eastAsia="仿宋" w:cs="仿宋"/>
          <w:b/>
          <w:color w:val="auto"/>
          <w:sz w:val="36"/>
          <w:szCs w:val="20"/>
          <w:highlight w:val="none"/>
        </w:rPr>
        <w:t>投标文件及其附件格式</w:t>
      </w:r>
    </w:p>
    <w:p w14:paraId="2C355C62">
      <w:pPr>
        <w:spacing w:line="360" w:lineRule="auto"/>
        <w:jc w:val="center"/>
        <w:outlineLvl w:val="9"/>
        <w:rPr>
          <w:rFonts w:ascii="仿宋" w:hAnsi="仿宋" w:eastAsia="仿宋" w:cs="仿宋"/>
          <w:b/>
          <w:color w:val="auto"/>
          <w:kern w:val="0"/>
          <w:sz w:val="36"/>
          <w:szCs w:val="36"/>
          <w:highlight w:val="none"/>
        </w:rPr>
      </w:pPr>
    </w:p>
    <w:p w14:paraId="5D824D06">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A0E01E5">
      <w:pPr>
        <w:spacing w:line="360" w:lineRule="auto"/>
        <w:jc w:val="center"/>
        <w:outlineLvl w:val="1"/>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37FED29">
      <w:pPr>
        <w:spacing w:line="360" w:lineRule="auto"/>
        <w:jc w:val="center"/>
        <w:outlineLvl w:val="9"/>
        <w:rPr>
          <w:rFonts w:ascii="仿宋" w:hAnsi="仿宋" w:eastAsia="仿宋" w:cs="仿宋"/>
          <w:b/>
          <w:color w:val="auto"/>
          <w:kern w:val="0"/>
          <w:sz w:val="36"/>
          <w:szCs w:val="36"/>
          <w:highlight w:val="none"/>
        </w:rPr>
      </w:pPr>
    </w:p>
    <w:p w14:paraId="3BF19DDE">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（1）符合参加采购活动应当具备的一般条件的承诺函…………</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…（页码）</w:t>
      </w:r>
    </w:p>
    <w:p w14:paraId="1B008E8B">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AB8D768">
      <w:pPr>
        <w:pStyle w:val="25"/>
        <w:rPr>
          <w:rFonts w:ascii="仿宋" w:hAnsi="仿宋" w:eastAsia="仿宋" w:cs="仿宋"/>
          <w:color w:val="auto"/>
          <w:highlight w:val="none"/>
        </w:rPr>
      </w:pPr>
      <w:r>
        <w:rPr>
          <w:rFonts w:hint="eastAsia" w:ascii="仿宋" w:hAnsi="仿宋" w:eastAsia="仿宋" w:cs="仿宋"/>
          <w:color w:val="auto"/>
          <w:highlight w:val="none"/>
        </w:rPr>
        <w:t>（3）分包协议………………………………………………………………（页码）</w:t>
      </w:r>
    </w:p>
    <w:p w14:paraId="3DA8AFD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（4）落实采购政策需满足的资格要求………………………</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………（页码）</w:t>
      </w:r>
    </w:p>
    <w:p w14:paraId="086D674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0863A39D">
      <w:pPr>
        <w:snapToGrid w:val="0"/>
        <w:spacing w:line="360" w:lineRule="auto"/>
        <w:ind w:firstLine="480" w:firstLineChars="200"/>
        <w:rPr>
          <w:rFonts w:ascii="仿宋" w:hAnsi="仿宋" w:eastAsia="仿宋" w:cs="仿宋"/>
          <w:color w:val="auto"/>
          <w:sz w:val="24"/>
          <w:highlight w:val="none"/>
        </w:rPr>
      </w:pPr>
    </w:p>
    <w:p w14:paraId="4835E891">
      <w:pPr>
        <w:spacing w:line="360" w:lineRule="auto"/>
        <w:ind w:firstLine="480" w:firstLineChars="200"/>
        <w:rPr>
          <w:rFonts w:ascii="仿宋" w:hAnsi="仿宋" w:eastAsia="仿宋" w:cs="仿宋"/>
          <w:color w:val="auto"/>
          <w:sz w:val="24"/>
          <w:highlight w:val="none"/>
        </w:rPr>
      </w:pPr>
    </w:p>
    <w:p w14:paraId="34CDFD74">
      <w:pPr>
        <w:snapToGrid w:val="0"/>
        <w:spacing w:line="360" w:lineRule="auto"/>
        <w:ind w:right="480"/>
        <w:jc w:val="center"/>
        <w:rPr>
          <w:rFonts w:ascii="仿宋" w:hAnsi="仿宋" w:eastAsia="仿宋" w:cs="仿宋"/>
          <w:b/>
          <w:color w:val="auto"/>
          <w:kern w:val="0"/>
          <w:sz w:val="18"/>
          <w:szCs w:val="18"/>
          <w:highlight w:val="none"/>
        </w:rPr>
      </w:pPr>
      <w:r>
        <w:rPr>
          <w:rFonts w:hint="eastAsia" w:ascii="仿宋" w:hAnsi="仿宋" w:eastAsia="仿宋" w:cs="仿宋"/>
          <w:color w:val="auto"/>
          <w:kern w:val="0"/>
          <w:sz w:val="24"/>
          <w:highlight w:val="none"/>
        </w:rPr>
        <w:br w:type="page"/>
      </w:r>
    </w:p>
    <w:p w14:paraId="4D0279BE">
      <w:pPr>
        <w:snapToGrid w:val="0"/>
        <w:spacing w:line="360" w:lineRule="auto"/>
        <w:ind w:right="480"/>
        <w:jc w:val="center"/>
        <w:outlineLvl w:val="1"/>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一、符合参加采购活动应当具备的一般条件的承诺函</w:t>
      </w:r>
    </w:p>
    <w:p w14:paraId="6300E3AC">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D1642C2">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56731448">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C9FD849">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43C4AAD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2、具有良好的商业信誉和健全的财务会计制度；</w:t>
      </w:r>
    </w:p>
    <w:p w14:paraId="2066AF6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203B69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C283CC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5、参加采购活动前三年内，在经营活动中没有重大违法记录；</w:t>
      </w:r>
    </w:p>
    <w:p w14:paraId="6EC4F4A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23572E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F1F41D8">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32345D4">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1、单位负责人为同一人或者存在直接控股、管理关系的不同供应商参加同一合同项下的采购活动的；</w:t>
      </w:r>
    </w:p>
    <w:p w14:paraId="12D1C84A">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BEEA40B">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59CFC4A">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49140443">
      <w:pPr>
        <w:snapToGrid w:val="0"/>
        <w:spacing w:line="360" w:lineRule="auto"/>
        <w:ind w:right="480"/>
        <w:jc w:val="center"/>
        <w:rPr>
          <w:rFonts w:ascii="仿宋" w:hAnsi="仿宋" w:eastAsia="仿宋" w:cs="仿宋"/>
          <w:b/>
          <w:color w:val="auto"/>
          <w:kern w:val="0"/>
          <w:sz w:val="32"/>
          <w:szCs w:val="32"/>
          <w:highlight w:val="none"/>
        </w:rPr>
      </w:pPr>
    </w:p>
    <w:p w14:paraId="34F92E9F">
      <w:pPr>
        <w:snapToGrid w:val="0"/>
        <w:spacing w:line="360" w:lineRule="auto"/>
        <w:ind w:right="480"/>
        <w:jc w:val="center"/>
        <w:rPr>
          <w:rFonts w:ascii="仿宋" w:hAnsi="仿宋" w:eastAsia="仿宋" w:cs="仿宋"/>
          <w:b/>
          <w:color w:val="auto"/>
          <w:kern w:val="0"/>
          <w:sz w:val="32"/>
          <w:szCs w:val="32"/>
          <w:highlight w:val="none"/>
        </w:rPr>
      </w:pPr>
    </w:p>
    <w:p w14:paraId="4D1ABC20">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4655E9D">
      <w:pPr>
        <w:widowControl/>
        <w:spacing w:line="360" w:lineRule="auto"/>
        <w:ind w:firstLine="361" w:firstLineChars="200"/>
        <w:jc w:val="center"/>
        <w:rPr>
          <w:rFonts w:ascii="仿宋" w:hAnsi="仿宋" w:eastAsia="仿宋" w:cs="仿宋"/>
          <w:b/>
          <w:color w:val="auto"/>
          <w:kern w:val="0"/>
          <w:sz w:val="18"/>
          <w:szCs w:val="18"/>
          <w:highlight w:val="none"/>
        </w:rPr>
      </w:pPr>
    </w:p>
    <w:p w14:paraId="6E4E914E">
      <w:pPr>
        <w:widowControl/>
        <w:spacing w:line="360" w:lineRule="auto"/>
        <w:ind w:firstLine="643" w:firstLineChars="200"/>
        <w:jc w:val="center"/>
        <w:outlineLvl w:val="1"/>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8FDE8FA">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5D1465A6">
      <w:pPr>
        <w:snapToGrid w:val="0"/>
        <w:spacing w:line="360" w:lineRule="auto"/>
        <w:ind w:right="480"/>
        <w:jc w:val="center"/>
        <w:rPr>
          <w:rFonts w:ascii="仿宋" w:hAnsi="仿宋" w:eastAsia="仿宋" w:cs="仿宋"/>
          <w:b/>
          <w:color w:val="auto"/>
          <w:kern w:val="0"/>
          <w:sz w:val="32"/>
          <w:szCs w:val="32"/>
          <w:highlight w:val="none"/>
        </w:rPr>
      </w:pPr>
    </w:p>
    <w:p w14:paraId="640474C2">
      <w:pPr>
        <w:snapToGrid w:val="0"/>
        <w:spacing w:line="360" w:lineRule="auto"/>
        <w:jc w:val="center"/>
        <w:outlineLvl w:val="1"/>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01E353F">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4FDF69F5">
      <w:pPr>
        <w:snapToGrid w:val="0"/>
        <w:spacing w:line="360" w:lineRule="auto"/>
        <w:ind w:right="480"/>
        <w:jc w:val="center"/>
        <w:rPr>
          <w:rFonts w:ascii="仿宋" w:hAnsi="仿宋" w:eastAsia="仿宋" w:cs="仿宋"/>
          <w:b/>
          <w:color w:val="auto"/>
          <w:kern w:val="0"/>
          <w:sz w:val="32"/>
          <w:szCs w:val="32"/>
          <w:highlight w:val="none"/>
        </w:rPr>
      </w:pPr>
    </w:p>
    <w:p w14:paraId="64A93572">
      <w:pPr>
        <w:snapToGrid w:val="0"/>
        <w:spacing w:line="360" w:lineRule="auto"/>
        <w:ind w:right="480"/>
        <w:jc w:val="center"/>
        <w:outlineLvl w:val="1"/>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6BA23EC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44BA57B6">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.专门面向中小企业，服务全部由符合政策要求的中小企业（或小微企业）承接的，提供相应的中小企业声明函（附件7）。</w:t>
      </w:r>
    </w:p>
    <w:p w14:paraId="2CB6FD74">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0F30ABB6">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1B6C688E">
      <w:pPr>
        <w:widowControl/>
        <w:spacing w:line="360" w:lineRule="auto"/>
        <w:ind w:left="150"/>
        <w:jc w:val="center"/>
        <w:rPr>
          <w:rFonts w:ascii="仿宋" w:hAnsi="仿宋" w:eastAsia="仿宋" w:cs="仿宋"/>
          <w:b/>
          <w:color w:val="auto"/>
          <w:kern w:val="0"/>
          <w:sz w:val="32"/>
          <w:szCs w:val="32"/>
          <w:highlight w:val="none"/>
        </w:rPr>
      </w:pPr>
    </w:p>
    <w:p w14:paraId="36F34B64">
      <w:pPr>
        <w:widowControl/>
        <w:spacing w:line="360" w:lineRule="auto"/>
        <w:ind w:left="150"/>
        <w:jc w:val="center"/>
        <w:outlineLvl w:val="1"/>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175D3A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51CAF2A">
      <w:pPr>
        <w:rPr>
          <w:rFonts w:ascii="仿宋" w:hAnsi="仿宋" w:eastAsia="仿宋" w:cs="仿宋"/>
          <w:b/>
          <w:color w:val="auto"/>
          <w:kern w:val="0"/>
          <w:sz w:val="18"/>
          <w:szCs w:val="18"/>
          <w:highlight w:val="none"/>
        </w:rPr>
      </w:pPr>
      <w:r>
        <w:rPr>
          <w:rFonts w:ascii="仿宋" w:hAnsi="仿宋" w:eastAsia="仿宋" w:cs="仿宋"/>
          <w:b/>
          <w:color w:val="auto"/>
          <w:kern w:val="0"/>
          <w:sz w:val="18"/>
          <w:szCs w:val="18"/>
          <w:highlight w:val="none"/>
        </w:rPr>
        <w:br w:type="page"/>
      </w:r>
    </w:p>
    <w:p w14:paraId="5071E53C">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353012AD">
      <w:pPr>
        <w:spacing w:line="336" w:lineRule="auto"/>
        <w:jc w:val="center"/>
        <w:outlineLvl w:val="9"/>
        <w:rPr>
          <w:rFonts w:ascii="仿宋" w:hAnsi="仿宋" w:eastAsia="仿宋" w:cs="仿宋"/>
          <w:b/>
          <w:color w:val="auto"/>
          <w:kern w:val="0"/>
          <w:sz w:val="24"/>
          <w:highlight w:val="none"/>
        </w:rPr>
      </w:pPr>
    </w:p>
    <w:p w14:paraId="2FAFF550">
      <w:pPr>
        <w:spacing w:line="336" w:lineRule="auto"/>
        <w:jc w:val="center"/>
        <w:outlineLvl w:val="1"/>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D72277A">
      <w:pPr>
        <w:pStyle w:val="905"/>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…（页码）</w:t>
      </w:r>
    </w:p>
    <w:p w14:paraId="31D340FA">
      <w:pPr>
        <w:pStyle w:val="905"/>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 ………………………………………………………</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 （页码）</w:t>
      </w:r>
    </w:p>
    <w:p w14:paraId="6693062C">
      <w:pPr>
        <w:pStyle w:val="905"/>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w:t>
      </w:r>
      <w:r>
        <w:rPr>
          <w:rFonts w:hint="eastAsia" w:ascii="仿宋" w:eastAsia="仿宋" w:cs="仿宋_GB2312"/>
          <w:color w:val="auto"/>
          <w:highlight w:val="none"/>
          <w:lang w:val="zh-CN"/>
        </w:rPr>
        <w:t>…………</w:t>
      </w:r>
      <w:r>
        <w:rPr>
          <w:rFonts w:hint="eastAsia" w:ascii="仿宋" w:eastAsia="仿宋" w:cs="仿宋"/>
          <w:color w:val="auto"/>
          <w:highlight w:val="none"/>
        </w:rPr>
        <w:t>…………………………………………………</w:t>
      </w:r>
      <w:r>
        <w:rPr>
          <w:rFonts w:hint="eastAsia" w:ascii="仿宋" w:eastAsia="仿宋" w:cs="仿宋_GB2312"/>
          <w:color w:val="auto"/>
          <w:highlight w:val="none"/>
          <w:lang w:val="zh-CN"/>
        </w:rPr>
        <w:t>…</w:t>
      </w:r>
      <w:r>
        <w:rPr>
          <w:rFonts w:hint="eastAsia" w:ascii="仿宋" w:eastAsia="仿宋" w:cs="仿宋"/>
          <w:color w:val="auto"/>
          <w:highlight w:val="none"/>
        </w:rPr>
        <w:t>（页码）</w:t>
      </w:r>
    </w:p>
    <w:p w14:paraId="0D160569">
      <w:pPr>
        <w:pStyle w:val="905"/>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57CC7CF7">
      <w:pPr>
        <w:pStyle w:val="905"/>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 （页码）</w:t>
      </w:r>
    </w:p>
    <w:p w14:paraId="744CEE09">
      <w:pPr>
        <w:pStyle w:val="905"/>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 （页码）</w:t>
      </w:r>
    </w:p>
    <w:p w14:paraId="3B31192A">
      <w:pPr>
        <w:pStyle w:val="905"/>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（7）采购供应商廉洁自律承诺书</w:t>
      </w:r>
      <w:r>
        <w:rPr>
          <w:rFonts w:hint="eastAsia" w:ascii="仿宋" w:eastAsia="仿宋" w:cs="仿宋"/>
          <w:color w:val="auto"/>
          <w:highlight w:val="none"/>
        </w:rPr>
        <w:t>……………………………………</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 （页码）</w:t>
      </w:r>
    </w:p>
    <w:p w14:paraId="7E592A08">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 xml:space="preserve">  </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03EFA52F">
      <w:pPr>
        <w:spacing w:line="360" w:lineRule="auto"/>
        <w:ind w:right="-510" w:rightChars="-243"/>
        <w:outlineLvl w:val="9"/>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 w:eastAsia="仿宋" w:cs="仿宋"/>
          <w:color w:val="auto"/>
          <w:highlight w:val="none"/>
        </w:rPr>
        <w:t>…………………………</w:t>
      </w:r>
      <w:r>
        <w:rPr>
          <w:rFonts w:hint="eastAsia" w:ascii="仿宋" w:eastAsia="仿宋" w:cs="仿宋"/>
          <w:color w:val="auto"/>
          <w:highlight w:val="none"/>
          <w:lang w:val="en-US" w:eastAsia="zh-CN"/>
        </w:rPr>
        <w:t xml:space="preserve"> </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08E99944">
      <w:pPr>
        <w:spacing w:line="360" w:lineRule="auto"/>
        <w:ind w:right="-510" w:rightChars="-243"/>
        <w:outlineLvl w:val="9"/>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 xml:space="preserve"> </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C00A6C7">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6659661">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22A819B">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CDDC877">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5EC90FE4">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B818345">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961EA4A">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E7FB784">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29D296C">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FD3A511">
      <w:pPr>
        <w:snapToGrid w:val="0"/>
        <w:spacing w:line="360" w:lineRule="auto"/>
        <w:jc w:val="center"/>
        <w:outlineLvl w:val="1"/>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F23EA68">
      <w:pPr>
        <w:pStyle w:val="396"/>
        <w:spacing w:after="12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7922DC15">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58D5F4E">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65371249">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4C9EB91D">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2.我方承诺已经具备《中华人民共和国政府采购法》中规定的参加采购活动的供应商应当具备的条件。</w:t>
      </w:r>
    </w:p>
    <w:p w14:paraId="48D2CB40">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079821A">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58B7AEEE">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674F2FE7">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AC4DD41">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D1950D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8DFF2A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3098BE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40119C20">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55FFCF85">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667C43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439EBA6A">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2687B33C">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41D31663">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38DC5EDC">
      <w:pPr>
        <w:pStyle w:val="396"/>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31D4FEE2">
      <w:pPr>
        <w:snapToGrid w:val="0"/>
        <w:spacing w:line="336" w:lineRule="auto"/>
        <w:ind w:firstLine="480" w:firstLineChars="200"/>
        <w:jc w:val="left"/>
        <w:rPr>
          <w:rFonts w:ascii="仿宋" w:hAnsi="仿宋" w:eastAsia="仿宋" w:cs="仿宋"/>
          <w:color w:val="auto"/>
          <w:sz w:val="24"/>
          <w:highlight w:val="none"/>
        </w:rPr>
      </w:pPr>
    </w:p>
    <w:p w14:paraId="6C97E0BC">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15CAEF60">
      <w:pPr>
        <w:pageBreakBefore/>
        <w:spacing w:line="800" w:lineRule="exact"/>
        <w:jc w:val="center"/>
        <w:outlineLvl w:val="1"/>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27222E30">
      <w:pPr>
        <w:jc w:val="center"/>
        <w:rPr>
          <w:rFonts w:ascii="仿宋" w:hAnsi="仿宋" w:eastAsia="仿宋" w:cs="仿宋"/>
          <w:b/>
          <w:color w:val="auto"/>
          <w:sz w:val="24"/>
          <w:highlight w:val="none"/>
        </w:rPr>
      </w:pPr>
    </w:p>
    <w:p w14:paraId="5A94CD37">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7BEE5F7A">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C24D5A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447BCD0">
      <w:pPr>
        <w:snapToGrid w:val="0"/>
        <w:spacing w:line="600" w:lineRule="exact"/>
        <w:jc w:val="left"/>
        <w:rPr>
          <w:rFonts w:ascii="仿宋" w:hAnsi="仿宋" w:eastAsia="仿宋" w:cs="仿宋"/>
          <w:color w:val="auto"/>
          <w:sz w:val="24"/>
          <w:highlight w:val="none"/>
        </w:rPr>
      </w:pPr>
    </w:p>
    <w:p w14:paraId="22C2628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627DC4E">
      <w:pPr>
        <w:spacing w:line="360" w:lineRule="exact"/>
        <w:rPr>
          <w:rFonts w:ascii="仿宋" w:hAnsi="仿宋" w:eastAsia="仿宋" w:cs="仿宋"/>
          <w:color w:val="auto"/>
          <w:sz w:val="24"/>
          <w:highlight w:val="none"/>
        </w:rPr>
      </w:pPr>
    </w:p>
    <w:p w14:paraId="366EB591">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48E520E">
      <w:pPr>
        <w:spacing w:line="360" w:lineRule="exact"/>
        <w:rPr>
          <w:rFonts w:ascii="仿宋" w:hAnsi="仿宋" w:eastAsia="仿宋" w:cs="仿宋"/>
          <w:color w:val="auto"/>
          <w:sz w:val="24"/>
          <w:highlight w:val="none"/>
        </w:rPr>
      </w:pPr>
    </w:p>
    <w:p w14:paraId="2C225786">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8B48088">
      <w:pPr>
        <w:spacing w:line="360" w:lineRule="exact"/>
        <w:rPr>
          <w:rFonts w:ascii="仿宋" w:hAnsi="仿宋" w:eastAsia="仿宋" w:cs="仿宋"/>
          <w:color w:val="auto"/>
          <w:sz w:val="24"/>
          <w:highlight w:val="none"/>
        </w:rPr>
      </w:pPr>
    </w:p>
    <w:p w14:paraId="3CB46EDE">
      <w:pPr>
        <w:spacing w:line="360" w:lineRule="exact"/>
        <w:rPr>
          <w:rFonts w:ascii="仿宋" w:hAnsi="仿宋" w:eastAsia="仿宋" w:cs="仿宋"/>
          <w:color w:val="auto"/>
          <w:sz w:val="24"/>
          <w:highlight w:val="none"/>
        </w:rPr>
      </w:pPr>
    </w:p>
    <w:p w14:paraId="55D1E432">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6BD7AF9">
      <w:pPr>
        <w:spacing w:line="360" w:lineRule="exact"/>
        <w:rPr>
          <w:rFonts w:ascii="仿宋" w:hAnsi="仿宋" w:eastAsia="仿宋" w:cs="仿宋"/>
          <w:color w:val="auto"/>
          <w:sz w:val="24"/>
          <w:highlight w:val="none"/>
        </w:rPr>
      </w:pPr>
    </w:p>
    <w:p w14:paraId="2CF9A5E2">
      <w:pPr>
        <w:spacing w:line="360" w:lineRule="exact"/>
        <w:rPr>
          <w:rFonts w:ascii="仿宋" w:hAnsi="仿宋" w:eastAsia="仿宋" w:cs="仿宋"/>
          <w:color w:val="auto"/>
          <w:sz w:val="24"/>
          <w:highlight w:val="none"/>
        </w:rPr>
      </w:pPr>
    </w:p>
    <w:p w14:paraId="0DF712D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BA997BD">
      <w:pPr>
        <w:spacing w:line="360" w:lineRule="exact"/>
        <w:rPr>
          <w:rFonts w:ascii="仿宋" w:hAnsi="仿宋" w:eastAsia="仿宋" w:cs="仿宋"/>
          <w:color w:val="auto"/>
          <w:sz w:val="24"/>
          <w:highlight w:val="none"/>
        </w:rPr>
      </w:pPr>
    </w:p>
    <w:p w14:paraId="54B78FC2">
      <w:pPr>
        <w:spacing w:line="360" w:lineRule="exact"/>
        <w:rPr>
          <w:rFonts w:ascii="仿宋" w:hAnsi="仿宋" w:eastAsia="仿宋" w:cs="仿宋"/>
          <w:color w:val="auto"/>
          <w:sz w:val="24"/>
          <w:highlight w:val="none"/>
        </w:rPr>
      </w:pPr>
    </w:p>
    <w:p w14:paraId="6086A51E">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28D2D6C">
      <w:pPr>
        <w:ind w:firstLine="4920" w:firstLineChars="2050"/>
        <w:jc w:val="left"/>
        <w:rPr>
          <w:rFonts w:ascii="仿宋" w:hAnsi="仿宋" w:eastAsia="仿宋" w:cs="仿宋"/>
          <w:color w:val="auto"/>
          <w:sz w:val="24"/>
          <w:highlight w:val="none"/>
        </w:rPr>
      </w:pPr>
    </w:p>
    <w:p w14:paraId="3F6F5838">
      <w:pPr>
        <w:spacing w:line="800" w:lineRule="exact"/>
        <w:rPr>
          <w:rFonts w:ascii="仿宋" w:hAnsi="仿宋" w:eastAsia="仿宋" w:cs="仿宋"/>
          <w:b/>
          <w:color w:val="auto"/>
          <w:sz w:val="24"/>
          <w:highlight w:val="none"/>
        </w:rPr>
      </w:pPr>
    </w:p>
    <w:p w14:paraId="36C05F28">
      <w:pPr>
        <w:spacing w:line="800" w:lineRule="exact"/>
        <w:rPr>
          <w:rFonts w:ascii="仿宋" w:hAnsi="仿宋" w:eastAsia="仿宋" w:cs="仿宋"/>
          <w:b/>
          <w:color w:val="auto"/>
          <w:sz w:val="24"/>
          <w:highlight w:val="none"/>
        </w:rPr>
      </w:pPr>
    </w:p>
    <w:p w14:paraId="54D88909">
      <w:pPr>
        <w:pageBreakBefore/>
        <w:spacing w:line="800" w:lineRule="exact"/>
        <w:jc w:val="center"/>
        <w:outlineLvl w:val="1"/>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7718BEA">
      <w:pPr>
        <w:jc w:val="center"/>
        <w:rPr>
          <w:rFonts w:ascii="仿宋" w:hAnsi="仿宋" w:eastAsia="仿宋" w:cs="仿宋"/>
          <w:b/>
          <w:color w:val="auto"/>
          <w:sz w:val="24"/>
          <w:highlight w:val="none"/>
        </w:rPr>
      </w:pPr>
    </w:p>
    <w:p w14:paraId="5ADE8CC3">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9508D4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66855EAB">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BBDC8E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734FC3B">
      <w:pPr>
        <w:snapToGrid w:val="0"/>
        <w:spacing w:line="600" w:lineRule="exact"/>
        <w:jc w:val="left"/>
        <w:rPr>
          <w:rFonts w:ascii="仿宋" w:hAnsi="仿宋" w:eastAsia="仿宋" w:cs="仿宋"/>
          <w:color w:val="auto"/>
          <w:sz w:val="24"/>
          <w:highlight w:val="none"/>
        </w:rPr>
      </w:pPr>
    </w:p>
    <w:p w14:paraId="505AB81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1D46C40">
      <w:pPr>
        <w:spacing w:line="360" w:lineRule="exact"/>
        <w:rPr>
          <w:rFonts w:ascii="仿宋" w:hAnsi="仿宋" w:eastAsia="仿宋" w:cs="仿宋"/>
          <w:color w:val="auto"/>
          <w:sz w:val="24"/>
          <w:highlight w:val="none"/>
        </w:rPr>
      </w:pPr>
    </w:p>
    <w:p w14:paraId="46811EA4">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298224F">
      <w:pPr>
        <w:spacing w:line="360" w:lineRule="exact"/>
        <w:rPr>
          <w:rFonts w:ascii="仿宋" w:hAnsi="仿宋" w:eastAsia="仿宋" w:cs="仿宋"/>
          <w:color w:val="auto"/>
          <w:sz w:val="24"/>
          <w:highlight w:val="none"/>
        </w:rPr>
      </w:pPr>
    </w:p>
    <w:p w14:paraId="035BD21E">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3F356A0">
      <w:pPr>
        <w:spacing w:line="360" w:lineRule="exact"/>
        <w:rPr>
          <w:rFonts w:ascii="仿宋" w:hAnsi="仿宋" w:eastAsia="仿宋" w:cs="仿宋"/>
          <w:color w:val="auto"/>
          <w:sz w:val="24"/>
          <w:highlight w:val="none"/>
        </w:rPr>
      </w:pPr>
    </w:p>
    <w:p w14:paraId="3782BF4E">
      <w:pPr>
        <w:spacing w:line="360" w:lineRule="exact"/>
        <w:rPr>
          <w:rFonts w:ascii="仿宋" w:hAnsi="仿宋" w:eastAsia="仿宋" w:cs="仿宋"/>
          <w:color w:val="auto"/>
          <w:sz w:val="24"/>
          <w:highlight w:val="none"/>
        </w:rPr>
      </w:pPr>
    </w:p>
    <w:p w14:paraId="2B203C17">
      <w:pPr>
        <w:jc w:val="center"/>
        <w:rPr>
          <w:rFonts w:ascii="仿宋" w:hAnsi="仿宋" w:eastAsia="仿宋" w:cs="仿宋"/>
          <w:b/>
          <w:color w:val="auto"/>
          <w:kern w:val="0"/>
          <w:sz w:val="32"/>
          <w:szCs w:val="32"/>
          <w:highlight w:val="none"/>
        </w:rPr>
      </w:pPr>
    </w:p>
    <w:p w14:paraId="0943293D">
      <w:pPr>
        <w:rPr>
          <w:rFonts w:ascii="仿宋" w:hAnsi="仿宋" w:eastAsia="仿宋" w:cs="仿宋"/>
          <w:color w:val="auto"/>
          <w:highlight w:val="none"/>
        </w:rPr>
      </w:pPr>
    </w:p>
    <w:p w14:paraId="0885160A">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7A6720E">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2BBEF31">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9291AEB">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65345CB">
      <w:pPr>
        <w:autoSpaceDE w:val="0"/>
        <w:autoSpaceDN w:val="0"/>
        <w:spacing w:line="360" w:lineRule="auto"/>
        <w:jc w:val="center"/>
        <w:rPr>
          <w:rFonts w:ascii="仿宋" w:hAnsi="仿宋" w:eastAsia="仿宋" w:cs="仿宋"/>
          <w:b/>
          <w:color w:val="auto"/>
          <w:kern w:val="0"/>
          <w:sz w:val="32"/>
          <w:szCs w:val="32"/>
          <w:highlight w:val="none"/>
          <w:lang w:val="zh-CN"/>
        </w:rPr>
      </w:pPr>
    </w:p>
    <w:p w14:paraId="1F63934F">
      <w:pPr>
        <w:autoSpaceDE w:val="0"/>
        <w:autoSpaceDN w:val="0"/>
        <w:spacing w:line="360" w:lineRule="auto"/>
        <w:jc w:val="center"/>
        <w:rPr>
          <w:rFonts w:ascii="仿宋" w:hAnsi="仿宋" w:eastAsia="仿宋" w:cs="仿宋"/>
          <w:b/>
          <w:color w:val="auto"/>
          <w:kern w:val="0"/>
          <w:sz w:val="32"/>
          <w:szCs w:val="32"/>
          <w:highlight w:val="none"/>
          <w:lang w:val="zh-CN"/>
        </w:rPr>
      </w:pPr>
    </w:p>
    <w:p w14:paraId="6588F704">
      <w:pPr>
        <w:autoSpaceDE w:val="0"/>
        <w:autoSpaceDN w:val="0"/>
        <w:spacing w:line="360" w:lineRule="auto"/>
        <w:jc w:val="center"/>
        <w:rPr>
          <w:rFonts w:ascii="仿宋" w:hAnsi="仿宋" w:eastAsia="仿宋" w:cs="仿宋"/>
          <w:b/>
          <w:color w:val="auto"/>
          <w:kern w:val="0"/>
          <w:sz w:val="32"/>
          <w:szCs w:val="32"/>
          <w:highlight w:val="none"/>
          <w:lang w:val="zh-CN"/>
        </w:rPr>
      </w:pPr>
    </w:p>
    <w:p w14:paraId="57F19F99">
      <w:pPr>
        <w:spacing w:line="800" w:lineRule="exact"/>
        <w:rPr>
          <w:rFonts w:ascii="仿宋" w:hAnsi="仿宋" w:eastAsia="仿宋" w:cs="仿宋"/>
          <w:b/>
          <w:color w:val="auto"/>
          <w:sz w:val="24"/>
          <w:highlight w:val="none"/>
        </w:rPr>
      </w:pPr>
    </w:p>
    <w:p w14:paraId="35488FF2">
      <w:pPr>
        <w:spacing w:line="800" w:lineRule="exact"/>
        <w:jc w:val="center"/>
        <w:outlineLvl w:val="1"/>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23AA99BA">
      <w:pPr>
        <w:spacing w:line="800" w:lineRule="exact"/>
        <w:ind w:firstLine="480" w:firstLineChars="200"/>
        <w:jc w:val="left"/>
        <w:rPr>
          <w:rFonts w:ascii="仿宋" w:hAnsi="仿宋" w:eastAsia="仿宋"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2074946">
      <w:pPr>
        <w:spacing w:line="800" w:lineRule="exact"/>
        <w:jc w:val="center"/>
        <w:rPr>
          <w:rFonts w:ascii="仿宋" w:hAnsi="仿宋" w:eastAsia="仿宋" w:cs="仿宋"/>
          <w:b/>
          <w:color w:val="auto"/>
          <w:sz w:val="30"/>
          <w:szCs w:val="30"/>
          <w:highlight w:val="none"/>
        </w:rPr>
      </w:pPr>
    </w:p>
    <w:p w14:paraId="2B867759">
      <w:pPr>
        <w:pStyle w:val="2"/>
        <w:rPr>
          <w:color w:val="auto"/>
          <w:highlight w:val="none"/>
        </w:rPr>
      </w:pPr>
    </w:p>
    <w:p w14:paraId="1944349F">
      <w:pPr>
        <w:spacing w:line="800" w:lineRule="exact"/>
        <w:jc w:val="center"/>
        <w:outlineLvl w:val="1"/>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1BBCC52">
      <w:pPr>
        <w:spacing w:line="800" w:lineRule="exact"/>
        <w:rPr>
          <w:rFonts w:ascii="仿宋" w:hAnsi="仿宋" w:eastAsia="仿宋" w:cs="仿宋"/>
          <w:b/>
          <w:color w:val="auto"/>
          <w:sz w:val="24"/>
          <w:highlight w:val="none"/>
        </w:rPr>
      </w:pPr>
    </w:p>
    <w:p w14:paraId="65532EA7">
      <w:pPr>
        <w:spacing w:line="800" w:lineRule="exact"/>
        <w:rPr>
          <w:rFonts w:ascii="仿宋" w:hAnsi="仿宋" w:eastAsia="仿宋" w:cs="仿宋"/>
          <w:b/>
          <w:color w:val="auto"/>
          <w:sz w:val="24"/>
          <w:highlight w:val="none"/>
        </w:rPr>
      </w:pPr>
    </w:p>
    <w:p w14:paraId="5EF65DCC">
      <w:pPr>
        <w:spacing w:line="800" w:lineRule="exact"/>
        <w:jc w:val="center"/>
        <w:outlineLvl w:val="1"/>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1D92BD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53ADAED0">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6AF752CD">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28C0DB9B">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0C110650">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49652AE3">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50F8A3F">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54E00FC">
      <w:pPr>
        <w:spacing w:line="440" w:lineRule="exact"/>
        <w:rPr>
          <w:rFonts w:ascii="仿宋" w:hAnsi="仿宋" w:eastAsia="仿宋" w:cs="仿宋"/>
          <w:color w:val="auto"/>
          <w:sz w:val="24"/>
          <w:highlight w:val="none"/>
        </w:rPr>
      </w:pPr>
    </w:p>
    <w:p w14:paraId="4830C46D">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投标人名称（电子签章）： </w:t>
      </w:r>
    </w:p>
    <w:p w14:paraId="1689C425">
      <w:pPr>
        <w:spacing w:line="440" w:lineRule="exact"/>
        <w:ind w:right="480"/>
        <w:rPr>
          <w:rFonts w:ascii="仿宋" w:hAnsi="仿宋" w:eastAsia="仿宋" w:cs="仿宋"/>
          <w:color w:val="auto"/>
          <w:sz w:val="24"/>
          <w:highlight w:val="none"/>
        </w:rPr>
      </w:pPr>
    </w:p>
    <w:p w14:paraId="329C81A8">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14:paraId="500F5853">
      <w:pPr>
        <w:jc w:val="center"/>
        <w:rPr>
          <w:rFonts w:ascii="仿宋" w:hAnsi="仿宋" w:eastAsia="仿宋" w:cs="仿宋"/>
          <w:b/>
          <w:color w:val="auto"/>
          <w:kern w:val="0"/>
          <w:sz w:val="32"/>
          <w:szCs w:val="32"/>
          <w:highlight w:val="none"/>
        </w:rPr>
      </w:pPr>
    </w:p>
    <w:p w14:paraId="27B8EE0F">
      <w:pPr>
        <w:jc w:val="center"/>
        <w:rPr>
          <w:rFonts w:ascii="仿宋" w:hAnsi="仿宋" w:eastAsia="仿宋" w:cs="仿宋"/>
          <w:b/>
          <w:color w:val="auto"/>
          <w:kern w:val="0"/>
          <w:sz w:val="32"/>
          <w:szCs w:val="32"/>
          <w:highlight w:val="none"/>
        </w:rPr>
      </w:pPr>
    </w:p>
    <w:p w14:paraId="772C0B11">
      <w:pPr>
        <w:pStyle w:val="2"/>
        <w:rPr>
          <w:color w:val="auto"/>
          <w:highlight w:val="none"/>
        </w:rPr>
      </w:pPr>
    </w:p>
    <w:p w14:paraId="53329ECD">
      <w:pPr>
        <w:rPr>
          <w:rFonts w:ascii="仿宋" w:hAnsi="仿宋" w:eastAsia="仿宋" w:cs="仿宋"/>
          <w:b/>
          <w:color w:val="auto"/>
          <w:kern w:val="0"/>
          <w:sz w:val="32"/>
          <w:szCs w:val="32"/>
          <w:highlight w:val="none"/>
        </w:rPr>
      </w:pPr>
    </w:p>
    <w:p w14:paraId="502383DA">
      <w:pPr>
        <w:jc w:val="center"/>
        <w:rPr>
          <w:rFonts w:ascii="仿宋" w:hAnsi="仿宋" w:eastAsia="仿宋" w:cs="仿宋"/>
          <w:b/>
          <w:color w:val="auto"/>
          <w:kern w:val="0"/>
          <w:sz w:val="18"/>
          <w:szCs w:val="18"/>
          <w:highlight w:val="none"/>
        </w:rPr>
      </w:pPr>
    </w:p>
    <w:p w14:paraId="47649D76">
      <w:pPr>
        <w:jc w:val="center"/>
        <w:outlineLvl w:val="1"/>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E24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50BE7C">
            <w:pP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579F6F4">
            <w:pP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BB26B27">
            <w:pP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BFECE47">
            <w:pPr>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724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B4CA9E">
            <w:pPr>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5AEF3FEE">
            <w:pPr>
              <w:jc w:val="center"/>
              <w:textAlignment w:val="center"/>
              <w:rPr>
                <w:rFonts w:ascii="仿宋" w:hAnsi="仿宋" w:eastAsia="仿宋" w:cs="仿宋"/>
                <w:b/>
                <w:color w:val="auto"/>
                <w:kern w:val="0"/>
                <w:sz w:val="32"/>
                <w:szCs w:val="32"/>
                <w:highlight w:val="none"/>
              </w:rPr>
            </w:pPr>
          </w:p>
        </w:tc>
        <w:tc>
          <w:tcPr>
            <w:tcW w:w="3546" w:type="dxa"/>
          </w:tcPr>
          <w:p w14:paraId="5029F74E">
            <w:pPr>
              <w:jc w:val="center"/>
              <w:textAlignment w:val="center"/>
              <w:rPr>
                <w:rFonts w:ascii="仿宋" w:hAnsi="仿宋" w:eastAsia="仿宋" w:cs="仿宋"/>
                <w:b/>
                <w:color w:val="auto"/>
                <w:kern w:val="0"/>
                <w:sz w:val="32"/>
                <w:szCs w:val="32"/>
                <w:highlight w:val="none"/>
              </w:rPr>
            </w:pPr>
          </w:p>
        </w:tc>
        <w:tc>
          <w:tcPr>
            <w:tcW w:w="1276" w:type="dxa"/>
          </w:tcPr>
          <w:p w14:paraId="25430D3A">
            <w:pPr>
              <w:jc w:val="center"/>
              <w:textAlignment w:val="center"/>
              <w:rPr>
                <w:rFonts w:ascii="仿宋" w:hAnsi="仿宋" w:eastAsia="仿宋" w:cs="仿宋"/>
                <w:b/>
                <w:color w:val="auto"/>
                <w:kern w:val="0"/>
                <w:sz w:val="32"/>
                <w:szCs w:val="32"/>
                <w:highlight w:val="none"/>
              </w:rPr>
            </w:pPr>
          </w:p>
        </w:tc>
      </w:tr>
      <w:tr w14:paraId="4E3E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2AA050">
            <w:pPr>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7B1963EA">
            <w:pPr>
              <w:jc w:val="center"/>
              <w:textAlignment w:val="center"/>
              <w:rPr>
                <w:rFonts w:ascii="仿宋" w:hAnsi="仿宋" w:eastAsia="仿宋" w:cs="仿宋"/>
                <w:b/>
                <w:color w:val="auto"/>
                <w:kern w:val="0"/>
                <w:sz w:val="32"/>
                <w:szCs w:val="32"/>
                <w:highlight w:val="none"/>
              </w:rPr>
            </w:pPr>
          </w:p>
        </w:tc>
        <w:tc>
          <w:tcPr>
            <w:tcW w:w="3546" w:type="dxa"/>
          </w:tcPr>
          <w:p w14:paraId="41F3E639">
            <w:pPr>
              <w:jc w:val="center"/>
              <w:textAlignment w:val="center"/>
              <w:rPr>
                <w:rFonts w:ascii="仿宋" w:hAnsi="仿宋" w:eastAsia="仿宋" w:cs="仿宋"/>
                <w:b/>
                <w:color w:val="auto"/>
                <w:kern w:val="0"/>
                <w:sz w:val="32"/>
                <w:szCs w:val="32"/>
                <w:highlight w:val="none"/>
              </w:rPr>
            </w:pPr>
          </w:p>
        </w:tc>
        <w:tc>
          <w:tcPr>
            <w:tcW w:w="1276" w:type="dxa"/>
          </w:tcPr>
          <w:p w14:paraId="3ECF850E">
            <w:pPr>
              <w:jc w:val="center"/>
              <w:textAlignment w:val="center"/>
              <w:rPr>
                <w:rFonts w:ascii="仿宋" w:hAnsi="仿宋" w:eastAsia="仿宋" w:cs="仿宋"/>
                <w:b/>
                <w:color w:val="auto"/>
                <w:kern w:val="0"/>
                <w:sz w:val="32"/>
                <w:szCs w:val="32"/>
                <w:highlight w:val="none"/>
              </w:rPr>
            </w:pPr>
          </w:p>
        </w:tc>
      </w:tr>
      <w:tr w14:paraId="5DAC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1DFFB2">
            <w:pPr>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692B294">
            <w:pPr>
              <w:jc w:val="center"/>
              <w:textAlignment w:val="center"/>
              <w:rPr>
                <w:rFonts w:ascii="仿宋" w:hAnsi="仿宋" w:eastAsia="仿宋" w:cs="仿宋"/>
                <w:b/>
                <w:color w:val="auto"/>
                <w:kern w:val="0"/>
                <w:sz w:val="32"/>
                <w:szCs w:val="32"/>
                <w:highlight w:val="none"/>
              </w:rPr>
            </w:pPr>
          </w:p>
        </w:tc>
        <w:tc>
          <w:tcPr>
            <w:tcW w:w="3546" w:type="dxa"/>
          </w:tcPr>
          <w:p w14:paraId="1B7749E4">
            <w:pPr>
              <w:jc w:val="center"/>
              <w:textAlignment w:val="center"/>
              <w:rPr>
                <w:rFonts w:ascii="仿宋" w:hAnsi="仿宋" w:eastAsia="仿宋" w:cs="仿宋"/>
                <w:b/>
                <w:color w:val="auto"/>
                <w:kern w:val="0"/>
                <w:sz w:val="32"/>
                <w:szCs w:val="32"/>
                <w:highlight w:val="none"/>
              </w:rPr>
            </w:pPr>
          </w:p>
        </w:tc>
        <w:tc>
          <w:tcPr>
            <w:tcW w:w="1276" w:type="dxa"/>
          </w:tcPr>
          <w:p w14:paraId="7A3D919B">
            <w:pPr>
              <w:jc w:val="center"/>
              <w:textAlignment w:val="center"/>
              <w:rPr>
                <w:rFonts w:ascii="仿宋" w:hAnsi="仿宋" w:eastAsia="仿宋" w:cs="仿宋"/>
                <w:b/>
                <w:color w:val="auto"/>
                <w:kern w:val="0"/>
                <w:sz w:val="32"/>
                <w:szCs w:val="32"/>
                <w:highlight w:val="none"/>
              </w:rPr>
            </w:pPr>
          </w:p>
        </w:tc>
      </w:tr>
    </w:tbl>
    <w:p w14:paraId="7342D256">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1C2399D">
      <w:pPr>
        <w:jc w:val="center"/>
        <w:rPr>
          <w:rFonts w:ascii="仿宋" w:hAnsi="仿宋" w:eastAsia="仿宋" w:cs="仿宋"/>
          <w:b/>
          <w:color w:val="auto"/>
          <w:kern w:val="0"/>
          <w:sz w:val="32"/>
          <w:szCs w:val="32"/>
          <w:highlight w:val="none"/>
        </w:rPr>
      </w:pPr>
    </w:p>
    <w:p w14:paraId="2BA7D3CE">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345E4F8">
      <w:pPr>
        <w:widowControl/>
        <w:adjustRightInd/>
        <w:jc w:val="left"/>
        <w:rPr>
          <w:rFonts w:ascii="仿宋" w:hAnsi="仿宋" w:eastAsia="仿宋" w:cs="仿宋"/>
          <w:b/>
          <w:bCs/>
          <w:color w:val="auto"/>
          <w:sz w:val="32"/>
          <w:szCs w:val="32"/>
          <w:highlight w:val="none"/>
        </w:rPr>
      </w:pPr>
    </w:p>
    <w:p w14:paraId="2DA05861">
      <w:pPr>
        <w:widowControl/>
        <w:adjustRightInd/>
        <w:jc w:val="center"/>
        <w:outlineLvl w:val="1"/>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1E4683D2">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F41F05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361E5D2">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C3077BC">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50365E6">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3D9EE4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DBB5BA2">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D3B7CFA">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6FAAF86">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6E4155A">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等法律法规，诚实守信，合法经营，坚决抵制各种违法违纪行为。</w:t>
      </w:r>
    </w:p>
    <w:p w14:paraId="5036A12F">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618CD6B">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6B24572">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37554998">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F8C69B">
      <w:pPr>
        <w:spacing w:line="360" w:lineRule="auto"/>
        <w:jc w:val="center"/>
        <w:outlineLvl w:val="1"/>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7CE997FA">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BED357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BEC867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DA09D4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3ADFB5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9638F5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48011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204E2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10284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5FC1BB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C8E9A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BCC752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AAFD96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0E1C184B">
            <w:pPr>
              <w:autoSpaceDE w:val="0"/>
              <w:autoSpaceDN w:val="0"/>
              <w:spacing w:line="360" w:lineRule="auto"/>
              <w:jc w:val="center"/>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24C21D7D">
            <w:pPr>
              <w:autoSpaceDE w:val="0"/>
              <w:autoSpaceDN w:val="0"/>
              <w:spacing w:line="360" w:lineRule="auto"/>
              <w:jc w:val="center"/>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3321849F">
            <w:pPr>
              <w:autoSpaceDE w:val="0"/>
              <w:autoSpaceDN w:val="0"/>
              <w:spacing w:line="360" w:lineRule="auto"/>
              <w:jc w:val="center"/>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3C9C84FD">
            <w:pPr>
              <w:autoSpaceDE w:val="0"/>
              <w:autoSpaceDN w:val="0"/>
              <w:spacing w:line="360" w:lineRule="auto"/>
              <w:jc w:val="center"/>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4364206A">
            <w:pPr>
              <w:autoSpaceDE w:val="0"/>
              <w:autoSpaceDN w:val="0"/>
              <w:spacing w:line="360" w:lineRule="auto"/>
              <w:jc w:val="center"/>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4244FD1E">
            <w:pPr>
              <w:autoSpaceDE w:val="0"/>
              <w:autoSpaceDN w:val="0"/>
              <w:spacing w:line="360" w:lineRule="auto"/>
              <w:jc w:val="center"/>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3FFCBCB4">
            <w:pPr>
              <w:autoSpaceDE w:val="0"/>
              <w:autoSpaceDN w:val="0"/>
              <w:spacing w:line="360" w:lineRule="auto"/>
              <w:jc w:val="center"/>
              <w:rPr>
                <w:rFonts w:ascii="仿宋_GB2312" w:hAnsi="仿宋_GB2312" w:eastAsia="仿宋_GB2312" w:cs="仿宋_GB2312"/>
                <w:color w:val="auto"/>
                <w:sz w:val="24"/>
                <w:highlight w:val="none"/>
              </w:rPr>
            </w:pPr>
          </w:p>
        </w:tc>
      </w:tr>
      <w:tr w14:paraId="499F2A9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52536D7F">
            <w:pPr>
              <w:autoSpaceDE w:val="0"/>
              <w:autoSpaceDN w:val="0"/>
              <w:spacing w:line="360" w:lineRule="auto"/>
              <w:jc w:val="center"/>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74784291">
            <w:pPr>
              <w:autoSpaceDE w:val="0"/>
              <w:autoSpaceDN w:val="0"/>
              <w:spacing w:line="360" w:lineRule="auto"/>
              <w:jc w:val="center"/>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3B18A039">
            <w:pPr>
              <w:autoSpaceDE w:val="0"/>
              <w:autoSpaceDN w:val="0"/>
              <w:spacing w:line="360" w:lineRule="auto"/>
              <w:jc w:val="center"/>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62BCFC71">
            <w:pPr>
              <w:autoSpaceDE w:val="0"/>
              <w:autoSpaceDN w:val="0"/>
              <w:spacing w:line="360" w:lineRule="auto"/>
              <w:jc w:val="center"/>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0D78EBB0">
            <w:pPr>
              <w:autoSpaceDE w:val="0"/>
              <w:autoSpaceDN w:val="0"/>
              <w:spacing w:line="360" w:lineRule="auto"/>
              <w:jc w:val="center"/>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3EB6DC62">
            <w:pPr>
              <w:autoSpaceDE w:val="0"/>
              <w:autoSpaceDN w:val="0"/>
              <w:spacing w:line="360" w:lineRule="auto"/>
              <w:jc w:val="center"/>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7E7485DD">
            <w:pPr>
              <w:autoSpaceDE w:val="0"/>
              <w:autoSpaceDN w:val="0"/>
              <w:spacing w:line="360" w:lineRule="auto"/>
              <w:jc w:val="center"/>
              <w:rPr>
                <w:rFonts w:ascii="仿宋_GB2312" w:hAnsi="仿宋_GB2312" w:eastAsia="仿宋_GB2312" w:cs="仿宋_GB2312"/>
                <w:color w:val="auto"/>
                <w:sz w:val="24"/>
                <w:highlight w:val="none"/>
              </w:rPr>
            </w:pPr>
          </w:p>
        </w:tc>
      </w:tr>
      <w:tr w14:paraId="36CBABF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6373E0FF">
            <w:pPr>
              <w:autoSpaceDE w:val="0"/>
              <w:autoSpaceDN w:val="0"/>
              <w:spacing w:line="360" w:lineRule="auto"/>
              <w:jc w:val="center"/>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61909811">
            <w:pPr>
              <w:autoSpaceDE w:val="0"/>
              <w:autoSpaceDN w:val="0"/>
              <w:spacing w:line="360" w:lineRule="auto"/>
              <w:jc w:val="center"/>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05F1AE61">
            <w:pPr>
              <w:autoSpaceDE w:val="0"/>
              <w:autoSpaceDN w:val="0"/>
              <w:spacing w:line="360" w:lineRule="auto"/>
              <w:jc w:val="center"/>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00EEE252">
            <w:pPr>
              <w:autoSpaceDE w:val="0"/>
              <w:autoSpaceDN w:val="0"/>
              <w:spacing w:line="360" w:lineRule="auto"/>
              <w:jc w:val="center"/>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6E34138F">
            <w:pPr>
              <w:autoSpaceDE w:val="0"/>
              <w:autoSpaceDN w:val="0"/>
              <w:spacing w:line="360" w:lineRule="auto"/>
              <w:jc w:val="center"/>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4D442A86">
            <w:pPr>
              <w:autoSpaceDE w:val="0"/>
              <w:autoSpaceDN w:val="0"/>
              <w:spacing w:line="360" w:lineRule="auto"/>
              <w:jc w:val="center"/>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20F0E1F">
            <w:pPr>
              <w:autoSpaceDE w:val="0"/>
              <w:autoSpaceDN w:val="0"/>
              <w:spacing w:line="360" w:lineRule="auto"/>
              <w:jc w:val="center"/>
              <w:rPr>
                <w:rFonts w:ascii="仿宋_GB2312" w:hAnsi="仿宋_GB2312" w:eastAsia="仿宋_GB2312" w:cs="仿宋_GB2312"/>
                <w:color w:val="auto"/>
                <w:sz w:val="24"/>
                <w:highlight w:val="none"/>
              </w:rPr>
            </w:pPr>
          </w:p>
        </w:tc>
      </w:tr>
    </w:tbl>
    <w:p w14:paraId="5EF323F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E45B30C">
      <w:pPr>
        <w:autoSpaceDE w:val="0"/>
        <w:autoSpaceDN w:val="0"/>
        <w:spacing w:line="360" w:lineRule="auto"/>
        <w:rPr>
          <w:rFonts w:ascii="仿宋_GB2312" w:hAnsi="仿宋_GB2312" w:eastAsia="仿宋_GB2312" w:cs="仿宋_GB2312"/>
          <w:b/>
          <w:color w:val="auto"/>
          <w:sz w:val="24"/>
          <w:highlight w:val="none"/>
        </w:rPr>
      </w:pPr>
    </w:p>
    <w:p w14:paraId="72E2D6A6">
      <w:pPr>
        <w:autoSpaceDE w:val="0"/>
        <w:autoSpaceDN w:val="0"/>
        <w:spacing w:line="360" w:lineRule="auto"/>
        <w:rPr>
          <w:rFonts w:ascii="仿宋_GB2312" w:hAnsi="仿宋_GB2312" w:eastAsia="仿宋_GB2312" w:cs="仿宋_GB2312"/>
          <w:color w:val="auto"/>
          <w:sz w:val="24"/>
          <w:highlight w:val="none"/>
        </w:rPr>
      </w:pPr>
    </w:p>
    <w:p w14:paraId="023FCC6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B2F7FC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7ACE1717">
      <w:pPr>
        <w:pageBreakBefore/>
        <w:spacing w:line="360" w:lineRule="auto"/>
        <w:jc w:val="center"/>
        <w:outlineLvl w:val="1"/>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14:paraId="5762E1B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A2C7303">
      <w:pPr>
        <w:spacing w:line="360" w:lineRule="auto"/>
        <w:jc w:val="center"/>
        <w:rPr>
          <w:rFonts w:ascii="仿宋_GB2312" w:hAnsi="仿宋_GB2312" w:eastAsia="仿宋_GB2312" w:cs="仿宋_GB2312"/>
          <w:color w:val="auto"/>
          <w:sz w:val="24"/>
          <w:highlight w:val="none"/>
        </w:rPr>
      </w:pPr>
    </w:p>
    <w:p w14:paraId="314D3CFD">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359C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BC7712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3A209D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4E3117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4F2D630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577A6A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4D2E5A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C30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59BDD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37CA2E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B931B4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6B4F459">
            <w:pPr>
              <w:spacing w:line="360" w:lineRule="auto"/>
              <w:jc w:val="center"/>
              <w:rPr>
                <w:rFonts w:ascii="仿宋_GB2312" w:hAnsi="仿宋_GB2312" w:eastAsia="仿宋_GB2312" w:cs="仿宋_GB2312"/>
                <w:color w:val="auto"/>
                <w:sz w:val="24"/>
                <w:highlight w:val="none"/>
              </w:rPr>
            </w:pPr>
          </w:p>
        </w:tc>
        <w:tc>
          <w:tcPr>
            <w:tcW w:w="1080" w:type="dxa"/>
            <w:vAlign w:val="center"/>
          </w:tcPr>
          <w:p w14:paraId="3F12D965">
            <w:pPr>
              <w:spacing w:line="360" w:lineRule="auto"/>
              <w:jc w:val="center"/>
              <w:rPr>
                <w:rFonts w:ascii="仿宋_GB2312" w:hAnsi="仿宋_GB2312" w:eastAsia="仿宋_GB2312" w:cs="仿宋_GB2312"/>
                <w:color w:val="auto"/>
                <w:sz w:val="24"/>
                <w:highlight w:val="none"/>
              </w:rPr>
            </w:pPr>
          </w:p>
        </w:tc>
        <w:tc>
          <w:tcPr>
            <w:tcW w:w="1332" w:type="dxa"/>
            <w:vAlign w:val="center"/>
          </w:tcPr>
          <w:p w14:paraId="0BCB525D">
            <w:pPr>
              <w:spacing w:line="360" w:lineRule="auto"/>
              <w:jc w:val="center"/>
              <w:rPr>
                <w:rFonts w:ascii="仿宋_GB2312" w:hAnsi="仿宋_GB2312" w:eastAsia="仿宋_GB2312" w:cs="仿宋_GB2312"/>
                <w:color w:val="auto"/>
                <w:sz w:val="24"/>
                <w:highlight w:val="none"/>
              </w:rPr>
            </w:pPr>
          </w:p>
        </w:tc>
      </w:tr>
      <w:tr w14:paraId="2C96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54F024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8C8CBE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B6A03D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30F1FB2">
            <w:pPr>
              <w:spacing w:line="360" w:lineRule="auto"/>
              <w:jc w:val="center"/>
              <w:rPr>
                <w:rFonts w:ascii="仿宋_GB2312" w:hAnsi="仿宋_GB2312" w:eastAsia="仿宋_GB2312" w:cs="仿宋_GB2312"/>
                <w:color w:val="auto"/>
                <w:sz w:val="24"/>
                <w:highlight w:val="none"/>
              </w:rPr>
            </w:pPr>
          </w:p>
        </w:tc>
        <w:tc>
          <w:tcPr>
            <w:tcW w:w="1080" w:type="dxa"/>
            <w:vAlign w:val="center"/>
          </w:tcPr>
          <w:p w14:paraId="1F30286F">
            <w:pPr>
              <w:spacing w:line="360" w:lineRule="auto"/>
              <w:jc w:val="center"/>
              <w:rPr>
                <w:rFonts w:ascii="仿宋_GB2312" w:hAnsi="仿宋_GB2312" w:eastAsia="仿宋_GB2312" w:cs="仿宋_GB2312"/>
                <w:color w:val="auto"/>
                <w:sz w:val="24"/>
                <w:highlight w:val="none"/>
              </w:rPr>
            </w:pPr>
          </w:p>
        </w:tc>
        <w:tc>
          <w:tcPr>
            <w:tcW w:w="1332" w:type="dxa"/>
            <w:vAlign w:val="center"/>
          </w:tcPr>
          <w:p w14:paraId="559CF146">
            <w:pPr>
              <w:spacing w:line="360" w:lineRule="auto"/>
              <w:jc w:val="center"/>
              <w:rPr>
                <w:rFonts w:ascii="仿宋_GB2312" w:hAnsi="仿宋_GB2312" w:eastAsia="仿宋_GB2312" w:cs="仿宋_GB2312"/>
                <w:color w:val="auto"/>
                <w:sz w:val="24"/>
                <w:highlight w:val="none"/>
              </w:rPr>
            </w:pPr>
          </w:p>
        </w:tc>
      </w:tr>
      <w:tr w14:paraId="07FA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9C7FE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222A24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9D1CD9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90504B3">
            <w:pPr>
              <w:spacing w:line="360" w:lineRule="auto"/>
              <w:jc w:val="center"/>
              <w:rPr>
                <w:rFonts w:ascii="仿宋_GB2312" w:hAnsi="仿宋_GB2312" w:eastAsia="仿宋_GB2312" w:cs="仿宋_GB2312"/>
                <w:color w:val="auto"/>
                <w:sz w:val="24"/>
                <w:highlight w:val="none"/>
              </w:rPr>
            </w:pPr>
          </w:p>
        </w:tc>
        <w:tc>
          <w:tcPr>
            <w:tcW w:w="1080" w:type="dxa"/>
            <w:vAlign w:val="center"/>
          </w:tcPr>
          <w:p w14:paraId="1C68BE0A">
            <w:pPr>
              <w:spacing w:line="360" w:lineRule="auto"/>
              <w:jc w:val="center"/>
              <w:rPr>
                <w:rFonts w:ascii="仿宋_GB2312" w:hAnsi="仿宋_GB2312" w:eastAsia="仿宋_GB2312" w:cs="仿宋_GB2312"/>
                <w:color w:val="auto"/>
                <w:sz w:val="24"/>
                <w:highlight w:val="none"/>
              </w:rPr>
            </w:pPr>
          </w:p>
        </w:tc>
        <w:tc>
          <w:tcPr>
            <w:tcW w:w="1332" w:type="dxa"/>
            <w:vAlign w:val="center"/>
          </w:tcPr>
          <w:p w14:paraId="0D71AB39">
            <w:pPr>
              <w:spacing w:line="360" w:lineRule="auto"/>
              <w:jc w:val="center"/>
              <w:rPr>
                <w:rFonts w:ascii="仿宋_GB2312" w:hAnsi="仿宋_GB2312" w:eastAsia="仿宋_GB2312" w:cs="仿宋_GB2312"/>
                <w:color w:val="auto"/>
                <w:sz w:val="24"/>
                <w:highlight w:val="none"/>
              </w:rPr>
            </w:pPr>
          </w:p>
        </w:tc>
      </w:tr>
      <w:tr w14:paraId="3A6B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E93DA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7112DD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1170C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B10F5A8">
            <w:pPr>
              <w:spacing w:line="360" w:lineRule="auto"/>
              <w:jc w:val="center"/>
              <w:rPr>
                <w:rFonts w:ascii="仿宋_GB2312" w:hAnsi="仿宋_GB2312" w:eastAsia="仿宋_GB2312" w:cs="仿宋_GB2312"/>
                <w:color w:val="auto"/>
                <w:sz w:val="24"/>
                <w:highlight w:val="none"/>
              </w:rPr>
            </w:pPr>
          </w:p>
        </w:tc>
        <w:tc>
          <w:tcPr>
            <w:tcW w:w="1080" w:type="dxa"/>
            <w:vAlign w:val="center"/>
          </w:tcPr>
          <w:p w14:paraId="23D081BB">
            <w:pPr>
              <w:spacing w:line="360" w:lineRule="auto"/>
              <w:jc w:val="center"/>
              <w:rPr>
                <w:rFonts w:ascii="仿宋_GB2312" w:hAnsi="仿宋_GB2312" w:eastAsia="仿宋_GB2312" w:cs="仿宋_GB2312"/>
                <w:color w:val="auto"/>
                <w:sz w:val="24"/>
                <w:highlight w:val="none"/>
              </w:rPr>
            </w:pPr>
          </w:p>
        </w:tc>
        <w:tc>
          <w:tcPr>
            <w:tcW w:w="1332" w:type="dxa"/>
            <w:vAlign w:val="center"/>
          </w:tcPr>
          <w:p w14:paraId="08B02273">
            <w:pPr>
              <w:spacing w:line="360" w:lineRule="auto"/>
              <w:jc w:val="center"/>
              <w:rPr>
                <w:rFonts w:ascii="仿宋_GB2312" w:hAnsi="仿宋_GB2312" w:eastAsia="仿宋_GB2312" w:cs="仿宋_GB2312"/>
                <w:color w:val="auto"/>
                <w:sz w:val="24"/>
                <w:highlight w:val="none"/>
              </w:rPr>
            </w:pPr>
          </w:p>
        </w:tc>
      </w:tr>
      <w:tr w14:paraId="2A24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EFB01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94D76A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D43CA05">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5B69317">
            <w:pPr>
              <w:spacing w:line="360" w:lineRule="auto"/>
              <w:jc w:val="center"/>
              <w:rPr>
                <w:rFonts w:ascii="仿宋_GB2312" w:hAnsi="仿宋_GB2312" w:eastAsia="仿宋_GB2312" w:cs="仿宋_GB2312"/>
                <w:color w:val="auto"/>
                <w:sz w:val="24"/>
                <w:highlight w:val="none"/>
              </w:rPr>
            </w:pPr>
          </w:p>
        </w:tc>
        <w:tc>
          <w:tcPr>
            <w:tcW w:w="1080" w:type="dxa"/>
            <w:vAlign w:val="center"/>
          </w:tcPr>
          <w:p w14:paraId="688CFB09">
            <w:pPr>
              <w:spacing w:line="360" w:lineRule="auto"/>
              <w:jc w:val="center"/>
              <w:rPr>
                <w:rFonts w:ascii="仿宋_GB2312" w:hAnsi="仿宋_GB2312" w:eastAsia="仿宋_GB2312" w:cs="仿宋_GB2312"/>
                <w:color w:val="auto"/>
                <w:sz w:val="24"/>
                <w:highlight w:val="none"/>
              </w:rPr>
            </w:pPr>
          </w:p>
        </w:tc>
        <w:tc>
          <w:tcPr>
            <w:tcW w:w="1332" w:type="dxa"/>
            <w:vAlign w:val="center"/>
          </w:tcPr>
          <w:p w14:paraId="571BEC16">
            <w:pPr>
              <w:spacing w:line="360" w:lineRule="auto"/>
              <w:jc w:val="center"/>
              <w:rPr>
                <w:rFonts w:ascii="仿宋_GB2312" w:hAnsi="仿宋_GB2312" w:eastAsia="仿宋_GB2312" w:cs="仿宋_GB2312"/>
                <w:color w:val="auto"/>
                <w:sz w:val="24"/>
                <w:highlight w:val="none"/>
              </w:rPr>
            </w:pPr>
          </w:p>
        </w:tc>
      </w:tr>
    </w:tbl>
    <w:p w14:paraId="4A50603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AA479DA">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本项目如需采购政府强制采购的节能产品的或投标人提供的产品是环境标志产品，投标人须提供节能产品、环境标志产品认证证书复印件。</w:t>
      </w:r>
    </w:p>
    <w:p w14:paraId="0DE1F04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4.6pt;" o:ole="t" filled="f" o:preferrelative="t" stroked="f" coordsize="21600,21600">
            <v:path/>
            <v:fill on="f" focussize="0,0"/>
            <v:stroke on="f"/>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6" o:title=""/>
            <o:lock v:ext="edit" aspectratio="t"/>
            <w10:wrap type="none"/>
            <w10:anchorlock/>
          </v:shape>
          <o:OLEObject Type="Embed" ProgID="Package" ShapeID="_x0000_i1026" DrawAspect="Content" ObjectID="_1468075726" r:id="rId25">
            <o:LockedField>false</o:LockedField>
          </o:OLEObject>
        </w:object>
      </w:r>
    </w:p>
    <w:p w14:paraId="01DCFCB0">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034E0A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EAD7CC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3A78A2">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14:paraId="05EF9A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7BA967F">
      <w:pPr>
        <w:tabs>
          <w:tab w:val="left" w:pos="2790"/>
          <w:tab w:val="left" w:pos="4230"/>
        </w:tabs>
        <w:autoSpaceDE w:val="0"/>
        <w:autoSpaceDN w:val="0"/>
        <w:spacing w:line="360" w:lineRule="auto"/>
        <w:ind w:right="1400"/>
        <w:outlineLvl w:val="9"/>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(以生效日算起)</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1C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8816A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0DE85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EE95E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C7CCED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F3179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C0E8D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B85529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FF8A7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241893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1D9C3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57060C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05A0D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75811B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AE5759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D55A4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39A42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4FF9B0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1D1135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E21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16D7F5">
            <w:pPr>
              <w:spacing w:line="360" w:lineRule="auto"/>
              <w:rPr>
                <w:rFonts w:ascii="仿宋_GB2312" w:hAnsi="仿宋_GB2312" w:eastAsia="仿宋_GB2312" w:cs="仿宋_GB2312"/>
                <w:color w:val="auto"/>
                <w:sz w:val="24"/>
                <w:highlight w:val="none"/>
              </w:rPr>
            </w:pPr>
          </w:p>
        </w:tc>
        <w:tc>
          <w:tcPr>
            <w:tcW w:w="552" w:type="dxa"/>
          </w:tcPr>
          <w:p w14:paraId="2FEB473A">
            <w:pPr>
              <w:spacing w:line="360" w:lineRule="auto"/>
              <w:rPr>
                <w:rFonts w:ascii="仿宋_GB2312" w:hAnsi="仿宋_GB2312" w:eastAsia="仿宋_GB2312" w:cs="仿宋_GB2312"/>
                <w:color w:val="auto"/>
                <w:sz w:val="24"/>
                <w:highlight w:val="none"/>
              </w:rPr>
            </w:pPr>
          </w:p>
        </w:tc>
        <w:tc>
          <w:tcPr>
            <w:tcW w:w="552" w:type="dxa"/>
          </w:tcPr>
          <w:p w14:paraId="280A7118">
            <w:pPr>
              <w:spacing w:line="360" w:lineRule="auto"/>
              <w:rPr>
                <w:rFonts w:ascii="仿宋_GB2312" w:hAnsi="仿宋_GB2312" w:eastAsia="仿宋_GB2312" w:cs="仿宋_GB2312"/>
                <w:color w:val="auto"/>
                <w:sz w:val="24"/>
                <w:highlight w:val="none"/>
              </w:rPr>
            </w:pPr>
          </w:p>
        </w:tc>
        <w:tc>
          <w:tcPr>
            <w:tcW w:w="552" w:type="dxa"/>
          </w:tcPr>
          <w:p w14:paraId="34CF5FAB">
            <w:pPr>
              <w:spacing w:line="360" w:lineRule="auto"/>
              <w:rPr>
                <w:rFonts w:ascii="仿宋_GB2312" w:hAnsi="仿宋_GB2312" w:eastAsia="仿宋_GB2312" w:cs="仿宋_GB2312"/>
                <w:color w:val="auto"/>
                <w:sz w:val="24"/>
                <w:highlight w:val="none"/>
              </w:rPr>
            </w:pPr>
          </w:p>
        </w:tc>
        <w:tc>
          <w:tcPr>
            <w:tcW w:w="552" w:type="dxa"/>
          </w:tcPr>
          <w:p w14:paraId="5015E6AF">
            <w:pPr>
              <w:spacing w:line="360" w:lineRule="auto"/>
              <w:rPr>
                <w:rFonts w:ascii="仿宋_GB2312" w:hAnsi="仿宋_GB2312" w:eastAsia="仿宋_GB2312" w:cs="仿宋_GB2312"/>
                <w:color w:val="auto"/>
                <w:sz w:val="24"/>
                <w:highlight w:val="none"/>
              </w:rPr>
            </w:pPr>
          </w:p>
        </w:tc>
        <w:tc>
          <w:tcPr>
            <w:tcW w:w="552" w:type="dxa"/>
          </w:tcPr>
          <w:p w14:paraId="68C64221">
            <w:pPr>
              <w:spacing w:line="360" w:lineRule="auto"/>
              <w:rPr>
                <w:rFonts w:ascii="仿宋_GB2312" w:hAnsi="仿宋_GB2312" w:eastAsia="仿宋_GB2312" w:cs="仿宋_GB2312"/>
                <w:color w:val="auto"/>
                <w:sz w:val="24"/>
                <w:highlight w:val="none"/>
              </w:rPr>
            </w:pPr>
          </w:p>
        </w:tc>
        <w:tc>
          <w:tcPr>
            <w:tcW w:w="552" w:type="dxa"/>
          </w:tcPr>
          <w:p w14:paraId="59059F7F">
            <w:pPr>
              <w:spacing w:line="360" w:lineRule="auto"/>
              <w:rPr>
                <w:rFonts w:ascii="仿宋_GB2312" w:hAnsi="仿宋_GB2312" w:eastAsia="仿宋_GB2312" w:cs="仿宋_GB2312"/>
                <w:color w:val="auto"/>
                <w:sz w:val="24"/>
                <w:highlight w:val="none"/>
              </w:rPr>
            </w:pPr>
          </w:p>
        </w:tc>
        <w:tc>
          <w:tcPr>
            <w:tcW w:w="553" w:type="dxa"/>
          </w:tcPr>
          <w:p w14:paraId="3BC45F16">
            <w:pPr>
              <w:spacing w:line="360" w:lineRule="auto"/>
              <w:rPr>
                <w:rFonts w:ascii="仿宋_GB2312" w:hAnsi="仿宋_GB2312" w:eastAsia="仿宋_GB2312" w:cs="仿宋_GB2312"/>
                <w:color w:val="auto"/>
                <w:sz w:val="24"/>
                <w:highlight w:val="none"/>
              </w:rPr>
            </w:pPr>
          </w:p>
        </w:tc>
        <w:tc>
          <w:tcPr>
            <w:tcW w:w="553" w:type="dxa"/>
          </w:tcPr>
          <w:p w14:paraId="351B643C">
            <w:pPr>
              <w:spacing w:line="360" w:lineRule="auto"/>
              <w:rPr>
                <w:rFonts w:ascii="仿宋_GB2312" w:hAnsi="仿宋_GB2312" w:eastAsia="仿宋_GB2312" w:cs="仿宋_GB2312"/>
                <w:color w:val="auto"/>
                <w:sz w:val="24"/>
                <w:highlight w:val="none"/>
              </w:rPr>
            </w:pPr>
          </w:p>
        </w:tc>
        <w:tc>
          <w:tcPr>
            <w:tcW w:w="553" w:type="dxa"/>
          </w:tcPr>
          <w:p w14:paraId="6AAF9B44">
            <w:pPr>
              <w:spacing w:line="360" w:lineRule="auto"/>
              <w:rPr>
                <w:rFonts w:ascii="仿宋_GB2312" w:hAnsi="仿宋_GB2312" w:eastAsia="仿宋_GB2312" w:cs="仿宋_GB2312"/>
                <w:color w:val="auto"/>
                <w:sz w:val="24"/>
                <w:highlight w:val="none"/>
              </w:rPr>
            </w:pPr>
          </w:p>
        </w:tc>
        <w:tc>
          <w:tcPr>
            <w:tcW w:w="553" w:type="dxa"/>
          </w:tcPr>
          <w:p w14:paraId="5C984235">
            <w:pPr>
              <w:spacing w:line="360" w:lineRule="auto"/>
              <w:rPr>
                <w:rFonts w:ascii="仿宋_GB2312" w:hAnsi="仿宋_GB2312" w:eastAsia="仿宋_GB2312" w:cs="仿宋_GB2312"/>
                <w:color w:val="auto"/>
                <w:sz w:val="24"/>
                <w:highlight w:val="none"/>
              </w:rPr>
            </w:pPr>
          </w:p>
        </w:tc>
        <w:tc>
          <w:tcPr>
            <w:tcW w:w="553" w:type="dxa"/>
          </w:tcPr>
          <w:p w14:paraId="0CDA9644">
            <w:pPr>
              <w:spacing w:line="360" w:lineRule="auto"/>
              <w:rPr>
                <w:rFonts w:ascii="仿宋_GB2312" w:hAnsi="仿宋_GB2312" w:eastAsia="仿宋_GB2312" w:cs="仿宋_GB2312"/>
                <w:color w:val="auto"/>
                <w:sz w:val="24"/>
                <w:highlight w:val="none"/>
              </w:rPr>
            </w:pPr>
          </w:p>
        </w:tc>
        <w:tc>
          <w:tcPr>
            <w:tcW w:w="553" w:type="dxa"/>
          </w:tcPr>
          <w:p w14:paraId="02B88189">
            <w:pPr>
              <w:spacing w:line="360" w:lineRule="auto"/>
              <w:rPr>
                <w:rFonts w:ascii="仿宋_GB2312" w:hAnsi="仿宋_GB2312" w:eastAsia="仿宋_GB2312" w:cs="仿宋_GB2312"/>
                <w:color w:val="auto"/>
                <w:sz w:val="24"/>
                <w:highlight w:val="none"/>
              </w:rPr>
            </w:pPr>
          </w:p>
        </w:tc>
        <w:tc>
          <w:tcPr>
            <w:tcW w:w="553" w:type="dxa"/>
          </w:tcPr>
          <w:p w14:paraId="70C80C9F">
            <w:pPr>
              <w:spacing w:line="360" w:lineRule="auto"/>
              <w:rPr>
                <w:rFonts w:ascii="仿宋_GB2312" w:hAnsi="仿宋_GB2312" w:eastAsia="仿宋_GB2312" w:cs="仿宋_GB2312"/>
                <w:color w:val="auto"/>
                <w:sz w:val="24"/>
                <w:highlight w:val="none"/>
              </w:rPr>
            </w:pPr>
          </w:p>
        </w:tc>
        <w:tc>
          <w:tcPr>
            <w:tcW w:w="553" w:type="dxa"/>
          </w:tcPr>
          <w:p w14:paraId="4801D520">
            <w:pPr>
              <w:spacing w:line="360" w:lineRule="auto"/>
              <w:rPr>
                <w:rFonts w:ascii="仿宋_GB2312" w:hAnsi="仿宋_GB2312" w:eastAsia="仿宋_GB2312" w:cs="仿宋_GB2312"/>
                <w:color w:val="auto"/>
                <w:sz w:val="24"/>
                <w:highlight w:val="none"/>
              </w:rPr>
            </w:pPr>
          </w:p>
        </w:tc>
        <w:tc>
          <w:tcPr>
            <w:tcW w:w="553" w:type="dxa"/>
          </w:tcPr>
          <w:p w14:paraId="0E50A3D6">
            <w:pPr>
              <w:spacing w:line="360" w:lineRule="auto"/>
              <w:rPr>
                <w:rFonts w:ascii="仿宋_GB2312" w:hAnsi="仿宋_GB2312" w:eastAsia="仿宋_GB2312" w:cs="仿宋_GB2312"/>
                <w:color w:val="auto"/>
                <w:sz w:val="24"/>
                <w:highlight w:val="none"/>
              </w:rPr>
            </w:pPr>
          </w:p>
        </w:tc>
        <w:tc>
          <w:tcPr>
            <w:tcW w:w="553" w:type="dxa"/>
          </w:tcPr>
          <w:p w14:paraId="6B54202C">
            <w:pPr>
              <w:spacing w:line="360" w:lineRule="auto"/>
              <w:rPr>
                <w:rFonts w:ascii="仿宋_GB2312" w:hAnsi="仿宋_GB2312" w:eastAsia="仿宋_GB2312" w:cs="仿宋_GB2312"/>
                <w:color w:val="auto"/>
                <w:sz w:val="24"/>
                <w:highlight w:val="none"/>
              </w:rPr>
            </w:pPr>
          </w:p>
        </w:tc>
      </w:tr>
      <w:tr w14:paraId="3E52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4F1C67A">
            <w:pPr>
              <w:spacing w:line="360" w:lineRule="auto"/>
              <w:rPr>
                <w:rFonts w:ascii="仿宋_GB2312" w:hAnsi="仿宋_GB2312" w:eastAsia="仿宋_GB2312" w:cs="仿宋_GB2312"/>
                <w:color w:val="auto"/>
                <w:sz w:val="24"/>
                <w:highlight w:val="none"/>
              </w:rPr>
            </w:pPr>
          </w:p>
        </w:tc>
        <w:tc>
          <w:tcPr>
            <w:tcW w:w="552" w:type="dxa"/>
          </w:tcPr>
          <w:p w14:paraId="76DB40D6">
            <w:pPr>
              <w:spacing w:line="360" w:lineRule="auto"/>
              <w:rPr>
                <w:rFonts w:ascii="仿宋_GB2312" w:hAnsi="仿宋_GB2312" w:eastAsia="仿宋_GB2312" w:cs="仿宋_GB2312"/>
                <w:color w:val="auto"/>
                <w:sz w:val="24"/>
                <w:highlight w:val="none"/>
              </w:rPr>
            </w:pPr>
          </w:p>
        </w:tc>
        <w:tc>
          <w:tcPr>
            <w:tcW w:w="552" w:type="dxa"/>
          </w:tcPr>
          <w:p w14:paraId="5C6C34FE">
            <w:pPr>
              <w:spacing w:line="360" w:lineRule="auto"/>
              <w:rPr>
                <w:rFonts w:ascii="仿宋_GB2312" w:hAnsi="仿宋_GB2312" w:eastAsia="仿宋_GB2312" w:cs="仿宋_GB2312"/>
                <w:color w:val="auto"/>
                <w:sz w:val="24"/>
                <w:highlight w:val="none"/>
              </w:rPr>
            </w:pPr>
          </w:p>
        </w:tc>
        <w:tc>
          <w:tcPr>
            <w:tcW w:w="552" w:type="dxa"/>
          </w:tcPr>
          <w:p w14:paraId="660705F7">
            <w:pPr>
              <w:spacing w:line="360" w:lineRule="auto"/>
              <w:rPr>
                <w:rFonts w:ascii="仿宋_GB2312" w:hAnsi="仿宋_GB2312" w:eastAsia="仿宋_GB2312" w:cs="仿宋_GB2312"/>
                <w:color w:val="auto"/>
                <w:sz w:val="24"/>
                <w:highlight w:val="none"/>
              </w:rPr>
            </w:pPr>
          </w:p>
        </w:tc>
        <w:tc>
          <w:tcPr>
            <w:tcW w:w="552" w:type="dxa"/>
          </w:tcPr>
          <w:p w14:paraId="5EFEEC0E">
            <w:pPr>
              <w:spacing w:line="360" w:lineRule="auto"/>
              <w:rPr>
                <w:rFonts w:ascii="仿宋_GB2312" w:hAnsi="仿宋_GB2312" w:eastAsia="仿宋_GB2312" w:cs="仿宋_GB2312"/>
                <w:color w:val="auto"/>
                <w:sz w:val="24"/>
                <w:highlight w:val="none"/>
              </w:rPr>
            </w:pPr>
          </w:p>
        </w:tc>
        <w:tc>
          <w:tcPr>
            <w:tcW w:w="552" w:type="dxa"/>
          </w:tcPr>
          <w:p w14:paraId="2330705E">
            <w:pPr>
              <w:spacing w:line="360" w:lineRule="auto"/>
              <w:rPr>
                <w:rFonts w:ascii="仿宋_GB2312" w:hAnsi="仿宋_GB2312" w:eastAsia="仿宋_GB2312" w:cs="仿宋_GB2312"/>
                <w:color w:val="auto"/>
                <w:sz w:val="24"/>
                <w:highlight w:val="none"/>
              </w:rPr>
            </w:pPr>
          </w:p>
        </w:tc>
        <w:tc>
          <w:tcPr>
            <w:tcW w:w="552" w:type="dxa"/>
          </w:tcPr>
          <w:p w14:paraId="39E6525E">
            <w:pPr>
              <w:spacing w:line="360" w:lineRule="auto"/>
              <w:rPr>
                <w:rFonts w:ascii="仿宋_GB2312" w:hAnsi="仿宋_GB2312" w:eastAsia="仿宋_GB2312" w:cs="仿宋_GB2312"/>
                <w:color w:val="auto"/>
                <w:sz w:val="24"/>
                <w:highlight w:val="none"/>
              </w:rPr>
            </w:pPr>
          </w:p>
        </w:tc>
        <w:tc>
          <w:tcPr>
            <w:tcW w:w="553" w:type="dxa"/>
          </w:tcPr>
          <w:p w14:paraId="77C6D726">
            <w:pPr>
              <w:spacing w:line="360" w:lineRule="auto"/>
              <w:rPr>
                <w:rFonts w:ascii="仿宋_GB2312" w:hAnsi="仿宋_GB2312" w:eastAsia="仿宋_GB2312" w:cs="仿宋_GB2312"/>
                <w:color w:val="auto"/>
                <w:sz w:val="24"/>
                <w:highlight w:val="none"/>
              </w:rPr>
            </w:pPr>
          </w:p>
        </w:tc>
        <w:tc>
          <w:tcPr>
            <w:tcW w:w="553" w:type="dxa"/>
          </w:tcPr>
          <w:p w14:paraId="4F98A3BD">
            <w:pPr>
              <w:spacing w:line="360" w:lineRule="auto"/>
              <w:rPr>
                <w:rFonts w:ascii="仿宋_GB2312" w:hAnsi="仿宋_GB2312" w:eastAsia="仿宋_GB2312" w:cs="仿宋_GB2312"/>
                <w:color w:val="auto"/>
                <w:sz w:val="24"/>
                <w:highlight w:val="none"/>
              </w:rPr>
            </w:pPr>
          </w:p>
        </w:tc>
        <w:tc>
          <w:tcPr>
            <w:tcW w:w="553" w:type="dxa"/>
          </w:tcPr>
          <w:p w14:paraId="192B76E4">
            <w:pPr>
              <w:spacing w:line="360" w:lineRule="auto"/>
              <w:rPr>
                <w:rFonts w:ascii="仿宋_GB2312" w:hAnsi="仿宋_GB2312" w:eastAsia="仿宋_GB2312" w:cs="仿宋_GB2312"/>
                <w:color w:val="auto"/>
                <w:sz w:val="24"/>
                <w:highlight w:val="none"/>
              </w:rPr>
            </w:pPr>
          </w:p>
        </w:tc>
        <w:tc>
          <w:tcPr>
            <w:tcW w:w="553" w:type="dxa"/>
          </w:tcPr>
          <w:p w14:paraId="05EDAF3D">
            <w:pPr>
              <w:spacing w:line="360" w:lineRule="auto"/>
              <w:rPr>
                <w:rFonts w:ascii="仿宋_GB2312" w:hAnsi="仿宋_GB2312" w:eastAsia="仿宋_GB2312" w:cs="仿宋_GB2312"/>
                <w:color w:val="auto"/>
                <w:sz w:val="24"/>
                <w:highlight w:val="none"/>
              </w:rPr>
            </w:pPr>
          </w:p>
        </w:tc>
        <w:tc>
          <w:tcPr>
            <w:tcW w:w="553" w:type="dxa"/>
          </w:tcPr>
          <w:p w14:paraId="32DA3617">
            <w:pPr>
              <w:spacing w:line="360" w:lineRule="auto"/>
              <w:rPr>
                <w:rFonts w:ascii="仿宋_GB2312" w:hAnsi="仿宋_GB2312" w:eastAsia="仿宋_GB2312" w:cs="仿宋_GB2312"/>
                <w:color w:val="auto"/>
                <w:sz w:val="24"/>
                <w:highlight w:val="none"/>
              </w:rPr>
            </w:pPr>
          </w:p>
        </w:tc>
        <w:tc>
          <w:tcPr>
            <w:tcW w:w="553" w:type="dxa"/>
          </w:tcPr>
          <w:p w14:paraId="1BC08DD8">
            <w:pPr>
              <w:spacing w:line="360" w:lineRule="auto"/>
              <w:rPr>
                <w:rFonts w:ascii="仿宋_GB2312" w:hAnsi="仿宋_GB2312" w:eastAsia="仿宋_GB2312" w:cs="仿宋_GB2312"/>
                <w:color w:val="auto"/>
                <w:sz w:val="24"/>
                <w:highlight w:val="none"/>
              </w:rPr>
            </w:pPr>
          </w:p>
        </w:tc>
        <w:tc>
          <w:tcPr>
            <w:tcW w:w="553" w:type="dxa"/>
          </w:tcPr>
          <w:p w14:paraId="7000B6B5">
            <w:pPr>
              <w:spacing w:line="360" w:lineRule="auto"/>
              <w:rPr>
                <w:rFonts w:ascii="仿宋_GB2312" w:hAnsi="仿宋_GB2312" w:eastAsia="仿宋_GB2312" w:cs="仿宋_GB2312"/>
                <w:color w:val="auto"/>
                <w:sz w:val="24"/>
                <w:highlight w:val="none"/>
              </w:rPr>
            </w:pPr>
          </w:p>
        </w:tc>
        <w:tc>
          <w:tcPr>
            <w:tcW w:w="553" w:type="dxa"/>
          </w:tcPr>
          <w:p w14:paraId="051391D9">
            <w:pPr>
              <w:spacing w:line="360" w:lineRule="auto"/>
              <w:rPr>
                <w:rFonts w:ascii="仿宋_GB2312" w:hAnsi="仿宋_GB2312" w:eastAsia="仿宋_GB2312" w:cs="仿宋_GB2312"/>
                <w:color w:val="auto"/>
                <w:sz w:val="24"/>
                <w:highlight w:val="none"/>
              </w:rPr>
            </w:pPr>
          </w:p>
        </w:tc>
        <w:tc>
          <w:tcPr>
            <w:tcW w:w="553" w:type="dxa"/>
          </w:tcPr>
          <w:p w14:paraId="5AE57172">
            <w:pPr>
              <w:spacing w:line="360" w:lineRule="auto"/>
              <w:rPr>
                <w:rFonts w:ascii="仿宋_GB2312" w:hAnsi="仿宋_GB2312" w:eastAsia="仿宋_GB2312" w:cs="仿宋_GB2312"/>
                <w:color w:val="auto"/>
                <w:sz w:val="24"/>
                <w:highlight w:val="none"/>
              </w:rPr>
            </w:pPr>
          </w:p>
        </w:tc>
        <w:tc>
          <w:tcPr>
            <w:tcW w:w="553" w:type="dxa"/>
          </w:tcPr>
          <w:p w14:paraId="6728D4F6">
            <w:pPr>
              <w:spacing w:line="360" w:lineRule="auto"/>
              <w:rPr>
                <w:rFonts w:ascii="仿宋_GB2312" w:hAnsi="仿宋_GB2312" w:eastAsia="仿宋_GB2312" w:cs="仿宋_GB2312"/>
                <w:color w:val="auto"/>
                <w:sz w:val="24"/>
                <w:highlight w:val="none"/>
              </w:rPr>
            </w:pPr>
          </w:p>
        </w:tc>
      </w:tr>
      <w:tr w14:paraId="45BD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98D2EB">
            <w:pPr>
              <w:spacing w:line="360" w:lineRule="auto"/>
              <w:rPr>
                <w:rFonts w:ascii="仿宋_GB2312" w:hAnsi="仿宋_GB2312" w:eastAsia="仿宋_GB2312" w:cs="仿宋_GB2312"/>
                <w:color w:val="auto"/>
                <w:sz w:val="24"/>
                <w:highlight w:val="none"/>
              </w:rPr>
            </w:pPr>
          </w:p>
        </w:tc>
        <w:tc>
          <w:tcPr>
            <w:tcW w:w="552" w:type="dxa"/>
          </w:tcPr>
          <w:p w14:paraId="194865B9">
            <w:pPr>
              <w:spacing w:line="360" w:lineRule="auto"/>
              <w:rPr>
                <w:rFonts w:ascii="仿宋_GB2312" w:hAnsi="仿宋_GB2312" w:eastAsia="仿宋_GB2312" w:cs="仿宋_GB2312"/>
                <w:color w:val="auto"/>
                <w:sz w:val="24"/>
                <w:highlight w:val="none"/>
              </w:rPr>
            </w:pPr>
          </w:p>
        </w:tc>
        <w:tc>
          <w:tcPr>
            <w:tcW w:w="552" w:type="dxa"/>
          </w:tcPr>
          <w:p w14:paraId="53405DEC">
            <w:pPr>
              <w:spacing w:line="360" w:lineRule="auto"/>
              <w:rPr>
                <w:rFonts w:ascii="仿宋_GB2312" w:hAnsi="仿宋_GB2312" w:eastAsia="仿宋_GB2312" w:cs="仿宋_GB2312"/>
                <w:color w:val="auto"/>
                <w:sz w:val="24"/>
                <w:highlight w:val="none"/>
              </w:rPr>
            </w:pPr>
          </w:p>
        </w:tc>
        <w:tc>
          <w:tcPr>
            <w:tcW w:w="552" w:type="dxa"/>
          </w:tcPr>
          <w:p w14:paraId="359634B3">
            <w:pPr>
              <w:spacing w:line="360" w:lineRule="auto"/>
              <w:rPr>
                <w:rFonts w:ascii="仿宋_GB2312" w:hAnsi="仿宋_GB2312" w:eastAsia="仿宋_GB2312" w:cs="仿宋_GB2312"/>
                <w:color w:val="auto"/>
                <w:sz w:val="24"/>
                <w:highlight w:val="none"/>
              </w:rPr>
            </w:pPr>
          </w:p>
        </w:tc>
        <w:tc>
          <w:tcPr>
            <w:tcW w:w="552" w:type="dxa"/>
          </w:tcPr>
          <w:p w14:paraId="1A771840">
            <w:pPr>
              <w:spacing w:line="360" w:lineRule="auto"/>
              <w:rPr>
                <w:rFonts w:ascii="仿宋_GB2312" w:hAnsi="仿宋_GB2312" w:eastAsia="仿宋_GB2312" w:cs="仿宋_GB2312"/>
                <w:color w:val="auto"/>
                <w:sz w:val="24"/>
                <w:highlight w:val="none"/>
              </w:rPr>
            </w:pPr>
          </w:p>
        </w:tc>
        <w:tc>
          <w:tcPr>
            <w:tcW w:w="552" w:type="dxa"/>
          </w:tcPr>
          <w:p w14:paraId="4E0DFA28">
            <w:pPr>
              <w:spacing w:line="360" w:lineRule="auto"/>
              <w:rPr>
                <w:rFonts w:ascii="仿宋_GB2312" w:hAnsi="仿宋_GB2312" w:eastAsia="仿宋_GB2312" w:cs="仿宋_GB2312"/>
                <w:color w:val="auto"/>
                <w:sz w:val="24"/>
                <w:highlight w:val="none"/>
              </w:rPr>
            </w:pPr>
          </w:p>
        </w:tc>
        <w:tc>
          <w:tcPr>
            <w:tcW w:w="552" w:type="dxa"/>
          </w:tcPr>
          <w:p w14:paraId="700F5B61">
            <w:pPr>
              <w:spacing w:line="360" w:lineRule="auto"/>
              <w:rPr>
                <w:rFonts w:ascii="仿宋_GB2312" w:hAnsi="仿宋_GB2312" w:eastAsia="仿宋_GB2312" w:cs="仿宋_GB2312"/>
                <w:color w:val="auto"/>
                <w:sz w:val="24"/>
                <w:highlight w:val="none"/>
              </w:rPr>
            </w:pPr>
          </w:p>
        </w:tc>
        <w:tc>
          <w:tcPr>
            <w:tcW w:w="553" w:type="dxa"/>
          </w:tcPr>
          <w:p w14:paraId="26451913">
            <w:pPr>
              <w:spacing w:line="360" w:lineRule="auto"/>
              <w:rPr>
                <w:rFonts w:ascii="仿宋_GB2312" w:hAnsi="仿宋_GB2312" w:eastAsia="仿宋_GB2312" w:cs="仿宋_GB2312"/>
                <w:color w:val="auto"/>
                <w:sz w:val="24"/>
                <w:highlight w:val="none"/>
              </w:rPr>
            </w:pPr>
          </w:p>
        </w:tc>
        <w:tc>
          <w:tcPr>
            <w:tcW w:w="553" w:type="dxa"/>
          </w:tcPr>
          <w:p w14:paraId="2F7B3217">
            <w:pPr>
              <w:spacing w:line="360" w:lineRule="auto"/>
              <w:rPr>
                <w:rFonts w:ascii="仿宋_GB2312" w:hAnsi="仿宋_GB2312" w:eastAsia="仿宋_GB2312" w:cs="仿宋_GB2312"/>
                <w:color w:val="auto"/>
                <w:sz w:val="24"/>
                <w:highlight w:val="none"/>
              </w:rPr>
            </w:pPr>
          </w:p>
        </w:tc>
        <w:tc>
          <w:tcPr>
            <w:tcW w:w="553" w:type="dxa"/>
          </w:tcPr>
          <w:p w14:paraId="584CEF80">
            <w:pPr>
              <w:spacing w:line="360" w:lineRule="auto"/>
              <w:rPr>
                <w:rFonts w:ascii="仿宋_GB2312" w:hAnsi="仿宋_GB2312" w:eastAsia="仿宋_GB2312" w:cs="仿宋_GB2312"/>
                <w:color w:val="auto"/>
                <w:sz w:val="24"/>
                <w:highlight w:val="none"/>
              </w:rPr>
            </w:pPr>
          </w:p>
        </w:tc>
        <w:tc>
          <w:tcPr>
            <w:tcW w:w="553" w:type="dxa"/>
          </w:tcPr>
          <w:p w14:paraId="6321A35F">
            <w:pPr>
              <w:spacing w:line="360" w:lineRule="auto"/>
              <w:rPr>
                <w:rFonts w:ascii="仿宋_GB2312" w:hAnsi="仿宋_GB2312" w:eastAsia="仿宋_GB2312" w:cs="仿宋_GB2312"/>
                <w:color w:val="auto"/>
                <w:sz w:val="24"/>
                <w:highlight w:val="none"/>
              </w:rPr>
            </w:pPr>
          </w:p>
        </w:tc>
        <w:tc>
          <w:tcPr>
            <w:tcW w:w="553" w:type="dxa"/>
          </w:tcPr>
          <w:p w14:paraId="4CCF7CC5">
            <w:pPr>
              <w:spacing w:line="360" w:lineRule="auto"/>
              <w:rPr>
                <w:rFonts w:ascii="仿宋_GB2312" w:hAnsi="仿宋_GB2312" w:eastAsia="仿宋_GB2312" w:cs="仿宋_GB2312"/>
                <w:color w:val="auto"/>
                <w:sz w:val="24"/>
                <w:highlight w:val="none"/>
              </w:rPr>
            </w:pPr>
          </w:p>
        </w:tc>
        <w:tc>
          <w:tcPr>
            <w:tcW w:w="553" w:type="dxa"/>
          </w:tcPr>
          <w:p w14:paraId="6A37E89C">
            <w:pPr>
              <w:spacing w:line="360" w:lineRule="auto"/>
              <w:rPr>
                <w:rFonts w:ascii="仿宋_GB2312" w:hAnsi="仿宋_GB2312" w:eastAsia="仿宋_GB2312" w:cs="仿宋_GB2312"/>
                <w:color w:val="auto"/>
                <w:sz w:val="24"/>
                <w:highlight w:val="none"/>
              </w:rPr>
            </w:pPr>
          </w:p>
        </w:tc>
        <w:tc>
          <w:tcPr>
            <w:tcW w:w="553" w:type="dxa"/>
          </w:tcPr>
          <w:p w14:paraId="57488FA9">
            <w:pPr>
              <w:spacing w:line="360" w:lineRule="auto"/>
              <w:rPr>
                <w:rFonts w:ascii="仿宋_GB2312" w:hAnsi="仿宋_GB2312" w:eastAsia="仿宋_GB2312" w:cs="仿宋_GB2312"/>
                <w:color w:val="auto"/>
                <w:sz w:val="24"/>
                <w:highlight w:val="none"/>
              </w:rPr>
            </w:pPr>
          </w:p>
        </w:tc>
        <w:tc>
          <w:tcPr>
            <w:tcW w:w="553" w:type="dxa"/>
          </w:tcPr>
          <w:p w14:paraId="19E30FA6">
            <w:pPr>
              <w:spacing w:line="360" w:lineRule="auto"/>
              <w:rPr>
                <w:rFonts w:ascii="仿宋_GB2312" w:hAnsi="仿宋_GB2312" w:eastAsia="仿宋_GB2312" w:cs="仿宋_GB2312"/>
                <w:color w:val="auto"/>
                <w:sz w:val="24"/>
                <w:highlight w:val="none"/>
              </w:rPr>
            </w:pPr>
          </w:p>
        </w:tc>
        <w:tc>
          <w:tcPr>
            <w:tcW w:w="553" w:type="dxa"/>
          </w:tcPr>
          <w:p w14:paraId="64CA5FA3">
            <w:pPr>
              <w:spacing w:line="360" w:lineRule="auto"/>
              <w:rPr>
                <w:rFonts w:ascii="仿宋_GB2312" w:hAnsi="仿宋_GB2312" w:eastAsia="仿宋_GB2312" w:cs="仿宋_GB2312"/>
                <w:color w:val="auto"/>
                <w:sz w:val="24"/>
                <w:highlight w:val="none"/>
              </w:rPr>
            </w:pPr>
          </w:p>
        </w:tc>
        <w:tc>
          <w:tcPr>
            <w:tcW w:w="553" w:type="dxa"/>
          </w:tcPr>
          <w:p w14:paraId="6A40CCC8">
            <w:pPr>
              <w:spacing w:line="360" w:lineRule="auto"/>
              <w:rPr>
                <w:rFonts w:ascii="仿宋_GB2312" w:hAnsi="仿宋_GB2312" w:eastAsia="仿宋_GB2312" w:cs="仿宋_GB2312"/>
                <w:color w:val="auto"/>
                <w:sz w:val="24"/>
                <w:highlight w:val="none"/>
              </w:rPr>
            </w:pPr>
          </w:p>
        </w:tc>
      </w:tr>
    </w:tbl>
    <w:p w14:paraId="16C8DDFA">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E0A900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FEE5C9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263E337">
      <w:pPr>
        <w:spacing w:line="360" w:lineRule="auto"/>
        <w:jc w:val="center"/>
        <w:outlineLvl w:val="1"/>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2DACA4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303D31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999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51524C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6BC9338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410BDB7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B57ACB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F5B4E7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C8DA81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4E1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E54DFF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4138E2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0EFBE1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B7BBC7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88B96F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7AE7C23">
            <w:pPr>
              <w:autoSpaceDE w:val="0"/>
              <w:autoSpaceDN w:val="0"/>
              <w:spacing w:line="360" w:lineRule="auto"/>
              <w:jc w:val="center"/>
              <w:rPr>
                <w:rFonts w:ascii="仿宋_GB2312" w:hAnsi="仿宋_GB2312" w:eastAsia="仿宋_GB2312" w:cs="仿宋_GB2312"/>
                <w:color w:val="auto"/>
                <w:sz w:val="24"/>
                <w:highlight w:val="none"/>
              </w:rPr>
            </w:pPr>
          </w:p>
        </w:tc>
      </w:tr>
      <w:tr w14:paraId="19AC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E5054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BE6302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8BB4BC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3A9655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A75F1B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A9490FC">
            <w:pPr>
              <w:autoSpaceDE w:val="0"/>
              <w:autoSpaceDN w:val="0"/>
              <w:spacing w:line="360" w:lineRule="auto"/>
              <w:jc w:val="center"/>
              <w:rPr>
                <w:rFonts w:ascii="仿宋_GB2312" w:hAnsi="仿宋_GB2312" w:eastAsia="仿宋_GB2312" w:cs="仿宋_GB2312"/>
                <w:color w:val="auto"/>
                <w:sz w:val="24"/>
                <w:highlight w:val="none"/>
              </w:rPr>
            </w:pPr>
          </w:p>
        </w:tc>
      </w:tr>
      <w:tr w14:paraId="5810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83395B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5349B0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9765EF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B988F1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F7F205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9C5B204">
            <w:pPr>
              <w:autoSpaceDE w:val="0"/>
              <w:autoSpaceDN w:val="0"/>
              <w:spacing w:line="360" w:lineRule="auto"/>
              <w:jc w:val="center"/>
              <w:rPr>
                <w:rFonts w:ascii="仿宋_GB2312" w:hAnsi="仿宋_GB2312" w:eastAsia="仿宋_GB2312" w:cs="仿宋_GB2312"/>
                <w:color w:val="auto"/>
                <w:sz w:val="24"/>
                <w:highlight w:val="none"/>
              </w:rPr>
            </w:pPr>
          </w:p>
        </w:tc>
      </w:tr>
    </w:tbl>
    <w:p w14:paraId="11DC9530">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0242D93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4D5B6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A75F23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01D2F9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6F5D6C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9AF52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817C2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70AAA5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EC9AE8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1233A2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FB8D0B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D20AAB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8D5A83F">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27C870A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6F5AFE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4BE52A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687DFA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BA81D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A06792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5FA1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9614B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0EC8B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9D19DF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0BCAA2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FF23A82">
            <w:pPr>
              <w:autoSpaceDE w:val="0"/>
              <w:autoSpaceDN w:val="0"/>
              <w:spacing w:line="240" w:lineRule="exact"/>
              <w:rPr>
                <w:rFonts w:ascii="仿宋_GB2312" w:hAnsi="仿宋_GB2312" w:eastAsia="仿宋_GB2312" w:cs="仿宋_GB2312"/>
                <w:color w:val="auto"/>
                <w:sz w:val="24"/>
                <w:highlight w:val="none"/>
              </w:rPr>
            </w:pPr>
          </w:p>
        </w:tc>
      </w:tr>
      <w:tr w14:paraId="1CE9A1E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8F5F63">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A91AB6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577E0D5">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9F539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08B45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DD30B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C8183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084FE6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2652C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C9A83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CA2F650">
            <w:pPr>
              <w:autoSpaceDE w:val="0"/>
              <w:autoSpaceDN w:val="0"/>
              <w:spacing w:line="240" w:lineRule="exact"/>
              <w:rPr>
                <w:rFonts w:ascii="仿宋_GB2312" w:hAnsi="仿宋_GB2312" w:eastAsia="仿宋_GB2312" w:cs="仿宋_GB2312"/>
                <w:color w:val="auto"/>
                <w:sz w:val="24"/>
                <w:highlight w:val="none"/>
              </w:rPr>
            </w:pPr>
          </w:p>
        </w:tc>
      </w:tr>
      <w:tr w14:paraId="2C249BB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5567A4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7D981A">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0250B2F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06F20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2C3137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AD5C84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4D07C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E3DE0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063182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57827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B0BBF2E">
            <w:pPr>
              <w:autoSpaceDE w:val="0"/>
              <w:autoSpaceDN w:val="0"/>
              <w:spacing w:line="240" w:lineRule="exact"/>
              <w:rPr>
                <w:rFonts w:ascii="仿宋_GB2312" w:hAnsi="仿宋_GB2312" w:eastAsia="仿宋_GB2312" w:cs="仿宋_GB2312"/>
                <w:color w:val="auto"/>
                <w:sz w:val="24"/>
                <w:highlight w:val="none"/>
              </w:rPr>
            </w:pPr>
          </w:p>
        </w:tc>
      </w:tr>
    </w:tbl>
    <w:p w14:paraId="6144C114">
      <w:pPr>
        <w:spacing w:line="360" w:lineRule="auto"/>
        <w:ind w:firstLine="480" w:firstLineChars="200"/>
        <w:rPr>
          <w:rFonts w:ascii="仿宋_GB2312" w:hAnsi="仿宋_GB2312" w:eastAsia="仿宋_GB2312" w:cs="仿宋_GB2312"/>
          <w:color w:val="auto"/>
          <w:sz w:val="24"/>
          <w:szCs w:val="20"/>
          <w:highlight w:val="none"/>
        </w:rPr>
      </w:pPr>
    </w:p>
    <w:p w14:paraId="5C738B7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54DAD6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65C786">
      <w:pPr>
        <w:spacing w:line="360" w:lineRule="auto"/>
        <w:rPr>
          <w:rFonts w:ascii="仿宋_GB2312" w:hAnsi="仿宋_GB2312" w:eastAsia="仿宋_GB2312" w:cs="仿宋_GB2312"/>
          <w:b/>
          <w:color w:val="auto"/>
          <w:sz w:val="30"/>
          <w:szCs w:val="30"/>
          <w:highlight w:val="none"/>
        </w:rPr>
      </w:pPr>
    </w:p>
    <w:p w14:paraId="28941F4E">
      <w:pPr>
        <w:spacing w:line="360" w:lineRule="auto"/>
        <w:jc w:val="center"/>
        <w:rPr>
          <w:rFonts w:ascii="仿宋_GB2312" w:hAnsi="仿宋_GB2312" w:eastAsia="仿宋_GB2312" w:cs="仿宋_GB2312"/>
          <w:b/>
          <w:color w:val="auto"/>
          <w:sz w:val="30"/>
          <w:szCs w:val="30"/>
          <w:highlight w:val="none"/>
        </w:rPr>
      </w:pPr>
    </w:p>
    <w:p w14:paraId="4A7AA115">
      <w:pPr>
        <w:pStyle w:val="2"/>
        <w:rPr>
          <w:color w:val="auto"/>
          <w:highlight w:val="none"/>
        </w:rPr>
      </w:pPr>
    </w:p>
    <w:p w14:paraId="4D5F452E">
      <w:pPr>
        <w:spacing w:line="360" w:lineRule="auto"/>
        <w:jc w:val="center"/>
        <w:outlineLvl w:val="1"/>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589AAA8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51E328B8">
      <w:pPr>
        <w:spacing w:line="336" w:lineRule="auto"/>
        <w:ind w:firstLine="3600" w:firstLineChars="1500"/>
        <w:rPr>
          <w:rFonts w:ascii="仿宋" w:hAnsi="仿宋" w:eastAsia="仿宋" w:cs="仿宋"/>
          <w:color w:val="auto"/>
          <w:sz w:val="24"/>
          <w:highlight w:val="none"/>
        </w:rPr>
      </w:pPr>
    </w:p>
    <w:p w14:paraId="2DDBBA35">
      <w:pPr>
        <w:pStyle w:val="2"/>
        <w:rPr>
          <w:color w:val="auto"/>
          <w:highlight w:val="none"/>
        </w:rPr>
      </w:pPr>
    </w:p>
    <w:p w14:paraId="11D2523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EB7C84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0EFFE3">
      <w:pPr>
        <w:pStyle w:val="2"/>
        <w:rPr>
          <w:color w:val="auto"/>
          <w:highlight w:val="none"/>
        </w:rPr>
      </w:pPr>
    </w:p>
    <w:p w14:paraId="7F98E025">
      <w:pPr>
        <w:pageBreakBefore/>
        <w:spacing w:line="360" w:lineRule="auto"/>
        <w:jc w:val="center"/>
        <w:outlineLvl w:val="1"/>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14:paraId="59CC0F95">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5956E46">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7F79661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E5B5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E384E6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69628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893D28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E1B45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3E95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19594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E1B4FB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F4C231F">
            <w:pPr>
              <w:autoSpaceDE w:val="0"/>
              <w:autoSpaceDN w:val="0"/>
              <w:spacing w:line="360" w:lineRule="auto"/>
              <w:jc w:val="center"/>
              <w:rPr>
                <w:rFonts w:ascii="仿宋_GB2312" w:hAnsi="仿宋_GB2312" w:eastAsia="仿宋_GB2312" w:cs="仿宋_GB2312"/>
                <w:color w:val="auto"/>
                <w:sz w:val="24"/>
                <w:highlight w:val="none"/>
              </w:rPr>
            </w:pPr>
          </w:p>
        </w:tc>
      </w:tr>
      <w:tr w14:paraId="58E3D7BF">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02FBC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785BD9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F489A8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0AA0C5">
            <w:pPr>
              <w:autoSpaceDE w:val="0"/>
              <w:autoSpaceDN w:val="0"/>
              <w:spacing w:line="360" w:lineRule="auto"/>
              <w:jc w:val="center"/>
              <w:rPr>
                <w:rFonts w:ascii="仿宋_GB2312" w:hAnsi="仿宋_GB2312" w:eastAsia="仿宋_GB2312" w:cs="仿宋_GB2312"/>
                <w:color w:val="auto"/>
                <w:sz w:val="24"/>
                <w:highlight w:val="none"/>
              </w:rPr>
            </w:pPr>
          </w:p>
        </w:tc>
      </w:tr>
      <w:tr w14:paraId="4FCA6C1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13E2D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CED8D7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A3F51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062597">
            <w:pPr>
              <w:autoSpaceDE w:val="0"/>
              <w:autoSpaceDN w:val="0"/>
              <w:spacing w:line="360" w:lineRule="auto"/>
              <w:jc w:val="center"/>
              <w:rPr>
                <w:rFonts w:ascii="仿宋_GB2312" w:hAnsi="仿宋_GB2312" w:eastAsia="仿宋_GB2312" w:cs="仿宋_GB2312"/>
                <w:color w:val="auto"/>
                <w:sz w:val="24"/>
                <w:highlight w:val="none"/>
              </w:rPr>
            </w:pPr>
          </w:p>
        </w:tc>
      </w:tr>
      <w:tr w14:paraId="17B8847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F2596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3E833C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97DBE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41952E">
            <w:pPr>
              <w:autoSpaceDE w:val="0"/>
              <w:autoSpaceDN w:val="0"/>
              <w:spacing w:line="360" w:lineRule="auto"/>
              <w:jc w:val="center"/>
              <w:rPr>
                <w:rFonts w:ascii="仿宋_GB2312" w:hAnsi="仿宋_GB2312" w:eastAsia="仿宋_GB2312" w:cs="仿宋_GB2312"/>
                <w:color w:val="auto"/>
                <w:sz w:val="24"/>
                <w:highlight w:val="none"/>
              </w:rPr>
            </w:pPr>
          </w:p>
        </w:tc>
      </w:tr>
      <w:tr w14:paraId="637632D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BD311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BA3AA3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833A1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437C78">
            <w:pPr>
              <w:autoSpaceDE w:val="0"/>
              <w:autoSpaceDN w:val="0"/>
              <w:spacing w:line="360" w:lineRule="auto"/>
              <w:jc w:val="center"/>
              <w:rPr>
                <w:rFonts w:ascii="仿宋_GB2312" w:hAnsi="仿宋_GB2312" w:eastAsia="仿宋_GB2312" w:cs="仿宋_GB2312"/>
                <w:color w:val="auto"/>
                <w:sz w:val="24"/>
                <w:highlight w:val="none"/>
              </w:rPr>
            </w:pPr>
          </w:p>
        </w:tc>
      </w:tr>
      <w:tr w14:paraId="6C28789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79B05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E3CD43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2F8F9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ADA22C">
            <w:pPr>
              <w:autoSpaceDE w:val="0"/>
              <w:autoSpaceDN w:val="0"/>
              <w:spacing w:line="360" w:lineRule="auto"/>
              <w:jc w:val="center"/>
              <w:rPr>
                <w:rFonts w:ascii="仿宋_GB2312" w:hAnsi="仿宋_GB2312" w:eastAsia="仿宋_GB2312" w:cs="仿宋_GB2312"/>
                <w:color w:val="auto"/>
                <w:sz w:val="24"/>
                <w:highlight w:val="none"/>
              </w:rPr>
            </w:pPr>
          </w:p>
        </w:tc>
      </w:tr>
      <w:tr w14:paraId="7A84B74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B69C3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F1492C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026F39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5C29F0">
            <w:pPr>
              <w:autoSpaceDE w:val="0"/>
              <w:autoSpaceDN w:val="0"/>
              <w:spacing w:line="360" w:lineRule="auto"/>
              <w:jc w:val="center"/>
              <w:rPr>
                <w:rFonts w:ascii="仿宋_GB2312" w:hAnsi="仿宋_GB2312" w:eastAsia="仿宋_GB2312" w:cs="仿宋_GB2312"/>
                <w:color w:val="auto"/>
                <w:sz w:val="24"/>
                <w:highlight w:val="none"/>
              </w:rPr>
            </w:pPr>
          </w:p>
        </w:tc>
      </w:tr>
      <w:tr w14:paraId="5C89C06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10D19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B1DD33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8C88D3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94C9AC0">
            <w:pPr>
              <w:autoSpaceDE w:val="0"/>
              <w:autoSpaceDN w:val="0"/>
              <w:spacing w:line="360" w:lineRule="auto"/>
              <w:jc w:val="center"/>
              <w:rPr>
                <w:rFonts w:ascii="仿宋_GB2312" w:hAnsi="仿宋_GB2312" w:eastAsia="仿宋_GB2312" w:cs="仿宋_GB2312"/>
                <w:color w:val="auto"/>
                <w:sz w:val="24"/>
                <w:highlight w:val="none"/>
              </w:rPr>
            </w:pPr>
          </w:p>
        </w:tc>
      </w:tr>
      <w:tr w14:paraId="512D997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38FF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05F2D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DC29D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CD3B9F">
            <w:pPr>
              <w:autoSpaceDE w:val="0"/>
              <w:autoSpaceDN w:val="0"/>
              <w:spacing w:line="360" w:lineRule="auto"/>
              <w:jc w:val="center"/>
              <w:rPr>
                <w:rFonts w:ascii="仿宋_GB2312" w:hAnsi="仿宋_GB2312" w:eastAsia="仿宋_GB2312" w:cs="仿宋_GB2312"/>
                <w:color w:val="auto"/>
                <w:sz w:val="24"/>
                <w:highlight w:val="none"/>
              </w:rPr>
            </w:pPr>
          </w:p>
        </w:tc>
      </w:tr>
    </w:tbl>
    <w:p w14:paraId="0813FF0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427F2E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6E6491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AD498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32459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2A179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ACE9C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ED355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D2D4C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E5710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230BD6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B03B1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29A9C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967A8C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6D87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65BAA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09FC2B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C9B54D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8FF44E">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049A5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1D470E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46A6F02">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FEAD4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B7654D">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8BBB900">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D45B22">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54730A0">
            <w:pPr>
              <w:autoSpaceDE w:val="0"/>
              <w:autoSpaceDN w:val="0"/>
              <w:spacing w:line="360" w:lineRule="auto"/>
              <w:rPr>
                <w:rFonts w:ascii="仿宋_GB2312" w:hAnsi="仿宋_GB2312" w:eastAsia="仿宋_GB2312" w:cs="仿宋_GB2312"/>
                <w:color w:val="auto"/>
                <w:sz w:val="24"/>
                <w:highlight w:val="none"/>
              </w:rPr>
            </w:pPr>
          </w:p>
        </w:tc>
      </w:tr>
      <w:tr w14:paraId="3AB151B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AD75DB2">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78176B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45AF05E">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BE0CE0">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F9D219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D8335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88E869">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9A0C9A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26738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869C6B7">
            <w:pPr>
              <w:autoSpaceDE w:val="0"/>
              <w:autoSpaceDN w:val="0"/>
              <w:spacing w:line="360" w:lineRule="auto"/>
              <w:rPr>
                <w:rFonts w:ascii="仿宋_GB2312" w:hAnsi="仿宋_GB2312" w:eastAsia="仿宋_GB2312" w:cs="仿宋_GB2312"/>
                <w:color w:val="auto"/>
                <w:sz w:val="24"/>
                <w:highlight w:val="none"/>
              </w:rPr>
            </w:pPr>
          </w:p>
        </w:tc>
      </w:tr>
    </w:tbl>
    <w:p w14:paraId="19D61CF5">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1AFEFAB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DBC97FD">
      <w:pPr>
        <w:spacing w:line="360" w:lineRule="auto"/>
        <w:ind w:firstLine="480" w:firstLineChars="200"/>
        <w:rPr>
          <w:rFonts w:ascii="仿宋_GB2312" w:hAnsi="仿宋_GB2312" w:eastAsia="仿宋_GB2312" w:cs="仿宋_GB2312"/>
          <w:color w:val="auto"/>
          <w:sz w:val="24"/>
          <w:szCs w:val="20"/>
          <w:highlight w:val="none"/>
        </w:rPr>
      </w:pPr>
    </w:p>
    <w:p w14:paraId="4D3DD3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B631CE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FE7E72">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72EB33E6">
      <w:pPr>
        <w:snapToGrid w:val="0"/>
        <w:spacing w:line="360" w:lineRule="auto"/>
        <w:ind w:right="960"/>
        <w:rPr>
          <w:rFonts w:ascii="仿宋_GB2312" w:hAnsi="仿宋_GB2312" w:eastAsia="仿宋_GB2312" w:cs="仿宋_GB2312"/>
          <w:color w:val="auto"/>
          <w:kern w:val="0"/>
          <w:sz w:val="24"/>
          <w:highlight w:val="none"/>
          <w:lang w:val="zh-CN"/>
        </w:rPr>
      </w:pPr>
    </w:p>
    <w:p w14:paraId="47578C6C">
      <w:pPr>
        <w:snapToGrid w:val="0"/>
        <w:spacing w:line="360" w:lineRule="auto"/>
        <w:ind w:right="960"/>
        <w:jc w:val="center"/>
        <w:outlineLvl w:val="1"/>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292EB0D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6FA4E05">
      <w:pPr>
        <w:spacing w:line="360" w:lineRule="auto"/>
        <w:rPr>
          <w:rFonts w:ascii="仿宋_GB2312" w:hAnsi="仿宋_GB2312" w:eastAsia="仿宋_GB2312" w:cs="仿宋_GB2312"/>
          <w:color w:val="auto"/>
          <w:sz w:val="18"/>
          <w:szCs w:val="18"/>
          <w:highlight w:val="none"/>
        </w:rPr>
      </w:pPr>
    </w:p>
    <w:p w14:paraId="36567FC8">
      <w:pPr>
        <w:pStyle w:val="2"/>
        <w:rPr>
          <w:color w:val="auto"/>
          <w:highlight w:val="none"/>
        </w:rPr>
      </w:pPr>
    </w:p>
    <w:p w14:paraId="3DA56AD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91272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B48F119">
      <w:pPr>
        <w:spacing w:line="360" w:lineRule="auto"/>
        <w:rPr>
          <w:rFonts w:ascii="仿宋_GB2312" w:hAnsi="仿宋_GB2312" w:eastAsia="仿宋_GB2312" w:cs="仿宋_GB2312"/>
          <w:b/>
          <w:bCs/>
          <w:color w:val="auto"/>
          <w:sz w:val="18"/>
          <w:szCs w:val="18"/>
          <w:highlight w:val="none"/>
        </w:rPr>
      </w:pPr>
    </w:p>
    <w:p w14:paraId="59A234FC">
      <w:pPr>
        <w:spacing w:line="360" w:lineRule="auto"/>
        <w:rPr>
          <w:rFonts w:ascii="仿宋_GB2312" w:hAnsi="仿宋_GB2312" w:eastAsia="仿宋_GB2312" w:cs="仿宋_GB2312"/>
          <w:b/>
          <w:bCs/>
          <w:color w:val="auto"/>
          <w:sz w:val="32"/>
          <w:szCs w:val="32"/>
          <w:highlight w:val="none"/>
        </w:rPr>
      </w:pPr>
    </w:p>
    <w:p w14:paraId="4D90ABFE">
      <w:pPr>
        <w:spacing w:line="360" w:lineRule="auto"/>
        <w:rPr>
          <w:rFonts w:ascii="仿宋_GB2312" w:hAnsi="仿宋_GB2312" w:eastAsia="仿宋_GB2312" w:cs="仿宋_GB2312"/>
          <w:b/>
          <w:bCs/>
          <w:color w:val="auto"/>
          <w:sz w:val="32"/>
          <w:szCs w:val="32"/>
          <w:highlight w:val="none"/>
        </w:rPr>
      </w:pPr>
    </w:p>
    <w:p w14:paraId="57AF4659">
      <w:pPr>
        <w:spacing w:line="360" w:lineRule="auto"/>
        <w:rPr>
          <w:rFonts w:ascii="仿宋_GB2312" w:hAnsi="仿宋_GB2312" w:eastAsia="仿宋_GB2312" w:cs="仿宋_GB2312"/>
          <w:b/>
          <w:bCs/>
          <w:color w:val="auto"/>
          <w:sz w:val="32"/>
          <w:szCs w:val="32"/>
          <w:highlight w:val="none"/>
        </w:rPr>
      </w:pPr>
    </w:p>
    <w:p w14:paraId="4833A277">
      <w:pPr>
        <w:spacing w:line="360" w:lineRule="auto"/>
        <w:jc w:val="center"/>
        <w:outlineLvl w:val="1"/>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78305C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4D02314">
      <w:pPr>
        <w:snapToGrid w:val="0"/>
        <w:spacing w:line="360" w:lineRule="auto"/>
        <w:ind w:right="960"/>
        <w:jc w:val="right"/>
        <w:rPr>
          <w:rFonts w:ascii="仿宋_GB2312" w:hAnsi="仿宋_GB2312" w:eastAsia="仿宋_GB2312" w:cs="仿宋_GB2312"/>
          <w:color w:val="auto"/>
          <w:kern w:val="0"/>
          <w:sz w:val="24"/>
          <w:highlight w:val="none"/>
          <w:lang w:val="zh-CN"/>
        </w:rPr>
      </w:pPr>
    </w:p>
    <w:p w14:paraId="6D85B8CF">
      <w:pPr>
        <w:snapToGrid w:val="0"/>
        <w:spacing w:line="360" w:lineRule="auto"/>
        <w:ind w:right="960"/>
        <w:jc w:val="right"/>
        <w:rPr>
          <w:rFonts w:ascii="仿宋_GB2312" w:hAnsi="仿宋_GB2312" w:eastAsia="仿宋_GB2312" w:cs="仿宋_GB2312"/>
          <w:color w:val="auto"/>
          <w:kern w:val="0"/>
          <w:sz w:val="24"/>
          <w:highlight w:val="none"/>
          <w:lang w:val="zh-CN"/>
        </w:rPr>
      </w:pPr>
    </w:p>
    <w:p w14:paraId="2BBC976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B4DD06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6B7A26">
      <w:pPr>
        <w:spacing w:line="360" w:lineRule="auto"/>
        <w:rPr>
          <w:rFonts w:ascii="仿宋_GB2312" w:hAnsi="仿宋_GB2312" w:eastAsia="仿宋_GB2312" w:cs="仿宋_GB2312"/>
          <w:b/>
          <w:bCs/>
          <w:color w:val="auto"/>
          <w:sz w:val="32"/>
          <w:szCs w:val="32"/>
          <w:highlight w:val="none"/>
        </w:rPr>
      </w:pPr>
    </w:p>
    <w:p w14:paraId="56D1971A">
      <w:pPr>
        <w:spacing w:line="360" w:lineRule="auto"/>
        <w:rPr>
          <w:rFonts w:ascii="仿宋_GB2312" w:hAnsi="仿宋_GB2312" w:eastAsia="仿宋_GB2312" w:cs="仿宋_GB2312"/>
          <w:b/>
          <w:bCs/>
          <w:color w:val="auto"/>
          <w:sz w:val="32"/>
          <w:szCs w:val="32"/>
          <w:highlight w:val="none"/>
        </w:rPr>
      </w:pPr>
    </w:p>
    <w:p w14:paraId="4E9E1DB5">
      <w:pPr>
        <w:spacing w:line="360" w:lineRule="auto"/>
        <w:rPr>
          <w:rFonts w:ascii="仿宋_GB2312" w:hAnsi="仿宋_GB2312" w:eastAsia="仿宋_GB2312" w:cs="仿宋_GB2312"/>
          <w:b/>
          <w:bCs/>
          <w:color w:val="auto"/>
          <w:sz w:val="32"/>
          <w:szCs w:val="32"/>
          <w:highlight w:val="none"/>
        </w:rPr>
      </w:pPr>
    </w:p>
    <w:p w14:paraId="4CD7939F">
      <w:pPr>
        <w:pStyle w:val="2"/>
        <w:rPr>
          <w:color w:val="auto"/>
          <w:highlight w:val="none"/>
        </w:rPr>
      </w:pPr>
    </w:p>
    <w:p w14:paraId="1D22DDF2">
      <w:pPr>
        <w:pStyle w:val="3"/>
        <w:rPr>
          <w:rFonts w:eastAsia="仿宋_GB2312"/>
          <w:color w:val="auto"/>
          <w:highlight w:val="none"/>
        </w:rPr>
      </w:pPr>
    </w:p>
    <w:p w14:paraId="4F8211BD">
      <w:pPr>
        <w:rPr>
          <w:color w:val="auto"/>
          <w:highlight w:val="none"/>
        </w:rPr>
      </w:pPr>
    </w:p>
    <w:p w14:paraId="3C3C3D94">
      <w:pPr>
        <w:pStyle w:val="2"/>
        <w:rPr>
          <w:color w:val="auto"/>
          <w:highlight w:val="none"/>
        </w:rPr>
      </w:pPr>
    </w:p>
    <w:p w14:paraId="70079AAF">
      <w:pPr>
        <w:pStyle w:val="3"/>
        <w:rPr>
          <w:rFonts w:eastAsia="仿宋_GB2312"/>
          <w:color w:val="auto"/>
          <w:highlight w:val="none"/>
        </w:rPr>
      </w:pPr>
    </w:p>
    <w:p w14:paraId="647D07BC">
      <w:pPr>
        <w:rPr>
          <w:color w:val="auto"/>
          <w:highlight w:val="none"/>
        </w:rPr>
      </w:pPr>
    </w:p>
    <w:p w14:paraId="4BFCB091">
      <w:pPr>
        <w:pStyle w:val="2"/>
        <w:rPr>
          <w:color w:val="auto"/>
          <w:highlight w:val="none"/>
        </w:rPr>
      </w:pPr>
    </w:p>
    <w:p w14:paraId="7490D357">
      <w:pPr>
        <w:pStyle w:val="3"/>
        <w:rPr>
          <w:rFonts w:eastAsia="仿宋_GB2312"/>
          <w:color w:val="auto"/>
          <w:highlight w:val="none"/>
        </w:rPr>
      </w:pPr>
    </w:p>
    <w:p w14:paraId="3AF80520">
      <w:pPr>
        <w:rPr>
          <w:color w:val="auto"/>
          <w:highlight w:val="none"/>
        </w:rPr>
      </w:pPr>
    </w:p>
    <w:p w14:paraId="502AD4D2">
      <w:pPr>
        <w:pStyle w:val="2"/>
        <w:rPr>
          <w:color w:val="auto"/>
          <w:highlight w:val="none"/>
        </w:rPr>
      </w:pPr>
    </w:p>
    <w:p w14:paraId="6154C1A2">
      <w:pPr>
        <w:pStyle w:val="3"/>
        <w:rPr>
          <w:rFonts w:eastAsia="仿宋_GB2312"/>
          <w:color w:val="auto"/>
          <w:highlight w:val="none"/>
        </w:rPr>
      </w:pPr>
    </w:p>
    <w:p w14:paraId="0FD467BC">
      <w:pPr>
        <w:spacing w:line="360" w:lineRule="auto"/>
        <w:rPr>
          <w:rFonts w:ascii="仿宋_GB2312" w:hAnsi="仿宋_GB2312" w:eastAsia="仿宋_GB2312" w:cs="仿宋_GB2312"/>
          <w:b/>
          <w:bCs/>
          <w:color w:val="auto"/>
          <w:sz w:val="32"/>
          <w:szCs w:val="32"/>
          <w:highlight w:val="none"/>
        </w:rPr>
      </w:pPr>
    </w:p>
    <w:p w14:paraId="69A79431">
      <w:pPr>
        <w:spacing w:line="360" w:lineRule="auto"/>
        <w:jc w:val="center"/>
        <w:outlineLvl w:val="1"/>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14:paraId="07F3B64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49CB77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C25F40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68C6DAF">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1C5D6B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B0899C9">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16D825C">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16EA8E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8B8D9B6">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99A4173">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20E8DE9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08C7C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716D31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64E43B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0D3483E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799BE02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28BE07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0FE2E84D">
            <w:pPr>
              <w:suppressAutoHyphens/>
              <w:autoSpaceDE w:val="0"/>
              <w:autoSpaceDN w:val="0"/>
              <w:spacing w:line="360" w:lineRule="auto"/>
              <w:rPr>
                <w:rFonts w:ascii="仿宋_GB2312" w:hAnsi="仿宋_GB2312" w:eastAsia="仿宋_GB2312" w:cs="仿宋_GB2312"/>
                <w:color w:val="auto"/>
                <w:sz w:val="24"/>
                <w:highlight w:val="none"/>
              </w:rPr>
            </w:pPr>
          </w:p>
        </w:tc>
      </w:tr>
      <w:tr w14:paraId="05E1293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A56083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604CD3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38011B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C7A9BB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881B12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931CA6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964575A">
            <w:pPr>
              <w:suppressAutoHyphens/>
              <w:autoSpaceDE w:val="0"/>
              <w:autoSpaceDN w:val="0"/>
              <w:spacing w:line="360" w:lineRule="auto"/>
              <w:rPr>
                <w:rFonts w:ascii="仿宋_GB2312" w:hAnsi="仿宋_GB2312" w:eastAsia="仿宋_GB2312" w:cs="仿宋_GB2312"/>
                <w:color w:val="auto"/>
                <w:sz w:val="24"/>
                <w:highlight w:val="none"/>
              </w:rPr>
            </w:pPr>
          </w:p>
        </w:tc>
      </w:tr>
    </w:tbl>
    <w:p w14:paraId="1633242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647214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5DB6865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78199EF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D95FBC0">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0E39F6CC">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79344F6">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2D7371F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DD417E8">
      <w:pPr>
        <w:spacing w:line="360" w:lineRule="auto"/>
        <w:ind w:firstLine="480" w:firstLineChars="200"/>
        <w:rPr>
          <w:rFonts w:ascii="仿宋_GB2312" w:hAnsi="仿宋_GB2312" w:eastAsia="仿宋_GB2312" w:cs="仿宋_GB2312"/>
          <w:color w:val="auto"/>
          <w:sz w:val="24"/>
          <w:szCs w:val="20"/>
          <w:highlight w:val="none"/>
        </w:rPr>
      </w:pPr>
    </w:p>
    <w:p w14:paraId="4754AEE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8D368E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98A821">
      <w:pPr>
        <w:pageBreakBefore/>
        <w:spacing w:line="360" w:lineRule="auto"/>
        <w:jc w:val="center"/>
        <w:outlineLvl w:val="1"/>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14:paraId="1B02F55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06B372B9">
      <w:pPr>
        <w:spacing w:line="360" w:lineRule="auto"/>
        <w:jc w:val="center"/>
        <w:rPr>
          <w:rFonts w:ascii="仿宋_GB2312" w:hAnsi="仿宋_GB2312" w:eastAsia="仿宋_GB2312" w:cs="仿宋_GB2312"/>
          <w:color w:val="auto"/>
          <w:sz w:val="24"/>
          <w:highlight w:val="none"/>
        </w:rPr>
      </w:pPr>
    </w:p>
    <w:p w14:paraId="74C4159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DF6EA7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3E15A7">
      <w:pPr>
        <w:spacing w:line="360" w:lineRule="auto"/>
        <w:jc w:val="center"/>
        <w:rPr>
          <w:rFonts w:ascii="仿宋_GB2312" w:hAnsi="仿宋_GB2312" w:eastAsia="仿宋_GB2312" w:cs="仿宋_GB2312"/>
          <w:b/>
          <w:bCs/>
          <w:color w:val="auto"/>
          <w:sz w:val="30"/>
          <w:szCs w:val="30"/>
          <w:highlight w:val="none"/>
        </w:rPr>
      </w:pPr>
    </w:p>
    <w:p w14:paraId="51516006">
      <w:pPr>
        <w:spacing w:line="360" w:lineRule="auto"/>
        <w:jc w:val="center"/>
        <w:rPr>
          <w:rFonts w:ascii="仿宋_GB2312" w:hAnsi="仿宋_GB2312" w:eastAsia="仿宋_GB2312" w:cs="仿宋_GB2312"/>
          <w:b/>
          <w:bCs/>
          <w:color w:val="auto"/>
          <w:sz w:val="30"/>
          <w:szCs w:val="30"/>
          <w:highlight w:val="none"/>
        </w:rPr>
      </w:pPr>
    </w:p>
    <w:p w14:paraId="4010E173">
      <w:pPr>
        <w:spacing w:line="360" w:lineRule="auto"/>
        <w:jc w:val="center"/>
        <w:rPr>
          <w:rFonts w:ascii="仿宋_GB2312" w:hAnsi="仿宋_GB2312" w:eastAsia="仿宋_GB2312" w:cs="仿宋_GB2312"/>
          <w:b/>
          <w:bCs/>
          <w:color w:val="auto"/>
          <w:sz w:val="24"/>
          <w:highlight w:val="none"/>
        </w:rPr>
      </w:pPr>
    </w:p>
    <w:p w14:paraId="5117031B">
      <w:pPr>
        <w:spacing w:line="360" w:lineRule="auto"/>
        <w:jc w:val="center"/>
        <w:rPr>
          <w:rFonts w:ascii="仿宋_GB2312" w:hAnsi="仿宋_GB2312" w:eastAsia="仿宋_GB2312" w:cs="仿宋_GB2312"/>
          <w:b/>
          <w:bCs/>
          <w:color w:val="auto"/>
          <w:sz w:val="24"/>
          <w:highlight w:val="none"/>
        </w:rPr>
      </w:pPr>
    </w:p>
    <w:p w14:paraId="3677ECDE">
      <w:pPr>
        <w:spacing w:line="360" w:lineRule="auto"/>
        <w:jc w:val="center"/>
        <w:outlineLvl w:val="1"/>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59194CB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37B8CBDB">
      <w:pPr>
        <w:spacing w:line="360" w:lineRule="auto"/>
        <w:rPr>
          <w:rFonts w:ascii="仿宋_GB2312" w:hAnsi="仿宋_GB2312" w:eastAsia="仿宋_GB2312" w:cs="仿宋_GB2312"/>
          <w:color w:val="auto"/>
          <w:sz w:val="24"/>
          <w:highlight w:val="none"/>
        </w:rPr>
      </w:pPr>
    </w:p>
    <w:p w14:paraId="4D0DD24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E2F26D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1975B06">
      <w:pPr>
        <w:pStyle w:val="3"/>
        <w:rPr>
          <w:color w:val="auto"/>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2445EE43">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1A6885B">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55B42F6">
      <w:pPr>
        <w:spacing w:line="360" w:lineRule="auto"/>
        <w:jc w:val="center"/>
        <w:outlineLvl w:val="9"/>
        <w:rPr>
          <w:rFonts w:ascii="仿宋" w:hAnsi="仿宋" w:eastAsia="仿宋" w:cs="仿宋"/>
          <w:b/>
          <w:color w:val="auto"/>
          <w:kern w:val="0"/>
          <w:sz w:val="36"/>
          <w:szCs w:val="36"/>
          <w:highlight w:val="none"/>
        </w:rPr>
      </w:pPr>
    </w:p>
    <w:p w14:paraId="737CFDE5">
      <w:pPr>
        <w:numPr>
          <w:ilvl w:val="-1"/>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sz w:val="24"/>
          <w:highlight w:val="none"/>
        </w:rPr>
        <w:t>开标一览表（报价表）………………………………………………………（页码）</w:t>
      </w:r>
    </w:p>
    <w:p w14:paraId="6BEFE185">
      <w:pPr>
        <w:snapToGrid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（1.1）投标报价汇总表……………………………………………………………（页码）</w:t>
      </w:r>
    </w:p>
    <w:p w14:paraId="10E6A09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）中小企业声明函………………………………………………………………（页码）</w:t>
      </w:r>
    </w:p>
    <w:p w14:paraId="69179812">
      <w:pPr>
        <w:pStyle w:val="25"/>
        <w:snapToGrid w:val="0"/>
        <w:rPr>
          <w:rFonts w:ascii="仿宋" w:hAnsi="仿宋" w:eastAsia="仿宋" w:cs="仿宋"/>
          <w:color w:val="auto"/>
          <w:szCs w:val="24"/>
          <w:highlight w:val="none"/>
          <w:lang w:val="en-US"/>
        </w:rPr>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ascii="仿宋" w:hAnsi="仿宋" w:eastAsia="仿宋" w:cs="仿宋"/>
          <w:color w:val="auto"/>
          <w:szCs w:val="24"/>
          <w:highlight w:val="none"/>
          <w:lang w:val="en-US"/>
        </w:rPr>
        <w:t>（</w:t>
      </w:r>
      <w:r>
        <w:rPr>
          <w:rFonts w:hint="eastAsia" w:ascii="仿宋" w:hAnsi="仿宋" w:eastAsia="仿宋" w:cs="仿宋"/>
          <w:color w:val="auto"/>
          <w:szCs w:val="24"/>
          <w:highlight w:val="none"/>
          <w:lang w:val="en-US" w:eastAsia="zh-CN"/>
        </w:rPr>
        <w:t>3</w:t>
      </w:r>
      <w:r>
        <w:rPr>
          <w:rFonts w:ascii="仿宋" w:hAnsi="仿宋" w:eastAsia="仿宋" w:cs="仿宋"/>
          <w:color w:val="auto"/>
          <w:szCs w:val="24"/>
          <w:highlight w:val="none"/>
          <w:lang w:val="en-US"/>
        </w:rPr>
        <w:t>）残疾人福利性单位声明函……………………………………………………（页码）</w:t>
      </w:r>
    </w:p>
    <w:p w14:paraId="5104BFD1">
      <w:pPr>
        <w:pStyle w:val="692"/>
        <w:keepNext w:val="0"/>
        <w:pageBreakBefore/>
        <w:tabs>
          <w:tab w:val="clear" w:pos="720"/>
        </w:tabs>
        <w:snapToGrid w:val="0"/>
        <w:spacing w:before="120" w:after="120"/>
        <w:ind w:firstLine="643"/>
        <w:outlineLvl w:val="1"/>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E2C77B7">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7CF95A9">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4EAE156">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7C90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77FAF9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1577A15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6C35EFE2">
            <w:pPr>
              <w:spacing w:line="360" w:lineRule="auto"/>
              <w:jc w:val="center"/>
              <w:rPr>
                <w:rFonts w:ascii="仿宋" w:hAnsi="仿宋" w:eastAsia="仿宋" w:cs="仿宋"/>
                <w:b/>
                <w:color w:val="auto"/>
                <w:sz w:val="24"/>
                <w:highlight w:val="none"/>
              </w:rPr>
            </w:pPr>
          </w:p>
          <w:p w14:paraId="10A844E2">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27B1FFD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27409DD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246E8D4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46C56BB5">
            <w:pPr>
              <w:spacing w:line="360" w:lineRule="auto"/>
              <w:jc w:val="center"/>
              <w:rPr>
                <w:rFonts w:ascii="仿宋" w:hAnsi="仿宋" w:eastAsia="仿宋" w:cs="仿宋"/>
                <w:b/>
                <w:color w:val="auto"/>
                <w:sz w:val="24"/>
                <w:highlight w:val="none"/>
              </w:rPr>
            </w:pPr>
          </w:p>
          <w:p w14:paraId="1E7BE43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67E230FB">
            <w:pPr>
              <w:spacing w:line="360" w:lineRule="auto"/>
              <w:jc w:val="center"/>
              <w:rPr>
                <w:rFonts w:ascii="仿宋" w:hAnsi="仿宋" w:eastAsia="仿宋" w:cs="仿宋"/>
                <w:b/>
                <w:color w:val="auto"/>
                <w:sz w:val="24"/>
                <w:highlight w:val="none"/>
              </w:rPr>
            </w:pPr>
          </w:p>
          <w:p w14:paraId="3B85479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05ED19B0">
            <w:pPr>
              <w:spacing w:line="360" w:lineRule="auto"/>
              <w:jc w:val="center"/>
              <w:rPr>
                <w:rFonts w:ascii="仿宋" w:hAnsi="仿宋" w:eastAsia="仿宋" w:cs="仿宋"/>
                <w:b/>
                <w:color w:val="auto"/>
                <w:sz w:val="24"/>
                <w:highlight w:val="none"/>
              </w:rPr>
            </w:pPr>
          </w:p>
        </w:tc>
      </w:tr>
      <w:tr w14:paraId="0913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736C79A">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30CDEBC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6FDE347">
            <w:pPr>
              <w:snapToGrid w:val="0"/>
              <w:spacing w:line="360" w:lineRule="auto"/>
              <w:jc w:val="center"/>
              <w:rPr>
                <w:rFonts w:ascii="仿宋" w:hAnsi="仿宋" w:eastAsia="仿宋" w:cs="仿宋"/>
                <w:color w:val="auto"/>
                <w:sz w:val="24"/>
                <w:highlight w:val="none"/>
              </w:rPr>
            </w:pPr>
          </w:p>
        </w:tc>
        <w:tc>
          <w:tcPr>
            <w:tcW w:w="2410" w:type="dxa"/>
            <w:vAlign w:val="center"/>
          </w:tcPr>
          <w:p w14:paraId="7E8ACB5A">
            <w:pPr>
              <w:snapToGrid w:val="0"/>
              <w:spacing w:line="360" w:lineRule="auto"/>
              <w:jc w:val="center"/>
              <w:rPr>
                <w:rFonts w:ascii="仿宋" w:hAnsi="仿宋" w:eastAsia="仿宋" w:cs="仿宋"/>
                <w:color w:val="auto"/>
                <w:sz w:val="24"/>
                <w:highlight w:val="none"/>
              </w:rPr>
            </w:pPr>
          </w:p>
        </w:tc>
        <w:tc>
          <w:tcPr>
            <w:tcW w:w="2268" w:type="dxa"/>
            <w:vAlign w:val="center"/>
          </w:tcPr>
          <w:p w14:paraId="1A6130E5">
            <w:pPr>
              <w:snapToGrid w:val="0"/>
              <w:spacing w:line="360" w:lineRule="auto"/>
              <w:jc w:val="center"/>
              <w:rPr>
                <w:rFonts w:ascii="仿宋" w:hAnsi="仿宋" w:eastAsia="仿宋" w:cs="仿宋"/>
                <w:color w:val="auto"/>
                <w:sz w:val="24"/>
                <w:highlight w:val="none"/>
              </w:rPr>
            </w:pPr>
          </w:p>
        </w:tc>
        <w:tc>
          <w:tcPr>
            <w:tcW w:w="2126" w:type="dxa"/>
            <w:vAlign w:val="center"/>
          </w:tcPr>
          <w:p w14:paraId="198A287E">
            <w:pPr>
              <w:spacing w:line="360" w:lineRule="auto"/>
              <w:jc w:val="center"/>
              <w:rPr>
                <w:rFonts w:ascii="仿宋" w:hAnsi="仿宋" w:eastAsia="仿宋" w:cs="仿宋"/>
                <w:color w:val="auto"/>
                <w:sz w:val="24"/>
                <w:highlight w:val="none"/>
              </w:rPr>
            </w:pPr>
          </w:p>
        </w:tc>
        <w:tc>
          <w:tcPr>
            <w:tcW w:w="2127" w:type="dxa"/>
          </w:tcPr>
          <w:p w14:paraId="3DB8D460">
            <w:pPr>
              <w:spacing w:line="360" w:lineRule="auto"/>
              <w:jc w:val="center"/>
              <w:rPr>
                <w:rFonts w:ascii="仿宋" w:hAnsi="仿宋" w:eastAsia="仿宋" w:cs="仿宋"/>
                <w:color w:val="auto"/>
                <w:sz w:val="24"/>
                <w:highlight w:val="none"/>
              </w:rPr>
            </w:pPr>
          </w:p>
        </w:tc>
        <w:tc>
          <w:tcPr>
            <w:tcW w:w="2126" w:type="dxa"/>
            <w:vAlign w:val="center"/>
          </w:tcPr>
          <w:p w14:paraId="6F59F409">
            <w:pPr>
              <w:spacing w:line="360" w:lineRule="auto"/>
              <w:jc w:val="center"/>
              <w:rPr>
                <w:rFonts w:ascii="仿宋" w:hAnsi="仿宋" w:eastAsia="仿宋" w:cs="仿宋"/>
                <w:color w:val="auto"/>
                <w:sz w:val="24"/>
                <w:highlight w:val="none"/>
              </w:rPr>
            </w:pPr>
          </w:p>
        </w:tc>
      </w:tr>
      <w:tr w14:paraId="3781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CD6F5D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718CB07E">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204CAFEB">
            <w:pPr>
              <w:snapToGrid w:val="0"/>
              <w:spacing w:line="360" w:lineRule="auto"/>
              <w:jc w:val="center"/>
              <w:rPr>
                <w:rFonts w:ascii="仿宋" w:hAnsi="仿宋" w:eastAsia="仿宋" w:cs="仿宋"/>
                <w:color w:val="auto"/>
                <w:sz w:val="24"/>
                <w:highlight w:val="none"/>
              </w:rPr>
            </w:pPr>
          </w:p>
        </w:tc>
        <w:tc>
          <w:tcPr>
            <w:tcW w:w="2410" w:type="dxa"/>
            <w:vAlign w:val="center"/>
          </w:tcPr>
          <w:p w14:paraId="6225E046">
            <w:pPr>
              <w:snapToGrid w:val="0"/>
              <w:spacing w:line="360" w:lineRule="auto"/>
              <w:jc w:val="center"/>
              <w:rPr>
                <w:rFonts w:ascii="仿宋" w:hAnsi="仿宋" w:eastAsia="仿宋" w:cs="仿宋"/>
                <w:color w:val="auto"/>
                <w:sz w:val="24"/>
                <w:highlight w:val="none"/>
              </w:rPr>
            </w:pPr>
          </w:p>
        </w:tc>
        <w:tc>
          <w:tcPr>
            <w:tcW w:w="2268" w:type="dxa"/>
            <w:vAlign w:val="center"/>
          </w:tcPr>
          <w:p w14:paraId="7CB1B8A5">
            <w:pPr>
              <w:snapToGrid w:val="0"/>
              <w:spacing w:line="360" w:lineRule="auto"/>
              <w:jc w:val="center"/>
              <w:rPr>
                <w:rFonts w:ascii="仿宋" w:hAnsi="仿宋" w:eastAsia="仿宋" w:cs="仿宋"/>
                <w:color w:val="auto"/>
                <w:sz w:val="24"/>
                <w:highlight w:val="none"/>
              </w:rPr>
            </w:pPr>
          </w:p>
        </w:tc>
        <w:tc>
          <w:tcPr>
            <w:tcW w:w="2126" w:type="dxa"/>
            <w:vAlign w:val="center"/>
          </w:tcPr>
          <w:p w14:paraId="39013B60">
            <w:pPr>
              <w:spacing w:line="360" w:lineRule="auto"/>
              <w:jc w:val="center"/>
              <w:rPr>
                <w:rFonts w:ascii="仿宋" w:hAnsi="仿宋" w:eastAsia="仿宋" w:cs="仿宋"/>
                <w:color w:val="auto"/>
                <w:sz w:val="24"/>
                <w:highlight w:val="none"/>
              </w:rPr>
            </w:pPr>
          </w:p>
        </w:tc>
        <w:tc>
          <w:tcPr>
            <w:tcW w:w="2127" w:type="dxa"/>
          </w:tcPr>
          <w:p w14:paraId="3B5EADF5">
            <w:pPr>
              <w:spacing w:line="360" w:lineRule="auto"/>
              <w:jc w:val="center"/>
              <w:rPr>
                <w:rFonts w:ascii="仿宋" w:hAnsi="仿宋" w:eastAsia="仿宋" w:cs="仿宋"/>
                <w:color w:val="auto"/>
                <w:sz w:val="24"/>
                <w:highlight w:val="none"/>
              </w:rPr>
            </w:pPr>
          </w:p>
        </w:tc>
        <w:tc>
          <w:tcPr>
            <w:tcW w:w="2126" w:type="dxa"/>
            <w:vAlign w:val="center"/>
          </w:tcPr>
          <w:p w14:paraId="2D61C8B7">
            <w:pPr>
              <w:spacing w:line="360" w:lineRule="auto"/>
              <w:jc w:val="center"/>
              <w:rPr>
                <w:rFonts w:ascii="仿宋" w:hAnsi="仿宋" w:eastAsia="仿宋" w:cs="仿宋"/>
                <w:color w:val="auto"/>
                <w:sz w:val="24"/>
                <w:highlight w:val="none"/>
              </w:rPr>
            </w:pPr>
          </w:p>
        </w:tc>
      </w:tr>
      <w:tr w14:paraId="7194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5F4DBA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1DBAC4DC">
            <w:pPr>
              <w:snapToGrid w:val="0"/>
              <w:spacing w:line="360" w:lineRule="auto"/>
              <w:jc w:val="center"/>
              <w:rPr>
                <w:rFonts w:ascii="仿宋" w:hAnsi="仿宋" w:eastAsia="仿宋" w:cs="仿宋"/>
                <w:color w:val="auto"/>
                <w:sz w:val="24"/>
                <w:highlight w:val="none"/>
              </w:rPr>
            </w:pPr>
          </w:p>
        </w:tc>
        <w:tc>
          <w:tcPr>
            <w:tcW w:w="2268" w:type="dxa"/>
            <w:vAlign w:val="center"/>
          </w:tcPr>
          <w:p w14:paraId="527BE683">
            <w:pPr>
              <w:snapToGrid w:val="0"/>
              <w:spacing w:line="360" w:lineRule="auto"/>
              <w:jc w:val="center"/>
              <w:rPr>
                <w:rFonts w:ascii="仿宋" w:hAnsi="仿宋" w:eastAsia="仿宋" w:cs="仿宋"/>
                <w:color w:val="auto"/>
                <w:sz w:val="24"/>
                <w:highlight w:val="none"/>
              </w:rPr>
            </w:pPr>
          </w:p>
        </w:tc>
        <w:tc>
          <w:tcPr>
            <w:tcW w:w="2410" w:type="dxa"/>
            <w:vAlign w:val="center"/>
          </w:tcPr>
          <w:p w14:paraId="5D07339A">
            <w:pPr>
              <w:snapToGrid w:val="0"/>
              <w:spacing w:line="360" w:lineRule="auto"/>
              <w:jc w:val="center"/>
              <w:rPr>
                <w:rFonts w:ascii="仿宋" w:hAnsi="仿宋" w:eastAsia="仿宋" w:cs="仿宋"/>
                <w:color w:val="auto"/>
                <w:sz w:val="24"/>
                <w:highlight w:val="none"/>
              </w:rPr>
            </w:pPr>
          </w:p>
        </w:tc>
        <w:tc>
          <w:tcPr>
            <w:tcW w:w="2268" w:type="dxa"/>
            <w:vAlign w:val="center"/>
          </w:tcPr>
          <w:p w14:paraId="14B9DDF5">
            <w:pPr>
              <w:snapToGrid w:val="0"/>
              <w:spacing w:line="360" w:lineRule="auto"/>
              <w:jc w:val="center"/>
              <w:rPr>
                <w:rFonts w:ascii="仿宋" w:hAnsi="仿宋" w:eastAsia="仿宋" w:cs="仿宋"/>
                <w:color w:val="auto"/>
                <w:sz w:val="24"/>
                <w:highlight w:val="none"/>
              </w:rPr>
            </w:pPr>
          </w:p>
        </w:tc>
        <w:tc>
          <w:tcPr>
            <w:tcW w:w="2126" w:type="dxa"/>
            <w:vAlign w:val="center"/>
          </w:tcPr>
          <w:p w14:paraId="40AC88F7">
            <w:pPr>
              <w:spacing w:line="360" w:lineRule="auto"/>
              <w:jc w:val="center"/>
              <w:rPr>
                <w:rFonts w:ascii="仿宋" w:hAnsi="仿宋" w:eastAsia="仿宋" w:cs="仿宋"/>
                <w:color w:val="auto"/>
                <w:sz w:val="24"/>
                <w:highlight w:val="none"/>
              </w:rPr>
            </w:pPr>
          </w:p>
        </w:tc>
        <w:tc>
          <w:tcPr>
            <w:tcW w:w="2127" w:type="dxa"/>
          </w:tcPr>
          <w:p w14:paraId="794EEBC9">
            <w:pPr>
              <w:spacing w:line="360" w:lineRule="auto"/>
              <w:jc w:val="center"/>
              <w:rPr>
                <w:rFonts w:ascii="仿宋" w:hAnsi="仿宋" w:eastAsia="仿宋" w:cs="仿宋"/>
                <w:color w:val="auto"/>
                <w:sz w:val="24"/>
                <w:highlight w:val="none"/>
              </w:rPr>
            </w:pPr>
          </w:p>
        </w:tc>
        <w:tc>
          <w:tcPr>
            <w:tcW w:w="2126" w:type="dxa"/>
            <w:vAlign w:val="center"/>
          </w:tcPr>
          <w:p w14:paraId="04E2F0CD">
            <w:pPr>
              <w:spacing w:line="360" w:lineRule="auto"/>
              <w:jc w:val="center"/>
              <w:rPr>
                <w:rFonts w:ascii="仿宋" w:hAnsi="仿宋" w:eastAsia="仿宋" w:cs="仿宋"/>
                <w:color w:val="auto"/>
                <w:sz w:val="24"/>
                <w:highlight w:val="none"/>
              </w:rPr>
            </w:pPr>
          </w:p>
        </w:tc>
      </w:tr>
      <w:tr w14:paraId="3E2A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CE0B0C7">
            <w:pPr>
              <w:spacing w:line="360" w:lineRule="auto"/>
              <w:jc w:val="center"/>
              <w:rPr>
                <w:rFonts w:ascii="仿宋" w:hAnsi="仿宋" w:eastAsia="仿宋" w:cs="仿宋"/>
                <w:color w:val="auto"/>
                <w:sz w:val="24"/>
                <w:highlight w:val="none"/>
              </w:rPr>
            </w:pPr>
          </w:p>
        </w:tc>
        <w:tc>
          <w:tcPr>
            <w:tcW w:w="992" w:type="dxa"/>
            <w:vAlign w:val="center"/>
          </w:tcPr>
          <w:p w14:paraId="5949AA3F">
            <w:pPr>
              <w:snapToGrid w:val="0"/>
              <w:spacing w:line="360" w:lineRule="auto"/>
              <w:jc w:val="center"/>
              <w:rPr>
                <w:rFonts w:ascii="仿宋" w:hAnsi="仿宋" w:eastAsia="仿宋" w:cs="仿宋"/>
                <w:color w:val="auto"/>
                <w:sz w:val="24"/>
                <w:highlight w:val="none"/>
              </w:rPr>
            </w:pPr>
          </w:p>
        </w:tc>
        <w:tc>
          <w:tcPr>
            <w:tcW w:w="2268" w:type="dxa"/>
            <w:vAlign w:val="center"/>
          </w:tcPr>
          <w:p w14:paraId="54420DE7">
            <w:pPr>
              <w:snapToGrid w:val="0"/>
              <w:spacing w:line="360" w:lineRule="auto"/>
              <w:jc w:val="center"/>
              <w:rPr>
                <w:rFonts w:ascii="仿宋" w:hAnsi="仿宋" w:eastAsia="仿宋" w:cs="仿宋"/>
                <w:color w:val="auto"/>
                <w:sz w:val="24"/>
                <w:highlight w:val="none"/>
              </w:rPr>
            </w:pPr>
          </w:p>
        </w:tc>
        <w:tc>
          <w:tcPr>
            <w:tcW w:w="2410" w:type="dxa"/>
            <w:vAlign w:val="center"/>
          </w:tcPr>
          <w:p w14:paraId="586BCB65">
            <w:pPr>
              <w:snapToGrid w:val="0"/>
              <w:spacing w:line="360" w:lineRule="auto"/>
              <w:jc w:val="center"/>
              <w:rPr>
                <w:rFonts w:ascii="仿宋" w:hAnsi="仿宋" w:eastAsia="仿宋" w:cs="仿宋"/>
                <w:color w:val="auto"/>
                <w:sz w:val="24"/>
                <w:highlight w:val="none"/>
              </w:rPr>
            </w:pPr>
          </w:p>
        </w:tc>
        <w:tc>
          <w:tcPr>
            <w:tcW w:w="2268" w:type="dxa"/>
            <w:vAlign w:val="center"/>
          </w:tcPr>
          <w:p w14:paraId="40B8DA96">
            <w:pPr>
              <w:snapToGrid w:val="0"/>
              <w:spacing w:line="360" w:lineRule="auto"/>
              <w:jc w:val="center"/>
              <w:rPr>
                <w:rFonts w:ascii="仿宋" w:hAnsi="仿宋" w:eastAsia="仿宋" w:cs="仿宋"/>
                <w:color w:val="auto"/>
                <w:sz w:val="24"/>
                <w:highlight w:val="none"/>
              </w:rPr>
            </w:pPr>
          </w:p>
        </w:tc>
        <w:tc>
          <w:tcPr>
            <w:tcW w:w="2126" w:type="dxa"/>
            <w:vAlign w:val="center"/>
          </w:tcPr>
          <w:p w14:paraId="60B030EF">
            <w:pPr>
              <w:spacing w:line="360" w:lineRule="auto"/>
              <w:jc w:val="center"/>
              <w:rPr>
                <w:rFonts w:ascii="仿宋" w:hAnsi="仿宋" w:eastAsia="仿宋" w:cs="仿宋"/>
                <w:color w:val="auto"/>
                <w:sz w:val="24"/>
                <w:highlight w:val="none"/>
              </w:rPr>
            </w:pPr>
          </w:p>
        </w:tc>
        <w:tc>
          <w:tcPr>
            <w:tcW w:w="2127" w:type="dxa"/>
          </w:tcPr>
          <w:p w14:paraId="2D1E1746">
            <w:pPr>
              <w:spacing w:line="360" w:lineRule="auto"/>
              <w:jc w:val="center"/>
              <w:rPr>
                <w:rFonts w:ascii="仿宋" w:hAnsi="仿宋" w:eastAsia="仿宋" w:cs="仿宋"/>
                <w:color w:val="auto"/>
                <w:sz w:val="24"/>
                <w:highlight w:val="none"/>
              </w:rPr>
            </w:pPr>
          </w:p>
        </w:tc>
        <w:tc>
          <w:tcPr>
            <w:tcW w:w="2126" w:type="dxa"/>
            <w:vAlign w:val="center"/>
          </w:tcPr>
          <w:p w14:paraId="6F3789CB">
            <w:pPr>
              <w:spacing w:line="360" w:lineRule="auto"/>
              <w:jc w:val="center"/>
              <w:rPr>
                <w:rFonts w:ascii="仿宋" w:hAnsi="仿宋" w:eastAsia="仿宋" w:cs="仿宋"/>
                <w:color w:val="auto"/>
                <w:sz w:val="24"/>
                <w:highlight w:val="none"/>
              </w:rPr>
            </w:pPr>
          </w:p>
        </w:tc>
      </w:tr>
      <w:tr w14:paraId="755F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B92E848">
            <w:pPr>
              <w:spacing w:line="360" w:lineRule="auto"/>
              <w:jc w:val="center"/>
              <w:rPr>
                <w:rFonts w:ascii="仿宋" w:hAnsi="仿宋" w:eastAsia="仿宋" w:cs="仿宋"/>
                <w:color w:val="auto"/>
                <w:sz w:val="24"/>
                <w:highlight w:val="none"/>
              </w:rPr>
            </w:pPr>
          </w:p>
        </w:tc>
        <w:tc>
          <w:tcPr>
            <w:tcW w:w="992" w:type="dxa"/>
            <w:vAlign w:val="center"/>
          </w:tcPr>
          <w:p w14:paraId="453139A4">
            <w:pPr>
              <w:snapToGrid w:val="0"/>
              <w:spacing w:line="360" w:lineRule="auto"/>
              <w:jc w:val="center"/>
              <w:rPr>
                <w:rFonts w:ascii="仿宋" w:hAnsi="仿宋" w:eastAsia="仿宋" w:cs="仿宋"/>
                <w:color w:val="auto"/>
                <w:sz w:val="24"/>
                <w:highlight w:val="none"/>
              </w:rPr>
            </w:pPr>
          </w:p>
        </w:tc>
        <w:tc>
          <w:tcPr>
            <w:tcW w:w="2268" w:type="dxa"/>
            <w:vAlign w:val="center"/>
          </w:tcPr>
          <w:p w14:paraId="0EA9E49E">
            <w:pPr>
              <w:snapToGrid w:val="0"/>
              <w:spacing w:line="360" w:lineRule="auto"/>
              <w:jc w:val="center"/>
              <w:rPr>
                <w:rFonts w:ascii="仿宋" w:hAnsi="仿宋" w:eastAsia="仿宋" w:cs="仿宋"/>
                <w:color w:val="auto"/>
                <w:sz w:val="24"/>
                <w:highlight w:val="none"/>
              </w:rPr>
            </w:pPr>
          </w:p>
        </w:tc>
        <w:tc>
          <w:tcPr>
            <w:tcW w:w="2410" w:type="dxa"/>
            <w:vAlign w:val="center"/>
          </w:tcPr>
          <w:p w14:paraId="21405786">
            <w:pPr>
              <w:snapToGrid w:val="0"/>
              <w:spacing w:line="360" w:lineRule="auto"/>
              <w:jc w:val="center"/>
              <w:rPr>
                <w:rFonts w:ascii="仿宋" w:hAnsi="仿宋" w:eastAsia="仿宋" w:cs="仿宋"/>
                <w:color w:val="auto"/>
                <w:sz w:val="24"/>
                <w:highlight w:val="none"/>
              </w:rPr>
            </w:pPr>
          </w:p>
        </w:tc>
        <w:tc>
          <w:tcPr>
            <w:tcW w:w="2268" w:type="dxa"/>
            <w:vAlign w:val="center"/>
          </w:tcPr>
          <w:p w14:paraId="02DD8833">
            <w:pPr>
              <w:snapToGrid w:val="0"/>
              <w:spacing w:line="360" w:lineRule="auto"/>
              <w:jc w:val="center"/>
              <w:rPr>
                <w:rFonts w:ascii="仿宋" w:hAnsi="仿宋" w:eastAsia="仿宋" w:cs="仿宋"/>
                <w:color w:val="auto"/>
                <w:sz w:val="24"/>
                <w:highlight w:val="none"/>
              </w:rPr>
            </w:pPr>
          </w:p>
        </w:tc>
        <w:tc>
          <w:tcPr>
            <w:tcW w:w="2126" w:type="dxa"/>
            <w:vAlign w:val="center"/>
          </w:tcPr>
          <w:p w14:paraId="6AE92D12">
            <w:pPr>
              <w:spacing w:line="360" w:lineRule="auto"/>
              <w:jc w:val="center"/>
              <w:rPr>
                <w:rFonts w:ascii="仿宋" w:hAnsi="仿宋" w:eastAsia="仿宋" w:cs="仿宋"/>
                <w:color w:val="auto"/>
                <w:sz w:val="24"/>
                <w:highlight w:val="none"/>
              </w:rPr>
            </w:pPr>
          </w:p>
        </w:tc>
        <w:tc>
          <w:tcPr>
            <w:tcW w:w="2127" w:type="dxa"/>
          </w:tcPr>
          <w:p w14:paraId="1728B600">
            <w:pPr>
              <w:spacing w:line="360" w:lineRule="auto"/>
              <w:jc w:val="center"/>
              <w:rPr>
                <w:rFonts w:ascii="仿宋" w:hAnsi="仿宋" w:eastAsia="仿宋" w:cs="仿宋"/>
                <w:color w:val="auto"/>
                <w:sz w:val="24"/>
                <w:highlight w:val="none"/>
              </w:rPr>
            </w:pPr>
          </w:p>
        </w:tc>
        <w:tc>
          <w:tcPr>
            <w:tcW w:w="2126" w:type="dxa"/>
            <w:vAlign w:val="center"/>
          </w:tcPr>
          <w:p w14:paraId="130953D6">
            <w:pPr>
              <w:spacing w:line="360" w:lineRule="auto"/>
              <w:jc w:val="center"/>
              <w:rPr>
                <w:rFonts w:ascii="仿宋" w:hAnsi="仿宋" w:eastAsia="仿宋" w:cs="仿宋"/>
                <w:color w:val="auto"/>
                <w:sz w:val="24"/>
                <w:highlight w:val="none"/>
              </w:rPr>
            </w:pPr>
          </w:p>
        </w:tc>
      </w:tr>
      <w:tr w14:paraId="7F2E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61D06D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117E905A">
            <w:pPr>
              <w:spacing w:line="360" w:lineRule="auto"/>
              <w:jc w:val="center"/>
              <w:rPr>
                <w:rFonts w:ascii="仿宋" w:hAnsi="仿宋" w:eastAsia="仿宋" w:cs="仿宋"/>
                <w:color w:val="auto"/>
                <w:sz w:val="24"/>
                <w:highlight w:val="none"/>
              </w:rPr>
            </w:pPr>
          </w:p>
        </w:tc>
      </w:tr>
      <w:tr w14:paraId="0F05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06EC5EF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05760F1E">
            <w:pPr>
              <w:spacing w:line="360" w:lineRule="auto"/>
              <w:jc w:val="center"/>
              <w:rPr>
                <w:rFonts w:ascii="仿宋" w:hAnsi="仿宋" w:eastAsia="仿宋" w:cs="仿宋"/>
                <w:color w:val="auto"/>
                <w:sz w:val="24"/>
                <w:highlight w:val="none"/>
              </w:rPr>
            </w:pPr>
          </w:p>
        </w:tc>
      </w:tr>
    </w:tbl>
    <w:p w14:paraId="3538809C">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50B9F16">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6AC5A606">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33086564">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33B139D">
      <w:pPr>
        <w:snapToGrid w:val="0"/>
        <w:spacing w:line="360" w:lineRule="auto"/>
        <w:ind w:firstLine="480" w:firstLineChars="200"/>
        <w:jc w:val="left"/>
        <w:rPr>
          <w:rFonts w:hint="eastAsia" w:ascii="仿宋" w:hAnsi="仿宋" w:eastAsia="仿宋" w:cs="仿宋"/>
          <w:color w:val="auto"/>
          <w:kern w:val="0"/>
          <w:sz w:val="24"/>
          <w:highlight w:val="none"/>
          <w:lang w:val="zh-CN"/>
        </w:rPr>
        <w:sectPr>
          <w:pgSz w:w="16838" w:h="11906" w:orient="landscape"/>
          <w:pgMar w:top="1418" w:right="1276" w:bottom="1418" w:left="1247"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5B7D4A4">
      <w:pPr>
        <w:pStyle w:val="692"/>
        <w:keepNext w:val="0"/>
        <w:pageBreakBefore w:val="0"/>
        <w:tabs>
          <w:tab w:val="clear" w:pos="720"/>
        </w:tabs>
        <w:snapToGrid w:val="0"/>
        <w:spacing w:before="120" w:after="120"/>
        <w:ind w:firstLine="643"/>
        <w:outlineLvl w:val="1"/>
        <w:rPr>
          <w:rFonts w:hint="default"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1.1投标报价汇总表</w:t>
      </w:r>
    </w:p>
    <w:tbl>
      <w:tblPr>
        <w:tblStyle w:val="64"/>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573"/>
        <w:gridCol w:w="1471"/>
        <w:gridCol w:w="1573"/>
        <w:gridCol w:w="1460"/>
        <w:gridCol w:w="1305"/>
        <w:gridCol w:w="1846"/>
      </w:tblGrid>
      <w:tr w14:paraId="7D30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2" w:hRule="atLeast"/>
          <w:jc w:val="center"/>
        </w:trPr>
        <w:tc>
          <w:tcPr>
            <w:tcW w:w="512" w:type="dxa"/>
            <w:vAlign w:val="center"/>
          </w:tcPr>
          <w:p w14:paraId="3170019E">
            <w:pPr>
              <w:rPr>
                <w:color w:val="auto"/>
                <w:highlight w:val="none"/>
              </w:rPr>
            </w:pPr>
            <w:r>
              <w:rPr>
                <w:rFonts w:hint="eastAsia"/>
                <w:color w:val="auto"/>
                <w:highlight w:val="none"/>
              </w:rPr>
              <w:t>序号</w:t>
            </w:r>
          </w:p>
        </w:tc>
        <w:tc>
          <w:tcPr>
            <w:tcW w:w="1573" w:type="dxa"/>
            <w:vAlign w:val="center"/>
          </w:tcPr>
          <w:p w14:paraId="26DFE247">
            <w:pPr>
              <w:jc w:val="center"/>
              <w:rPr>
                <w:color w:val="auto"/>
                <w:highlight w:val="none"/>
              </w:rPr>
            </w:pPr>
            <w:r>
              <w:rPr>
                <w:rFonts w:hint="eastAsia"/>
                <w:color w:val="auto"/>
                <w:highlight w:val="none"/>
              </w:rPr>
              <w:t>内   容</w:t>
            </w:r>
          </w:p>
        </w:tc>
        <w:tc>
          <w:tcPr>
            <w:tcW w:w="1471" w:type="dxa"/>
            <w:vAlign w:val="center"/>
          </w:tcPr>
          <w:p w14:paraId="0B443BFA">
            <w:pPr>
              <w:jc w:val="center"/>
              <w:rPr>
                <w:rFonts w:hint="eastAsia"/>
                <w:color w:val="auto"/>
                <w:highlight w:val="none"/>
                <w:lang w:eastAsia="zh-CN"/>
              </w:rPr>
            </w:pPr>
            <w:r>
              <w:rPr>
                <w:rFonts w:hint="eastAsia"/>
                <w:color w:val="auto"/>
                <w:highlight w:val="none"/>
                <w:lang w:eastAsia="zh-CN"/>
              </w:rPr>
              <w:t>第一年</w:t>
            </w:r>
          </w:p>
          <w:p w14:paraId="4C6687E0">
            <w:pPr>
              <w:jc w:val="center"/>
              <w:rPr>
                <w:rFonts w:hint="eastAsia"/>
                <w:color w:val="auto"/>
                <w:highlight w:val="none"/>
              </w:rPr>
            </w:pPr>
            <w:r>
              <w:rPr>
                <w:rFonts w:hint="eastAsia"/>
                <w:color w:val="auto"/>
                <w:highlight w:val="none"/>
              </w:rPr>
              <w:t>保险费率</w:t>
            </w:r>
          </w:p>
          <w:p w14:paraId="57A6DF8D">
            <w:pPr>
              <w:jc w:val="center"/>
              <w:rPr>
                <w:color w:val="auto"/>
                <w:highlight w:val="none"/>
              </w:rPr>
            </w:pPr>
            <w:r>
              <w:rPr>
                <w:rFonts w:hint="eastAsia"/>
                <w:color w:val="auto"/>
                <w:highlight w:val="none"/>
                <w:lang w:eastAsia="zh-CN"/>
              </w:rPr>
              <w:t>（%）</w:t>
            </w:r>
          </w:p>
        </w:tc>
        <w:tc>
          <w:tcPr>
            <w:tcW w:w="1573" w:type="dxa"/>
            <w:vAlign w:val="center"/>
          </w:tcPr>
          <w:p w14:paraId="6EA9A84F">
            <w:pPr>
              <w:pStyle w:val="81"/>
              <w:ind w:firstLine="0" w:firstLineChars="0"/>
              <w:jc w:val="center"/>
              <w:rPr>
                <w:color w:val="auto"/>
                <w:highlight w:val="none"/>
              </w:rPr>
            </w:pPr>
            <w:r>
              <w:rPr>
                <w:rFonts w:hint="eastAsia"/>
                <w:color w:val="auto"/>
                <w:highlight w:val="none"/>
                <w:lang w:eastAsia="zh-CN"/>
              </w:rPr>
              <w:t>第一年</w:t>
            </w:r>
            <w:r>
              <w:rPr>
                <w:rFonts w:hint="eastAsia"/>
                <w:color w:val="auto"/>
                <w:highlight w:val="none"/>
              </w:rPr>
              <w:t>保费</w:t>
            </w:r>
            <w:r>
              <w:rPr>
                <w:rFonts w:hint="eastAsia"/>
                <w:color w:val="auto"/>
                <w:highlight w:val="none"/>
                <w:lang w:eastAsia="zh-CN"/>
              </w:rPr>
              <w:t>（元）</w:t>
            </w:r>
          </w:p>
        </w:tc>
        <w:tc>
          <w:tcPr>
            <w:tcW w:w="1460" w:type="dxa"/>
            <w:vAlign w:val="center"/>
          </w:tcPr>
          <w:p w14:paraId="3FA6896E">
            <w:pPr>
              <w:pStyle w:val="81"/>
              <w:ind w:firstLine="0" w:firstLineChars="0"/>
              <w:jc w:val="center"/>
              <w:rPr>
                <w:rFonts w:hint="eastAsia"/>
                <w:color w:val="auto"/>
                <w:highlight w:val="none"/>
                <w:lang w:val="en-US" w:eastAsia="zh-CN"/>
              </w:rPr>
            </w:pPr>
            <w:r>
              <w:rPr>
                <w:rFonts w:hint="eastAsia"/>
                <w:color w:val="auto"/>
                <w:highlight w:val="none"/>
                <w:lang w:val="en-US" w:eastAsia="zh-CN"/>
              </w:rPr>
              <w:t>服务期</w:t>
            </w:r>
          </w:p>
          <w:p w14:paraId="4EF3F860">
            <w:pPr>
              <w:pStyle w:val="81"/>
              <w:ind w:firstLine="0" w:firstLineChars="0"/>
              <w:jc w:val="center"/>
              <w:rPr>
                <w:rFonts w:hint="eastAsia"/>
                <w:color w:val="auto"/>
                <w:highlight w:val="none"/>
                <w:lang w:val="en-US" w:eastAsia="zh-CN"/>
              </w:rPr>
            </w:pPr>
            <w:r>
              <w:rPr>
                <w:rFonts w:hint="eastAsia"/>
                <w:color w:val="auto"/>
                <w:highlight w:val="none"/>
                <w:lang w:val="en-US" w:eastAsia="zh-CN"/>
              </w:rPr>
              <w:t>保险费</w:t>
            </w:r>
          </w:p>
          <w:p w14:paraId="0AA69E65">
            <w:pPr>
              <w:pStyle w:val="81"/>
              <w:ind w:firstLine="0" w:firstLineChars="0"/>
              <w:jc w:val="center"/>
              <w:rPr>
                <w:rFonts w:hint="eastAsia"/>
                <w:color w:val="auto"/>
                <w:highlight w:val="none"/>
                <w:lang w:eastAsia="zh-CN"/>
              </w:rPr>
            </w:pPr>
            <w:r>
              <w:rPr>
                <w:rFonts w:hint="eastAsia"/>
                <w:color w:val="auto"/>
                <w:highlight w:val="none"/>
                <w:lang w:val="en-US" w:eastAsia="zh-CN"/>
              </w:rPr>
              <w:t>（元）</w:t>
            </w:r>
          </w:p>
        </w:tc>
        <w:tc>
          <w:tcPr>
            <w:tcW w:w="1305" w:type="dxa"/>
            <w:vAlign w:val="center"/>
          </w:tcPr>
          <w:p w14:paraId="381A1E75">
            <w:pPr>
              <w:pStyle w:val="81"/>
              <w:ind w:firstLine="0" w:firstLineChars="0"/>
              <w:jc w:val="center"/>
              <w:rPr>
                <w:rFonts w:hint="eastAsia"/>
                <w:color w:val="auto"/>
                <w:highlight w:val="none"/>
              </w:rPr>
            </w:pPr>
            <w:r>
              <w:rPr>
                <w:rFonts w:hint="eastAsia"/>
                <w:color w:val="auto"/>
                <w:highlight w:val="none"/>
                <w:lang w:eastAsia="zh-CN"/>
              </w:rPr>
              <w:t>其中</w:t>
            </w:r>
            <w:r>
              <w:rPr>
                <w:rFonts w:hint="eastAsia"/>
                <w:color w:val="auto"/>
                <w:highlight w:val="none"/>
              </w:rPr>
              <w:t>增值税税率</w:t>
            </w:r>
          </w:p>
          <w:p w14:paraId="4ECA667F">
            <w:pPr>
              <w:pStyle w:val="81"/>
              <w:ind w:firstLine="0" w:firstLineChars="0"/>
              <w:jc w:val="center"/>
              <w:rPr>
                <w:rFonts w:hint="eastAsia"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w:t>
            </w:r>
            <w:r>
              <w:rPr>
                <w:rFonts w:hint="eastAsia"/>
                <w:color w:val="auto"/>
                <w:highlight w:val="none"/>
                <w:lang w:eastAsia="zh-CN"/>
              </w:rPr>
              <w:t>）</w:t>
            </w:r>
          </w:p>
        </w:tc>
        <w:tc>
          <w:tcPr>
            <w:tcW w:w="1846" w:type="dxa"/>
            <w:vAlign w:val="center"/>
          </w:tcPr>
          <w:p w14:paraId="690240E0">
            <w:pPr>
              <w:pStyle w:val="81"/>
              <w:ind w:firstLine="0" w:firstLineChars="0"/>
              <w:jc w:val="center"/>
              <w:rPr>
                <w:rFonts w:hint="default" w:eastAsia="宋体"/>
                <w:color w:val="auto"/>
                <w:highlight w:val="none"/>
                <w:lang w:val="en-US" w:eastAsia="zh-CN"/>
              </w:rPr>
            </w:pPr>
            <w:r>
              <w:rPr>
                <w:rFonts w:hint="eastAsia"/>
                <w:color w:val="auto"/>
                <w:highlight w:val="none"/>
                <w:lang w:val="en-US" w:eastAsia="zh-CN"/>
              </w:rPr>
              <w:t>备注</w:t>
            </w:r>
          </w:p>
        </w:tc>
      </w:tr>
      <w:tr w14:paraId="62F3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2" w:type="dxa"/>
            <w:vAlign w:val="center"/>
          </w:tcPr>
          <w:p w14:paraId="593495B1">
            <w:pPr>
              <w:jc w:val="center"/>
              <w:rPr>
                <w:color w:val="auto"/>
                <w:highlight w:val="none"/>
              </w:rPr>
            </w:pPr>
            <w:r>
              <w:rPr>
                <w:rFonts w:hint="eastAsia"/>
                <w:color w:val="auto"/>
                <w:highlight w:val="none"/>
              </w:rPr>
              <w:t>1</w:t>
            </w:r>
          </w:p>
        </w:tc>
        <w:tc>
          <w:tcPr>
            <w:tcW w:w="1573" w:type="dxa"/>
            <w:vAlign w:val="center"/>
          </w:tcPr>
          <w:p w14:paraId="763F3493">
            <w:pPr>
              <w:jc w:val="both"/>
              <w:rPr>
                <w:color w:val="auto"/>
                <w:highlight w:val="none"/>
              </w:rPr>
            </w:pPr>
            <w:r>
              <w:rPr>
                <w:rFonts w:hint="eastAsia"/>
                <w:color w:val="auto"/>
                <w:highlight w:val="none"/>
              </w:rPr>
              <w:t>财产一切险（附加机器损坏险、现金险）</w:t>
            </w:r>
          </w:p>
        </w:tc>
        <w:tc>
          <w:tcPr>
            <w:tcW w:w="1471" w:type="dxa"/>
            <w:vAlign w:val="center"/>
          </w:tcPr>
          <w:p w14:paraId="6D8A208C">
            <w:pPr>
              <w:jc w:val="center"/>
              <w:rPr>
                <w:color w:val="auto"/>
                <w:highlight w:val="none"/>
                <w:u w:val="single"/>
              </w:rPr>
            </w:pPr>
          </w:p>
        </w:tc>
        <w:tc>
          <w:tcPr>
            <w:tcW w:w="1573" w:type="dxa"/>
            <w:vAlign w:val="center"/>
          </w:tcPr>
          <w:p w14:paraId="6E82A89E">
            <w:pPr>
              <w:jc w:val="center"/>
              <w:rPr>
                <w:color w:val="auto"/>
                <w:highlight w:val="none"/>
                <w:u w:val="single"/>
              </w:rPr>
            </w:pPr>
          </w:p>
        </w:tc>
        <w:tc>
          <w:tcPr>
            <w:tcW w:w="1460" w:type="dxa"/>
            <w:vAlign w:val="center"/>
          </w:tcPr>
          <w:p w14:paraId="241C7D6F">
            <w:pPr>
              <w:jc w:val="center"/>
              <w:rPr>
                <w:color w:val="auto"/>
                <w:highlight w:val="none"/>
                <w:u w:val="single"/>
              </w:rPr>
            </w:pPr>
          </w:p>
        </w:tc>
        <w:tc>
          <w:tcPr>
            <w:tcW w:w="1305" w:type="dxa"/>
            <w:vAlign w:val="center"/>
          </w:tcPr>
          <w:p w14:paraId="49350678">
            <w:pPr>
              <w:jc w:val="center"/>
              <w:rPr>
                <w:color w:val="auto"/>
                <w:highlight w:val="none"/>
                <w:u w:val="single"/>
              </w:rPr>
            </w:pPr>
          </w:p>
        </w:tc>
        <w:tc>
          <w:tcPr>
            <w:tcW w:w="1846" w:type="dxa"/>
            <w:vMerge w:val="restart"/>
            <w:vAlign w:val="center"/>
          </w:tcPr>
          <w:p w14:paraId="1B055BFC">
            <w:pPr>
              <w:jc w:val="center"/>
              <w:rPr>
                <w:color w:val="auto"/>
                <w:highlight w:val="none"/>
              </w:rPr>
            </w:pPr>
            <w:r>
              <w:rPr>
                <w:rFonts w:hint="eastAsia"/>
                <w:color w:val="auto"/>
                <w:highlight w:val="none"/>
                <w:lang w:eastAsia="zh-CN"/>
              </w:rPr>
              <w:t>年</w:t>
            </w:r>
            <w:r>
              <w:rPr>
                <w:rFonts w:hint="eastAsia"/>
                <w:color w:val="auto"/>
                <w:highlight w:val="none"/>
              </w:rPr>
              <w:t>保险综合费率</w:t>
            </w:r>
          </w:p>
          <w:p w14:paraId="5BD571D2">
            <w:pPr>
              <w:jc w:val="center"/>
              <w:rPr>
                <w:rFonts w:hint="eastAsia"/>
                <w:color w:val="auto"/>
                <w:highlight w:val="none"/>
              </w:rPr>
            </w:pPr>
            <w:r>
              <w:rPr>
                <w:rFonts w:hint="eastAsia"/>
                <w:color w:val="auto"/>
                <w:highlight w:val="none"/>
              </w:rPr>
              <w:t>（</w:t>
            </w:r>
            <w:r>
              <w:rPr>
                <w:rFonts w:hint="eastAsia"/>
                <w:color w:val="auto"/>
                <w:highlight w:val="none"/>
                <w:lang w:eastAsia="zh-CN"/>
              </w:rPr>
              <w:t>第一年费率</w:t>
            </w:r>
            <w:r>
              <w:rPr>
                <w:rFonts w:hint="eastAsia"/>
                <w:color w:val="auto"/>
                <w:highlight w:val="none"/>
              </w:rPr>
              <w:t>）</w:t>
            </w:r>
          </w:p>
          <w:p w14:paraId="2A180711">
            <w:pPr>
              <w:jc w:val="center"/>
              <w:rPr>
                <w:color w:val="auto"/>
                <w:highlight w:val="none"/>
                <w:u w:val="single"/>
              </w:rPr>
            </w:pPr>
            <w:r>
              <w:rPr>
                <w:rFonts w:hint="eastAsia"/>
                <w:color w:val="auto"/>
                <w:highlight w:val="none"/>
                <w:u w:val="single"/>
                <w:lang w:val="en-US" w:eastAsia="zh-CN"/>
              </w:rPr>
              <w:t xml:space="preserve">        </w:t>
            </w:r>
            <w:r>
              <w:rPr>
                <w:rFonts w:hint="eastAsia"/>
                <w:color w:val="auto"/>
                <w:highlight w:val="none"/>
                <w:lang w:eastAsia="zh-CN"/>
              </w:rPr>
              <w:t>（</w:t>
            </w:r>
            <w:r>
              <w:rPr>
                <w:rFonts w:hint="eastAsia"/>
                <w:color w:val="auto"/>
                <w:highlight w:val="none"/>
                <w:lang w:val="en-US" w:eastAsia="zh-CN"/>
              </w:rPr>
              <w:t>%</w:t>
            </w:r>
            <w:r>
              <w:rPr>
                <w:rFonts w:hint="eastAsia"/>
                <w:color w:val="auto"/>
                <w:highlight w:val="none"/>
                <w:lang w:eastAsia="zh-CN"/>
              </w:rPr>
              <w:t>）</w:t>
            </w:r>
          </w:p>
        </w:tc>
      </w:tr>
      <w:tr w14:paraId="43BB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2" w:type="dxa"/>
            <w:vAlign w:val="center"/>
          </w:tcPr>
          <w:p w14:paraId="6412FABD">
            <w:pPr>
              <w:jc w:val="center"/>
              <w:rPr>
                <w:color w:val="auto"/>
                <w:highlight w:val="none"/>
              </w:rPr>
            </w:pPr>
            <w:r>
              <w:rPr>
                <w:rFonts w:hint="eastAsia"/>
                <w:color w:val="auto"/>
                <w:highlight w:val="none"/>
              </w:rPr>
              <w:t>2</w:t>
            </w:r>
          </w:p>
        </w:tc>
        <w:tc>
          <w:tcPr>
            <w:tcW w:w="1573" w:type="dxa"/>
            <w:vAlign w:val="center"/>
          </w:tcPr>
          <w:p w14:paraId="55C130FC">
            <w:pPr>
              <w:jc w:val="center"/>
              <w:rPr>
                <w:color w:val="auto"/>
                <w:highlight w:val="none"/>
              </w:rPr>
            </w:pPr>
            <w:r>
              <w:rPr>
                <w:rFonts w:hint="eastAsia"/>
                <w:color w:val="auto"/>
                <w:highlight w:val="none"/>
              </w:rPr>
              <w:t>公众责任险</w:t>
            </w:r>
          </w:p>
        </w:tc>
        <w:tc>
          <w:tcPr>
            <w:tcW w:w="1471" w:type="dxa"/>
            <w:vAlign w:val="center"/>
          </w:tcPr>
          <w:p w14:paraId="0D439775">
            <w:pPr>
              <w:jc w:val="center"/>
              <w:rPr>
                <w:color w:val="auto"/>
                <w:highlight w:val="none"/>
                <w:u w:val="single"/>
              </w:rPr>
            </w:pPr>
          </w:p>
        </w:tc>
        <w:tc>
          <w:tcPr>
            <w:tcW w:w="1573" w:type="dxa"/>
            <w:vAlign w:val="center"/>
          </w:tcPr>
          <w:p w14:paraId="691C44C3">
            <w:pPr>
              <w:jc w:val="center"/>
              <w:rPr>
                <w:color w:val="auto"/>
                <w:highlight w:val="none"/>
                <w:u w:val="single"/>
              </w:rPr>
            </w:pPr>
          </w:p>
        </w:tc>
        <w:tc>
          <w:tcPr>
            <w:tcW w:w="1460" w:type="dxa"/>
            <w:vAlign w:val="center"/>
          </w:tcPr>
          <w:p w14:paraId="1796D4B3">
            <w:pPr>
              <w:jc w:val="center"/>
              <w:rPr>
                <w:color w:val="auto"/>
                <w:highlight w:val="none"/>
                <w:u w:val="single"/>
              </w:rPr>
            </w:pPr>
          </w:p>
        </w:tc>
        <w:tc>
          <w:tcPr>
            <w:tcW w:w="1305" w:type="dxa"/>
            <w:vAlign w:val="center"/>
          </w:tcPr>
          <w:p w14:paraId="361C7A67">
            <w:pPr>
              <w:jc w:val="center"/>
              <w:rPr>
                <w:color w:val="auto"/>
                <w:highlight w:val="none"/>
                <w:u w:val="single"/>
              </w:rPr>
            </w:pPr>
          </w:p>
        </w:tc>
        <w:tc>
          <w:tcPr>
            <w:tcW w:w="1846" w:type="dxa"/>
            <w:vMerge w:val="continue"/>
            <w:vAlign w:val="center"/>
          </w:tcPr>
          <w:p w14:paraId="76E698C6">
            <w:pPr>
              <w:jc w:val="center"/>
              <w:rPr>
                <w:color w:val="auto"/>
                <w:highlight w:val="none"/>
                <w:u w:val="single"/>
              </w:rPr>
            </w:pPr>
          </w:p>
        </w:tc>
      </w:tr>
      <w:tr w14:paraId="7E78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2" w:type="dxa"/>
            <w:vAlign w:val="center"/>
          </w:tcPr>
          <w:p w14:paraId="0A67F022">
            <w:pPr>
              <w:jc w:val="center"/>
              <w:rPr>
                <w:color w:val="auto"/>
                <w:highlight w:val="none"/>
              </w:rPr>
            </w:pPr>
            <w:r>
              <w:rPr>
                <w:rFonts w:hint="eastAsia"/>
                <w:color w:val="auto"/>
                <w:highlight w:val="none"/>
              </w:rPr>
              <w:t>3</w:t>
            </w:r>
          </w:p>
        </w:tc>
        <w:tc>
          <w:tcPr>
            <w:tcW w:w="1573" w:type="dxa"/>
            <w:vAlign w:val="center"/>
          </w:tcPr>
          <w:p w14:paraId="33E0D18A">
            <w:pPr>
              <w:jc w:val="center"/>
              <w:rPr>
                <w:rFonts w:hint="eastAsia"/>
                <w:color w:val="auto"/>
                <w:highlight w:val="none"/>
                <w:lang w:eastAsia="zh-CN"/>
              </w:rPr>
            </w:pPr>
            <w:r>
              <w:rPr>
                <w:rFonts w:hint="eastAsia"/>
                <w:color w:val="auto"/>
                <w:highlight w:val="none"/>
                <w:lang w:eastAsia="zh-CN"/>
              </w:rPr>
              <w:t>安全生产</w:t>
            </w:r>
          </w:p>
          <w:p w14:paraId="2CD2EC23">
            <w:pPr>
              <w:jc w:val="center"/>
              <w:rPr>
                <w:rFonts w:hint="eastAsia" w:eastAsia="宋体"/>
                <w:color w:val="auto"/>
                <w:highlight w:val="none"/>
                <w:lang w:eastAsia="zh-CN"/>
              </w:rPr>
            </w:pPr>
            <w:r>
              <w:rPr>
                <w:rFonts w:hint="eastAsia"/>
                <w:color w:val="auto"/>
                <w:highlight w:val="none"/>
                <w:lang w:eastAsia="zh-CN"/>
              </w:rPr>
              <w:t>责任险</w:t>
            </w:r>
          </w:p>
        </w:tc>
        <w:tc>
          <w:tcPr>
            <w:tcW w:w="1471" w:type="dxa"/>
            <w:vAlign w:val="center"/>
          </w:tcPr>
          <w:p w14:paraId="7F02C280">
            <w:pPr>
              <w:jc w:val="center"/>
              <w:rPr>
                <w:color w:val="auto"/>
                <w:highlight w:val="none"/>
                <w:u w:val="single"/>
              </w:rPr>
            </w:pPr>
          </w:p>
        </w:tc>
        <w:tc>
          <w:tcPr>
            <w:tcW w:w="1573" w:type="dxa"/>
            <w:vAlign w:val="center"/>
          </w:tcPr>
          <w:p w14:paraId="7B9CFDF1">
            <w:pPr>
              <w:jc w:val="center"/>
              <w:rPr>
                <w:color w:val="auto"/>
                <w:highlight w:val="none"/>
                <w:u w:val="single"/>
              </w:rPr>
            </w:pPr>
          </w:p>
        </w:tc>
        <w:tc>
          <w:tcPr>
            <w:tcW w:w="1460" w:type="dxa"/>
            <w:vAlign w:val="center"/>
          </w:tcPr>
          <w:p w14:paraId="130F4399">
            <w:pPr>
              <w:jc w:val="center"/>
              <w:rPr>
                <w:color w:val="auto"/>
                <w:highlight w:val="none"/>
                <w:u w:val="single"/>
              </w:rPr>
            </w:pPr>
          </w:p>
        </w:tc>
        <w:tc>
          <w:tcPr>
            <w:tcW w:w="1305" w:type="dxa"/>
            <w:vAlign w:val="center"/>
          </w:tcPr>
          <w:p w14:paraId="1743438F">
            <w:pPr>
              <w:jc w:val="center"/>
              <w:rPr>
                <w:color w:val="auto"/>
                <w:highlight w:val="none"/>
                <w:u w:val="single"/>
              </w:rPr>
            </w:pPr>
          </w:p>
        </w:tc>
        <w:tc>
          <w:tcPr>
            <w:tcW w:w="1846" w:type="dxa"/>
            <w:vMerge w:val="continue"/>
            <w:vAlign w:val="center"/>
          </w:tcPr>
          <w:p w14:paraId="3699CB6E">
            <w:pPr>
              <w:jc w:val="center"/>
              <w:rPr>
                <w:color w:val="auto"/>
                <w:highlight w:val="none"/>
                <w:u w:val="single"/>
              </w:rPr>
            </w:pPr>
          </w:p>
        </w:tc>
      </w:tr>
      <w:tr w14:paraId="5632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512" w:type="dxa"/>
            <w:vAlign w:val="center"/>
          </w:tcPr>
          <w:p w14:paraId="276BA737">
            <w:pPr>
              <w:jc w:val="center"/>
              <w:rPr>
                <w:rFonts w:hint="eastAsia" w:eastAsia="宋体"/>
                <w:color w:val="auto"/>
                <w:highlight w:val="none"/>
                <w:lang w:val="en-US" w:eastAsia="zh-CN"/>
              </w:rPr>
            </w:pPr>
            <w:r>
              <w:rPr>
                <w:rFonts w:hint="eastAsia"/>
                <w:color w:val="auto"/>
                <w:highlight w:val="none"/>
                <w:lang w:val="en-US" w:eastAsia="zh-CN"/>
              </w:rPr>
              <w:t>4</w:t>
            </w:r>
          </w:p>
        </w:tc>
        <w:tc>
          <w:tcPr>
            <w:tcW w:w="1573" w:type="dxa"/>
            <w:vAlign w:val="center"/>
          </w:tcPr>
          <w:p w14:paraId="11CAFFC8">
            <w:pPr>
              <w:jc w:val="center"/>
              <w:rPr>
                <w:rFonts w:hint="default"/>
                <w:color w:val="auto"/>
                <w:highlight w:val="none"/>
                <w:lang w:val="en-US" w:eastAsia="zh-CN"/>
              </w:rPr>
            </w:pPr>
            <w:r>
              <w:rPr>
                <w:rFonts w:hint="eastAsia"/>
                <w:color w:val="auto"/>
                <w:highlight w:val="none"/>
                <w:lang w:val="en-US" w:eastAsia="zh-CN"/>
              </w:rPr>
              <w:t>合计</w:t>
            </w:r>
          </w:p>
        </w:tc>
        <w:tc>
          <w:tcPr>
            <w:tcW w:w="1471" w:type="dxa"/>
            <w:vAlign w:val="center"/>
          </w:tcPr>
          <w:p w14:paraId="6D6EC9C0">
            <w:pPr>
              <w:jc w:val="center"/>
              <w:rPr>
                <w:rFonts w:hint="default" w:eastAsia="宋体"/>
                <w:color w:val="auto"/>
                <w:highlight w:val="none"/>
                <w:u w:val="single"/>
                <w:lang w:val="en-US" w:eastAsia="zh-CN"/>
              </w:rPr>
            </w:pPr>
            <w:r>
              <w:rPr>
                <w:rFonts w:hint="eastAsia"/>
                <w:color w:val="auto"/>
                <w:highlight w:val="none"/>
                <w:u w:val="single"/>
                <w:lang w:val="en-US" w:eastAsia="zh-CN"/>
              </w:rPr>
              <w:t>/</w:t>
            </w:r>
          </w:p>
        </w:tc>
        <w:tc>
          <w:tcPr>
            <w:tcW w:w="1573" w:type="dxa"/>
            <w:vAlign w:val="center"/>
          </w:tcPr>
          <w:p w14:paraId="791D9315">
            <w:pPr>
              <w:jc w:val="center"/>
              <w:rPr>
                <w:color w:val="auto"/>
                <w:highlight w:val="none"/>
                <w:u w:val="single"/>
              </w:rPr>
            </w:pPr>
          </w:p>
        </w:tc>
        <w:tc>
          <w:tcPr>
            <w:tcW w:w="1460" w:type="dxa"/>
            <w:vAlign w:val="center"/>
          </w:tcPr>
          <w:p w14:paraId="2E873902">
            <w:pPr>
              <w:jc w:val="center"/>
              <w:rPr>
                <w:color w:val="auto"/>
                <w:highlight w:val="none"/>
                <w:u w:val="single"/>
              </w:rPr>
            </w:pPr>
          </w:p>
        </w:tc>
        <w:tc>
          <w:tcPr>
            <w:tcW w:w="1305" w:type="dxa"/>
            <w:vAlign w:val="center"/>
          </w:tcPr>
          <w:p w14:paraId="2772D5F2">
            <w:pPr>
              <w:jc w:val="center"/>
              <w:rPr>
                <w:rFonts w:hint="eastAsia" w:eastAsia="宋体"/>
                <w:color w:val="auto"/>
                <w:highlight w:val="none"/>
                <w:u w:val="single"/>
                <w:lang w:val="en-US" w:eastAsia="zh-CN"/>
              </w:rPr>
            </w:pPr>
            <w:r>
              <w:rPr>
                <w:rFonts w:hint="eastAsia"/>
                <w:color w:val="auto"/>
                <w:highlight w:val="none"/>
                <w:u w:val="single"/>
                <w:lang w:val="en-US" w:eastAsia="zh-CN"/>
              </w:rPr>
              <w:t>/</w:t>
            </w:r>
          </w:p>
        </w:tc>
        <w:tc>
          <w:tcPr>
            <w:tcW w:w="1846" w:type="dxa"/>
            <w:vAlign w:val="center"/>
          </w:tcPr>
          <w:p w14:paraId="5A5D88BF">
            <w:pPr>
              <w:jc w:val="center"/>
              <w:rPr>
                <w:color w:val="auto"/>
                <w:highlight w:val="none"/>
                <w:u w:val="single"/>
              </w:rPr>
            </w:pPr>
          </w:p>
        </w:tc>
      </w:tr>
    </w:tbl>
    <w:p w14:paraId="18AB51C7">
      <w:pPr>
        <w:rPr>
          <w:color w:val="auto"/>
          <w:highlight w:val="none"/>
        </w:rPr>
      </w:pPr>
    </w:p>
    <w:p w14:paraId="0C64B767">
      <w:pPr>
        <w:autoSpaceDE w:val="0"/>
        <w:autoSpaceDN w:val="0"/>
        <w:adjustRightInd w:val="0"/>
        <w:spacing w:line="360" w:lineRule="auto"/>
        <w:ind w:left="158" w:leftChars="75" w:firstLine="210"/>
        <w:rPr>
          <w:color w:val="auto"/>
          <w:szCs w:val="21"/>
          <w:highlight w:val="none"/>
        </w:rPr>
      </w:pPr>
      <w:r>
        <w:rPr>
          <w:rFonts w:hint="eastAsia"/>
          <w:color w:val="auto"/>
          <w:szCs w:val="21"/>
          <w:highlight w:val="none"/>
        </w:rPr>
        <w:t>说明：</w:t>
      </w:r>
    </w:p>
    <w:tbl>
      <w:tblPr>
        <w:tblStyle w:val="64"/>
        <w:tblW w:w="9239" w:type="dxa"/>
        <w:tblInd w:w="28"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fixed"/>
        <w:tblCellMar>
          <w:top w:w="0" w:type="dxa"/>
          <w:left w:w="28" w:type="dxa"/>
          <w:bottom w:w="0" w:type="dxa"/>
          <w:right w:w="28" w:type="dxa"/>
        </w:tblCellMar>
      </w:tblPr>
      <w:tblGrid>
        <w:gridCol w:w="1790"/>
        <w:gridCol w:w="356"/>
        <w:gridCol w:w="6188"/>
        <w:gridCol w:w="905"/>
      </w:tblGrid>
      <w:tr w14:paraId="065B3DCE">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608" w:hRule="atLeast"/>
        </w:trPr>
        <w:tc>
          <w:tcPr>
            <w:tcW w:w="1790" w:type="dxa"/>
            <w:vMerge w:val="restart"/>
            <w:vAlign w:val="center"/>
          </w:tcPr>
          <w:p w14:paraId="05DA175A">
            <w:pPr>
              <w:ind w:right="113" w:rightChars="54"/>
              <w:jc w:val="center"/>
              <w:rPr>
                <w:color w:val="auto"/>
                <w:szCs w:val="21"/>
                <w:highlight w:val="none"/>
              </w:rPr>
            </w:pPr>
            <w:r>
              <w:rPr>
                <w:rFonts w:hint="eastAsia"/>
                <w:color w:val="auto"/>
                <w:sz w:val="21"/>
                <w:szCs w:val="21"/>
                <w:highlight w:val="none"/>
              </w:rPr>
              <w:t>年保险综合费率</w:t>
            </w:r>
          </w:p>
        </w:tc>
        <w:tc>
          <w:tcPr>
            <w:tcW w:w="356" w:type="dxa"/>
            <w:vMerge w:val="restart"/>
            <w:vAlign w:val="center"/>
          </w:tcPr>
          <w:p w14:paraId="4B54B31D">
            <w:pPr>
              <w:ind w:right="113" w:rightChars="54"/>
              <w:rPr>
                <w:color w:val="auto"/>
                <w:szCs w:val="21"/>
                <w:highlight w:val="none"/>
              </w:rPr>
            </w:pPr>
            <w:r>
              <w:rPr>
                <w:rFonts w:hint="eastAsia"/>
                <w:color w:val="auto"/>
                <w:sz w:val="21"/>
                <w:szCs w:val="21"/>
                <w:highlight w:val="none"/>
              </w:rPr>
              <w:t>＝</w:t>
            </w:r>
          </w:p>
        </w:tc>
        <w:tc>
          <w:tcPr>
            <w:tcW w:w="6188" w:type="dxa"/>
          </w:tcPr>
          <w:p w14:paraId="6CC1EE13">
            <w:pPr>
              <w:pStyle w:val="17"/>
              <w:spacing w:line="240" w:lineRule="auto"/>
              <w:ind w:firstLine="0"/>
              <w:jc w:val="center"/>
              <w:rPr>
                <w:rFonts w:hint="eastAsia" w:ascii="Times New Roman" w:hAnsi="Times New Roman" w:eastAsia="宋体"/>
                <w:snapToGrid/>
                <w:color w:val="auto"/>
                <w:kern w:val="2"/>
                <w:sz w:val="21"/>
                <w:szCs w:val="21"/>
                <w:highlight w:val="none"/>
                <w:lang w:eastAsia="zh-CN"/>
              </w:rPr>
            </w:pPr>
            <w:r>
              <w:rPr>
                <w:rFonts w:hint="eastAsia" w:ascii="Times New Roman" w:hAnsi="Times New Roman"/>
                <w:snapToGrid/>
                <w:color w:val="auto"/>
                <w:kern w:val="2"/>
                <w:sz w:val="21"/>
                <w:szCs w:val="21"/>
                <w:highlight w:val="none"/>
              </w:rPr>
              <w:t>财产一切险（附加机器损坏险、现金险）年保费＋公众责任险年保费+</w:t>
            </w:r>
            <w:r>
              <w:rPr>
                <w:rFonts w:hint="eastAsia" w:ascii="Times New Roman"/>
                <w:snapToGrid/>
                <w:color w:val="auto"/>
                <w:kern w:val="2"/>
                <w:sz w:val="21"/>
                <w:szCs w:val="21"/>
                <w:highlight w:val="none"/>
                <w:lang w:eastAsia="zh-CN"/>
              </w:rPr>
              <w:t>安全生产责任险年保费</w:t>
            </w:r>
          </w:p>
        </w:tc>
        <w:tc>
          <w:tcPr>
            <w:tcW w:w="905" w:type="dxa"/>
            <w:vMerge w:val="restart"/>
            <w:vAlign w:val="center"/>
          </w:tcPr>
          <w:p w14:paraId="535EFE6F">
            <w:pPr>
              <w:pStyle w:val="17"/>
              <w:ind w:firstLine="0"/>
              <w:rPr>
                <w:rFonts w:ascii="宋体" w:hAnsi="宋体"/>
                <w:color w:val="auto"/>
                <w:szCs w:val="21"/>
                <w:highlight w:val="none"/>
              </w:rPr>
            </w:pPr>
            <w:r>
              <w:rPr>
                <w:rFonts w:hint="eastAsia" w:ascii="Times New Roman" w:hAnsi="Times New Roman"/>
                <w:snapToGrid/>
                <w:color w:val="auto"/>
                <w:kern w:val="2"/>
                <w:sz w:val="21"/>
                <w:szCs w:val="21"/>
                <w:highlight w:val="none"/>
              </w:rPr>
              <w:t>×100%</w:t>
            </w:r>
          </w:p>
        </w:tc>
      </w:tr>
      <w:tr w14:paraId="60FAE752">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28" w:type="dxa"/>
            <w:bottom w:w="0" w:type="dxa"/>
            <w:right w:w="28" w:type="dxa"/>
          </w:tblCellMar>
        </w:tblPrEx>
        <w:trPr>
          <w:trHeight w:val="753" w:hRule="atLeast"/>
        </w:trPr>
        <w:tc>
          <w:tcPr>
            <w:tcW w:w="1790" w:type="dxa"/>
            <w:vMerge w:val="continue"/>
          </w:tcPr>
          <w:p w14:paraId="6931D7EB">
            <w:pPr>
              <w:pStyle w:val="17"/>
              <w:rPr>
                <w:rFonts w:ascii="宋体" w:hAnsi="宋体"/>
                <w:color w:val="auto"/>
                <w:szCs w:val="21"/>
                <w:highlight w:val="none"/>
              </w:rPr>
            </w:pPr>
          </w:p>
        </w:tc>
        <w:tc>
          <w:tcPr>
            <w:tcW w:w="356" w:type="dxa"/>
            <w:vMerge w:val="continue"/>
          </w:tcPr>
          <w:p w14:paraId="6AC293BD">
            <w:pPr>
              <w:pStyle w:val="17"/>
              <w:rPr>
                <w:rFonts w:ascii="宋体" w:hAnsi="宋体"/>
                <w:color w:val="auto"/>
                <w:szCs w:val="21"/>
                <w:highlight w:val="none"/>
              </w:rPr>
            </w:pPr>
          </w:p>
        </w:tc>
        <w:tc>
          <w:tcPr>
            <w:tcW w:w="6188" w:type="dxa"/>
          </w:tcPr>
          <w:p w14:paraId="4F85FC8B">
            <w:pPr>
              <w:pStyle w:val="17"/>
              <w:spacing w:before="120" w:beforeLines="50" w:after="120" w:afterLines="50" w:line="240" w:lineRule="auto"/>
              <w:ind w:firstLine="0"/>
              <w:jc w:val="center"/>
              <w:rPr>
                <w:rFonts w:hint="eastAsia" w:ascii="Times New Roman" w:hAnsi="Times New Roman"/>
                <w:snapToGrid/>
                <w:color w:val="auto"/>
                <w:kern w:val="2"/>
                <w:sz w:val="21"/>
                <w:szCs w:val="21"/>
                <w:highlight w:val="none"/>
              </w:rPr>
            </w:pPr>
            <w:r>
              <w:rPr>
                <w:rFonts w:hint="eastAsia" w:ascii="Times New Roman" w:hAnsi="Times New Roman"/>
                <w:snapToGrid/>
                <w:color w:val="auto"/>
                <w:kern w:val="2"/>
                <w:sz w:val="21"/>
                <w:szCs w:val="21"/>
                <w:highlight w:val="none"/>
              </w:rPr>
              <w:t>财产一切险</w:t>
            </w:r>
            <w:r>
              <w:rPr>
                <w:rFonts w:hint="eastAsia" w:ascii="宋体" w:hAnsi="宋体" w:eastAsia="宋体" w:cs="宋体"/>
                <w:bCs/>
                <w:color w:val="auto"/>
                <w:kern w:val="0"/>
                <w:sz w:val="21"/>
                <w:szCs w:val="21"/>
                <w:highlight w:val="none"/>
                <w:lang w:val="en-GB"/>
              </w:rPr>
              <w:t>总保险金额</w:t>
            </w:r>
            <w:r>
              <w:rPr>
                <w:rFonts w:hint="eastAsia" w:ascii="Times New Roman" w:hAnsi="Times New Roman"/>
                <w:snapToGrid/>
                <w:color w:val="auto"/>
                <w:kern w:val="2"/>
                <w:sz w:val="21"/>
                <w:szCs w:val="21"/>
                <w:highlight w:val="none"/>
              </w:rPr>
              <w:t>＋公众责任险</w:t>
            </w:r>
            <w:r>
              <w:rPr>
                <w:rFonts w:ascii="宋体" w:hAnsi="宋体" w:eastAsia="宋体" w:cs="宋体"/>
                <w:color w:val="auto"/>
                <w:kern w:val="0"/>
                <w:sz w:val="21"/>
                <w:szCs w:val="21"/>
                <w:highlight w:val="none"/>
              </w:rPr>
              <w:t>每次事故赔偿限额</w:t>
            </w:r>
            <w:r>
              <w:rPr>
                <w:rFonts w:hint="eastAsia" w:ascii="Times New Roman" w:hAnsi="Times New Roman"/>
                <w:snapToGrid/>
                <w:color w:val="auto"/>
                <w:kern w:val="2"/>
                <w:sz w:val="21"/>
                <w:szCs w:val="21"/>
                <w:highlight w:val="none"/>
              </w:rPr>
              <w:t>+</w:t>
            </w:r>
            <w:r>
              <w:rPr>
                <w:rFonts w:hint="eastAsia" w:ascii="Times New Roman" w:hAnsi="Times New Roman"/>
                <w:snapToGrid/>
                <w:color w:val="auto"/>
                <w:kern w:val="2"/>
                <w:sz w:val="21"/>
                <w:szCs w:val="21"/>
                <w:highlight w:val="none"/>
                <w:lang w:eastAsia="zh-CN"/>
              </w:rPr>
              <w:t>安全生产责任险</w:t>
            </w:r>
            <w:r>
              <w:rPr>
                <w:rFonts w:hint="eastAsia" w:ascii="宋体" w:hAnsi="宋体" w:eastAsia="宋体" w:cs="宋体"/>
                <w:bCs/>
                <w:color w:val="auto"/>
                <w:kern w:val="0"/>
                <w:sz w:val="21"/>
                <w:szCs w:val="21"/>
                <w:highlight w:val="none"/>
              </w:rPr>
              <w:t>年度累计责任限额</w:t>
            </w:r>
          </w:p>
        </w:tc>
        <w:tc>
          <w:tcPr>
            <w:tcW w:w="905" w:type="dxa"/>
            <w:vMerge w:val="continue"/>
          </w:tcPr>
          <w:p w14:paraId="3835251A">
            <w:pPr>
              <w:pStyle w:val="17"/>
              <w:rPr>
                <w:rFonts w:ascii="宋体" w:hAnsi="宋体"/>
                <w:color w:val="auto"/>
                <w:szCs w:val="21"/>
                <w:highlight w:val="none"/>
              </w:rPr>
            </w:pPr>
          </w:p>
        </w:tc>
      </w:tr>
    </w:tbl>
    <w:p w14:paraId="52AB968F">
      <w:pPr>
        <w:ind w:left="158" w:leftChars="75"/>
        <w:rPr>
          <w:color w:val="auto"/>
          <w:highlight w:val="none"/>
        </w:rPr>
      </w:pPr>
      <w:r>
        <w:rPr>
          <w:rFonts w:hint="eastAsia"/>
          <w:color w:val="auto"/>
          <w:highlight w:val="none"/>
        </w:rPr>
        <w:t>注：</w:t>
      </w: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385D95DD">
      <w:pPr>
        <w:ind w:left="158" w:leftChars="75" w:firstLine="480" w:firstLineChars="200"/>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eastAsia="zh-CN"/>
        </w:rPr>
        <w:t>2、</w:t>
      </w:r>
      <w:r>
        <w:rPr>
          <w:rFonts w:hint="eastAsia" w:ascii="仿宋" w:hAnsi="仿宋" w:eastAsia="仿宋" w:cs="仿宋"/>
          <w:color w:val="auto"/>
          <w:kern w:val="0"/>
          <w:sz w:val="24"/>
          <w:highlight w:val="none"/>
          <w:lang w:val="zh-CN"/>
        </w:rPr>
        <w:t>有关本项目实施所涉及的一切费用均计入报价,</w:t>
      </w:r>
      <w:r>
        <w:rPr>
          <w:rFonts w:hint="eastAsia" w:ascii="仿宋" w:hAnsi="仿宋" w:eastAsia="仿宋" w:cs="仿宋"/>
          <w:b/>
          <w:color w:val="auto"/>
          <w:kern w:val="0"/>
          <w:sz w:val="24"/>
          <w:highlight w:val="none"/>
          <w:lang w:val="zh-CN"/>
        </w:rPr>
        <w:t>不再另外支付任何费用。</w:t>
      </w:r>
      <w:r>
        <w:rPr>
          <w:rFonts w:hint="eastAsia" w:ascii="仿宋" w:hAnsi="仿宋" w:eastAsia="仿宋" w:cs="仿宋"/>
          <w:b/>
          <w:color w:val="auto"/>
          <w:kern w:val="0"/>
          <w:sz w:val="24"/>
          <w:highlight w:val="none"/>
          <w:lang w:val="zh-CN" w:eastAsia="zh-CN"/>
        </w:rPr>
        <w:t>投标</w:t>
      </w:r>
      <w:r>
        <w:rPr>
          <w:rFonts w:hint="eastAsia" w:ascii="仿宋" w:hAnsi="仿宋" w:eastAsia="仿宋" w:cs="仿宋"/>
          <w:b/>
          <w:color w:val="auto"/>
          <w:kern w:val="0"/>
          <w:sz w:val="24"/>
          <w:highlight w:val="none"/>
          <w:lang w:val="zh-CN"/>
        </w:rPr>
        <w:t>报价是包括但不限于完成全部服务内容所涉及的费用，上述报价包含但不限于服务费、服装费、培训费、人工费、人员工伤事故保险、人身意外伤害险、专用设备费、工器具费、材料费、管理费、各种规费、税费及招标文件明示或暗示的所有责任、义务和风险等。未列项目的费用，由投标人综合考虑在已列项目投标报价中。投标人不因工作阶段周期延长或缩短、难易程度变化、市场物价波动等因素而进行调整。</w:t>
      </w:r>
    </w:p>
    <w:p w14:paraId="305703B4">
      <w:pPr>
        <w:snapToGrid/>
        <w:spacing w:line="240" w:lineRule="auto"/>
        <w:ind w:left="158" w:leftChars="75"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eastAsia="zh-CN"/>
        </w:rPr>
        <w:t>3</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、特别提示：采购代理机构将对项目名称和项目编号，中标供应商名称、地址和中标金额，主要中标标的名称、服务范围、服务要求、服务时间、服务标准等予以公示。</w:t>
      </w:r>
    </w:p>
    <w:p w14:paraId="3369810E">
      <w:pPr>
        <w:ind w:left="158" w:leftChars="75" w:firstLine="480" w:firstLineChars="200"/>
        <w:rPr>
          <w:color w:val="auto"/>
          <w:highlight w:val="none"/>
        </w:rPr>
      </w:pPr>
      <w:r>
        <w:rPr>
          <w:rFonts w:hint="eastAsia" w:ascii="仿宋" w:hAnsi="仿宋" w:eastAsia="仿宋" w:cs="仿宋"/>
          <w:color w:val="auto"/>
          <w:kern w:val="0"/>
          <w:sz w:val="24"/>
          <w:szCs w:val="24"/>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E130C13">
      <w:pPr>
        <w:ind w:left="158" w:leftChars="75" w:firstLine="480" w:firstLineChars="200"/>
        <w:rPr>
          <w:color w:val="auto"/>
          <w:highlight w:val="none"/>
        </w:rPr>
      </w:pPr>
      <w:r>
        <w:rPr>
          <w:rFonts w:hint="eastAsia" w:ascii="仿宋" w:hAnsi="仿宋" w:eastAsia="仿宋" w:cs="仿宋"/>
          <w:color w:val="auto"/>
          <w:kern w:val="0"/>
          <w:sz w:val="24"/>
          <w:highlight w:val="none"/>
          <w:lang w:val="zh-CN" w:eastAsia="zh-CN"/>
        </w:rPr>
        <w:t>5</w:t>
      </w:r>
      <w:r>
        <w:rPr>
          <w:rFonts w:hint="eastAsia" w:ascii="仿宋" w:hAnsi="仿宋" w:eastAsia="仿宋" w:cs="仿宋"/>
          <w:color w:val="auto"/>
          <w:kern w:val="0"/>
          <w:sz w:val="24"/>
          <w:highlight w:val="none"/>
          <w:lang w:val="zh-CN"/>
        </w:rPr>
        <w:t>、保险费率精确至百万分之一，保险费以元为单位四舍五入保留两位小数。</w:t>
      </w:r>
    </w:p>
    <w:p w14:paraId="7CDA5B4F">
      <w:pPr>
        <w:ind w:left="158" w:leftChars="75" w:firstLine="480" w:firstLineChars="200"/>
        <w:rPr>
          <w:color w:val="auto"/>
          <w:highlight w:val="none"/>
        </w:rPr>
      </w:pPr>
      <w:r>
        <w:rPr>
          <w:rFonts w:hint="eastAsia" w:ascii="仿宋" w:hAnsi="仿宋" w:eastAsia="仿宋" w:cs="仿宋"/>
          <w:color w:val="auto"/>
          <w:kern w:val="0"/>
          <w:sz w:val="24"/>
          <w:highlight w:val="none"/>
          <w:lang w:val="zh-CN" w:eastAsia="zh-CN"/>
        </w:rPr>
        <w:t>6</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服务期为：</w:t>
      </w:r>
      <w:r>
        <w:rPr>
          <w:rFonts w:hint="eastAsia" w:ascii="仿宋" w:hAnsi="仿宋" w:eastAsia="仿宋" w:cs="仿宋"/>
          <w:color w:val="auto"/>
          <w:kern w:val="0"/>
          <w:sz w:val="24"/>
          <w:highlight w:val="none"/>
          <w:lang w:val="zh-CN"/>
        </w:rPr>
        <w:t>202</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年</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lang w:val="en-US" w:eastAsia="zh-CN"/>
        </w:rPr>
        <w:t>29</w:t>
      </w:r>
      <w:r>
        <w:rPr>
          <w:rFonts w:hint="eastAsia" w:ascii="仿宋" w:hAnsi="仿宋" w:eastAsia="仿宋" w:cs="仿宋"/>
          <w:color w:val="auto"/>
          <w:kern w:val="0"/>
          <w:sz w:val="24"/>
          <w:highlight w:val="none"/>
          <w:lang w:val="zh-CN"/>
        </w:rPr>
        <w:t>日至202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lang w:val="zh-CN"/>
        </w:rPr>
        <w:t>年12月</w:t>
      </w:r>
      <w:r>
        <w:rPr>
          <w:rFonts w:hint="eastAsia" w:ascii="仿宋" w:hAnsi="仿宋" w:eastAsia="仿宋" w:cs="仿宋"/>
          <w:color w:val="auto"/>
          <w:kern w:val="0"/>
          <w:sz w:val="24"/>
          <w:highlight w:val="none"/>
          <w:lang w:val="en-US" w:eastAsia="zh-CN"/>
        </w:rPr>
        <w:t>31</w:t>
      </w:r>
      <w:r>
        <w:rPr>
          <w:rFonts w:hint="eastAsia" w:ascii="仿宋" w:hAnsi="仿宋" w:eastAsia="仿宋" w:cs="仿宋"/>
          <w:color w:val="auto"/>
          <w:kern w:val="0"/>
          <w:sz w:val="24"/>
          <w:highlight w:val="none"/>
          <w:lang w:val="zh-CN"/>
        </w:rPr>
        <w:t>日，不足一年的天数参照短期保单的方式按日比例计算保费。</w:t>
      </w:r>
    </w:p>
    <w:p w14:paraId="73B0AD2D">
      <w:pPr>
        <w:ind w:left="158" w:leftChars="75" w:firstLine="480" w:firstLineChars="200"/>
        <w:rPr>
          <w:color w:val="auto"/>
          <w:highlight w:val="none"/>
        </w:rPr>
      </w:pPr>
      <w:r>
        <w:rPr>
          <w:rFonts w:hint="eastAsia" w:ascii="仿宋" w:hAnsi="仿宋" w:eastAsia="仿宋" w:cs="仿宋"/>
          <w:color w:val="auto"/>
          <w:kern w:val="0"/>
          <w:sz w:val="24"/>
          <w:highlight w:val="none"/>
          <w:lang w:val="zh-CN" w:eastAsia="zh-CN"/>
        </w:rPr>
        <w:t>7</w:t>
      </w:r>
      <w:r>
        <w:rPr>
          <w:rFonts w:hint="eastAsia" w:ascii="仿宋" w:hAnsi="仿宋" w:eastAsia="仿宋" w:cs="仿宋"/>
          <w:color w:val="auto"/>
          <w:kern w:val="0"/>
          <w:sz w:val="24"/>
          <w:highlight w:val="none"/>
          <w:lang w:val="zh-CN"/>
        </w:rPr>
        <w:t>、以上投标报价包含保险风险管控咨询服务费用（比例为总保险费的8%）</w:t>
      </w:r>
      <w:r>
        <w:rPr>
          <w:rFonts w:hint="eastAsia"/>
          <w:color w:val="auto"/>
          <w:highlight w:val="none"/>
        </w:rPr>
        <w:t>。</w:t>
      </w:r>
    </w:p>
    <w:p w14:paraId="0F7A4B73">
      <w:pPr>
        <w:ind w:left="158" w:leftChars="75" w:firstLine="480" w:firstLineChars="200"/>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zh-CN" w:eastAsia="zh-CN"/>
        </w:rPr>
        <w:t>8、</w:t>
      </w:r>
      <w:r>
        <w:rPr>
          <w:rFonts w:hint="eastAsia" w:ascii="仿宋" w:hAnsi="仿宋" w:eastAsia="仿宋" w:cs="仿宋"/>
          <w:b/>
          <w:bCs/>
          <w:color w:val="auto"/>
          <w:kern w:val="0"/>
          <w:sz w:val="24"/>
          <w:highlight w:val="none"/>
          <w:lang w:val="en-US" w:eastAsia="zh-CN"/>
        </w:rPr>
        <w:t>报价表中“服务期保险费”不考虑赔付率调整因子，仅作为价格分评审依据。结算时保险费以合同约定保险费率调整方式进行调整，</w:t>
      </w:r>
      <w:r>
        <w:rPr>
          <w:rFonts w:hint="eastAsia" w:ascii="仿宋" w:hAnsi="仿宋" w:eastAsia="仿宋" w:cs="仿宋"/>
          <w:color w:val="auto"/>
          <w:kern w:val="0"/>
          <w:sz w:val="24"/>
          <w:highlight w:val="none"/>
          <w:lang w:val="zh-CN"/>
        </w:rPr>
        <w:t>保险费以元为单位四舍五入保留两位小数</w:t>
      </w:r>
      <w:r>
        <w:rPr>
          <w:rFonts w:hint="eastAsia" w:ascii="仿宋" w:hAnsi="仿宋" w:eastAsia="仿宋" w:cs="仿宋"/>
          <w:b/>
          <w:bCs/>
          <w:color w:val="auto"/>
          <w:kern w:val="0"/>
          <w:sz w:val="24"/>
          <w:highlight w:val="none"/>
          <w:lang w:val="en-US" w:eastAsia="zh-CN"/>
        </w:rPr>
        <w:t>。</w:t>
      </w:r>
    </w:p>
    <w:p w14:paraId="0A0748A9">
      <w:pPr>
        <w:snapToGrid w:val="0"/>
        <w:spacing w:line="360" w:lineRule="auto"/>
        <w:ind w:firstLine="480" w:firstLineChars="200"/>
        <w:jc w:val="left"/>
        <w:rPr>
          <w:rFonts w:ascii="仿宋" w:hAnsi="仿宋" w:eastAsia="仿宋" w:cs="仿宋"/>
          <w:color w:val="auto"/>
          <w:kern w:val="0"/>
          <w:sz w:val="24"/>
          <w:highlight w:val="none"/>
          <w:lang w:val="zh-CN"/>
        </w:rPr>
      </w:pPr>
    </w:p>
    <w:p w14:paraId="7F3B2A82">
      <w:pPr>
        <w:spacing w:line="336"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15F6A0F">
      <w:pPr>
        <w:spacing w:line="336"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EAF88AA">
      <w:pPr>
        <w:rPr>
          <w:rFonts w:hint="eastAsia" w:ascii="仿宋" w:hAnsi="仿宋" w:eastAsia="仿宋" w:cs="仿宋"/>
          <w:color w:val="auto"/>
          <w:kern w:val="2"/>
          <w:sz w:val="32"/>
          <w:szCs w:val="32"/>
          <w:highlight w:val="none"/>
        </w:rPr>
      </w:pPr>
      <w:r>
        <w:rPr>
          <w:rFonts w:hint="eastAsia"/>
          <w:color w:val="auto"/>
          <w:highlight w:val="none"/>
          <w:lang w:val="en-US" w:eastAsia="zh-CN"/>
        </w:rPr>
        <w:br w:type="page"/>
      </w:r>
    </w:p>
    <w:p w14:paraId="31F6FE64">
      <w:pPr>
        <w:rPr>
          <w:rFonts w:cs="仿宋" w:asciiTheme="minorEastAsia" w:hAnsiTheme="minorEastAsia" w:eastAsiaTheme="minorEastAsia"/>
          <w:color w:val="auto"/>
          <w:highlight w:val="none"/>
        </w:rPr>
      </w:pPr>
    </w:p>
    <w:p w14:paraId="41C47DC5">
      <w:pPr>
        <w:pStyle w:val="692"/>
        <w:keepNext w:val="0"/>
        <w:pageBreakBefore w:val="0"/>
        <w:tabs>
          <w:tab w:val="clear" w:pos="720"/>
        </w:tabs>
        <w:snapToGrid w:val="0"/>
        <w:spacing w:before="120" w:after="120"/>
        <w:ind w:firstLine="643"/>
        <w:outlineLvl w:val="1"/>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kern w:val="2"/>
          <w:sz w:val="32"/>
          <w:szCs w:val="32"/>
          <w:highlight w:val="none"/>
        </w:rPr>
        <w:t>、</w:t>
      </w:r>
      <w:r>
        <w:rPr>
          <w:rFonts w:hint="eastAsia" w:ascii="仿宋" w:hAnsi="仿宋" w:eastAsia="仿宋" w:cs="仿宋"/>
          <w:color w:val="auto"/>
          <w:sz w:val="32"/>
          <w:szCs w:val="32"/>
          <w:highlight w:val="none"/>
        </w:rPr>
        <w:t>中小企业声明函（如果有）</w:t>
      </w:r>
    </w:p>
    <w:p w14:paraId="225FCB0A">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59C9FB0E">
      <w:pPr>
        <w:pStyle w:val="2"/>
        <w:rPr>
          <w:rFonts w:ascii="仿宋" w:hAnsi="仿宋" w:eastAsia="仿宋" w:cs="仿宋"/>
          <w:b/>
          <w:color w:val="auto"/>
          <w:highlight w:val="none"/>
        </w:rPr>
      </w:pPr>
    </w:p>
    <w:p w14:paraId="5BE3BA3C">
      <w:pPr>
        <w:pStyle w:val="3"/>
        <w:rPr>
          <w:rFonts w:ascii="仿宋" w:hAnsi="仿宋" w:eastAsia="仿宋" w:cs="仿宋"/>
          <w:b/>
          <w:color w:val="auto"/>
          <w:sz w:val="24"/>
          <w:highlight w:val="none"/>
        </w:rPr>
      </w:pPr>
    </w:p>
    <w:p w14:paraId="5367BA65">
      <w:pPr>
        <w:rPr>
          <w:rFonts w:ascii="仿宋" w:hAnsi="仿宋" w:eastAsia="仿宋" w:cs="仿宋"/>
          <w:b/>
          <w:color w:val="auto"/>
          <w:sz w:val="24"/>
          <w:highlight w:val="none"/>
        </w:rPr>
      </w:pPr>
    </w:p>
    <w:p w14:paraId="5759DB84">
      <w:pPr>
        <w:pStyle w:val="2"/>
        <w:rPr>
          <w:rFonts w:ascii="仿宋" w:hAnsi="仿宋" w:eastAsia="仿宋" w:cs="仿宋"/>
          <w:b/>
          <w:color w:val="auto"/>
          <w:highlight w:val="none"/>
        </w:rPr>
      </w:pPr>
    </w:p>
    <w:p w14:paraId="30868ECC">
      <w:pPr>
        <w:pStyle w:val="3"/>
        <w:rPr>
          <w:rFonts w:ascii="仿宋" w:hAnsi="仿宋" w:eastAsia="仿宋" w:cs="仿宋"/>
          <w:b/>
          <w:color w:val="auto"/>
          <w:sz w:val="24"/>
          <w:highlight w:val="none"/>
        </w:rPr>
      </w:pPr>
    </w:p>
    <w:p w14:paraId="49C8B7AF">
      <w:pPr>
        <w:rPr>
          <w:color w:val="auto"/>
          <w:highlight w:val="none"/>
        </w:rPr>
      </w:pPr>
    </w:p>
    <w:p w14:paraId="04502A77">
      <w:pPr>
        <w:widowControl/>
        <w:spacing w:line="360" w:lineRule="auto"/>
        <w:ind w:firstLine="161" w:firstLineChars="50"/>
        <w:jc w:val="center"/>
        <w:outlineLvl w:val="1"/>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三</w:t>
      </w:r>
      <w:r>
        <w:rPr>
          <w:rFonts w:hint="eastAsia" w:ascii="仿宋" w:hAnsi="仿宋" w:eastAsia="仿宋" w:cs="仿宋"/>
          <w:b/>
          <w:color w:val="auto"/>
          <w:sz w:val="32"/>
          <w:szCs w:val="32"/>
          <w:highlight w:val="none"/>
        </w:rPr>
        <w:t>、残疾人福利性单位声明函（如果有）</w:t>
      </w:r>
    </w:p>
    <w:p w14:paraId="638C4D13">
      <w:pPr>
        <w:pStyle w:val="25"/>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14:paraId="7905575F">
      <w:pPr>
        <w:pStyle w:val="692"/>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055EF232">
      <w:pPr>
        <w:spacing w:line="360" w:lineRule="auto"/>
        <w:ind w:right="420" w:firstLine="3614" w:firstLineChars="1000"/>
        <w:rPr>
          <w:rFonts w:ascii="仿宋" w:hAnsi="仿宋" w:eastAsia="仿宋" w:cs="仿宋"/>
          <w:b/>
          <w:color w:val="auto"/>
          <w:kern w:val="0"/>
          <w:sz w:val="36"/>
          <w:szCs w:val="36"/>
          <w:highlight w:val="none"/>
        </w:rPr>
      </w:pPr>
    </w:p>
    <w:p w14:paraId="7F095B2B">
      <w:pPr>
        <w:spacing w:line="360" w:lineRule="auto"/>
        <w:ind w:right="420" w:firstLine="3614" w:firstLineChars="1000"/>
        <w:rPr>
          <w:rFonts w:ascii="仿宋" w:hAnsi="仿宋" w:eastAsia="仿宋" w:cs="仿宋"/>
          <w:b/>
          <w:color w:val="auto"/>
          <w:kern w:val="0"/>
          <w:sz w:val="36"/>
          <w:szCs w:val="36"/>
          <w:highlight w:val="none"/>
        </w:rPr>
      </w:pPr>
    </w:p>
    <w:p w14:paraId="48E4F947">
      <w:pPr>
        <w:spacing w:line="360" w:lineRule="auto"/>
        <w:ind w:right="420" w:firstLine="3614" w:firstLineChars="1000"/>
        <w:rPr>
          <w:rFonts w:ascii="仿宋" w:hAnsi="仿宋" w:eastAsia="仿宋" w:cs="仿宋"/>
          <w:b/>
          <w:color w:val="auto"/>
          <w:kern w:val="0"/>
          <w:sz w:val="36"/>
          <w:szCs w:val="36"/>
          <w:highlight w:val="none"/>
        </w:rPr>
      </w:pPr>
    </w:p>
    <w:p w14:paraId="197B5B96">
      <w:pPr>
        <w:spacing w:line="360" w:lineRule="auto"/>
        <w:ind w:right="420" w:firstLine="3614" w:firstLineChars="1000"/>
        <w:rPr>
          <w:rFonts w:ascii="仿宋" w:hAnsi="仿宋" w:eastAsia="仿宋" w:cs="仿宋"/>
          <w:b/>
          <w:color w:val="auto"/>
          <w:kern w:val="0"/>
          <w:sz w:val="36"/>
          <w:szCs w:val="36"/>
          <w:highlight w:val="none"/>
        </w:rPr>
      </w:pPr>
    </w:p>
    <w:p w14:paraId="0ACE5593">
      <w:pPr>
        <w:spacing w:line="360" w:lineRule="auto"/>
        <w:ind w:right="420" w:firstLine="3614" w:firstLineChars="1000"/>
        <w:rPr>
          <w:rFonts w:ascii="仿宋" w:hAnsi="仿宋" w:eastAsia="仿宋" w:cs="仿宋"/>
          <w:b/>
          <w:color w:val="auto"/>
          <w:kern w:val="0"/>
          <w:sz w:val="36"/>
          <w:szCs w:val="36"/>
          <w:highlight w:val="none"/>
        </w:rPr>
      </w:pPr>
    </w:p>
    <w:p w14:paraId="6A88158F">
      <w:pPr>
        <w:spacing w:line="360" w:lineRule="auto"/>
        <w:ind w:right="420" w:firstLine="3614" w:firstLineChars="1000"/>
        <w:rPr>
          <w:rFonts w:ascii="仿宋" w:hAnsi="仿宋" w:eastAsia="仿宋" w:cs="仿宋"/>
          <w:b/>
          <w:color w:val="auto"/>
          <w:kern w:val="0"/>
          <w:sz w:val="36"/>
          <w:szCs w:val="36"/>
          <w:highlight w:val="none"/>
        </w:rPr>
      </w:pPr>
    </w:p>
    <w:p w14:paraId="28121B38">
      <w:pPr>
        <w:spacing w:line="360" w:lineRule="auto"/>
        <w:ind w:right="420" w:firstLine="3614" w:firstLineChars="1000"/>
        <w:rPr>
          <w:rFonts w:ascii="仿宋" w:hAnsi="仿宋" w:eastAsia="仿宋" w:cs="仿宋"/>
          <w:b/>
          <w:color w:val="auto"/>
          <w:kern w:val="0"/>
          <w:sz w:val="36"/>
          <w:szCs w:val="36"/>
          <w:highlight w:val="none"/>
        </w:rPr>
      </w:pPr>
    </w:p>
    <w:p w14:paraId="477AC670">
      <w:pPr>
        <w:spacing w:line="360" w:lineRule="auto"/>
        <w:ind w:right="420" w:firstLine="3614" w:firstLineChars="1000"/>
        <w:rPr>
          <w:rFonts w:ascii="仿宋" w:hAnsi="仿宋" w:eastAsia="仿宋" w:cs="仿宋"/>
          <w:b/>
          <w:color w:val="auto"/>
          <w:kern w:val="0"/>
          <w:sz w:val="36"/>
          <w:szCs w:val="36"/>
          <w:highlight w:val="none"/>
        </w:rPr>
      </w:pPr>
    </w:p>
    <w:p w14:paraId="17470FD0">
      <w:pPr>
        <w:spacing w:line="360" w:lineRule="auto"/>
        <w:ind w:right="420" w:firstLine="3614" w:firstLineChars="1000"/>
        <w:rPr>
          <w:rFonts w:ascii="仿宋" w:hAnsi="仿宋" w:eastAsia="仿宋" w:cs="仿宋"/>
          <w:b/>
          <w:color w:val="auto"/>
          <w:kern w:val="0"/>
          <w:sz w:val="36"/>
          <w:szCs w:val="36"/>
          <w:highlight w:val="none"/>
        </w:rPr>
      </w:pPr>
    </w:p>
    <w:p w14:paraId="107597CE">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14:paraId="02E030AA">
      <w:pPr>
        <w:spacing w:line="360" w:lineRule="auto"/>
        <w:jc w:val="left"/>
        <w:outlineLvl w:val="1"/>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D0D197C">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BF71569">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4501F7B">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05573BC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16E39375">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60E03441">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224F9DA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633963B4">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0A561627">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6F79CB3">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5FF21ED0">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6F648779">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724490A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6C2BD811">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4FB56C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49EF969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621D56F0">
      <w:pPr>
        <w:snapToGrid w:val="0"/>
        <w:spacing w:line="360" w:lineRule="auto"/>
        <w:rPr>
          <w:rFonts w:ascii="仿宋" w:hAnsi="仿宋" w:eastAsia="仿宋" w:cs="仿宋"/>
          <w:color w:val="auto"/>
          <w:sz w:val="24"/>
          <w:highlight w:val="none"/>
        </w:rPr>
      </w:pPr>
    </w:p>
    <w:p w14:paraId="28A46E6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2809E09B">
      <w:pPr>
        <w:snapToGrid w:val="0"/>
        <w:spacing w:line="360" w:lineRule="auto"/>
        <w:rPr>
          <w:rFonts w:ascii="仿宋" w:hAnsi="仿宋" w:eastAsia="仿宋" w:cs="仿宋"/>
          <w:color w:val="auto"/>
          <w:sz w:val="24"/>
          <w:highlight w:val="none"/>
          <w:u w:val="dotted"/>
        </w:rPr>
      </w:pPr>
    </w:p>
    <w:p w14:paraId="159D1F7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5584FF9">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067F76E3">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60E378D">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3331A82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D7D2C5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5988404">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3E33E4C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5F21C3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B729B9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FD86CDF">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083EED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1B4C73B">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78A7472">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8DC86D3">
      <w:pPr>
        <w:spacing w:line="360" w:lineRule="auto"/>
        <w:jc w:val="left"/>
        <w:outlineLvl w:val="1"/>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F19BB40">
      <w:pPr>
        <w:spacing w:line="360" w:lineRule="auto"/>
        <w:jc w:val="center"/>
        <w:rPr>
          <w:rFonts w:ascii="仿宋" w:hAnsi="仿宋" w:eastAsia="仿宋" w:cs="仿宋"/>
          <w:b/>
          <w:color w:val="auto"/>
          <w:sz w:val="24"/>
          <w:highlight w:val="none"/>
        </w:rPr>
      </w:pPr>
    </w:p>
    <w:p w14:paraId="7CE97AFA">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00995EB2">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28D383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70B8535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EF65D8E">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69208779">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4695FD19">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28E8CB0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17F5723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19208BB3">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0FD9A5E9">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306387F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6288123">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3FD359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7F7F249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43263602">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280D87A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B687ACC">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1AD19D65">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17E514CF">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1837363C">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223032B5">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364BC3AD">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1F3CA6A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B2CB12E">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658E171E">
      <w:pPr>
        <w:spacing w:line="360" w:lineRule="auto"/>
        <w:rPr>
          <w:rFonts w:ascii="仿宋" w:hAnsi="仿宋" w:eastAsia="仿宋" w:cs="仿宋"/>
          <w:color w:val="auto"/>
          <w:sz w:val="24"/>
          <w:highlight w:val="none"/>
          <w:u w:val="dotted"/>
        </w:rPr>
      </w:pPr>
    </w:p>
    <w:p w14:paraId="7F50B628">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52B007E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3CADE2B">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5E5D277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431E49E3">
      <w:pPr>
        <w:spacing w:line="360" w:lineRule="auto"/>
        <w:rPr>
          <w:rFonts w:ascii="仿宋" w:hAnsi="仿宋" w:eastAsia="仿宋" w:cs="仿宋"/>
          <w:color w:val="auto"/>
          <w:sz w:val="24"/>
          <w:highlight w:val="none"/>
          <w:u w:val="dotted"/>
        </w:rPr>
      </w:pPr>
    </w:p>
    <w:p w14:paraId="3C492384">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46B0E77F">
      <w:pPr>
        <w:spacing w:line="360" w:lineRule="auto"/>
        <w:rPr>
          <w:rFonts w:ascii="仿宋" w:hAnsi="仿宋" w:eastAsia="仿宋" w:cs="仿宋"/>
          <w:color w:val="auto"/>
          <w:sz w:val="24"/>
          <w:highlight w:val="none"/>
          <w:u w:val="dotted"/>
        </w:rPr>
      </w:pPr>
    </w:p>
    <w:p w14:paraId="7E7DEF3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8118F57">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077C1C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E17EE19">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07E33F9D">
      <w:pPr>
        <w:spacing w:line="360" w:lineRule="auto"/>
        <w:rPr>
          <w:rFonts w:ascii="仿宋" w:hAnsi="仿宋" w:eastAsia="仿宋" w:cs="仿宋"/>
          <w:color w:val="auto"/>
          <w:sz w:val="24"/>
          <w:highlight w:val="none"/>
          <w:u w:val="single"/>
        </w:rPr>
      </w:pPr>
    </w:p>
    <w:p w14:paraId="4046BD2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47213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4E339CB">
      <w:pPr>
        <w:spacing w:line="360" w:lineRule="auto"/>
        <w:rPr>
          <w:rFonts w:ascii="仿宋" w:hAnsi="仿宋" w:eastAsia="仿宋" w:cs="仿宋"/>
          <w:b/>
          <w:color w:val="auto"/>
          <w:sz w:val="24"/>
          <w:highlight w:val="none"/>
        </w:rPr>
      </w:pPr>
    </w:p>
    <w:p w14:paraId="7931AFE7">
      <w:pPr>
        <w:spacing w:line="360" w:lineRule="auto"/>
        <w:rPr>
          <w:rFonts w:ascii="仿宋" w:hAnsi="仿宋" w:eastAsia="仿宋" w:cs="仿宋"/>
          <w:b/>
          <w:color w:val="auto"/>
          <w:sz w:val="24"/>
          <w:highlight w:val="none"/>
        </w:rPr>
      </w:pPr>
    </w:p>
    <w:p w14:paraId="465AD282">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AE49C03">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50EBAA6">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6CC33C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7DAAB11">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B86AC32">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A556F8D">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0F2FEF83">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023C2D6">
      <w:pPr>
        <w:spacing w:line="360" w:lineRule="auto"/>
        <w:rPr>
          <w:rFonts w:ascii="仿宋" w:hAnsi="仿宋" w:eastAsia="仿宋" w:cs="仿宋"/>
          <w:b/>
          <w:color w:val="auto"/>
          <w:sz w:val="24"/>
          <w:highlight w:val="none"/>
        </w:rPr>
      </w:pPr>
    </w:p>
    <w:p w14:paraId="72A3D1E9">
      <w:pPr>
        <w:autoSpaceDE w:val="0"/>
        <w:autoSpaceDN w:val="0"/>
        <w:jc w:val="center"/>
        <w:rPr>
          <w:rFonts w:ascii="仿宋" w:hAnsi="仿宋" w:eastAsia="仿宋" w:cs="仿宋"/>
          <w:b/>
          <w:color w:val="auto"/>
          <w:spacing w:val="6"/>
          <w:sz w:val="32"/>
          <w:szCs w:val="32"/>
          <w:highlight w:val="none"/>
        </w:rPr>
      </w:pPr>
    </w:p>
    <w:p w14:paraId="46E0767E">
      <w:pPr>
        <w:autoSpaceDE w:val="0"/>
        <w:autoSpaceDN w:val="0"/>
        <w:jc w:val="center"/>
        <w:rPr>
          <w:rFonts w:ascii="仿宋" w:hAnsi="仿宋" w:eastAsia="仿宋" w:cs="仿宋"/>
          <w:b/>
          <w:color w:val="auto"/>
          <w:spacing w:val="6"/>
          <w:sz w:val="32"/>
          <w:szCs w:val="32"/>
          <w:highlight w:val="none"/>
        </w:rPr>
      </w:pPr>
    </w:p>
    <w:p w14:paraId="3DDF4821">
      <w:pPr>
        <w:autoSpaceDE w:val="0"/>
        <w:autoSpaceDN w:val="0"/>
        <w:jc w:val="center"/>
        <w:rPr>
          <w:rFonts w:ascii="仿宋" w:hAnsi="仿宋" w:eastAsia="仿宋" w:cs="仿宋"/>
          <w:b/>
          <w:color w:val="auto"/>
          <w:spacing w:val="6"/>
          <w:sz w:val="18"/>
          <w:szCs w:val="18"/>
          <w:highlight w:val="none"/>
        </w:rPr>
      </w:pPr>
    </w:p>
    <w:p w14:paraId="3D14A551">
      <w:pPr>
        <w:autoSpaceDE w:val="0"/>
        <w:autoSpaceDN w:val="0"/>
        <w:jc w:val="center"/>
        <w:rPr>
          <w:rFonts w:ascii="仿宋" w:hAnsi="仿宋" w:eastAsia="仿宋" w:cs="仿宋"/>
          <w:b/>
          <w:color w:val="auto"/>
          <w:spacing w:val="6"/>
          <w:sz w:val="18"/>
          <w:szCs w:val="18"/>
          <w:highlight w:val="none"/>
        </w:rPr>
      </w:pPr>
    </w:p>
    <w:p w14:paraId="6023A73C">
      <w:pPr>
        <w:autoSpaceDE w:val="0"/>
        <w:autoSpaceDN w:val="0"/>
        <w:jc w:val="center"/>
        <w:outlineLvl w:val="1"/>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F3F60AD">
      <w:pPr>
        <w:spacing w:line="360" w:lineRule="auto"/>
        <w:rPr>
          <w:rFonts w:ascii="仿宋" w:hAnsi="仿宋" w:eastAsia="仿宋" w:cs="仿宋"/>
          <w:color w:val="auto"/>
          <w:sz w:val="24"/>
          <w:highlight w:val="none"/>
          <w:u w:val="single"/>
        </w:rPr>
      </w:pPr>
    </w:p>
    <w:p w14:paraId="490B5325">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407886CD">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AF636D8">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A662903">
      <w:pPr>
        <w:spacing w:line="360" w:lineRule="auto"/>
        <w:ind w:firstLine="494"/>
        <w:rPr>
          <w:rFonts w:ascii="仿宋" w:hAnsi="仿宋" w:eastAsia="仿宋" w:cs="仿宋"/>
          <w:color w:val="auto"/>
          <w:sz w:val="24"/>
          <w:highlight w:val="none"/>
        </w:rPr>
      </w:pPr>
    </w:p>
    <w:p w14:paraId="5F8AB7A5">
      <w:pPr>
        <w:spacing w:line="360" w:lineRule="auto"/>
        <w:ind w:firstLine="494"/>
        <w:rPr>
          <w:rFonts w:ascii="仿宋" w:hAnsi="仿宋" w:eastAsia="仿宋" w:cs="仿宋"/>
          <w:color w:val="auto"/>
          <w:sz w:val="24"/>
          <w:highlight w:val="none"/>
        </w:rPr>
      </w:pPr>
    </w:p>
    <w:p w14:paraId="566245F8">
      <w:pPr>
        <w:spacing w:line="360" w:lineRule="auto"/>
        <w:ind w:firstLine="494"/>
        <w:rPr>
          <w:rFonts w:ascii="仿宋" w:hAnsi="仿宋" w:eastAsia="仿宋" w:cs="仿宋"/>
          <w:color w:val="auto"/>
          <w:sz w:val="24"/>
          <w:highlight w:val="none"/>
        </w:rPr>
      </w:pPr>
    </w:p>
    <w:p w14:paraId="6505ED99">
      <w:pPr>
        <w:spacing w:line="360" w:lineRule="auto"/>
        <w:ind w:firstLine="494"/>
        <w:rPr>
          <w:rFonts w:ascii="仿宋" w:hAnsi="仿宋" w:eastAsia="仿宋" w:cs="仿宋"/>
          <w:color w:val="auto"/>
          <w:sz w:val="24"/>
          <w:highlight w:val="none"/>
        </w:rPr>
      </w:pPr>
    </w:p>
    <w:p w14:paraId="1D8C2E0B">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7C0CD04">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414991">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60A7681F">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19024F1">
      <w:pPr>
        <w:autoSpaceDE w:val="0"/>
        <w:autoSpaceDN w:val="0"/>
        <w:jc w:val="center"/>
        <w:rPr>
          <w:rFonts w:ascii="仿宋" w:hAnsi="仿宋" w:eastAsia="仿宋" w:cs="仿宋"/>
          <w:b/>
          <w:color w:val="auto"/>
          <w:spacing w:val="6"/>
          <w:sz w:val="32"/>
          <w:szCs w:val="32"/>
          <w:highlight w:val="none"/>
        </w:rPr>
      </w:pPr>
    </w:p>
    <w:p w14:paraId="4D1F24FC">
      <w:pPr>
        <w:autoSpaceDE w:val="0"/>
        <w:autoSpaceDN w:val="0"/>
        <w:jc w:val="center"/>
        <w:rPr>
          <w:rFonts w:ascii="仿宋" w:hAnsi="仿宋" w:eastAsia="仿宋" w:cs="仿宋"/>
          <w:b/>
          <w:color w:val="auto"/>
          <w:spacing w:val="6"/>
          <w:sz w:val="32"/>
          <w:szCs w:val="32"/>
          <w:highlight w:val="none"/>
        </w:rPr>
      </w:pPr>
    </w:p>
    <w:p w14:paraId="523D7B53">
      <w:pPr>
        <w:autoSpaceDE w:val="0"/>
        <w:autoSpaceDN w:val="0"/>
        <w:jc w:val="center"/>
        <w:rPr>
          <w:rFonts w:ascii="仿宋" w:hAnsi="仿宋" w:eastAsia="仿宋" w:cs="仿宋"/>
          <w:b/>
          <w:color w:val="auto"/>
          <w:spacing w:val="6"/>
          <w:sz w:val="32"/>
          <w:szCs w:val="32"/>
          <w:highlight w:val="none"/>
        </w:rPr>
      </w:pPr>
    </w:p>
    <w:p w14:paraId="2AAF3501">
      <w:pPr>
        <w:autoSpaceDE w:val="0"/>
        <w:autoSpaceDN w:val="0"/>
        <w:jc w:val="center"/>
        <w:rPr>
          <w:rFonts w:ascii="仿宋" w:hAnsi="仿宋" w:eastAsia="仿宋" w:cs="仿宋"/>
          <w:b/>
          <w:color w:val="auto"/>
          <w:spacing w:val="6"/>
          <w:sz w:val="32"/>
          <w:szCs w:val="32"/>
          <w:highlight w:val="none"/>
        </w:rPr>
      </w:pPr>
    </w:p>
    <w:p w14:paraId="5EC53935">
      <w:pPr>
        <w:autoSpaceDE w:val="0"/>
        <w:autoSpaceDN w:val="0"/>
        <w:jc w:val="center"/>
        <w:rPr>
          <w:rFonts w:ascii="仿宋" w:hAnsi="仿宋" w:eastAsia="仿宋" w:cs="仿宋"/>
          <w:b/>
          <w:color w:val="auto"/>
          <w:spacing w:val="6"/>
          <w:sz w:val="32"/>
          <w:szCs w:val="32"/>
          <w:highlight w:val="none"/>
        </w:rPr>
      </w:pPr>
    </w:p>
    <w:p w14:paraId="2F5B2685">
      <w:pPr>
        <w:autoSpaceDE w:val="0"/>
        <w:autoSpaceDN w:val="0"/>
        <w:jc w:val="center"/>
        <w:rPr>
          <w:rFonts w:ascii="仿宋" w:hAnsi="仿宋" w:eastAsia="仿宋" w:cs="仿宋"/>
          <w:b/>
          <w:color w:val="auto"/>
          <w:spacing w:val="6"/>
          <w:sz w:val="32"/>
          <w:szCs w:val="32"/>
          <w:highlight w:val="none"/>
        </w:rPr>
      </w:pPr>
    </w:p>
    <w:p w14:paraId="3ADB31D4">
      <w:pPr>
        <w:autoSpaceDE w:val="0"/>
        <w:autoSpaceDN w:val="0"/>
        <w:jc w:val="center"/>
        <w:rPr>
          <w:rFonts w:ascii="仿宋" w:hAnsi="仿宋" w:eastAsia="仿宋" w:cs="仿宋"/>
          <w:b/>
          <w:color w:val="auto"/>
          <w:spacing w:val="6"/>
          <w:sz w:val="18"/>
          <w:szCs w:val="18"/>
          <w:highlight w:val="none"/>
        </w:rPr>
      </w:pPr>
    </w:p>
    <w:p w14:paraId="52F4392A">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0B696DDD">
      <w:pPr>
        <w:autoSpaceDE w:val="0"/>
        <w:autoSpaceDN w:val="0"/>
        <w:jc w:val="center"/>
        <w:outlineLvl w:val="1"/>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14:paraId="18B30C97">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BA02F2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6E3A268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79ACDA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36451F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D3C6855">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1559A88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549F607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D43FE71">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FCD512E">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298" w:name="_Hlk101131882"/>
      <w:r>
        <w:rPr>
          <w:rFonts w:hint="eastAsia" w:ascii="仿宋" w:hAnsi="仿宋" w:eastAsia="仿宋" w:cs="仿宋"/>
          <w:color w:val="auto"/>
          <w:kern w:val="0"/>
          <w:sz w:val="24"/>
          <w:highlight w:val="none"/>
          <w:u w:val="single"/>
        </w:rPr>
        <w:t>联合体成员X,……</w:t>
      </w:r>
      <w:bookmarkEnd w:id="29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29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299"/>
      <w:r>
        <w:rPr>
          <w:rFonts w:hint="eastAsia" w:ascii="仿宋" w:hAnsi="仿宋" w:eastAsia="仿宋" w:cs="仿宋"/>
          <w:b/>
          <w:color w:val="auto"/>
          <w:kern w:val="0"/>
          <w:sz w:val="24"/>
          <w:highlight w:val="none"/>
          <w:lang w:val="zh-CN"/>
        </w:rPr>
        <w:t>）</w:t>
      </w:r>
    </w:p>
    <w:p w14:paraId="2BE9BE7F">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300"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300"/>
    </w:p>
    <w:p w14:paraId="7894B8D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329DC2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57F4AE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1、联合体各方不再单独参加或者与其他供应商另外组成联合体参加同一合同项下的采购活动。</w:t>
      </w:r>
    </w:p>
    <w:p w14:paraId="512381E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2169E2E7">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393523C7">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353FBFE">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94437A7">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090E50E">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B1E9939">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D7CE6DF">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F33F982">
      <w:pPr>
        <w:snapToGrid w:val="0"/>
        <w:spacing w:line="360" w:lineRule="auto"/>
        <w:jc w:val="center"/>
        <w:rPr>
          <w:rFonts w:ascii="仿宋" w:hAnsi="仿宋" w:eastAsia="仿宋" w:cs="仿宋"/>
          <w:b/>
          <w:color w:val="auto"/>
          <w:spacing w:val="6"/>
          <w:sz w:val="18"/>
          <w:szCs w:val="18"/>
          <w:highlight w:val="none"/>
        </w:rPr>
      </w:pPr>
    </w:p>
    <w:p w14:paraId="1BF2A03E">
      <w:pPr>
        <w:snapToGrid w:val="0"/>
        <w:spacing w:line="360" w:lineRule="auto"/>
        <w:jc w:val="center"/>
        <w:outlineLvl w:val="1"/>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0379CF47">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99312C6">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71A8979">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541EFD2">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2E1927A">
      <w:pPr>
        <w:tabs>
          <w:tab w:val="left" w:pos="432"/>
        </w:tabs>
        <w:spacing w:line="440" w:lineRule="exact"/>
        <w:ind w:left="0" w:firstLine="228" w:firstLineChars="95"/>
        <w:outlineLvl w:val="9"/>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5B5BC5D1">
      <w:pPr>
        <w:spacing w:line="440" w:lineRule="exact"/>
        <w:rPr>
          <w:rFonts w:ascii="仿宋" w:hAnsi="仿宋" w:eastAsia="仿宋" w:cs="仿宋"/>
          <w:color w:val="auto"/>
          <w:highlight w:val="none"/>
        </w:rPr>
      </w:pPr>
    </w:p>
    <w:p w14:paraId="03F97CDD">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76D5B33">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D4B8E15">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6FF7838">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2A9FE36">
      <w:pPr>
        <w:snapToGrid w:val="0"/>
        <w:spacing w:line="440" w:lineRule="exact"/>
        <w:ind w:firstLine="576"/>
        <w:rPr>
          <w:rFonts w:ascii="仿宋" w:hAnsi="仿宋" w:eastAsia="仿宋" w:cs="仿宋"/>
          <w:color w:val="auto"/>
          <w:highlight w:val="none"/>
          <w:u w:val="single"/>
        </w:rPr>
      </w:pPr>
    </w:p>
    <w:p w14:paraId="175FD55C">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7C1D9F8A">
      <w:pPr>
        <w:snapToGrid w:val="0"/>
        <w:spacing w:line="440" w:lineRule="exact"/>
        <w:ind w:firstLine="576"/>
        <w:rPr>
          <w:rFonts w:ascii="仿宋" w:hAnsi="仿宋" w:eastAsia="仿宋" w:cs="仿宋"/>
          <w:color w:val="auto"/>
          <w:kern w:val="0"/>
          <w:sz w:val="24"/>
          <w:highlight w:val="none"/>
          <w:lang w:val="zh-CN"/>
        </w:rPr>
      </w:pPr>
    </w:p>
    <w:p w14:paraId="75C3199B">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F3A80AC">
      <w:pPr>
        <w:snapToGrid w:val="0"/>
        <w:spacing w:line="440" w:lineRule="exact"/>
        <w:rPr>
          <w:rFonts w:ascii="仿宋" w:hAnsi="仿宋" w:eastAsia="仿宋" w:cs="仿宋"/>
          <w:color w:val="auto"/>
          <w:kern w:val="0"/>
          <w:sz w:val="24"/>
          <w:highlight w:val="none"/>
          <w:lang w:val="zh-CN"/>
        </w:rPr>
      </w:pPr>
    </w:p>
    <w:p w14:paraId="0298C513">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AD7F8C0">
      <w:pPr>
        <w:snapToGrid w:val="0"/>
        <w:spacing w:line="440" w:lineRule="exact"/>
        <w:ind w:firstLine="576"/>
        <w:rPr>
          <w:rFonts w:ascii="仿宋" w:hAnsi="仿宋" w:eastAsia="仿宋" w:cs="仿宋"/>
          <w:color w:val="auto"/>
          <w:kern w:val="0"/>
          <w:sz w:val="24"/>
          <w:highlight w:val="none"/>
          <w:lang w:val="zh-CN"/>
        </w:rPr>
      </w:pPr>
    </w:p>
    <w:p w14:paraId="1C16D300">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F19A71E">
      <w:pPr>
        <w:snapToGrid w:val="0"/>
        <w:spacing w:line="440" w:lineRule="exact"/>
        <w:ind w:firstLine="576"/>
        <w:rPr>
          <w:rFonts w:ascii="仿宋" w:hAnsi="仿宋" w:eastAsia="仿宋" w:cs="仿宋"/>
          <w:color w:val="auto"/>
          <w:kern w:val="0"/>
          <w:sz w:val="24"/>
          <w:highlight w:val="none"/>
          <w:lang w:val="zh-CN"/>
        </w:rPr>
      </w:pPr>
    </w:p>
    <w:p w14:paraId="12625EE3">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230AA710">
      <w:pPr>
        <w:snapToGrid w:val="0"/>
        <w:spacing w:line="440" w:lineRule="exact"/>
        <w:ind w:left="5039" w:leftChars="228" w:hanging="4560" w:hangingChars="19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14:paraId="2A2DA715">
      <w:pPr>
        <w:snapToGrid w:val="0"/>
        <w:spacing w:line="440" w:lineRule="exact"/>
        <w:ind w:left="5027" w:leftChars="2394" w:firstLine="240" w:firstLineChars="100"/>
        <w:rPr>
          <w:rFonts w:hint="eastAsia" w:ascii="仿宋" w:hAnsi="仿宋" w:eastAsia="仿宋" w:cs="仿宋"/>
          <w:color w:val="auto"/>
          <w:kern w:val="0"/>
          <w:sz w:val="24"/>
          <w:highlight w:val="none"/>
          <w:lang w:val="zh-CN"/>
        </w:rPr>
      </w:pPr>
    </w:p>
    <w:p w14:paraId="1E61CAA0">
      <w:pPr>
        <w:snapToGrid w:val="0"/>
        <w:spacing w:line="440" w:lineRule="exact"/>
        <w:ind w:left="5027" w:leftChars="2394"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14:paraId="500EBC86">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3E75E2A5">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2CCAD71">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4FCBBAA">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635CA28">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FAF673E">
      <w:pPr>
        <w:spacing w:line="360" w:lineRule="auto"/>
        <w:jc w:val="center"/>
        <w:outlineLvl w:val="1"/>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301" w:name="OLE_LINK14"/>
      <w:bookmarkStart w:id="302" w:name="OLE_LINK13"/>
      <w:r>
        <w:rPr>
          <w:rFonts w:hint="eastAsia" w:ascii="仿宋" w:hAnsi="仿宋" w:eastAsia="仿宋" w:cs="仿宋"/>
          <w:b/>
          <w:color w:val="auto"/>
          <w:spacing w:val="6"/>
          <w:sz w:val="32"/>
          <w:szCs w:val="32"/>
          <w:highlight w:val="none"/>
        </w:rPr>
        <w:t>残疾人福利性单位声明函</w:t>
      </w:r>
    </w:p>
    <w:bookmarkEnd w:id="301"/>
    <w:bookmarkEnd w:id="302"/>
    <w:p w14:paraId="56903CB5">
      <w:pPr>
        <w:spacing w:line="360" w:lineRule="auto"/>
        <w:rPr>
          <w:rFonts w:ascii="仿宋" w:hAnsi="仿宋" w:eastAsia="仿宋" w:cs="仿宋"/>
          <w:b/>
          <w:color w:val="auto"/>
          <w:spacing w:val="6"/>
          <w:sz w:val="30"/>
          <w:szCs w:val="30"/>
          <w:highlight w:val="none"/>
        </w:rPr>
      </w:pPr>
    </w:p>
    <w:p w14:paraId="5A6EC89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86C972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6EE920F">
      <w:pPr>
        <w:spacing w:line="360" w:lineRule="auto"/>
        <w:ind w:firstLine="480" w:firstLineChars="200"/>
        <w:rPr>
          <w:rFonts w:ascii="仿宋" w:hAnsi="仿宋" w:eastAsia="仿宋" w:cs="仿宋"/>
          <w:color w:val="auto"/>
          <w:sz w:val="24"/>
          <w:highlight w:val="none"/>
        </w:rPr>
      </w:pPr>
    </w:p>
    <w:p w14:paraId="7A34E53A">
      <w:pPr>
        <w:spacing w:line="360" w:lineRule="auto"/>
        <w:ind w:firstLine="480" w:firstLineChars="200"/>
        <w:rPr>
          <w:rFonts w:ascii="仿宋" w:hAnsi="仿宋" w:eastAsia="仿宋" w:cs="仿宋"/>
          <w:color w:val="auto"/>
          <w:sz w:val="24"/>
          <w:highlight w:val="none"/>
        </w:rPr>
      </w:pPr>
    </w:p>
    <w:p w14:paraId="7846452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631DC26">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C60A6EB">
      <w:pPr>
        <w:autoSpaceDE w:val="0"/>
        <w:autoSpaceDN w:val="0"/>
        <w:jc w:val="center"/>
        <w:rPr>
          <w:rFonts w:ascii="仿宋" w:hAnsi="仿宋" w:eastAsia="仿宋" w:cs="仿宋"/>
          <w:b/>
          <w:color w:val="auto"/>
          <w:spacing w:val="6"/>
          <w:sz w:val="32"/>
          <w:szCs w:val="32"/>
          <w:highlight w:val="none"/>
        </w:rPr>
      </w:pPr>
    </w:p>
    <w:p w14:paraId="6540862F">
      <w:pPr>
        <w:autoSpaceDE w:val="0"/>
        <w:autoSpaceDN w:val="0"/>
        <w:jc w:val="center"/>
        <w:rPr>
          <w:rFonts w:ascii="仿宋" w:hAnsi="仿宋" w:eastAsia="仿宋" w:cs="仿宋"/>
          <w:b/>
          <w:color w:val="auto"/>
          <w:spacing w:val="6"/>
          <w:sz w:val="32"/>
          <w:szCs w:val="32"/>
          <w:highlight w:val="none"/>
        </w:rPr>
      </w:pPr>
    </w:p>
    <w:p w14:paraId="6E0FB400">
      <w:pPr>
        <w:autoSpaceDE w:val="0"/>
        <w:autoSpaceDN w:val="0"/>
        <w:jc w:val="center"/>
        <w:rPr>
          <w:rFonts w:ascii="仿宋" w:hAnsi="仿宋" w:eastAsia="仿宋" w:cs="仿宋"/>
          <w:b/>
          <w:color w:val="auto"/>
          <w:spacing w:val="6"/>
          <w:sz w:val="32"/>
          <w:szCs w:val="32"/>
          <w:highlight w:val="none"/>
        </w:rPr>
      </w:pPr>
    </w:p>
    <w:p w14:paraId="26C83622">
      <w:pPr>
        <w:autoSpaceDE w:val="0"/>
        <w:autoSpaceDN w:val="0"/>
        <w:jc w:val="center"/>
        <w:rPr>
          <w:rFonts w:ascii="仿宋" w:hAnsi="仿宋" w:eastAsia="仿宋" w:cs="仿宋"/>
          <w:b/>
          <w:color w:val="auto"/>
          <w:spacing w:val="6"/>
          <w:sz w:val="32"/>
          <w:szCs w:val="32"/>
          <w:highlight w:val="none"/>
        </w:rPr>
      </w:pPr>
    </w:p>
    <w:p w14:paraId="0E4FB6C1">
      <w:pPr>
        <w:autoSpaceDE w:val="0"/>
        <w:autoSpaceDN w:val="0"/>
        <w:jc w:val="center"/>
        <w:rPr>
          <w:rFonts w:ascii="仿宋" w:hAnsi="仿宋" w:eastAsia="仿宋" w:cs="仿宋"/>
          <w:b/>
          <w:color w:val="auto"/>
          <w:spacing w:val="6"/>
          <w:sz w:val="32"/>
          <w:szCs w:val="32"/>
          <w:highlight w:val="none"/>
        </w:rPr>
      </w:pPr>
    </w:p>
    <w:p w14:paraId="3FA3B453">
      <w:pPr>
        <w:autoSpaceDE w:val="0"/>
        <w:autoSpaceDN w:val="0"/>
        <w:jc w:val="center"/>
        <w:rPr>
          <w:rFonts w:ascii="仿宋" w:hAnsi="仿宋" w:eastAsia="仿宋" w:cs="仿宋"/>
          <w:b/>
          <w:color w:val="auto"/>
          <w:spacing w:val="6"/>
          <w:sz w:val="32"/>
          <w:szCs w:val="32"/>
          <w:highlight w:val="none"/>
        </w:rPr>
      </w:pPr>
    </w:p>
    <w:p w14:paraId="46AAC3BF">
      <w:pPr>
        <w:autoSpaceDE w:val="0"/>
        <w:autoSpaceDN w:val="0"/>
        <w:jc w:val="center"/>
        <w:rPr>
          <w:rFonts w:ascii="仿宋" w:hAnsi="仿宋" w:eastAsia="仿宋" w:cs="仿宋"/>
          <w:b/>
          <w:color w:val="auto"/>
          <w:spacing w:val="6"/>
          <w:sz w:val="32"/>
          <w:szCs w:val="32"/>
          <w:highlight w:val="none"/>
        </w:rPr>
      </w:pPr>
    </w:p>
    <w:p w14:paraId="6A65BF3E">
      <w:pPr>
        <w:autoSpaceDE w:val="0"/>
        <w:autoSpaceDN w:val="0"/>
        <w:jc w:val="center"/>
        <w:rPr>
          <w:rFonts w:ascii="仿宋" w:hAnsi="仿宋" w:eastAsia="仿宋" w:cs="仿宋"/>
          <w:b/>
          <w:color w:val="auto"/>
          <w:spacing w:val="6"/>
          <w:sz w:val="32"/>
          <w:szCs w:val="32"/>
          <w:highlight w:val="none"/>
        </w:rPr>
      </w:pPr>
    </w:p>
    <w:p w14:paraId="04A712AF">
      <w:pPr>
        <w:autoSpaceDE w:val="0"/>
        <w:autoSpaceDN w:val="0"/>
        <w:jc w:val="center"/>
        <w:rPr>
          <w:rFonts w:ascii="仿宋" w:hAnsi="仿宋" w:eastAsia="仿宋" w:cs="仿宋"/>
          <w:b/>
          <w:color w:val="auto"/>
          <w:spacing w:val="6"/>
          <w:sz w:val="32"/>
          <w:szCs w:val="32"/>
          <w:highlight w:val="none"/>
        </w:rPr>
      </w:pPr>
    </w:p>
    <w:p w14:paraId="2F586C20">
      <w:pPr>
        <w:autoSpaceDE w:val="0"/>
        <w:autoSpaceDN w:val="0"/>
        <w:jc w:val="center"/>
        <w:rPr>
          <w:rFonts w:ascii="仿宋" w:hAnsi="仿宋" w:eastAsia="仿宋" w:cs="仿宋"/>
          <w:b/>
          <w:color w:val="auto"/>
          <w:spacing w:val="6"/>
          <w:sz w:val="32"/>
          <w:szCs w:val="32"/>
          <w:highlight w:val="none"/>
        </w:rPr>
      </w:pPr>
    </w:p>
    <w:p w14:paraId="458AD95B">
      <w:pPr>
        <w:autoSpaceDE w:val="0"/>
        <w:autoSpaceDN w:val="0"/>
        <w:jc w:val="center"/>
        <w:rPr>
          <w:rFonts w:ascii="仿宋" w:hAnsi="仿宋" w:eastAsia="仿宋" w:cs="仿宋"/>
          <w:b/>
          <w:color w:val="auto"/>
          <w:spacing w:val="6"/>
          <w:sz w:val="32"/>
          <w:szCs w:val="32"/>
          <w:highlight w:val="none"/>
        </w:rPr>
      </w:pPr>
    </w:p>
    <w:p w14:paraId="494970B9">
      <w:pPr>
        <w:autoSpaceDE w:val="0"/>
        <w:autoSpaceDN w:val="0"/>
        <w:jc w:val="center"/>
        <w:rPr>
          <w:rFonts w:ascii="仿宋" w:hAnsi="仿宋" w:eastAsia="仿宋" w:cs="仿宋"/>
          <w:b/>
          <w:color w:val="auto"/>
          <w:spacing w:val="6"/>
          <w:sz w:val="32"/>
          <w:szCs w:val="32"/>
          <w:highlight w:val="none"/>
        </w:rPr>
      </w:pPr>
    </w:p>
    <w:p w14:paraId="67D01B0B">
      <w:pPr>
        <w:autoSpaceDE w:val="0"/>
        <w:autoSpaceDN w:val="0"/>
        <w:jc w:val="center"/>
        <w:rPr>
          <w:rFonts w:ascii="仿宋" w:hAnsi="仿宋" w:eastAsia="仿宋" w:cs="仿宋"/>
          <w:b/>
          <w:color w:val="auto"/>
          <w:spacing w:val="6"/>
          <w:sz w:val="32"/>
          <w:szCs w:val="32"/>
          <w:highlight w:val="none"/>
        </w:rPr>
      </w:pPr>
    </w:p>
    <w:p w14:paraId="6222824B">
      <w:pPr>
        <w:pStyle w:val="2"/>
        <w:rPr>
          <w:color w:val="auto"/>
          <w:highlight w:val="none"/>
        </w:rPr>
      </w:pPr>
    </w:p>
    <w:p w14:paraId="09013AFD">
      <w:pPr>
        <w:pStyle w:val="3"/>
        <w:rPr>
          <w:rFonts w:eastAsia="仿宋"/>
          <w:color w:val="auto"/>
          <w:highlight w:val="none"/>
        </w:rPr>
      </w:pPr>
    </w:p>
    <w:p w14:paraId="3E7D323A">
      <w:pPr>
        <w:rPr>
          <w:color w:val="auto"/>
          <w:highlight w:val="none"/>
        </w:rPr>
      </w:pPr>
    </w:p>
    <w:p w14:paraId="7FA457F2">
      <w:pPr>
        <w:pStyle w:val="2"/>
        <w:rPr>
          <w:color w:val="auto"/>
          <w:highlight w:val="none"/>
        </w:rPr>
      </w:pPr>
    </w:p>
    <w:p w14:paraId="1BF0A19A">
      <w:pPr>
        <w:pStyle w:val="3"/>
        <w:rPr>
          <w:rFonts w:eastAsia="仿宋"/>
          <w:color w:val="auto"/>
          <w:highlight w:val="none"/>
        </w:rPr>
      </w:pPr>
    </w:p>
    <w:p w14:paraId="4607E12B">
      <w:pP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11E2C01C">
      <w:pPr>
        <w:snapToGrid w:val="0"/>
        <w:spacing w:line="360" w:lineRule="auto"/>
        <w:outlineLvl w:val="1"/>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05F320D8">
      <w:pPr>
        <w:spacing w:line="360" w:lineRule="auto"/>
        <w:jc w:val="center"/>
        <w:rPr>
          <w:rFonts w:ascii="仿宋" w:hAnsi="仿宋" w:eastAsia="仿宋" w:cs="仿宋"/>
          <w:color w:val="auto"/>
          <w:sz w:val="24"/>
          <w:highlight w:val="none"/>
          <w:u w:val="single"/>
        </w:rPr>
      </w:pPr>
    </w:p>
    <w:p w14:paraId="43963521">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0BC17F2">
      <w:pPr>
        <w:spacing w:line="36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10D0E1A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F678D4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CBE750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45928C2A">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7C42A3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B3E13F8">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94D00AA">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1C96D6B3">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A67048B">
      <w:pPr>
        <w:spacing w:line="360" w:lineRule="auto"/>
        <w:ind w:right="420"/>
        <w:rPr>
          <w:rFonts w:ascii="仿宋" w:hAnsi="仿宋" w:eastAsia="仿宋" w:cs="仿宋"/>
          <w:color w:val="auto"/>
          <w:sz w:val="24"/>
          <w:highlight w:val="none"/>
        </w:rPr>
      </w:pPr>
    </w:p>
    <w:p w14:paraId="2DA36512">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4E7DAC5">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7A92724">
      <w:pPr>
        <w:spacing w:line="360" w:lineRule="auto"/>
        <w:ind w:right="42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8DBF0B">
      <w:pPr>
        <w:pStyle w:val="5"/>
        <w:rPr>
          <w:rFonts w:ascii="仿宋" w:eastAsia="仿宋" w:cs="仿宋"/>
          <w:color w:val="auto"/>
          <w:highlight w:val="none"/>
          <w:lang w:val="en-US"/>
        </w:rPr>
      </w:pPr>
    </w:p>
    <w:p w14:paraId="646FF723">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5F6D71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75E186D">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C7A0341">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D5CCC1C">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8BDECCA">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254D9C8D">
      <w:pPr>
        <w:pStyle w:val="25"/>
        <w:rPr>
          <w:color w:val="auto"/>
          <w:highlight w:val="none"/>
          <w:lang w:val="en-US"/>
        </w:rPr>
      </w:pPr>
    </w:p>
    <w:p w14:paraId="41638000">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C162E2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2C4086D">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AEB07F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7D1668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DA808A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BB8B872">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5EDE9D2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9DDE9A7">
      <w:pPr>
        <w:widowControl/>
        <w:jc w:val="left"/>
        <w:rPr>
          <w:rFonts w:ascii="仿宋" w:hAnsi="仿宋" w:eastAsia="仿宋" w:cs="仿宋"/>
          <w:color w:val="auto"/>
          <w:kern w:val="0"/>
          <w:sz w:val="24"/>
          <w:highlight w:val="none"/>
        </w:rPr>
      </w:pPr>
    </w:p>
    <w:p w14:paraId="115720A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D724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5373BD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F69A61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9FFA5B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B6FDFD1">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A7C020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0039ECAD">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DE27F6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053A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4B7F0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6060AB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7EA9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E08A5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D69FF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B0465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41D97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4653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7D6F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D2DF1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024D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98B5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061A7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E2CD78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3389F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E832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762CFE">
            <w:pPr>
              <w:widowControl/>
              <w:jc w:val="left"/>
              <w:rPr>
                <w:rFonts w:ascii="仿宋" w:hAnsi="仿宋" w:eastAsia="仿宋" w:cs="仿宋"/>
                <w:color w:val="auto"/>
                <w:kern w:val="0"/>
                <w:sz w:val="24"/>
                <w:highlight w:val="none"/>
              </w:rPr>
            </w:pPr>
          </w:p>
        </w:tc>
        <w:tc>
          <w:tcPr>
            <w:tcW w:w="1560" w:type="dxa"/>
            <w:vAlign w:val="center"/>
          </w:tcPr>
          <w:p w14:paraId="702442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7946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2684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74628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4A18A2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CEB10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2EEA8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28DF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2748B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0CA3A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9E7F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45203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28381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928B6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1E3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831FA9">
            <w:pPr>
              <w:widowControl/>
              <w:jc w:val="left"/>
              <w:rPr>
                <w:rFonts w:ascii="仿宋" w:hAnsi="仿宋" w:eastAsia="仿宋" w:cs="仿宋"/>
                <w:color w:val="auto"/>
                <w:kern w:val="0"/>
                <w:sz w:val="24"/>
                <w:highlight w:val="none"/>
              </w:rPr>
            </w:pPr>
          </w:p>
        </w:tc>
        <w:tc>
          <w:tcPr>
            <w:tcW w:w="1560" w:type="dxa"/>
            <w:vAlign w:val="center"/>
          </w:tcPr>
          <w:p w14:paraId="13B229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C0B15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B110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F3028F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D028A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6469A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131E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2B46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A7DB1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E87A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D9491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6CF70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9F96A7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59C52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D917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94CBFCD">
            <w:pPr>
              <w:widowControl/>
              <w:jc w:val="left"/>
              <w:rPr>
                <w:rFonts w:ascii="仿宋" w:hAnsi="仿宋" w:eastAsia="仿宋" w:cs="仿宋"/>
                <w:color w:val="auto"/>
                <w:kern w:val="0"/>
                <w:sz w:val="24"/>
                <w:highlight w:val="none"/>
              </w:rPr>
            </w:pPr>
          </w:p>
        </w:tc>
        <w:tc>
          <w:tcPr>
            <w:tcW w:w="1560" w:type="dxa"/>
            <w:vAlign w:val="center"/>
          </w:tcPr>
          <w:p w14:paraId="5E9CF4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BF50E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CF02B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1E21A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26C7F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7CC20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75B77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006F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8E683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AC61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5481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51C23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DDF71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701EA4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FAA4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B0B712">
            <w:pPr>
              <w:widowControl/>
              <w:jc w:val="left"/>
              <w:rPr>
                <w:rFonts w:ascii="仿宋" w:hAnsi="仿宋" w:eastAsia="仿宋" w:cs="仿宋"/>
                <w:color w:val="auto"/>
                <w:kern w:val="0"/>
                <w:sz w:val="24"/>
                <w:highlight w:val="none"/>
              </w:rPr>
            </w:pPr>
          </w:p>
        </w:tc>
        <w:tc>
          <w:tcPr>
            <w:tcW w:w="1560" w:type="dxa"/>
            <w:vAlign w:val="center"/>
          </w:tcPr>
          <w:p w14:paraId="698474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16DE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1DFA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F23FD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68A72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62591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3909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5041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E0518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6A9C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6ACF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0F453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7A7E0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62E3F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DD9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DABDFF">
            <w:pPr>
              <w:widowControl/>
              <w:jc w:val="left"/>
              <w:rPr>
                <w:rFonts w:ascii="仿宋" w:hAnsi="仿宋" w:eastAsia="仿宋" w:cs="仿宋"/>
                <w:color w:val="auto"/>
                <w:kern w:val="0"/>
                <w:sz w:val="24"/>
                <w:highlight w:val="none"/>
              </w:rPr>
            </w:pPr>
          </w:p>
        </w:tc>
        <w:tc>
          <w:tcPr>
            <w:tcW w:w="1560" w:type="dxa"/>
            <w:vAlign w:val="center"/>
          </w:tcPr>
          <w:p w14:paraId="21CE5C0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8A12A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9B39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4358E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FB619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A105FA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0581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3073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C1B7F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33CA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07AA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8413B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AA2D9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2824B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F68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FC6F16">
            <w:pPr>
              <w:widowControl/>
              <w:jc w:val="left"/>
              <w:rPr>
                <w:rFonts w:ascii="仿宋" w:hAnsi="仿宋" w:eastAsia="仿宋" w:cs="仿宋"/>
                <w:color w:val="auto"/>
                <w:kern w:val="0"/>
                <w:sz w:val="24"/>
                <w:highlight w:val="none"/>
              </w:rPr>
            </w:pPr>
          </w:p>
        </w:tc>
        <w:tc>
          <w:tcPr>
            <w:tcW w:w="1560" w:type="dxa"/>
            <w:vAlign w:val="center"/>
          </w:tcPr>
          <w:p w14:paraId="6902EA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6FDC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95BC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FE878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57D6C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F52ADD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D83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7B01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DA6C25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DF029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F00B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5457C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3E468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26E2F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1B31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E25A19">
            <w:pPr>
              <w:widowControl/>
              <w:jc w:val="left"/>
              <w:rPr>
                <w:rFonts w:ascii="仿宋" w:hAnsi="仿宋" w:eastAsia="仿宋" w:cs="仿宋"/>
                <w:color w:val="auto"/>
                <w:kern w:val="0"/>
                <w:sz w:val="24"/>
                <w:highlight w:val="none"/>
              </w:rPr>
            </w:pPr>
          </w:p>
        </w:tc>
        <w:tc>
          <w:tcPr>
            <w:tcW w:w="1560" w:type="dxa"/>
            <w:vAlign w:val="center"/>
          </w:tcPr>
          <w:p w14:paraId="26ACB2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7D0D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7C88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899416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85B5E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BF8B9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F26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231E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3EBAB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E3EA4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7E1E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7848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C000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C6B3D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F646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FEC796">
            <w:pPr>
              <w:widowControl/>
              <w:jc w:val="left"/>
              <w:rPr>
                <w:rFonts w:ascii="仿宋" w:hAnsi="仿宋" w:eastAsia="仿宋" w:cs="仿宋"/>
                <w:color w:val="auto"/>
                <w:kern w:val="0"/>
                <w:sz w:val="24"/>
                <w:highlight w:val="none"/>
              </w:rPr>
            </w:pPr>
          </w:p>
        </w:tc>
        <w:tc>
          <w:tcPr>
            <w:tcW w:w="1560" w:type="dxa"/>
            <w:vAlign w:val="center"/>
          </w:tcPr>
          <w:p w14:paraId="22EADB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045E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A075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CAE8B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7E97A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38DF3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0E07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F24C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78AAA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42CD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8C3DE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0427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ADA1F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91DB3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2F1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D1DB38">
            <w:pPr>
              <w:widowControl/>
              <w:jc w:val="left"/>
              <w:rPr>
                <w:rFonts w:ascii="仿宋" w:hAnsi="仿宋" w:eastAsia="仿宋" w:cs="仿宋"/>
                <w:color w:val="auto"/>
                <w:kern w:val="0"/>
                <w:sz w:val="24"/>
                <w:highlight w:val="none"/>
              </w:rPr>
            </w:pPr>
          </w:p>
        </w:tc>
        <w:tc>
          <w:tcPr>
            <w:tcW w:w="1560" w:type="dxa"/>
            <w:vAlign w:val="center"/>
          </w:tcPr>
          <w:p w14:paraId="68CB78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5F57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E67C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B81D73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D07B4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CDA9D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D92D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7E3BF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AE5CE4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1FA6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171B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FABAA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F99AE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ADA74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426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0F3505">
            <w:pPr>
              <w:widowControl/>
              <w:jc w:val="left"/>
              <w:rPr>
                <w:rFonts w:ascii="仿宋" w:hAnsi="仿宋" w:eastAsia="仿宋" w:cs="仿宋"/>
                <w:color w:val="auto"/>
                <w:kern w:val="0"/>
                <w:sz w:val="24"/>
                <w:highlight w:val="none"/>
              </w:rPr>
            </w:pPr>
          </w:p>
        </w:tc>
        <w:tc>
          <w:tcPr>
            <w:tcW w:w="1560" w:type="dxa"/>
            <w:vAlign w:val="center"/>
          </w:tcPr>
          <w:p w14:paraId="72150C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38AE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A775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5000B1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365CD8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4497D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864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A4FF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67D22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1F969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4DE74E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06BA8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8BF7F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B388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F8A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5589AB">
            <w:pPr>
              <w:widowControl/>
              <w:jc w:val="left"/>
              <w:rPr>
                <w:rFonts w:ascii="仿宋" w:hAnsi="仿宋" w:eastAsia="仿宋" w:cs="仿宋"/>
                <w:color w:val="auto"/>
                <w:kern w:val="0"/>
                <w:sz w:val="24"/>
                <w:highlight w:val="none"/>
              </w:rPr>
            </w:pPr>
          </w:p>
        </w:tc>
        <w:tc>
          <w:tcPr>
            <w:tcW w:w="1560" w:type="dxa"/>
            <w:vAlign w:val="center"/>
          </w:tcPr>
          <w:p w14:paraId="406FCA3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1E0D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674630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FD4C9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F061A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25682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1A32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AE13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E52CE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E2A1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915F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3B0FB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1B17B7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3AE9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99D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0B404D">
            <w:pPr>
              <w:widowControl/>
              <w:jc w:val="left"/>
              <w:rPr>
                <w:rFonts w:ascii="仿宋" w:hAnsi="仿宋" w:eastAsia="仿宋" w:cs="仿宋"/>
                <w:color w:val="auto"/>
                <w:kern w:val="0"/>
                <w:sz w:val="24"/>
                <w:highlight w:val="none"/>
              </w:rPr>
            </w:pPr>
          </w:p>
        </w:tc>
        <w:tc>
          <w:tcPr>
            <w:tcW w:w="1560" w:type="dxa"/>
            <w:vAlign w:val="center"/>
          </w:tcPr>
          <w:p w14:paraId="69405DC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BABD6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CF20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A7331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4EF2675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06BBCB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1D819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259D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963BA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B780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DA785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48ECA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54077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B5FD3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7B60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77012D">
            <w:pPr>
              <w:widowControl/>
              <w:jc w:val="left"/>
              <w:rPr>
                <w:rFonts w:ascii="仿宋" w:hAnsi="仿宋" w:eastAsia="仿宋" w:cs="仿宋"/>
                <w:color w:val="auto"/>
                <w:kern w:val="0"/>
                <w:sz w:val="24"/>
                <w:highlight w:val="none"/>
              </w:rPr>
            </w:pPr>
          </w:p>
        </w:tc>
        <w:tc>
          <w:tcPr>
            <w:tcW w:w="1560" w:type="dxa"/>
            <w:vAlign w:val="center"/>
          </w:tcPr>
          <w:p w14:paraId="7EFBA5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B32F0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37C9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4B2C6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40395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2A1EEC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425A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A267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9E50D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3748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98BA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2893B8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FC732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010491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0ED8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5BB345">
            <w:pPr>
              <w:widowControl/>
              <w:jc w:val="left"/>
              <w:rPr>
                <w:rFonts w:ascii="仿宋" w:hAnsi="仿宋" w:eastAsia="仿宋" w:cs="仿宋"/>
                <w:color w:val="auto"/>
                <w:kern w:val="0"/>
                <w:sz w:val="24"/>
                <w:highlight w:val="none"/>
              </w:rPr>
            </w:pPr>
          </w:p>
        </w:tc>
        <w:tc>
          <w:tcPr>
            <w:tcW w:w="1560" w:type="dxa"/>
            <w:vAlign w:val="center"/>
          </w:tcPr>
          <w:p w14:paraId="6DD1FF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EF3ED4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E4F9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9F30F9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43116D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59D08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A84E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BAC2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777018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E5FB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AAE8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0619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8E26C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07965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BBEBA3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955AE6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3DD5580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9494E8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38F0B78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572FEB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5BDDBA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3C24F04">
      <w:pPr>
        <w:widowControl/>
        <w:jc w:val="left"/>
        <w:rPr>
          <w:rFonts w:ascii="仿宋" w:hAnsi="仿宋" w:eastAsia="仿宋" w:cs="仿宋"/>
          <w:color w:val="auto"/>
          <w:kern w:val="0"/>
          <w:sz w:val="24"/>
          <w:highlight w:val="none"/>
        </w:rPr>
      </w:pPr>
    </w:p>
    <w:p w14:paraId="2566A75E">
      <w:pPr>
        <w:widowControl/>
        <w:jc w:val="left"/>
        <w:rPr>
          <w:rFonts w:ascii="仿宋" w:hAnsi="仿宋" w:eastAsia="仿宋" w:cs="仿宋"/>
          <w:color w:val="auto"/>
          <w:kern w:val="0"/>
          <w:sz w:val="24"/>
          <w:highlight w:val="none"/>
        </w:rPr>
      </w:pPr>
    </w:p>
    <w:p w14:paraId="2B193578">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4973E45">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C7D1544">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6B02CA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7C180FA">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36DCEB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812FB6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A025AB6">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CA5B147">
      <w:pPr>
        <w:widowControl/>
        <w:jc w:val="left"/>
        <w:rPr>
          <w:rFonts w:ascii="仿宋" w:hAnsi="仿宋" w:eastAsia="仿宋" w:cs="仿宋"/>
          <w:color w:val="auto"/>
          <w:kern w:val="0"/>
          <w:sz w:val="18"/>
          <w:szCs w:val="18"/>
          <w:highlight w:val="none"/>
        </w:rPr>
      </w:pPr>
    </w:p>
    <w:p w14:paraId="39B9487D">
      <w:pPr>
        <w:rPr>
          <w:rFonts w:ascii="仿宋" w:hAnsi="仿宋" w:eastAsia="仿宋" w:cs="仿宋"/>
          <w:color w:val="auto"/>
          <w:kern w:val="0"/>
          <w:sz w:val="18"/>
          <w:szCs w:val="18"/>
          <w:highlight w:val="none"/>
        </w:rPr>
      </w:pPr>
      <w:r>
        <w:rPr>
          <w:rFonts w:ascii="仿宋" w:hAnsi="仿宋" w:eastAsia="仿宋" w:cs="仿宋"/>
          <w:color w:val="auto"/>
          <w:kern w:val="0"/>
          <w:sz w:val="18"/>
          <w:szCs w:val="18"/>
          <w:highlight w:val="none"/>
        </w:rPr>
        <w:br w:type="page"/>
      </w:r>
    </w:p>
    <w:p w14:paraId="36C98C2B">
      <w:pPr>
        <w:pStyle w:val="17"/>
        <w:rPr>
          <w:color w:val="auto"/>
          <w:highlight w:val="none"/>
        </w:rPr>
      </w:pPr>
    </w:p>
    <w:p w14:paraId="16710DBF">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6FBF57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2A422124">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163193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BF440C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FABA6E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2E57303">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C32B19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4D9265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72C68DE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1BE662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5C5251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695583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279BD9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874635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328C81F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759863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DEABDF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FD76FC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2DA7FD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C875D2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6FE24E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99CB47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A291C5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536B020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39021C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3902B4CA">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659423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CA25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67A8509">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C0883B3">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849B7D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2311A618">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2D3F5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96A0C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CC1E52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8EF2E5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0C2F4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A569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E067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2FC522">
            <w:pPr>
              <w:widowControl/>
              <w:jc w:val="left"/>
              <w:rPr>
                <w:rFonts w:ascii="仿宋" w:hAnsi="仿宋" w:eastAsia="仿宋" w:cs="仿宋"/>
                <w:color w:val="auto"/>
                <w:kern w:val="0"/>
                <w:sz w:val="24"/>
                <w:highlight w:val="none"/>
              </w:rPr>
            </w:pPr>
          </w:p>
        </w:tc>
        <w:tc>
          <w:tcPr>
            <w:tcW w:w="1025" w:type="dxa"/>
            <w:vMerge w:val="continue"/>
            <w:vAlign w:val="center"/>
          </w:tcPr>
          <w:p w14:paraId="2E3B7F57">
            <w:pPr>
              <w:widowControl/>
              <w:jc w:val="left"/>
              <w:rPr>
                <w:rFonts w:ascii="仿宋" w:hAnsi="仿宋" w:eastAsia="仿宋" w:cs="仿宋"/>
                <w:color w:val="auto"/>
                <w:kern w:val="0"/>
                <w:sz w:val="24"/>
                <w:highlight w:val="none"/>
              </w:rPr>
            </w:pPr>
          </w:p>
        </w:tc>
        <w:tc>
          <w:tcPr>
            <w:tcW w:w="2836" w:type="dxa"/>
            <w:vMerge w:val="continue"/>
            <w:vAlign w:val="center"/>
          </w:tcPr>
          <w:p w14:paraId="0BF265A2">
            <w:pPr>
              <w:widowControl/>
              <w:jc w:val="left"/>
              <w:rPr>
                <w:rFonts w:ascii="仿宋" w:hAnsi="仿宋" w:eastAsia="仿宋" w:cs="仿宋"/>
                <w:color w:val="auto"/>
                <w:kern w:val="0"/>
                <w:sz w:val="24"/>
                <w:highlight w:val="none"/>
              </w:rPr>
            </w:pPr>
          </w:p>
        </w:tc>
        <w:tc>
          <w:tcPr>
            <w:tcW w:w="606" w:type="dxa"/>
            <w:vAlign w:val="center"/>
          </w:tcPr>
          <w:p w14:paraId="49DE89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ECF82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0B0B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C004D3">
            <w:pPr>
              <w:widowControl/>
              <w:jc w:val="left"/>
              <w:rPr>
                <w:rFonts w:ascii="仿宋" w:hAnsi="仿宋" w:eastAsia="仿宋" w:cs="仿宋"/>
                <w:color w:val="auto"/>
                <w:kern w:val="0"/>
                <w:sz w:val="24"/>
                <w:highlight w:val="none"/>
              </w:rPr>
            </w:pPr>
          </w:p>
        </w:tc>
        <w:tc>
          <w:tcPr>
            <w:tcW w:w="1025" w:type="dxa"/>
            <w:vMerge w:val="continue"/>
            <w:vAlign w:val="center"/>
          </w:tcPr>
          <w:p w14:paraId="206655C2">
            <w:pPr>
              <w:widowControl/>
              <w:jc w:val="left"/>
              <w:rPr>
                <w:rFonts w:ascii="仿宋" w:hAnsi="仿宋" w:eastAsia="仿宋" w:cs="仿宋"/>
                <w:color w:val="auto"/>
                <w:kern w:val="0"/>
                <w:sz w:val="24"/>
                <w:highlight w:val="none"/>
              </w:rPr>
            </w:pPr>
          </w:p>
        </w:tc>
        <w:tc>
          <w:tcPr>
            <w:tcW w:w="2836" w:type="dxa"/>
            <w:vMerge w:val="continue"/>
            <w:vAlign w:val="center"/>
          </w:tcPr>
          <w:p w14:paraId="11FBC484">
            <w:pPr>
              <w:widowControl/>
              <w:jc w:val="left"/>
              <w:rPr>
                <w:rFonts w:ascii="仿宋" w:hAnsi="仿宋" w:eastAsia="仿宋" w:cs="仿宋"/>
                <w:color w:val="auto"/>
                <w:kern w:val="0"/>
                <w:sz w:val="24"/>
                <w:highlight w:val="none"/>
              </w:rPr>
            </w:pPr>
          </w:p>
        </w:tc>
        <w:tc>
          <w:tcPr>
            <w:tcW w:w="606" w:type="dxa"/>
            <w:vAlign w:val="center"/>
          </w:tcPr>
          <w:p w14:paraId="582F68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5972C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59E7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B8A80F">
            <w:pPr>
              <w:widowControl/>
              <w:jc w:val="left"/>
              <w:rPr>
                <w:rFonts w:ascii="仿宋" w:hAnsi="仿宋" w:eastAsia="仿宋" w:cs="仿宋"/>
                <w:color w:val="auto"/>
                <w:kern w:val="0"/>
                <w:sz w:val="24"/>
                <w:highlight w:val="none"/>
              </w:rPr>
            </w:pPr>
          </w:p>
        </w:tc>
        <w:tc>
          <w:tcPr>
            <w:tcW w:w="1025" w:type="dxa"/>
            <w:vMerge w:val="restart"/>
            <w:vAlign w:val="center"/>
          </w:tcPr>
          <w:p w14:paraId="6F3FAB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25E2BA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0FD239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F14C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9AA6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036281">
            <w:pPr>
              <w:widowControl/>
              <w:jc w:val="left"/>
              <w:rPr>
                <w:rFonts w:ascii="仿宋" w:hAnsi="仿宋" w:eastAsia="仿宋" w:cs="仿宋"/>
                <w:color w:val="auto"/>
                <w:kern w:val="0"/>
                <w:sz w:val="24"/>
                <w:highlight w:val="none"/>
              </w:rPr>
            </w:pPr>
          </w:p>
        </w:tc>
        <w:tc>
          <w:tcPr>
            <w:tcW w:w="1025" w:type="dxa"/>
            <w:vMerge w:val="continue"/>
            <w:vAlign w:val="center"/>
          </w:tcPr>
          <w:p w14:paraId="1B066FB5">
            <w:pPr>
              <w:widowControl/>
              <w:jc w:val="left"/>
              <w:rPr>
                <w:rFonts w:ascii="仿宋" w:hAnsi="仿宋" w:eastAsia="仿宋" w:cs="仿宋"/>
                <w:color w:val="auto"/>
                <w:kern w:val="0"/>
                <w:sz w:val="24"/>
                <w:highlight w:val="none"/>
              </w:rPr>
            </w:pPr>
          </w:p>
        </w:tc>
        <w:tc>
          <w:tcPr>
            <w:tcW w:w="2836" w:type="dxa"/>
            <w:vMerge w:val="continue"/>
            <w:vAlign w:val="center"/>
          </w:tcPr>
          <w:p w14:paraId="446C160B">
            <w:pPr>
              <w:widowControl/>
              <w:jc w:val="left"/>
              <w:rPr>
                <w:rFonts w:ascii="仿宋" w:hAnsi="仿宋" w:eastAsia="仿宋" w:cs="仿宋"/>
                <w:color w:val="auto"/>
                <w:kern w:val="0"/>
                <w:sz w:val="24"/>
                <w:highlight w:val="none"/>
              </w:rPr>
            </w:pPr>
          </w:p>
        </w:tc>
        <w:tc>
          <w:tcPr>
            <w:tcW w:w="606" w:type="dxa"/>
            <w:vAlign w:val="center"/>
          </w:tcPr>
          <w:p w14:paraId="5FA13C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ABEA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99AB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D9F26">
            <w:pPr>
              <w:widowControl/>
              <w:jc w:val="left"/>
              <w:rPr>
                <w:rFonts w:ascii="仿宋" w:hAnsi="仿宋" w:eastAsia="仿宋" w:cs="仿宋"/>
                <w:color w:val="auto"/>
                <w:kern w:val="0"/>
                <w:sz w:val="24"/>
                <w:highlight w:val="none"/>
              </w:rPr>
            </w:pPr>
          </w:p>
        </w:tc>
        <w:tc>
          <w:tcPr>
            <w:tcW w:w="1025" w:type="dxa"/>
            <w:vMerge w:val="continue"/>
            <w:vAlign w:val="center"/>
          </w:tcPr>
          <w:p w14:paraId="122557A9">
            <w:pPr>
              <w:widowControl/>
              <w:jc w:val="left"/>
              <w:rPr>
                <w:rFonts w:ascii="仿宋" w:hAnsi="仿宋" w:eastAsia="仿宋" w:cs="仿宋"/>
                <w:color w:val="auto"/>
                <w:kern w:val="0"/>
                <w:sz w:val="24"/>
                <w:highlight w:val="none"/>
              </w:rPr>
            </w:pPr>
          </w:p>
        </w:tc>
        <w:tc>
          <w:tcPr>
            <w:tcW w:w="2836" w:type="dxa"/>
            <w:vMerge w:val="continue"/>
            <w:vAlign w:val="center"/>
          </w:tcPr>
          <w:p w14:paraId="0225CBFE">
            <w:pPr>
              <w:widowControl/>
              <w:jc w:val="left"/>
              <w:rPr>
                <w:rFonts w:ascii="仿宋" w:hAnsi="仿宋" w:eastAsia="仿宋" w:cs="仿宋"/>
                <w:color w:val="auto"/>
                <w:kern w:val="0"/>
                <w:sz w:val="24"/>
                <w:highlight w:val="none"/>
              </w:rPr>
            </w:pPr>
          </w:p>
        </w:tc>
        <w:tc>
          <w:tcPr>
            <w:tcW w:w="606" w:type="dxa"/>
            <w:vAlign w:val="center"/>
          </w:tcPr>
          <w:p w14:paraId="2D974E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EAFB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EC3E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113CD9">
            <w:pPr>
              <w:widowControl/>
              <w:jc w:val="left"/>
              <w:rPr>
                <w:rFonts w:ascii="仿宋" w:hAnsi="仿宋" w:eastAsia="仿宋" w:cs="仿宋"/>
                <w:color w:val="auto"/>
                <w:kern w:val="0"/>
                <w:sz w:val="24"/>
                <w:highlight w:val="none"/>
              </w:rPr>
            </w:pPr>
          </w:p>
        </w:tc>
        <w:tc>
          <w:tcPr>
            <w:tcW w:w="1025" w:type="dxa"/>
            <w:vMerge w:val="continue"/>
            <w:vAlign w:val="center"/>
          </w:tcPr>
          <w:p w14:paraId="709415DA">
            <w:pPr>
              <w:widowControl/>
              <w:jc w:val="left"/>
              <w:rPr>
                <w:rFonts w:ascii="仿宋" w:hAnsi="仿宋" w:eastAsia="仿宋" w:cs="仿宋"/>
                <w:color w:val="auto"/>
                <w:kern w:val="0"/>
                <w:sz w:val="24"/>
                <w:highlight w:val="none"/>
              </w:rPr>
            </w:pPr>
          </w:p>
        </w:tc>
        <w:tc>
          <w:tcPr>
            <w:tcW w:w="2836" w:type="dxa"/>
            <w:vMerge w:val="restart"/>
            <w:vAlign w:val="center"/>
          </w:tcPr>
          <w:p w14:paraId="06BBBB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E3C41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59FE5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2EE8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A93E05">
            <w:pPr>
              <w:widowControl/>
              <w:jc w:val="left"/>
              <w:rPr>
                <w:rFonts w:ascii="仿宋" w:hAnsi="仿宋" w:eastAsia="仿宋" w:cs="仿宋"/>
                <w:color w:val="auto"/>
                <w:kern w:val="0"/>
                <w:sz w:val="24"/>
                <w:highlight w:val="none"/>
              </w:rPr>
            </w:pPr>
          </w:p>
        </w:tc>
        <w:tc>
          <w:tcPr>
            <w:tcW w:w="1025" w:type="dxa"/>
            <w:vMerge w:val="continue"/>
            <w:vAlign w:val="center"/>
          </w:tcPr>
          <w:p w14:paraId="73A3C1D5">
            <w:pPr>
              <w:widowControl/>
              <w:jc w:val="left"/>
              <w:rPr>
                <w:rFonts w:ascii="仿宋" w:hAnsi="仿宋" w:eastAsia="仿宋" w:cs="仿宋"/>
                <w:color w:val="auto"/>
                <w:kern w:val="0"/>
                <w:sz w:val="24"/>
                <w:highlight w:val="none"/>
              </w:rPr>
            </w:pPr>
          </w:p>
        </w:tc>
        <w:tc>
          <w:tcPr>
            <w:tcW w:w="2836" w:type="dxa"/>
            <w:vMerge w:val="continue"/>
            <w:vAlign w:val="center"/>
          </w:tcPr>
          <w:p w14:paraId="2DEEF15D">
            <w:pPr>
              <w:widowControl/>
              <w:jc w:val="left"/>
              <w:rPr>
                <w:rFonts w:ascii="仿宋" w:hAnsi="仿宋" w:eastAsia="仿宋" w:cs="仿宋"/>
                <w:color w:val="auto"/>
                <w:kern w:val="0"/>
                <w:sz w:val="24"/>
                <w:highlight w:val="none"/>
              </w:rPr>
            </w:pPr>
          </w:p>
        </w:tc>
        <w:tc>
          <w:tcPr>
            <w:tcW w:w="606" w:type="dxa"/>
            <w:vAlign w:val="center"/>
          </w:tcPr>
          <w:p w14:paraId="75B6C8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24756E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89DD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9BFAB9">
            <w:pPr>
              <w:widowControl/>
              <w:jc w:val="left"/>
              <w:rPr>
                <w:rFonts w:ascii="仿宋" w:hAnsi="仿宋" w:eastAsia="仿宋" w:cs="仿宋"/>
                <w:color w:val="auto"/>
                <w:kern w:val="0"/>
                <w:sz w:val="24"/>
                <w:highlight w:val="none"/>
              </w:rPr>
            </w:pPr>
          </w:p>
        </w:tc>
        <w:tc>
          <w:tcPr>
            <w:tcW w:w="1025" w:type="dxa"/>
            <w:vMerge w:val="continue"/>
            <w:vAlign w:val="center"/>
          </w:tcPr>
          <w:p w14:paraId="0AF09472">
            <w:pPr>
              <w:widowControl/>
              <w:jc w:val="left"/>
              <w:rPr>
                <w:rFonts w:ascii="仿宋" w:hAnsi="仿宋" w:eastAsia="仿宋" w:cs="仿宋"/>
                <w:color w:val="auto"/>
                <w:kern w:val="0"/>
                <w:sz w:val="24"/>
                <w:highlight w:val="none"/>
              </w:rPr>
            </w:pPr>
          </w:p>
        </w:tc>
        <w:tc>
          <w:tcPr>
            <w:tcW w:w="2836" w:type="dxa"/>
            <w:vMerge w:val="continue"/>
            <w:vAlign w:val="center"/>
          </w:tcPr>
          <w:p w14:paraId="55BE4F92">
            <w:pPr>
              <w:widowControl/>
              <w:jc w:val="left"/>
              <w:rPr>
                <w:rFonts w:ascii="仿宋" w:hAnsi="仿宋" w:eastAsia="仿宋" w:cs="仿宋"/>
                <w:color w:val="auto"/>
                <w:kern w:val="0"/>
                <w:sz w:val="24"/>
                <w:highlight w:val="none"/>
              </w:rPr>
            </w:pPr>
          </w:p>
        </w:tc>
        <w:tc>
          <w:tcPr>
            <w:tcW w:w="606" w:type="dxa"/>
            <w:vAlign w:val="center"/>
          </w:tcPr>
          <w:p w14:paraId="6C323E5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AA313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1575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BE3EF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FFE63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2D5421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76D06A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EB8E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DF4E4E">
            <w:pPr>
              <w:widowControl/>
              <w:jc w:val="left"/>
              <w:rPr>
                <w:rFonts w:ascii="仿宋" w:hAnsi="仿宋" w:eastAsia="仿宋" w:cs="仿宋"/>
                <w:color w:val="auto"/>
                <w:kern w:val="0"/>
                <w:sz w:val="24"/>
                <w:highlight w:val="none"/>
              </w:rPr>
            </w:pPr>
          </w:p>
        </w:tc>
        <w:tc>
          <w:tcPr>
            <w:tcW w:w="2836" w:type="dxa"/>
            <w:vMerge w:val="continue"/>
            <w:vAlign w:val="center"/>
          </w:tcPr>
          <w:p w14:paraId="5807EAEF">
            <w:pPr>
              <w:widowControl/>
              <w:jc w:val="left"/>
              <w:rPr>
                <w:rFonts w:ascii="仿宋" w:hAnsi="仿宋" w:eastAsia="仿宋" w:cs="仿宋"/>
                <w:color w:val="auto"/>
                <w:kern w:val="0"/>
                <w:sz w:val="24"/>
                <w:highlight w:val="none"/>
              </w:rPr>
            </w:pPr>
          </w:p>
        </w:tc>
        <w:tc>
          <w:tcPr>
            <w:tcW w:w="606" w:type="dxa"/>
            <w:vAlign w:val="center"/>
          </w:tcPr>
          <w:p w14:paraId="5E8074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86CB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3300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828A05">
            <w:pPr>
              <w:widowControl/>
              <w:jc w:val="left"/>
              <w:rPr>
                <w:rFonts w:ascii="仿宋" w:hAnsi="仿宋" w:eastAsia="仿宋" w:cs="仿宋"/>
                <w:color w:val="auto"/>
                <w:kern w:val="0"/>
                <w:sz w:val="24"/>
                <w:highlight w:val="none"/>
              </w:rPr>
            </w:pPr>
          </w:p>
        </w:tc>
        <w:tc>
          <w:tcPr>
            <w:tcW w:w="2836" w:type="dxa"/>
            <w:vMerge w:val="continue"/>
            <w:vAlign w:val="center"/>
          </w:tcPr>
          <w:p w14:paraId="03186711">
            <w:pPr>
              <w:widowControl/>
              <w:jc w:val="left"/>
              <w:rPr>
                <w:rFonts w:ascii="仿宋" w:hAnsi="仿宋" w:eastAsia="仿宋" w:cs="仿宋"/>
                <w:color w:val="auto"/>
                <w:kern w:val="0"/>
                <w:sz w:val="24"/>
                <w:highlight w:val="none"/>
              </w:rPr>
            </w:pPr>
          </w:p>
        </w:tc>
        <w:tc>
          <w:tcPr>
            <w:tcW w:w="606" w:type="dxa"/>
            <w:vAlign w:val="center"/>
          </w:tcPr>
          <w:p w14:paraId="4B1B6D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4E4F7F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E67D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202E2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A853B6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48454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131A1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18AEA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95C589">
            <w:pPr>
              <w:widowControl/>
              <w:jc w:val="left"/>
              <w:rPr>
                <w:rFonts w:ascii="仿宋" w:hAnsi="仿宋" w:eastAsia="仿宋" w:cs="仿宋"/>
                <w:color w:val="auto"/>
                <w:kern w:val="0"/>
                <w:sz w:val="24"/>
                <w:highlight w:val="none"/>
              </w:rPr>
            </w:pPr>
          </w:p>
        </w:tc>
        <w:tc>
          <w:tcPr>
            <w:tcW w:w="2836" w:type="dxa"/>
            <w:vMerge w:val="continue"/>
            <w:vAlign w:val="center"/>
          </w:tcPr>
          <w:p w14:paraId="568C59CA">
            <w:pPr>
              <w:widowControl/>
              <w:jc w:val="left"/>
              <w:rPr>
                <w:rFonts w:ascii="仿宋" w:hAnsi="仿宋" w:eastAsia="仿宋" w:cs="仿宋"/>
                <w:color w:val="auto"/>
                <w:kern w:val="0"/>
                <w:sz w:val="24"/>
                <w:highlight w:val="none"/>
              </w:rPr>
            </w:pPr>
          </w:p>
        </w:tc>
        <w:tc>
          <w:tcPr>
            <w:tcW w:w="606" w:type="dxa"/>
            <w:vAlign w:val="center"/>
          </w:tcPr>
          <w:p w14:paraId="26A1986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81CF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F506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05ECB6">
            <w:pPr>
              <w:widowControl/>
              <w:jc w:val="left"/>
              <w:rPr>
                <w:rFonts w:ascii="仿宋" w:hAnsi="仿宋" w:eastAsia="仿宋" w:cs="仿宋"/>
                <w:color w:val="auto"/>
                <w:kern w:val="0"/>
                <w:sz w:val="24"/>
                <w:highlight w:val="none"/>
              </w:rPr>
            </w:pPr>
          </w:p>
        </w:tc>
        <w:tc>
          <w:tcPr>
            <w:tcW w:w="2836" w:type="dxa"/>
            <w:vMerge w:val="continue"/>
            <w:vAlign w:val="center"/>
          </w:tcPr>
          <w:p w14:paraId="230CF86A">
            <w:pPr>
              <w:widowControl/>
              <w:jc w:val="left"/>
              <w:rPr>
                <w:rFonts w:ascii="仿宋" w:hAnsi="仿宋" w:eastAsia="仿宋" w:cs="仿宋"/>
                <w:color w:val="auto"/>
                <w:kern w:val="0"/>
                <w:sz w:val="24"/>
                <w:highlight w:val="none"/>
              </w:rPr>
            </w:pPr>
          </w:p>
        </w:tc>
        <w:tc>
          <w:tcPr>
            <w:tcW w:w="606" w:type="dxa"/>
            <w:vAlign w:val="center"/>
          </w:tcPr>
          <w:p w14:paraId="1A4D6C9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1C270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3576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53292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2CB75FB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402FBF0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AD7981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9089B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FD16F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8240CD">
            <w:pPr>
              <w:widowControl/>
              <w:jc w:val="left"/>
              <w:rPr>
                <w:rFonts w:ascii="仿宋" w:hAnsi="仿宋" w:eastAsia="仿宋" w:cs="仿宋"/>
                <w:color w:val="auto"/>
                <w:kern w:val="0"/>
                <w:sz w:val="24"/>
                <w:highlight w:val="none"/>
              </w:rPr>
            </w:pPr>
          </w:p>
        </w:tc>
        <w:tc>
          <w:tcPr>
            <w:tcW w:w="1025" w:type="dxa"/>
            <w:vMerge w:val="continue"/>
            <w:vAlign w:val="center"/>
          </w:tcPr>
          <w:p w14:paraId="0B496E39">
            <w:pPr>
              <w:widowControl/>
              <w:jc w:val="left"/>
              <w:rPr>
                <w:rFonts w:ascii="仿宋" w:hAnsi="仿宋" w:eastAsia="仿宋" w:cs="仿宋"/>
                <w:color w:val="auto"/>
                <w:kern w:val="0"/>
                <w:sz w:val="24"/>
                <w:highlight w:val="none"/>
              </w:rPr>
            </w:pPr>
          </w:p>
        </w:tc>
        <w:tc>
          <w:tcPr>
            <w:tcW w:w="2836" w:type="dxa"/>
            <w:vMerge w:val="continue"/>
            <w:vAlign w:val="center"/>
          </w:tcPr>
          <w:p w14:paraId="722BA1E0">
            <w:pPr>
              <w:widowControl/>
              <w:jc w:val="left"/>
              <w:rPr>
                <w:rFonts w:ascii="仿宋" w:hAnsi="仿宋" w:eastAsia="仿宋" w:cs="仿宋"/>
                <w:color w:val="auto"/>
                <w:kern w:val="0"/>
                <w:sz w:val="24"/>
                <w:highlight w:val="none"/>
              </w:rPr>
            </w:pPr>
          </w:p>
        </w:tc>
        <w:tc>
          <w:tcPr>
            <w:tcW w:w="606" w:type="dxa"/>
            <w:vAlign w:val="center"/>
          </w:tcPr>
          <w:p w14:paraId="21EE7C1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EF52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4680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06DFAF">
            <w:pPr>
              <w:widowControl/>
              <w:jc w:val="left"/>
              <w:rPr>
                <w:rFonts w:ascii="仿宋" w:hAnsi="仿宋" w:eastAsia="仿宋" w:cs="仿宋"/>
                <w:color w:val="auto"/>
                <w:kern w:val="0"/>
                <w:sz w:val="24"/>
                <w:highlight w:val="none"/>
              </w:rPr>
            </w:pPr>
          </w:p>
        </w:tc>
        <w:tc>
          <w:tcPr>
            <w:tcW w:w="1025" w:type="dxa"/>
            <w:vMerge w:val="continue"/>
            <w:vAlign w:val="center"/>
          </w:tcPr>
          <w:p w14:paraId="76A0F647">
            <w:pPr>
              <w:widowControl/>
              <w:jc w:val="left"/>
              <w:rPr>
                <w:rFonts w:ascii="仿宋" w:hAnsi="仿宋" w:eastAsia="仿宋" w:cs="仿宋"/>
                <w:color w:val="auto"/>
                <w:kern w:val="0"/>
                <w:sz w:val="24"/>
                <w:highlight w:val="none"/>
              </w:rPr>
            </w:pPr>
          </w:p>
        </w:tc>
        <w:tc>
          <w:tcPr>
            <w:tcW w:w="2836" w:type="dxa"/>
            <w:vMerge w:val="continue"/>
            <w:vAlign w:val="center"/>
          </w:tcPr>
          <w:p w14:paraId="39733F75">
            <w:pPr>
              <w:widowControl/>
              <w:jc w:val="left"/>
              <w:rPr>
                <w:rFonts w:ascii="仿宋" w:hAnsi="仿宋" w:eastAsia="仿宋" w:cs="仿宋"/>
                <w:color w:val="auto"/>
                <w:kern w:val="0"/>
                <w:sz w:val="24"/>
                <w:highlight w:val="none"/>
              </w:rPr>
            </w:pPr>
          </w:p>
        </w:tc>
        <w:tc>
          <w:tcPr>
            <w:tcW w:w="606" w:type="dxa"/>
            <w:vAlign w:val="center"/>
          </w:tcPr>
          <w:p w14:paraId="6E7565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985E7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65DB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808F6">
            <w:pPr>
              <w:widowControl/>
              <w:jc w:val="left"/>
              <w:rPr>
                <w:rFonts w:ascii="仿宋" w:hAnsi="仿宋" w:eastAsia="仿宋" w:cs="仿宋"/>
                <w:color w:val="auto"/>
                <w:kern w:val="0"/>
                <w:sz w:val="24"/>
                <w:highlight w:val="none"/>
              </w:rPr>
            </w:pPr>
          </w:p>
        </w:tc>
        <w:tc>
          <w:tcPr>
            <w:tcW w:w="1025" w:type="dxa"/>
            <w:vMerge w:val="restart"/>
            <w:vAlign w:val="center"/>
          </w:tcPr>
          <w:p w14:paraId="573BE2D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2149E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370FD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7432B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FB2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007AB9">
            <w:pPr>
              <w:widowControl/>
              <w:jc w:val="left"/>
              <w:rPr>
                <w:rFonts w:ascii="仿宋" w:hAnsi="仿宋" w:eastAsia="仿宋" w:cs="仿宋"/>
                <w:color w:val="auto"/>
                <w:kern w:val="0"/>
                <w:sz w:val="24"/>
                <w:highlight w:val="none"/>
              </w:rPr>
            </w:pPr>
          </w:p>
        </w:tc>
        <w:tc>
          <w:tcPr>
            <w:tcW w:w="1025" w:type="dxa"/>
            <w:vMerge w:val="continue"/>
            <w:vAlign w:val="center"/>
          </w:tcPr>
          <w:p w14:paraId="40F8245B">
            <w:pPr>
              <w:widowControl/>
              <w:jc w:val="left"/>
              <w:rPr>
                <w:rFonts w:ascii="仿宋" w:hAnsi="仿宋" w:eastAsia="仿宋" w:cs="仿宋"/>
                <w:color w:val="auto"/>
                <w:kern w:val="0"/>
                <w:sz w:val="24"/>
                <w:highlight w:val="none"/>
              </w:rPr>
            </w:pPr>
          </w:p>
        </w:tc>
        <w:tc>
          <w:tcPr>
            <w:tcW w:w="2836" w:type="dxa"/>
            <w:vMerge w:val="continue"/>
            <w:vAlign w:val="center"/>
          </w:tcPr>
          <w:p w14:paraId="2DB0ADFB">
            <w:pPr>
              <w:widowControl/>
              <w:jc w:val="left"/>
              <w:rPr>
                <w:rFonts w:ascii="仿宋" w:hAnsi="仿宋" w:eastAsia="仿宋" w:cs="仿宋"/>
                <w:color w:val="auto"/>
                <w:kern w:val="0"/>
                <w:sz w:val="24"/>
                <w:highlight w:val="none"/>
              </w:rPr>
            </w:pPr>
          </w:p>
        </w:tc>
        <w:tc>
          <w:tcPr>
            <w:tcW w:w="606" w:type="dxa"/>
            <w:vAlign w:val="center"/>
          </w:tcPr>
          <w:p w14:paraId="63051F4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7E60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4505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1EB0D9">
            <w:pPr>
              <w:widowControl/>
              <w:jc w:val="left"/>
              <w:rPr>
                <w:rFonts w:ascii="仿宋" w:hAnsi="仿宋" w:eastAsia="仿宋" w:cs="仿宋"/>
                <w:color w:val="auto"/>
                <w:kern w:val="0"/>
                <w:sz w:val="24"/>
                <w:highlight w:val="none"/>
              </w:rPr>
            </w:pPr>
          </w:p>
        </w:tc>
        <w:tc>
          <w:tcPr>
            <w:tcW w:w="1025" w:type="dxa"/>
            <w:vMerge w:val="continue"/>
            <w:vAlign w:val="center"/>
          </w:tcPr>
          <w:p w14:paraId="12F84DC0">
            <w:pPr>
              <w:widowControl/>
              <w:jc w:val="left"/>
              <w:rPr>
                <w:rFonts w:ascii="仿宋" w:hAnsi="仿宋" w:eastAsia="仿宋" w:cs="仿宋"/>
                <w:color w:val="auto"/>
                <w:kern w:val="0"/>
                <w:sz w:val="24"/>
                <w:highlight w:val="none"/>
              </w:rPr>
            </w:pPr>
          </w:p>
        </w:tc>
        <w:tc>
          <w:tcPr>
            <w:tcW w:w="2836" w:type="dxa"/>
            <w:vMerge w:val="continue"/>
            <w:vAlign w:val="center"/>
          </w:tcPr>
          <w:p w14:paraId="42684076">
            <w:pPr>
              <w:widowControl/>
              <w:jc w:val="left"/>
              <w:rPr>
                <w:rFonts w:ascii="仿宋" w:hAnsi="仿宋" w:eastAsia="仿宋" w:cs="仿宋"/>
                <w:color w:val="auto"/>
                <w:kern w:val="0"/>
                <w:sz w:val="24"/>
                <w:highlight w:val="none"/>
              </w:rPr>
            </w:pPr>
          </w:p>
        </w:tc>
        <w:tc>
          <w:tcPr>
            <w:tcW w:w="606" w:type="dxa"/>
            <w:vAlign w:val="center"/>
          </w:tcPr>
          <w:p w14:paraId="2300C1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B361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CCFF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89DC0A">
            <w:pPr>
              <w:widowControl/>
              <w:jc w:val="left"/>
              <w:rPr>
                <w:rFonts w:ascii="仿宋" w:hAnsi="仿宋" w:eastAsia="仿宋" w:cs="仿宋"/>
                <w:color w:val="auto"/>
                <w:kern w:val="0"/>
                <w:sz w:val="24"/>
                <w:highlight w:val="none"/>
              </w:rPr>
            </w:pPr>
          </w:p>
        </w:tc>
        <w:tc>
          <w:tcPr>
            <w:tcW w:w="1025" w:type="dxa"/>
            <w:vMerge w:val="restart"/>
            <w:vAlign w:val="center"/>
          </w:tcPr>
          <w:p w14:paraId="7DCDF4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AF0A4F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1D3040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A84B0B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165F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D7292F">
            <w:pPr>
              <w:widowControl/>
              <w:jc w:val="left"/>
              <w:rPr>
                <w:rFonts w:ascii="仿宋" w:hAnsi="仿宋" w:eastAsia="仿宋" w:cs="仿宋"/>
                <w:color w:val="auto"/>
                <w:kern w:val="0"/>
                <w:sz w:val="24"/>
                <w:highlight w:val="none"/>
              </w:rPr>
            </w:pPr>
          </w:p>
        </w:tc>
        <w:tc>
          <w:tcPr>
            <w:tcW w:w="1025" w:type="dxa"/>
            <w:vMerge w:val="continue"/>
            <w:vAlign w:val="center"/>
          </w:tcPr>
          <w:p w14:paraId="7EA6C688">
            <w:pPr>
              <w:widowControl/>
              <w:jc w:val="left"/>
              <w:rPr>
                <w:rFonts w:ascii="仿宋" w:hAnsi="仿宋" w:eastAsia="仿宋" w:cs="仿宋"/>
                <w:color w:val="auto"/>
                <w:kern w:val="0"/>
                <w:sz w:val="24"/>
                <w:highlight w:val="none"/>
              </w:rPr>
            </w:pPr>
          </w:p>
        </w:tc>
        <w:tc>
          <w:tcPr>
            <w:tcW w:w="2836" w:type="dxa"/>
            <w:vMerge w:val="continue"/>
            <w:vAlign w:val="center"/>
          </w:tcPr>
          <w:p w14:paraId="5F9735EF">
            <w:pPr>
              <w:widowControl/>
              <w:jc w:val="left"/>
              <w:rPr>
                <w:rFonts w:ascii="仿宋" w:hAnsi="仿宋" w:eastAsia="仿宋" w:cs="仿宋"/>
                <w:color w:val="auto"/>
                <w:kern w:val="0"/>
                <w:sz w:val="24"/>
                <w:highlight w:val="none"/>
              </w:rPr>
            </w:pPr>
          </w:p>
        </w:tc>
        <w:tc>
          <w:tcPr>
            <w:tcW w:w="606" w:type="dxa"/>
            <w:vAlign w:val="center"/>
          </w:tcPr>
          <w:p w14:paraId="5AD049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FB9D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B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091113">
            <w:pPr>
              <w:widowControl/>
              <w:jc w:val="left"/>
              <w:rPr>
                <w:rFonts w:ascii="仿宋" w:hAnsi="仿宋" w:eastAsia="仿宋" w:cs="仿宋"/>
                <w:color w:val="auto"/>
                <w:kern w:val="0"/>
                <w:sz w:val="24"/>
                <w:highlight w:val="none"/>
              </w:rPr>
            </w:pPr>
          </w:p>
        </w:tc>
        <w:tc>
          <w:tcPr>
            <w:tcW w:w="1025" w:type="dxa"/>
            <w:vMerge w:val="continue"/>
            <w:vAlign w:val="center"/>
          </w:tcPr>
          <w:p w14:paraId="24B4FF1D">
            <w:pPr>
              <w:widowControl/>
              <w:jc w:val="left"/>
              <w:rPr>
                <w:rFonts w:ascii="仿宋" w:hAnsi="仿宋" w:eastAsia="仿宋" w:cs="仿宋"/>
                <w:color w:val="auto"/>
                <w:kern w:val="0"/>
                <w:sz w:val="24"/>
                <w:highlight w:val="none"/>
              </w:rPr>
            </w:pPr>
          </w:p>
        </w:tc>
        <w:tc>
          <w:tcPr>
            <w:tcW w:w="2836" w:type="dxa"/>
            <w:vMerge w:val="continue"/>
            <w:vAlign w:val="center"/>
          </w:tcPr>
          <w:p w14:paraId="70852257">
            <w:pPr>
              <w:widowControl/>
              <w:jc w:val="left"/>
              <w:rPr>
                <w:rFonts w:ascii="仿宋" w:hAnsi="仿宋" w:eastAsia="仿宋" w:cs="仿宋"/>
                <w:color w:val="auto"/>
                <w:kern w:val="0"/>
                <w:sz w:val="24"/>
                <w:highlight w:val="none"/>
              </w:rPr>
            </w:pPr>
          </w:p>
        </w:tc>
        <w:tc>
          <w:tcPr>
            <w:tcW w:w="606" w:type="dxa"/>
            <w:vAlign w:val="center"/>
          </w:tcPr>
          <w:p w14:paraId="6895A8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5E3641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16E9D6F">
      <w:pPr>
        <w:spacing w:line="360" w:lineRule="auto"/>
        <w:rPr>
          <w:rFonts w:ascii="宋体" w:hAnsi="宋体" w:cs="宋体"/>
          <w:bCs/>
          <w:color w:val="auto"/>
          <w:sz w:val="24"/>
          <w:highlight w:val="none"/>
        </w:rPr>
      </w:pPr>
    </w:p>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DejaVu Math TeX Gyre"/>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_GB2312"/>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Times New Roman"/>
    <w:panose1 w:val="020B0604020202020204"/>
    <w:charset w:val="00"/>
    <w:family w:val="roman"/>
    <w:pitch w:val="default"/>
    <w:sig w:usb0="00000000" w:usb1="00000000" w:usb2="00000000" w:usb3="00000000" w:csb0="00000001"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華康中楷體">
    <w:altName w:val="Microsoft JhengHei"/>
    <w:panose1 w:val="00000000000000000000"/>
    <w:charset w:val="88"/>
    <w:family w:val="modern"/>
    <w:pitch w:val="default"/>
    <w:sig w:usb0="00000000" w:usb1="00000000" w:usb2="00000010" w:usb3="00000000" w:csb0="00100000"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Book Antiqua">
    <w:panose1 w:val="02040602050305030304"/>
    <w:charset w:val="00"/>
    <w:family w:val="roman"/>
    <w:pitch w:val="default"/>
    <w:sig w:usb0="00000287" w:usb1="00000000" w:usb2="00000000" w:usb3="00000000" w:csb0="2000009F" w:csb1="DFD70000"/>
  </w:font>
  <w:font w:name="方正楷体_GBK">
    <w:altName w:val="微软雅黑"/>
    <w:panose1 w:val="02000000000000000000"/>
    <w:charset w:val="86"/>
    <w:family w:val="auto"/>
    <w:pitch w:val="default"/>
    <w:sig w:usb0="00000000" w:usb1="00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Sitka Text">
    <w:panose1 w:val="02000505000000020004"/>
    <w:charset w:val="00"/>
    <w:family w:val="auto"/>
    <w:pitch w:val="default"/>
    <w:sig w:usb0="A00002EF" w:usb1="4000204B" w:usb2="00000000" w:usb3="00000000" w:csb0="2000019F" w:csb1="00000000"/>
  </w:font>
  <w:font w:name="Segoe UI Semilight">
    <w:panose1 w:val="020B0402040204020203"/>
    <w:charset w:val="00"/>
    <w:family w:val="auto"/>
    <w:pitch w:val="default"/>
    <w:sig w:usb0="E4002EFF" w:usb1="C000E47F" w:usb2="00000009" w:usb3="00000000" w:csb0="200001FF"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C943A">
    <w:pPr>
      <w:pStyle w:val="4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92D40">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2192D40">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4313">
    <w:pPr>
      <w:pStyle w:val="41"/>
      <w:framePr w:wrap="around" w:vAnchor="text" w:hAnchor="margin" w:xAlign="right" w:y="1"/>
      <w:rPr>
        <w:rStyle w:val="74"/>
      </w:rPr>
    </w:pPr>
    <w:r>
      <w:fldChar w:fldCharType="begin"/>
    </w:r>
    <w:r>
      <w:rPr>
        <w:rStyle w:val="74"/>
      </w:rPr>
      <w:instrText xml:space="preserve">PAGE  </w:instrText>
    </w:r>
    <w:r>
      <w:fldChar w:fldCharType="end"/>
    </w:r>
  </w:p>
  <w:p w14:paraId="6B8664C3">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3B3D">
    <w:pPr>
      <w:pStyle w:val="41"/>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D55F3">
                          <w:pPr>
                            <w:pStyle w:val="41"/>
                            <w:jc w:val="center"/>
                          </w:pPr>
                          <w:r>
                            <w:t xml:space="preserve">第 </w:t>
                          </w:r>
                          <w:r>
                            <w:fldChar w:fldCharType="begin"/>
                          </w:r>
                          <w:r>
                            <w:instrText xml:space="preserve"> PAGE  \* MERGEFORMAT </w:instrText>
                          </w:r>
                          <w:r>
                            <w:fldChar w:fldCharType="separate"/>
                          </w:r>
                          <w:r>
                            <w:t>152</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AFD55F3">
                    <w:pPr>
                      <w:pStyle w:val="41"/>
                      <w:jc w:val="center"/>
                    </w:pPr>
                    <w:r>
                      <w:t xml:space="preserve">第 </w:t>
                    </w:r>
                    <w:r>
                      <w:fldChar w:fldCharType="begin"/>
                    </w:r>
                    <w:r>
                      <w:instrText xml:space="preserve"> PAGE  \* MERGEFORMAT </w:instrText>
                    </w:r>
                    <w:r>
                      <w:fldChar w:fldCharType="separate"/>
                    </w:r>
                    <w:r>
                      <w:t>152</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v:textbox>
            </v:shape>
          </w:pict>
        </mc:Fallback>
      </mc:AlternateContent>
    </w:r>
  </w:p>
  <w:p w14:paraId="7263F0C9">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80673">
    <w:pPr>
      <w:pStyle w:val="4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AC51E">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9CAC51E">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4317C">
    <w:pPr>
      <w:pStyle w:val="41"/>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10D6C">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8D10D6C">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v:textbox>
            </v:shape>
          </w:pict>
        </mc:Fallback>
      </mc:AlternateContent>
    </w:r>
    <w:sdt>
      <w:sdtPr>
        <w:id w:val="2751659"/>
        <w:docPartObj>
          <w:docPartGallery w:val="autotext"/>
        </w:docPartObj>
      </w:sdtPr>
      <w:sdtContent/>
    </w:sdt>
  </w:p>
  <w:p w14:paraId="27EDAF9E">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6411F">
    <w:pPr>
      <w:pStyle w:val="4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AD728">
                          <w:pPr>
                            <w:pStyle w:val="62"/>
                            <w:rPr>
                              <w:sz w:val="18"/>
                              <w:szCs w:val="18"/>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w:t>
                          </w:r>
                          <w:r>
                            <w:rPr>
                              <w:sz w:val="18"/>
                              <w:szCs w:val="18"/>
                            </w:rPr>
                            <w:fldChar w:fldCharType="end"/>
                          </w:r>
                          <w:r>
                            <w:rPr>
                              <w:sz w:val="18"/>
                              <w:szCs w:val="18"/>
                            </w:rPr>
                            <w:t xml:space="preserve"> 页 共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176</w:t>
                          </w:r>
                          <w:r>
                            <w:rPr>
                              <w:sz w:val="18"/>
                              <w:szCs w:val="18"/>
                            </w:rPr>
                            <w:fldChar w:fldCharType="end"/>
                          </w:r>
                          <w:r>
                            <w:rPr>
                              <w:sz w:val="18"/>
                              <w:szCs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2AD728">
                    <w:pPr>
                      <w:pStyle w:val="62"/>
                      <w:rPr>
                        <w:sz w:val="18"/>
                        <w:szCs w:val="18"/>
                      </w:rPr>
                    </w:pPr>
                    <w:r>
                      <w:rPr>
                        <w:sz w:val="18"/>
                        <w:szCs w:val="18"/>
                      </w:rPr>
                      <w:t xml:space="preserve">第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3</w:t>
                    </w:r>
                    <w:r>
                      <w:rPr>
                        <w:sz w:val="18"/>
                        <w:szCs w:val="18"/>
                      </w:rPr>
                      <w:fldChar w:fldCharType="end"/>
                    </w:r>
                    <w:r>
                      <w:rPr>
                        <w:sz w:val="18"/>
                        <w:szCs w:val="18"/>
                      </w:rPr>
                      <w:t xml:space="preserve"> 页 共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176</w:t>
                    </w:r>
                    <w:r>
                      <w:rPr>
                        <w:sz w:val="18"/>
                        <w:szCs w:val="18"/>
                      </w:rPr>
                      <w:fldChar w:fldCharType="end"/>
                    </w:r>
                    <w:r>
                      <w:rPr>
                        <w:sz w:val="18"/>
                        <w:szCs w:val="18"/>
                      </w:rPr>
                      <w:t xml:space="preserve"> 页</w:t>
                    </w:r>
                  </w:p>
                </w:txbxContent>
              </v:textbox>
            </v:shape>
          </w:pict>
        </mc:Fallback>
      </mc:AlternateContent>
    </w:r>
  </w:p>
  <w:p w14:paraId="4352CCBA">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526B2">
    <w:pPr>
      <w:widowControl w:val="0"/>
      <w:snapToGrid w:val="0"/>
      <w:jc w:val="center"/>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3665" distR="113665" simplePos="0" relativeHeight="251659264" behindDoc="0" locked="0" layoutInCell="1" allowOverlap="1">
              <wp:simplePos x="0" y="0"/>
              <wp:positionH relativeFrom="margin">
                <wp:posOffset>2422525</wp:posOffset>
              </wp:positionH>
              <wp:positionV relativeFrom="paragraph">
                <wp:posOffset>3175</wp:posOffset>
              </wp:positionV>
              <wp:extent cx="971550" cy="147955"/>
              <wp:effectExtent l="0" t="0" r="0" b="0"/>
              <wp:wrapNone/>
              <wp:docPr id="11" name="文本框 6"/>
              <wp:cNvGraphicFramePr/>
              <a:graphic xmlns:a="http://schemas.openxmlformats.org/drawingml/2006/main">
                <a:graphicData uri="http://schemas.microsoft.com/office/word/2010/wordprocessingShape">
                  <wps:wsp>
                    <wps:cNvSpPr/>
                    <wps:spPr>
                      <a:xfrm>
                        <a:off x="0" y="0"/>
                        <a:ext cx="971550" cy="148018"/>
                      </a:xfrm>
                      <a:prstGeom prst="rect">
                        <a:avLst/>
                      </a:prstGeom>
                      <a:noFill/>
                      <a:ln w="6350" cap="flat" cmpd="sng">
                        <a:noFill/>
                        <a:prstDash val="solid"/>
                        <a:round/>
                      </a:ln>
                    </wps:spPr>
                    <wps:txbx>
                      <w:txbxContent>
                        <w:p w14:paraId="5660A09A">
                          <w:pPr>
                            <w:widowControl w:val="0"/>
                            <w:snapToGrid w:val="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t xml:space="preserve">第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页 共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NUMPAGES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176</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页</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left:190.75pt;margin-top:0.25pt;height:11.65pt;width:76.5pt;mso-position-horizontal-relative:margin;mso-wrap-style:none;z-index:251659264;mso-width-relative:page;mso-height-relative:page;" filled="f" stroked="f" coordsize="21600,21600" o:gfxdata="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iuGnaAAAABwEAAA8AAAAAAAAAAQAgAAAAIgAAAGRy&#10;cy9kb3ducmV2LnhtbFBLAQIUABQAAAAIAIdO4kBwiNBqAwIAAPUDAAAOAAAAAAAAAAEAIAAAACkB&#10;AABkcnMvZTJvRG9jLnhtbFBLBQYAAAAABgAGAFkBAACeBQAAAAA=&#10;">
              <v:fill on="f" focussize="0,0"/>
              <v:stroke on="f" weight="0.5pt" joinstyle="round"/>
              <v:imagedata o:title=""/>
              <o:lock v:ext="edit" aspectratio="f"/>
              <v:textbox inset="0mm,0mm,0mm,0mm" style="mso-fit-shape-to-text:t;">
                <w:txbxContent>
                  <w:p w14:paraId="5660A09A">
                    <w:pPr>
                      <w:widowControl w:val="0"/>
                      <w:snapToGrid w:val="0"/>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t xml:space="preserve">第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PAGE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页 共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NUMPAGES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176</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页</w:t>
                    </w:r>
                  </w:p>
                </w:txbxContent>
              </v:textbox>
            </v:rect>
          </w:pict>
        </mc:Fallback>
      </mc:AlternateContent>
    </w:r>
  </w:p>
  <w:p w14:paraId="410CD6B3">
    <w:pPr>
      <w:widowControl w:val="0"/>
      <w:snapToGrid w:val="0"/>
      <w:rPr>
        <w:rFonts w:ascii="Times New Roman" w:hAnsi="Times New Roman"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61614">
    <w:pPr>
      <w:pStyle w:val="41"/>
      <w:jc w:val="center"/>
    </w:pPr>
    <w:r>
      <mc:AlternateContent>
        <mc:Choice Requires="wps">
          <w:drawing>
            <wp:anchor distT="0" distB="0" distL="113665" distR="113665" simplePos="0" relativeHeight="251664384" behindDoc="0" locked="0" layoutInCell="1" allowOverlap="1">
              <wp:simplePos x="0" y="0"/>
              <wp:positionH relativeFrom="margin">
                <wp:align>center</wp:align>
              </wp:positionH>
              <wp:positionV relativeFrom="paragraph">
                <wp:posOffset>0</wp:posOffset>
              </wp:positionV>
              <wp:extent cx="1028700" cy="147955"/>
              <wp:effectExtent l="0" t="0" r="0" b="0"/>
              <wp:wrapNone/>
              <wp:docPr id="9" name="文本框 6"/>
              <wp:cNvGraphicFramePr/>
              <a:graphic xmlns:a="http://schemas.openxmlformats.org/drawingml/2006/main">
                <a:graphicData uri="http://schemas.microsoft.com/office/word/2010/wordprocessingShape">
                  <wps:wsp>
                    <wps:cNvSpPr/>
                    <wps:spPr>
                      <a:xfrm>
                        <a:off x="0" y="0"/>
                        <a:ext cx="1028700" cy="148018"/>
                      </a:xfrm>
                      <a:prstGeom prst="rect">
                        <a:avLst/>
                      </a:prstGeom>
                      <a:noFill/>
                      <a:ln w="6350" cap="flat" cmpd="sng">
                        <a:noFill/>
                        <a:prstDash val="solid"/>
                        <a:round/>
                      </a:ln>
                    </wps:spPr>
                    <wps:txbx>
                      <w:txbxContent>
                        <w:p w14:paraId="6858C29D">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1.65pt;width:81pt;mso-position-horizontal:center;mso-position-horizontal-relative:margin;mso-wrap-style:none;z-index:251664384;mso-width-relative:page;mso-height-relative:page;" filled="f" stroked="f" coordsize="21600,21600" o:gfxdata="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COmd9YAAAAEAQAADwAAAAAAAAABACAAAAAiAAAAZHJzL2Rv&#10;d25yZXYueG1sUEsBAhQAFAAAAAgAh07iQHlgjiEDAgAA9QMAAA4AAAAAAAAAAQAgAAAAJQEAAGRy&#10;cy9lMm9Eb2MueG1sUEsFBgAAAAAGAAYAWQEAAJoFAAAAAA==&#10;">
              <v:fill on="f" focussize="0,0"/>
              <v:stroke on="f" weight="0.5pt" joinstyle="round"/>
              <v:imagedata o:title=""/>
              <o:lock v:ext="edit" aspectratio="f"/>
              <v:textbox inset="0mm,0mm,0mm,0mm" style="mso-fit-shape-to-text:t;">
                <w:txbxContent>
                  <w:p w14:paraId="6858C29D">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v:textbox>
            </v:rect>
          </w:pict>
        </mc:Fallback>
      </mc:AlternateContent>
    </w:r>
  </w:p>
  <w:p w14:paraId="2564043F">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B2B95">
    <w:pPr>
      <w:pStyle w:val="4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7005B">
                          <w:pPr>
                            <w:pStyle w:val="6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FB7005B">
                    <w:pPr>
                      <w:pStyle w:val="6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v:textbox>
            </v:shape>
          </w:pict>
        </mc:Fallback>
      </mc:AlternateContent>
    </w:r>
  </w:p>
  <w:p w14:paraId="0FC74EF2">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C822C">
    <w:pPr>
      <w:pStyle w:val="41"/>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6064B">
                          <w:pPr>
                            <w:pStyle w:val="6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316064B">
                    <w:pPr>
                      <w:pStyle w:val="6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v:textbox>
            </v:shape>
          </w:pict>
        </mc:Fallback>
      </mc:AlternateContent>
    </w:r>
  </w:p>
  <w:p w14:paraId="6049DCD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DD9EF">
    <w:pPr>
      <w:pStyle w:val="41"/>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37F22">
                          <w:pPr>
                            <w:pStyle w:val="41"/>
                            <w:jc w:val="center"/>
                          </w:pPr>
                          <w:r>
                            <w:t xml:space="preserve">第 </w:t>
                          </w:r>
                          <w:r>
                            <w:fldChar w:fldCharType="begin"/>
                          </w:r>
                          <w:r>
                            <w:instrText xml:space="preserve"> PAGE  \* MERGEFORMAT </w:instrText>
                          </w:r>
                          <w:r>
                            <w:fldChar w:fldCharType="separate"/>
                          </w:r>
                          <w:r>
                            <w:t>154</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4F37F22">
                    <w:pPr>
                      <w:pStyle w:val="41"/>
                      <w:jc w:val="center"/>
                    </w:pPr>
                    <w:r>
                      <w:t xml:space="preserve">第 </w:t>
                    </w:r>
                    <w:r>
                      <w:fldChar w:fldCharType="begin"/>
                    </w:r>
                    <w:r>
                      <w:instrText xml:space="preserve"> PAGE  \* MERGEFORMAT </w:instrText>
                    </w:r>
                    <w:r>
                      <w:fldChar w:fldCharType="separate"/>
                    </w:r>
                    <w:r>
                      <w:t>154</w:t>
                    </w:r>
                    <w:r>
                      <w:fldChar w:fldCharType="end"/>
                    </w:r>
                    <w:r>
                      <w:t xml:space="preserve"> 页 共 </w:t>
                    </w:r>
                    <w:r>
                      <w:fldChar w:fldCharType="begin"/>
                    </w:r>
                    <w:r>
                      <w:instrText xml:space="preserve"> NUMPAGES  \* MERGEFORMAT </w:instrText>
                    </w:r>
                    <w:r>
                      <w:fldChar w:fldCharType="separate"/>
                    </w:r>
                    <w:r>
                      <w:t>176</w:t>
                    </w:r>
                    <w:r>
                      <w:fldChar w:fldCharType="end"/>
                    </w:r>
                    <w:r>
                      <w:t xml:space="preserve"> 页</w:t>
                    </w:r>
                  </w:p>
                </w:txbxContent>
              </v:textbox>
            </v:shape>
          </w:pict>
        </mc:Fallback>
      </mc:AlternateContent>
    </w:r>
  </w:p>
  <w:p w14:paraId="117EBFC8">
    <w:pPr>
      <w:pStyle w:val="41"/>
      <w:rPr>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ED691">
    <w:pPr>
      <w:pStyle w:val="42"/>
      <w:ind w:firstLine="360" w:firstLineChars="200"/>
      <w:jc w:val="left"/>
    </w:pPr>
    <w:r>
      <w:rPr>
        <w:rFonts w:hint="eastAsia" w:ascii="仿宋" w:hAnsi="仿宋" w:eastAsia="仿宋" w:cs="仿宋"/>
      </w:rPr>
      <w:t>融华工程管理有限公司                              文件编号:CGSHZJ-2024-N001073</w:t>
    </w:r>
  </w:p>
  <w:p w14:paraId="3910C401">
    <w:pPr>
      <w:pStyle w:val="42"/>
      <w:pBdr>
        <w:bottom w:val="none" w:color="auto" w:sz="0" w:space="0"/>
      </w:pBdr>
      <w:ind w:firstLine="360" w:firstLineChars="20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15DB5">
    <w:pPr>
      <w:pStyle w:val="42"/>
      <w:ind w:firstLine="360" w:firstLineChars="200"/>
      <w:jc w:val="left"/>
    </w:pPr>
    <w:r>
      <w:rPr>
        <w:rFonts w:hint="eastAsia" w:ascii="仿宋" w:hAnsi="仿宋" w:eastAsia="仿宋" w:cs="仿宋"/>
      </w:rPr>
      <w:t>融华工程管理有限公司                              文件编号:CGSHZJ-2024-N001073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100F7">
    <w:pPr>
      <w:pStyle w:val="42"/>
      <w:ind w:firstLine="360" w:firstLineChars="200"/>
      <w:jc w:val="left"/>
    </w:pPr>
    <w:r>
      <w:rPr>
        <w:rFonts w:hint="eastAsia" w:ascii="仿宋" w:hAnsi="仿宋" w:eastAsia="仿宋" w:cs="仿宋"/>
      </w:rPr>
      <w:t>融华工程管理有限公司                              文件编号:CGSHZJ-2024-N001073</w:t>
    </w:r>
  </w:p>
  <w:p w14:paraId="2A234103">
    <w:pPr>
      <w:widowControl w:val="0"/>
      <w:pBdr>
        <w:bottom w:val="none" w:color="auto" w:sz="0" w:space="0"/>
      </w:pBdr>
      <w:snapToGrid w:val="0"/>
      <w:jc w:val="center"/>
      <w:rPr>
        <w:rFonts w:ascii="Times New Roman" w:hAnsi="Times New Roman" w:eastAsia="宋体" w:cs="Times New Roman"/>
        <w:kern w:val="2"/>
        <w:sz w:val="21"/>
        <w:szCs w:val="21"/>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D3AE7">
    <w:pPr>
      <w:pStyle w:val="42"/>
      <w:ind w:firstLine="360" w:firstLineChars="200"/>
      <w:jc w:val="left"/>
    </w:pPr>
    <w:r>
      <w:rPr>
        <w:rFonts w:hint="eastAsia" w:ascii="仿宋" w:hAnsi="仿宋" w:eastAsia="仿宋" w:cs="仿宋"/>
      </w:rPr>
      <w:t>融华工程管理有限公司                              文件编号:CGSHZJ-2024-N001073</w:t>
    </w:r>
  </w:p>
  <w:p w14:paraId="65F06424">
    <w:pPr>
      <w:pStyle w:val="42"/>
      <w:pBdr>
        <w:bottom w:val="none" w:color="auto" w:sz="0" w:space="0"/>
      </w:pBdr>
      <w:rPr>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B45C0">
    <w:pPr>
      <w:pStyle w:val="42"/>
      <w:ind w:firstLine="360" w:firstLineChars="200"/>
      <w:jc w:val="left"/>
    </w:pPr>
    <w:r>
      <w:rPr>
        <w:rFonts w:hint="eastAsia" w:ascii="仿宋" w:hAnsi="仿宋" w:eastAsia="仿宋" w:cs="仿宋"/>
      </w:rPr>
      <w:t>融华工程管理有限公司                              文件编号:CGSHZJ-2024-N001073</w:t>
    </w:r>
  </w:p>
  <w:p w14:paraId="3632706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1E814">
    <w:pPr>
      <w:pStyle w:val="42"/>
      <w:ind w:firstLine="360" w:firstLineChars="200"/>
      <w:jc w:val="left"/>
    </w:pPr>
    <w:r>
      <w:rPr>
        <w:rFonts w:hint="eastAsia" w:ascii="仿宋" w:hAnsi="仿宋" w:eastAsia="仿宋" w:cs="仿宋"/>
      </w:rPr>
      <w:t>融华工程管理有限公司                              文件编号:CGSHZJ-2024-N001073</w:t>
    </w:r>
  </w:p>
  <w:p w14:paraId="65C570AE">
    <w:pPr>
      <w:pStyle w:val="4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4B906">
    <w:pPr>
      <w:pStyle w:val="42"/>
      <w:ind w:firstLine="360" w:firstLineChars="200"/>
      <w:jc w:val="left"/>
    </w:pPr>
    <w:r>
      <w:rPr>
        <w:rFonts w:hint="eastAsia" w:ascii="仿宋" w:hAnsi="仿宋" w:eastAsia="仿宋" w:cs="仿宋"/>
      </w:rPr>
      <w:t>融华工程管理有限公司                              文件编号:CGSHZJ-2024-N001073</w:t>
    </w:r>
  </w:p>
  <w:p w14:paraId="172C9013">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AAD24">
    <w:pPr>
      <w:pStyle w:val="42"/>
      <w:ind w:firstLine="360" w:firstLineChars="200"/>
      <w:jc w:val="left"/>
    </w:pPr>
    <w:r>
      <w:rPr>
        <w:rFonts w:hint="eastAsia" w:ascii="仿宋" w:hAnsi="仿宋" w:eastAsia="仿宋" w:cs="仿宋"/>
      </w:rPr>
      <w:t>融华工程管理有限公司                              文件编号:CGSHZJ-2024-N001073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EB0F5"/>
    <w:multiLevelType w:val="singleLevel"/>
    <w:tmpl w:val="BEBEB0F5"/>
    <w:lvl w:ilvl="0" w:tentative="0">
      <w:start w:val="6"/>
      <w:numFmt w:val="decimal"/>
      <w:suff w:val="nothing"/>
      <w:lvlText w:val="%1、"/>
      <w:lvlJc w:val="left"/>
    </w:lvl>
  </w:abstractNum>
  <w:abstractNum w:abstractNumId="1">
    <w:nsid w:val="D7FE50BA"/>
    <w:multiLevelType w:val="singleLevel"/>
    <w:tmpl w:val="D7FE50BA"/>
    <w:lvl w:ilvl="0" w:tentative="0">
      <w:start w:val="14"/>
      <w:numFmt w:val="decimal"/>
      <w:suff w:val="nothing"/>
      <w:lvlText w:val="%1、"/>
      <w:lvlJc w:val="left"/>
    </w:lvl>
  </w:abstractNum>
  <w:abstractNum w:abstractNumId="2">
    <w:nsid w:val="E0B48D2B"/>
    <w:multiLevelType w:val="singleLevel"/>
    <w:tmpl w:val="E0B48D2B"/>
    <w:lvl w:ilvl="0" w:tentative="0">
      <w:start w:val="10"/>
      <w:numFmt w:val="decimal"/>
      <w:suff w:val="nothing"/>
      <w:lvlText w:val="%1、"/>
      <w:lvlJc w:val="left"/>
      <w:pPr>
        <w:ind w:left="0" w:firstLine="0"/>
      </w:pPr>
    </w:lvl>
  </w:abstractNum>
  <w:abstractNum w:abstractNumId="3">
    <w:nsid w:val="E6E73C7A"/>
    <w:multiLevelType w:val="singleLevel"/>
    <w:tmpl w:val="E6E73C7A"/>
    <w:lvl w:ilvl="0" w:tentative="0">
      <w:start w:val="1"/>
      <w:numFmt w:val="decimal"/>
      <w:suff w:val="nothing"/>
      <w:lvlText w:val="%1、"/>
      <w:lvlJc w:val="left"/>
      <w:pPr>
        <w:tabs>
          <w:tab w:val="left" w:pos="0"/>
        </w:tabs>
      </w:pPr>
      <w:rPr>
        <w:rFonts w:hint="default"/>
      </w:r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DFBBD99"/>
    <w:multiLevelType w:val="singleLevel"/>
    <w:tmpl w:val="0DFBBD99"/>
    <w:lvl w:ilvl="0" w:tentative="0">
      <w:start w:val="3"/>
      <w:numFmt w:val="chineseCounting"/>
      <w:suff w:val="space"/>
      <w:lvlText w:val="第%1部分"/>
      <w:lvlJc w:val="left"/>
      <w:rPr>
        <w:rFonts w:hint="eastAsia"/>
      </w:rPr>
    </w:lvl>
  </w:abstractNum>
  <w:abstractNum w:abstractNumId="6">
    <w:nsid w:val="3E266AA3"/>
    <w:multiLevelType w:val="singleLevel"/>
    <w:tmpl w:val="3E266AA3"/>
    <w:lvl w:ilvl="0" w:tentative="0">
      <w:start w:val="1"/>
      <w:numFmt w:val="decimal"/>
      <w:suff w:val="nothing"/>
      <w:lvlText w:val="（%1）"/>
      <w:lvlJc w:val="left"/>
    </w:lvl>
  </w:abstractNum>
  <w:abstractNum w:abstractNumId="7">
    <w:nsid w:val="46541292"/>
    <w:multiLevelType w:val="singleLevel"/>
    <w:tmpl w:val="46541292"/>
    <w:lvl w:ilvl="0" w:tentative="0">
      <w:start w:val="5"/>
      <w:numFmt w:val="chineseCounting"/>
      <w:suff w:val="space"/>
      <w:lvlText w:val="第%1条"/>
      <w:lvlJc w:val="left"/>
      <w:rPr>
        <w:rFonts w:hint="eastAsia"/>
      </w:rPr>
    </w:lvl>
  </w:abstractNum>
  <w:abstractNum w:abstractNumId="8">
    <w:nsid w:val="5BBFBD57"/>
    <w:multiLevelType w:val="singleLevel"/>
    <w:tmpl w:val="5BBFBD57"/>
    <w:lvl w:ilvl="0" w:tentative="0">
      <w:start w:val="1"/>
      <w:numFmt w:val="decimal"/>
      <w:lvlText w:val="%1、"/>
      <w:lvlJc w:val="left"/>
      <w:pPr>
        <w:tabs>
          <w:tab w:val="left" w:pos="397"/>
        </w:tabs>
        <w:ind w:left="454" w:hanging="454"/>
      </w:pPr>
      <w:rPr>
        <w:rFonts w:hint="default" w:ascii="宋体" w:hAnsi="宋体" w:eastAsia="宋体" w:cs="宋体"/>
      </w:rPr>
    </w:lvl>
  </w:abstractNum>
  <w:num w:numId="1">
    <w:abstractNumId w:val="6"/>
  </w:num>
  <w:num w:numId="2">
    <w:abstractNumId w:val="5"/>
  </w:num>
  <w:num w:numId="3">
    <w:abstractNumId w:val="8"/>
  </w:num>
  <w:num w:numId="4">
    <w:abstractNumId w:val="0"/>
  </w:num>
  <w:num w:numId="5">
    <w:abstractNumId w:val="1"/>
  </w:num>
  <w:num w:numId="6">
    <w:abstractNumId w:val="3"/>
  </w:num>
  <w:num w:numId="7">
    <w:abstractNumId w:val="2"/>
    <w:lvlOverride w:ilvl="0">
      <w:startOverride w:val="10"/>
      <w:lvl w:ilvl="0" w:tentative="1">
        <w:start w:val="10"/>
        <w:numFmt w:val="decimal"/>
        <w:suff w:val="nothing"/>
        <w:lvlText w:val="%1、"/>
        <w:lvlJc w:val="left"/>
        <w:pPr>
          <w:ind w:left="0" w:firstLine="0"/>
        </w:pPr>
      </w:lvl>
    </w:lvlOverride>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172A27"/>
    <w:rsid w:val="00014D5A"/>
    <w:rsid w:val="0002499D"/>
    <w:rsid w:val="000306A7"/>
    <w:rsid w:val="00040FDD"/>
    <w:rsid w:val="000429EB"/>
    <w:rsid w:val="000677AA"/>
    <w:rsid w:val="0007417C"/>
    <w:rsid w:val="00091A60"/>
    <w:rsid w:val="00123D1D"/>
    <w:rsid w:val="00144558"/>
    <w:rsid w:val="00150025"/>
    <w:rsid w:val="001645C0"/>
    <w:rsid w:val="00164667"/>
    <w:rsid w:val="00172A27"/>
    <w:rsid w:val="00172E06"/>
    <w:rsid w:val="0018451D"/>
    <w:rsid w:val="00195837"/>
    <w:rsid w:val="00195DCB"/>
    <w:rsid w:val="001C1388"/>
    <w:rsid w:val="001C3BA9"/>
    <w:rsid w:val="00217EBE"/>
    <w:rsid w:val="00220000"/>
    <w:rsid w:val="00247267"/>
    <w:rsid w:val="00254E5D"/>
    <w:rsid w:val="002558C5"/>
    <w:rsid w:val="0025642D"/>
    <w:rsid w:val="0026376E"/>
    <w:rsid w:val="00276CC9"/>
    <w:rsid w:val="0028279F"/>
    <w:rsid w:val="00283111"/>
    <w:rsid w:val="0029262E"/>
    <w:rsid w:val="002B7E60"/>
    <w:rsid w:val="002D3C25"/>
    <w:rsid w:val="002E016B"/>
    <w:rsid w:val="002F7679"/>
    <w:rsid w:val="00306C42"/>
    <w:rsid w:val="00323766"/>
    <w:rsid w:val="00352B87"/>
    <w:rsid w:val="003837DF"/>
    <w:rsid w:val="00390FA8"/>
    <w:rsid w:val="003943A1"/>
    <w:rsid w:val="00396C49"/>
    <w:rsid w:val="003C6329"/>
    <w:rsid w:val="003D6EAF"/>
    <w:rsid w:val="003D7019"/>
    <w:rsid w:val="003E28AD"/>
    <w:rsid w:val="003E2FBC"/>
    <w:rsid w:val="003E5517"/>
    <w:rsid w:val="0040173D"/>
    <w:rsid w:val="004061D8"/>
    <w:rsid w:val="00421FDC"/>
    <w:rsid w:val="00441793"/>
    <w:rsid w:val="00442259"/>
    <w:rsid w:val="004456D6"/>
    <w:rsid w:val="004456EF"/>
    <w:rsid w:val="004519FD"/>
    <w:rsid w:val="004715A0"/>
    <w:rsid w:val="00477E83"/>
    <w:rsid w:val="00496C4B"/>
    <w:rsid w:val="004A0A5D"/>
    <w:rsid w:val="004A3BE4"/>
    <w:rsid w:val="004B2398"/>
    <w:rsid w:val="004B322B"/>
    <w:rsid w:val="004C1C94"/>
    <w:rsid w:val="00526DAF"/>
    <w:rsid w:val="00545C72"/>
    <w:rsid w:val="00550F12"/>
    <w:rsid w:val="005535D6"/>
    <w:rsid w:val="00567738"/>
    <w:rsid w:val="005700F9"/>
    <w:rsid w:val="00596558"/>
    <w:rsid w:val="005A1538"/>
    <w:rsid w:val="005A531E"/>
    <w:rsid w:val="005B57FF"/>
    <w:rsid w:val="005C1C85"/>
    <w:rsid w:val="005D152C"/>
    <w:rsid w:val="00610711"/>
    <w:rsid w:val="006126E2"/>
    <w:rsid w:val="00627FBB"/>
    <w:rsid w:val="00633343"/>
    <w:rsid w:val="00633858"/>
    <w:rsid w:val="006375D1"/>
    <w:rsid w:val="006514BB"/>
    <w:rsid w:val="00661BE2"/>
    <w:rsid w:val="00686D52"/>
    <w:rsid w:val="00687B58"/>
    <w:rsid w:val="006B31C3"/>
    <w:rsid w:val="006C6ACA"/>
    <w:rsid w:val="006D4D07"/>
    <w:rsid w:val="006E110F"/>
    <w:rsid w:val="006F478A"/>
    <w:rsid w:val="00714747"/>
    <w:rsid w:val="007240D6"/>
    <w:rsid w:val="00756A28"/>
    <w:rsid w:val="00773BDB"/>
    <w:rsid w:val="00783E2E"/>
    <w:rsid w:val="0079750F"/>
    <w:rsid w:val="007B66A9"/>
    <w:rsid w:val="007C29B5"/>
    <w:rsid w:val="007E7146"/>
    <w:rsid w:val="007F2305"/>
    <w:rsid w:val="00805A96"/>
    <w:rsid w:val="0084177C"/>
    <w:rsid w:val="008626E4"/>
    <w:rsid w:val="008627D5"/>
    <w:rsid w:val="0087204C"/>
    <w:rsid w:val="008861E2"/>
    <w:rsid w:val="008B3CE0"/>
    <w:rsid w:val="008B5261"/>
    <w:rsid w:val="008C067F"/>
    <w:rsid w:val="008D350A"/>
    <w:rsid w:val="008D498E"/>
    <w:rsid w:val="008F253A"/>
    <w:rsid w:val="00900564"/>
    <w:rsid w:val="00915814"/>
    <w:rsid w:val="0092439E"/>
    <w:rsid w:val="00925534"/>
    <w:rsid w:val="0092601C"/>
    <w:rsid w:val="009315AB"/>
    <w:rsid w:val="00934C34"/>
    <w:rsid w:val="009E3E93"/>
    <w:rsid w:val="009F1871"/>
    <w:rsid w:val="009F3248"/>
    <w:rsid w:val="00A004E5"/>
    <w:rsid w:val="00A3306B"/>
    <w:rsid w:val="00A33664"/>
    <w:rsid w:val="00A35127"/>
    <w:rsid w:val="00A759EE"/>
    <w:rsid w:val="00A8153C"/>
    <w:rsid w:val="00A8654F"/>
    <w:rsid w:val="00A965A2"/>
    <w:rsid w:val="00B039A4"/>
    <w:rsid w:val="00B11471"/>
    <w:rsid w:val="00B26ABA"/>
    <w:rsid w:val="00B41566"/>
    <w:rsid w:val="00B62A62"/>
    <w:rsid w:val="00B81833"/>
    <w:rsid w:val="00B848A7"/>
    <w:rsid w:val="00BA2E93"/>
    <w:rsid w:val="00BB4F83"/>
    <w:rsid w:val="00BC375F"/>
    <w:rsid w:val="00BF3612"/>
    <w:rsid w:val="00C030ED"/>
    <w:rsid w:val="00C14FB9"/>
    <w:rsid w:val="00C215C3"/>
    <w:rsid w:val="00C3577A"/>
    <w:rsid w:val="00C43D07"/>
    <w:rsid w:val="00C85A0A"/>
    <w:rsid w:val="00C9219A"/>
    <w:rsid w:val="00C95168"/>
    <w:rsid w:val="00CA5885"/>
    <w:rsid w:val="00CC5442"/>
    <w:rsid w:val="00CD2BAF"/>
    <w:rsid w:val="00CD4CB5"/>
    <w:rsid w:val="00D123E9"/>
    <w:rsid w:val="00D20DE6"/>
    <w:rsid w:val="00D44BB0"/>
    <w:rsid w:val="00D512B7"/>
    <w:rsid w:val="00D61DEA"/>
    <w:rsid w:val="00D6612A"/>
    <w:rsid w:val="00D67FA5"/>
    <w:rsid w:val="00D96947"/>
    <w:rsid w:val="00DA6C8E"/>
    <w:rsid w:val="00DA757A"/>
    <w:rsid w:val="00DB46B9"/>
    <w:rsid w:val="00DD5C35"/>
    <w:rsid w:val="00DE15AE"/>
    <w:rsid w:val="00DF7956"/>
    <w:rsid w:val="00E357C2"/>
    <w:rsid w:val="00E47FE0"/>
    <w:rsid w:val="00E762B2"/>
    <w:rsid w:val="00E92479"/>
    <w:rsid w:val="00E97E6D"/>
    <w:rsid w:val="00EC63C8"/>
    <w:rsid w:val="00ED0982"/>
    <w:rsid w:val="00ED165A"/>
    <w:rsid w:val="00F0356D"/>
    <w:rsid w:val="00F03988"/>
    <w:rsid w:val="00F20291"/>
    <w:rsid w:val="00F24A6A"/>
    <w:rsid w:val="00F50223"/>
    <w:rsid w:val="00F53BEE"/>
    <w:rsid w:val="00F7287A"/>
    <w:rsid w:val="00F8265D"/>
    <w:rsid w:val="00F93879"/>
    <w:rsid w:val="00FE1969"/>
    <w:rsid w:val="00FF51D6"/>
    <w:rsid w:val="010B0328"/>
    <w:rsid w:val="01A001FF"/>
    <w:rsid w:val="01C62387"/>
    <w:rsid w:val="04280A1E"/>
    <w:rsid w:val="04882551"/>
    <w:rsid w:val="06145DC8"/>
    <w:rsid w:val="067BE73B"/>
    <w:rsid w:val="06F7130D"/>
    <w:rsid w:val="07091040"/>
    <w:rsid w:val="0754675F"/>
    <w:rsid w:val="08F86177"/>
    <w:rsid w:val="09016473"/>
    <w:rsid w:val="095A6844"/>
    <w:rsid w:val="0A1421D6"/>
    <w:rsid w:val="0CF9497D"/>
    <w:rsid w:val="0DB422CB"/>
    <w:rsid w:val="0DFFBA18"/>
    <w:rsid w:val="0E323E24"/>
    <w:rsid w:val="0E4E5FF9"/>
    <w:rsid w:val="0E846C9D"/>
    <w:rsid w:val="0F096B8F"/>
    <w:rsid w:val="0F63063F"/>
    <w:rsid w:val="0F890F70"/>
    <w:rsid w:val="10204F7B"/>
    <w:rsid w:val="11471AF9"/>
    <w:rsid w:val="11744B2C"/>
    <w:rsid w:val="12C79667"/>
    <w:rsid w:val="12CB1EA9"/>
    <w:rsid w:val="157070EE"/>
    <w:rsid w:val="15C56A7A"/>
    <w:rsid w:val="17A27073"/>
    <w:rsid w:val="17EFF35C"/>
    <w:rsid w:val="186F1413"/>
    <w:rsid w:val="18A64941"/>
    <w:rsid w:val="18AA6419"/>
    <w:rsid w:val="18E60774"/>
    <w:rsid w:val="1AF6009C"/>
    <w:rsid w:val="1B754A9E"/>
    <w:rsid w:val="1C002C99"/>
    <w:rsid w:val="1C894675"/>
    <w:rsid w:val="1D2F1C3B"/>
    <w:rsid w:val="1D5FF0F8"/>
    <w:rsid w:val="1DD45AAC"/>
    <w:rsid w:val="1E4570F7"/>
    <w:rsid w:val="1E5F9911"/>
    <w:rsid w:val="1E7A0302"/>
    <w:rsid w:val="1E7F16D2"/>
    <w:rsid w:val="1EDB10BC"/>
    <w:rsid w:val="1FCE20C5"/>
    <w:rsid w:val="1FD56418"/>
    <w:rsid w:val="1FDAC6AD"/>
    <w:rsid w:val="1FE2130C"/>
    <w:rsid w:val="205B24B5"/>
    <w:rsid w:val="205E1FA5"/>
    <w:rsid w:val="212F4E6A"/>
    <w:rsid w:val="227C0F11"/>
    <w:rsid w:val="22E22A19"/>
    <w:rsid w:val="22E5250A"/>
    <w:rsid w:val="236623A2"/>
    <w:rsid w:val="23EB0D77"/>
    <w:rsid w:val="23F5A9F9"/>
    <w:rsid w:val="23FB337E"/>
    <w:rsid w:val="242D7284"/>
    <w:rsid w:val="246B6FCE"/>
    <w:rsid w:val="25C1725E"/>
    <w:rsid w:val="261750D0"/>
    <w:rsid w:val="26606113"/>
    <w:rsid w:val="2754EB9F"/>
    <w:rsid w:val="27F9347E"/>
    <w:rsid w:val="27FE733A"/>
    <w:rsid w:val="29564161"/>
    <w:rsid w:val="297FD0E0"/>
    <w:rsid w:val="29BFF684"/>
    <w:rsid w:val="2A75E6A7"/>
    <w:rsid w:val="2A7D31F3"/>
    <w:rsid w:val="2B2A0404"/>
    <w:rsid w:val="2B9284CD"/>
    <w:rsid w:val="2BF5BD4A"/>
    <w:rsid w:val="2C22032B"/>
    <w:rsid w:val="2CEF04B9"/>
    <w:rsid w:val="2D681F9D"/>
    <w:rsid w:val="2DEDFC68"/>
    <w:rsid w:val="2ECFC7DA"/>
    <w:rsid w:val="2F3EF60A"/>
    <w:rsid w:val="2FEF20AD"/>
    <w:rsid w:val="2FFB2AE6"/>
    <w:rsid w:val="2FFB6AD1"/>
    <w:rsid w:val="2FFD46F6"/>
    <w:rsid w:val="304340AA"/>
    <w:rsid w:val="30CD01D9"/>
    <w:rsid w:val="31AA115B"/>
    <w:rsid w:val="329448A6"/>
    <w:rsid w:val="33D96754"/>
    <w:rsid w:val="355E3F57"/>
    <w:rsid w:val="35EB79DF"/>
    <w:rsid w:val="36BD264B"/>
    <w:rsid w:val="38725BF4"/>
    <w:rsid w:val="38FD61AC"/>
    <w:rsid w:val="3953395C"/>
    <w:rsid w:val="396E4BAF"/>
    <w:rsid w:val="39727515"/>
    <w:rsid w:val="3A836438"/>
    <w:rsid w:val="3B307D2C"/>
    <w:rsid w:val="3B345984"/>
    <w:rsid w:val="3B7B1C49"/>
    <w:rsid w:val="3BBE12E4"/>
    <w:rsid w:val="3BC67A63"/>
    <w:rsid w:val="3BFF9DAA"/>
    <w:rsid w:val="3C594312"/>
    <w:rsid w:val="3C656155"/>
    <w:rsid w:val="3CBB1F25"/>
    <w:rsid w:val="3D2CF96D"/>
    <w:rsid w:val="3D695DB9"/>
    <w:rsid w:val="3D8F3000"/>
    <w:rsid w:val="3D93297C"/>
    <w:rsid w:val="3DBEE708"/>
    <w:rsid w:val="3DF4405C"/>
    <w:rsid w:val="3E4D4759"/>
    <w:rsid w:val="3E7B6C6A"/>
    <w:rsid w:val="3EBFED99"/>
    <w:rsid w:val="3F6D76B7"/>
    <w:rsid w:val="3F6DBB89"/>
    <w:rsid w:val="3F7B600C"/>
    <w:rsid w:val="3FDBFFDB"/>
    <w:rsid w:val="3FDFD0CE"/>
    <w:rsid w:val="3FF12080"/>
    <w:rsid w:val="3FFAB7A4"/>
    <w:rsid w:val="3FFB0DAC"/>
    <w:rsid w:val="3FFB823B"/>
    <w:rsid w:val="3FFF941F"/>
    <w:rsid w:val="40036755"/>
    <w:rsid w:val="40180D21"/>
    <w:rsid w:val="403B7D37"/>
    <w:rsid w:val="409E55A1"/>
    <w:rsid w:val="41912836"/>
    <w:rsid w:val="420846AC"/>
    <w:rsid w:val="4229326C"/>
    <w:rsid w:val="42315A68"/>
    <w:rsid w:val="427E60E8"/>
    <w:rsid w:val="430C1371"/>
    <w:rsid w:val="43501CE1"/>
    <w:rsid w:val="43912997"/>
    <w:rsid w:val="43DC60B2"/>
    <w:rsid w:val="43DD1A09"/>
    <w:rsid w:val="43E4764C"/>
    <w:rsid w:val="43EC7BBD"/>
    <w:rsid w:val="44960F68"/>
    <w:rsid w:val="45E92856"/>
    <w:rsid w:val="463F6C2D"/>
    <w:rsid w:val="46FE8A31"/>
    <w:rsid w:val="476E0888"/>
    <w:rsid w:val="47773B32"/>
    <w:rsid w:val="477DC40F"/>
    <w:rsid w:val="47FC4AE4"/>
    <w:rsid w:val="496C151F"/>
    <w:rsid w:val="4AAE5CAD"/>
    <w:rsid w:val="4AB7093C"/>
    <w:rsid w:val="4AF173EE"/>
    <w:rsid w:val="4B6A42D0"/>
    <w:rsid w:val="4BF16DF0"/>
    <w:rsid w:val="4BFD56B3"/>
    <w:rsid w:val="4BFFF1EB"/>
    <w:rsid w:val="4C8C1222"/>
    <w:rsid w:val="4D7EB154"/>
    <w:rsid w:val="4DA77FB0"/>
    <w:rsid w:val="4E71567A"/>
    <w:rsid w:val="4F4B3D85"/>
    <w:rsid w:val="4FFF6427"/>
    <w:rsid w:val="5033552D"/>
    <w:rsid w:val="503C55AF"/>
    <w:rsid w:val="50B15413"/>
    <w:rsid w:val="50E94B1C"/>
    <w:rsid w:val="511E3B69"/>
    <w:rsid w:val="51593924"/>
    <w:rsid w:val="51D41817"/>
    <w:rsid w:val="51F06651"/>
    <w:rsid w:val="5227710E"/>
    <w:rsid w:val="537DFFD8"/>
    <w:rsid w:val="53DB9B3E"/>
    <w:rsid w:val="55CE2C69"/>
    <w:rsid w:val="55FB147B"/>
    <w:rsid w:val="5636524F"/>
    <w:rsid w:val="56670F17"/>
    <w:rsid w:val="56903F5F"/>
    <w:rsid w:val="569C6DA8"/>
    <w:rsid w:val="56B063AF"/>
    <w:rsid w:val="576B64DC"/>
    <w:rsid w:val="57EB796D"/>
    <w:rsid w:val="57F7D1B6"/>
    <w:rsid w:val="57FF7708"/>
    <w:rsid w:val="580764A3"/>
    <w:rsid w:val="582235D0"/>
    <w:rsid w:val="58906498"/>
    <w:rsid w:val="59657925"/>
    <w:rsid w:val="59814033"/>
    <w:rsid w:val="5A1530F9"/>
    <w:rsid w:val="5A380B96"/>
    <w:rsid w:val="5AE9AB84"/>
    <w:rsid w:val="5AF2343A"/>
    <w:rsid w:val="5AFEA40F"/>
    <w:rsid w:val="5BCF3E9A"/>
    <w:rsid w:val="5BDF8AC1"/>
    <w:rsid w:val="5BEEC64C"/>
    <w:rsid w:val="5BFF7973"/>
    <w:rsid w:val="5CBF4DF7"/>
    <w:rsid w:val="5CDF0C07"/>
    <w:rsid w:val="5CE60D7D"/>
    <w:rsid w:val="5D7E0533"/>
    <w:rsid w:val="5DB33720"/>
    <w:rsid w:val="5DCE1228"/>
    <w:rsid w:val="5DF461CD"/>
    <w:rsid w:val="5DFBBB22"/>
    <w:rsid w:val="5E4F741D"/>
    <w:rsid w:val="5EFF7505"/>
    <w:rsid w:val="5F3D9153"/>
    <w:rsid w:val="5F561B6F"/>
    <w:rsid w:val="5F57E5CA"/>
    <w:rsid w:val="5FD9175D"/>
    <w:rsid w:val="5FDFA705"/>
    <w:rsid w:val="5FED8FAF"/>
    <w:rsid w:val="5FEF159D"/>
    <w:rsid w:val="5FFB4739"/>
    <w:rsid w:val="5FFDB760"/>
    <w:rsid w:val="5FFF3BCC"/>
    <w:rsid w:val="5FFF8880"/>
    <w:rsid w:val="5FFFCF0B"/>
    <w:rsid w:val="60C767CF"/>
    <w:rsid w:val="61C5408E"/>
    <w:rsid w:val="623C7821"/>
    <w:rsid w:val="64460353"/>
    <w:rsid w:val="644C53CC"/>
    <w:rsid w:val="64CD60A2"/>
    <w:rsid w:val="652B280F"/>
    <w:rsid w:val="655BC3F1"/>
    <w:rsid w:val="65CE0600"/>
    <w:rsid w:val="65E63B9C"/>
    <w:rsid w:val="65ED5A58"/>
    <w:rsid w:val="65EF9C91"/>
    <w:rsid w:val="660A7CCE"/>
    <w:rsid w:val="667E44D3"/>
    <w:rsid w:val="667FB9ED"/>
    <w:rsid w:val="669C35D3"/>
    <w:rsid w:val="66A44686"/>
    <w:rsid w:val="66F7D780"/>
    <w:rsid w:val="67D233B4"/>
    <w:rsid w:val="68EC3F23"/>
    <w:rsid w:val="69716A0E"/>
    <w:rsid w:val="699FA5DE"/>
    <w:rsid w:val="69E96731"/>
    <w:rsid w:val="6A7FDEBE"/>
    <w:rsid w:val="6A8676FB"/>
    <w:rsid w:val="6ADB4392"/>
    <w:rsid w:val="6AF456FF"/>
    <w:rsid w:val="6AFC7B73"/>
    <w:rsid w:val="6B2D401B"/>
    <w:rsid w:val="6BF53B9A"/>
    <w:rsid w:val="6BFF0F14"/>
    <w:rsid w:val="6D7F4CE1"/>
    <w:rsid w:val="6DBE02B2"/>
    <w:rsid w:val="6DBF0F86"/>
    <w:rsid w:val="6DDF271A"/>
    <w:rsid w:val="6DFB5C2D"/>
    <w:rsid w:val="6E7E0EC8"/>
    <w:rsid w:val="6E871DE3"/>
    <w:rsid w:val="6EA387EF"/>
    <w:rsid w:val="6EBB1F97"/>
    <w:rsid w:val="6EF47329"/>
    <w:rsid w:val="6EFD7CD8"/>
    <w:rsid w:val="6F7BD4AE"/>
    <w:rsid w:val="6F97BB12"/>
    <w:rsid w:val="6F9DAD62"/>
    <w:rsid w:val="6F9E1043"/>
    <w:rsid w:val="6FC37AD4"/>
    <w:rsid w:val="6FDB5AB2"/>
    <w:rsid w:val="6FDFF194"/>
    <w:rsid w:val="6FEFB1A6"/>
    <w:rsid w:val="6FF052DD"/>
    <w:rsid w:val="6FFE9928"/>
    <w:rsid w:val="6FFF8D6B"/>
    <w:rsid w:val="6FFFA3B0"/>
    <w:rsid w:val="6FFFD688"/>
    <w:rsid w:val="70C901D3"/>
    <w:rsid w:val="71D62D16"/>
    <w:rsid w:val="72185E19"/>
    <w:rsid w:val="72377718"/>
    <w:rsid w:val="724203AC"/>
    <w:rsid w:val="72F30C51"/>
    <w:rsid w:val="732C5183"/>
    <w:rsid w:val="733F46E2"/>
    <w:rsid w:val="734733BC"/>
    <w:rsid w:val="736E11D5"/>
    <w:rsid w:val="737F456B"/>
    <w:rsid w:val="73920450"/>
    <w:rsid w:val="73BB5314"/>
    <w:rsid w:val="73FBE83C"/>
    <w:rsid w:val="741E07F8"/>
    <w:rsid w:val="748A520F"/>
    <w:rsid w:val="748F5984"/>
    <w:rsid w:val="74D8BE93"/>
    <w:rsid w:val="750DB7B2"/>
    <w:rsid w:val="753A7A60"/>
    <w:rsid w:val="757583AE"/>
    <w:rsid w:val="757F9166"/>
    <w:rsid w:val="759F91B5"/>
    <w:rsid w:val="75A7C5A4"/>
    <w:rsid w:val="75BA2D28"/>
    <w:rsid w:val="75BB6D61"/>
    <w:rsid w:val="75EFAE63"/>
    <w:rsid w:val="75FE591B"/>
    <w:rsid w:val="75FFFE0D"/>
    <w:rsid w:val="761D4F1E"/>
    <w:rsid w:val="762878B8"/>
    <w:rsid w:val="76EF9FA7"/>
    <w:rsid w:val="76F7FA49"/>
    <w:rsid w:val="775EC970"/>
    <w:rsid w:val="77DFB5D2"/>
    <w:rsid w:val="77EFF8A3"/>
    <w:rsid w:val="77FBBD2C"/>
    <w:rsid w:val="77FFE1FE"/>
    <w:rsid w:val="7853601D"/>
    <w:rsid w:val="787259C9"/>
    <w:rsid w:val="78888959"/>
    <w:rsid w:val="78AD1F79"/>
    <w:rsid w:val="797B4E26"/>
    <w:rsid w:val="79893BB4"/>
    <w:rsid w:val="79BFE10A"/>
    <w:rsid w:val="79EA7542"/>
    <w:rsid w:val="79FF81AC"/>
    <w:rsid w:val="7A9A4690"/>
    <w:rsid w:val="7ABB4A6C"/>
    <w:rsid w:val="7AC7F209"/>
    <w:rsid w:val="7ACE3319"/>
    <w:rsid w:val="7AEB6FBE"/>
    <w:rsid w:val="7AFD5744"/>
    <w:rsid w:val="7B59EF15"/>
    <w:rsid w:val="7B6B0973"/>
    <w:rsid w:val="7B771530"/>
    <w:rsid w:val="7B8A0827"/>
    <w:rsid w:val="7B9E4895"/>
    <w:rsid w:val="7BAECFF7"/>
    <w:rsid w:val="7BB16A39"/>
    <w:rsid w:val="7BBDEF01"/>
    <w:rsid w:val="7BBED234"/>
    <w:rsid w:val="7BC20D59"/>
    <w:rsid w:val="7BD6AB2B"/>
    <w:rsid w:val="7BDFD7F1"/>
    <w:rsid w:val="7BFF94E9"/>
    <w:rsid w:val="7C3FB6CE"/>
    <w:rsid w:val="7CBD843E"/>
    <w:rsid w:val="7CBF3E5C"/>
    <w:rsid w:val="7CDE5932"/>
    <w:rsid w:val="7CF1A338"/>
    <w:rsid w:val="7CFE9FA7"/>
    <w:rsid w:val="7D74D08C"/>
    <w:rsid w:val="7DB7EB22"/>
    <w:rsid w:val="7DBEF05B"/>
    <w:rsid w:val="7DBF4548"/>
    <w:rsid w:val="7DDB2365"/>
    <w:rsid w:val="7DE859ED"/>
    <w:rsid w:val="7DFA290F"/>
    <w:rsid w:val="7DFF3A1B"/>
    <w:rsid w:val="7DFF52C5"/>
    <w:rsid w:val="7DFFBA06"/>
    <w:rsid w:val="7E1DCB43"/>
    <w:rsid w:val="7E2638EB"/>
    <w:rsid w:val="7E3B277C"/>
    <w:rsid w:val="7E57F045"/>
    <w:rsid w:val="7E5F310D"/>
    <w:rsid w:val="7E5F5EA4"/>
    <w:rsid w:val="7E77762F"/>
    <w:rsid w:val="7EA0012F"/>
    <w:rsid w:val="7EB60EF4"/>
    <w:rsid w:val="7EBF390B"/>
    <w:rsid w:val="7EE52DEC"/>
    <w:rsid w:val="7EED8B64"/>
    <w:rsid w:val="7EF09E43"/>
    <w:rsid w:val="7EFEDB7D"/>
    <w:rsid w:val="7F3D8773"/>
    <w:rsid w:val="7F3F12A2"/>
    <w:rsid w:val="7F419504"/>
    <w:rsid w:val="7F5F8FDB"/>
    <w:rsid w:val="7F73A4CA"/>
    <w:rsid w:val="7F8B943B"/>
    <w:rsid w:val="7F8FD8FE"/>
    <w:rsid w:val="7FA7B158"/>
    <w:rsid w:val="7FBE80DA"/>
    <w:rsid w:val="7FBF0B21"/>
    <w:rsid w:val="7FBF0B66"/>
    <w:rsid w:val="7FBFF6CE"/>
    <w:rsid w:val="7FCE9F2A"/>
    <w:rsid w:val="7FD6040C"/>
    <w:rsid w:val="7FDFF549"/>
    <w:rsid w:val="7FE7E16A"/>
    <w:rsid w:val="7FEE38E1"/>
    <w:rsid w:val="7FF3B8D0"/>
    <w:rsid w:val="7FF6729C"/>
    <w:rsid w:val="7FF6C033"/>
    <w:rsid w:val="7FFA97E2"/>
    <w:rsid w:val="7FFB7284"/>
    <w:rsid w:val="7FFB7FDD"/>
    <w:rsid w:val="7FFD03E7"/>
    <w:rsid w:val="7FFD49B2"/>
    <w:rsid w:val="7FFE25B7"/>
    <w:rsid w:val="7FFE78F1"/>
    <w:rsid w:val="7FFEDC3D"/>
    <w:rsid w:val="7FFF9D89"/>
    <w:rsid w:val="7FFFB5C6"/>
    <w:rsid w:val="83BFB7D4"/>
    <w:rsid w:val="8D17F335"/>
    <w:rsid w:val="8FEF70BC"/>
    <w:rsid w:val="8FEF8CC9"/>
    <w:rsid w:val="91BFD4A0"/>
    <w:rsid w:val="9DC90DA0"/>
    <w:rsid w:val="9F8C9CA8"/>
    <w:rsid w:val="A77FBCC9"/>
    <w:rsid w:val="AB9EF3A3"/>
    <w:rsid w:val="AEFF1B59"/>
    <w:rsid w:val="B1BAFFCF"/>
    <w:rsid w:val="B2FB16BC"/>
    <w:rsid w:val="B37778F8"/>
    <w:rsid w:val="B5DF7577"/>
    <w:rsid w:val="B713996D"/>
    <w:rsid w:val="B7FF04D4"/>
    <w:rsid w:val="B9A7CBC6"/>
    <w:rsid w:val="BA9BAE08"/>
    <w:rsid w:val="BBB9373F"/>
    <w:rsid w:val="BCDBE7A7"/>
    <w:rsid w:val="BEBBD16B"/>
    <w:rsid w:val="BEED1391"/>
    <w:rsid w:val="BF6D9DD7"/>
    <w:rsid w:val="BF7B6663"/>
    <w:rsid w:val="BF7C70E6"/>
    <w:rsid w:val="BF7D3BAC"/>
    <w:rsid w:val="BFDD4891"/>
    <w:rsid w:val="BFDFDEBB"/>
    <w:rsid w:val="C7FD9DB4"/>
    <w:rsid w:val="C9FF67D3"/>
    <w:rsid w:val="CA7F9685"/>
    <w:rsid w:val="CDBD52C4"/>
    <w:rsid w:val="CE5787D6"/>
    <w:rsid w:val="CEABE1D7"/>
    <w:rsid w:val="CF78C3F5"/>
    <w:rsid w:val="CFDF6508"/>
    <w:rsid w:val="CFFF92DB"/>
    <w:rsid w:val="D0FDFF2C"/>
    <w:rsid w:val="D3DA7144"/>
    <w:rsid w:val="D56EA9CF"/>
    <w:rsid w:val="D5FE9FF7"/>
    <w:rsid w:val="D647A059"/>
    <w:rsid w:val="D68E87F8"/>
    <w:rsid w:val="D7FF7EE7"/>
    <w:rsid w:val="D9F1985C"/>
    <w:rsid w:val="DA596711"/>
    <w:rsid w:val="DAE768E8"/>
    <w:rsid w:val="DB3F82B9"/>
    <w:rsid w:val="DBBFE99D"/>
    <w:rsid w:val="DBCF9294"/>
    <w:rsid w:val="DBE723AD"/>
    <w:rsid w:val="DBED79D1"/>
    <w:rsid w:val="DBF6EF42"/>
    <w:rsid w:val="DBF7F856"/>
    <w:rsid w:val="DBFD584F"/>
    <w:rsid w:val="DC6B71B0"/>
    <w:rsid w:val="DDBF81D4"/>
    <w:rsid w:val="DDC78A25"/>
    <w:rsid w:val="DDF62B04"/>
    <w:rsid w:val="DE6DCDC6"/>
    <w:rsid w:val="DEBDD827"/>
    <w:rsid w:val="DFBEE447"/>
    <w:rsid w:val="DFF5200D"/>
    <w:rsid w:val="DFFD859B"/>
    <w:rsid w:val="DFFFE829"/>
    <w:rsid w:val="E2DFB042"/>
    <w:rsid w:val="E2FE6C17"/>
    <w:rsid w:val="E79F1843"/>
    <w:rsid w:val="EACF01D5"/>
    <w:rsid w:val="EB576C6E"/>
    <w:rsid w:val="EB7F94FA"/>
    <w:rsid w:val="EBE7615F"/>
    <w:rsid w:val="EC6B7BD5"/>
    <w:rsid w:val="ED77BEA3"/>
    <w:rsid w:val="EE7E55E6"/>
    <w:rsid w:val="EEE5DD19"/>
    <w:rsid w:val="EF6B785E"/>
    <w:rsid w:val="EF764CC0"/>
    <w:rsid w:val="EFACEC68"/>
    <w:rsid w:val="EFBDC058"/>
    <w:rsid w:val="EFD6BC75"/>
    <w:rsid w:val="EFDE030B"/>
    <w:rsid w:val="EFEE08BA"/>
    <w:rsid w:val="EFF57697"/>
    <w:rsid w:val="EFFA17EB"/>
    <w:rsid w:val="EFFF3B67"/>
    <w:rsid w:val="EFFF7B04"/>
    <w:rsid w:val="EFFF9881"/>
    <w:rsid w:val="F16DB5C6"/>
    <w:rsid w:val="F27D9F62"/>
    <w:rsid w:val="F2EC6F45"/>
    <w:rsid w:val="F38C91D0"/>
    <w:rsid w:val="F3BE1B28"/>
    <w:rsid w:val="F3BF3903"/>
    <w:rsid w:val="F3F77F0E"/>
    <w:rsid w:val="F56A6FBC"/>
    <w:rsid w:val="F59F3A2A"/>
    <w:rsid w:val="F5DF0D6E"/>
    <w:rsid w:val="F5FA5F6B"/>
    <w:rsid w:val="F6BD05ED"/>
    <w:rsid w:val="F716D617"/>
    <w:rsid w:val="F75DD492"/>
    <w:rsid w:val="F77BC300"/>
    <w:rsid w:val="F77F8797"/>
    <w:rsid w:val="F7DFF121"/>
    <w:rsid w:val="F7E7EF94"/>
    <w:rsid w:val="F7EBEFE4"/>
    <w:rsid w:val="F7F285E2"/>
    <w:rsid w:val="F7FFAC03"/>
    <w:rsid w:val="F85FD0D8"/>
    <w:rsid w:val="F95FECC6"/>
    <w:rsid w:val="F9DF874B"/>
    <w:rsid w:val="F9E5A101"/>
    <w:rsid w:val="F9F15FCA"/>
    <w:rsid w:val="FAEFA847"/>
    <w:rsid w:val="FB5FAC86"/>
    <w:rsid w:val="FB736425"/>
    <w:rsid w:val="FB7F05B0"/>
    <w:rsid w:val="FB7FBCB0"/>
    <w:rsid w:val="FBBA5DBE"/>
    <w:rsid w:val="FBE31EE5"/>
    <w:rsid w:val="FBEB718A"/>
    <w:rsid w:val="FBF0DA66"/>
    <w:rsid w:val="FBF9931E"/>
    <w:rsid w:val="FBFF24D9"/>
    <w:rsid w:val="FBFF8B84"/>
    <w:rsid w:val="FC59C6D9"/>
    <w:rsid w:val="FC6F8C75"/>
    <w:rsid w:val="FC7D0EC7"/>
    <w:rsid w:val="FC7F09B3"/>
    <w:rsid w:val="FCD7C4A8"/>
    <w:rsid w:val="FCEB320E"/>
    <w:rsid w:val="FCECF970"/>
    <w:rsid w:val="FCFFB71E"/>
    <w:rsid w:val="FD2EB859"/>
    <w:rsid w:val="FD458467"/>
    <w:rsid w:val="FDBAA2FF"/>
    <w:rsid w:val="FDCBF846"/>
    <w:rsid w:val="FDEEB91A"/>
    <w:rsid w:val="FDEFAF36"/>
    <w:rsid w:val="FDFD76D2"/>
    <w:rsid w:val="FDFE4E37"/>
    <w:rsid w:val="FE37EC85"/>
    <w:rsid w:val="FE6E6F22"/>
    <w:rsid w:val="FE9B7B9C"/>
    <w:rsid w:val="FEA60910"/>
    <w:rsid w:val="FEBB7355"/>
    <w:rsid w:val="FED43B4C"/>
    <w:rsid w:val="FEDDCF0B"/>
    <w:rsid w:val="FEEE55E8"/>
    <w:rsid w:val="FEF667F3"/>
    <w:rsid w:val="FEF7E51B"/>
    <w:rsid w:val="FEFF03CB"/>
    <w:rsid w:val="FF1C14F6"/>
    <w:rsid w:val="FF3F59ED"/>
    <w:rsid w:val="FF5FCB1F"/>
    <w:rsid w:val="FF6776C6"/>
    <w:rsid w:val="FF7192BB"/>
    <w:rsid w:val="FF7D1F55"/>
    <w:rsid w:val="FF7F0248"/>
    <w:rsid w:val="FF7F3648"/>
    <w:rsid w:val="FFA363DB"/>
    <w:rsid w:val="FFB7F025"/>
    <w:rsid w:val="FFB9325A"/>
    <w:rsid w:val="FFBBD17A"/>
    <w:rsid w:val="FFBE510B"/>
    <w:rsid w:val="FFBF2337"/>
    <w:rsid w:val="FFBFEE71"/>
    <w:rsid w:val="FFD703D2"/>
    <w:rsid w:val="FFD9E236"/>
    <w:rsid w:val="FFDBA06B"/>
    <w:rsid w:val="FFDD888E"/>
    <w:rsid w:val="FFF2ACD0"/>
    <w:rsid w:val="FFF744EC"/>
    <w:rsid w:val="FFF9FDA6"/>
    <w:rsid w:val="FFFA54C7"/>
    <w:rsid w:val="FFFDBA25"/>
    <w:rsid w:val="FFFE2491"/>
    <w:rsid w:val="FFFE422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link w:val="229"/>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2"/>
    <w:qFormat/>
    <w:uiPriority w:val="0"/>
    <w:pPr>
      <w:shd w:val="clear" w:color="auto" w:fill="000080"/>
    </w:pPr>
  </w:style>
  <w:style w:type="paragraph" w:styleId="21">
    <w:name w:val="annotation text"/>
    <w:basedOn w:val="1"/>
    <w:link w:val="343"/>
    <w:qFormat/>
    <w:uiPriority w:val="99"/>
    <w:pPr>
      <w:jc w:val="left"/>
    </w:pPr>
  </w:style>
  <w:style w:type="paragraph" w:styleId="22">
    <w:name w:val="Salutation"/>
    <w:basedOn w:val="1"/>
    <w:next w:val="1"/>
    <w:link w:val="297"/>
    <w:qFormat/>
    <w:uiPriority w:val="0"/>
    <w:rPr>
      <w:rFonts w:ascii="仿宋_GB2312" w:eastAsia="仿宋_GB2312"/>
      <w:sz w:val="28"/>
      <w:szCs w:val="20"/>
    </w:rPr>
  </w:style>
  <w:style w:type="paragraph" w:styleId="23">
    <w:name w:val="Body Text 3"/>
    <w:basedOn w:val="1"/>
    <w:link w:val="329"/>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1"/>
    <w:link w:val="429"/>
    <w:qFormat/>
    <w:uiPriority w:val="0"/>
    <w:pPr>
      <w:autoSpaceDE w:val="0"/>
      <w:autoSpaceDN w:val="0"/>
      <w:spacing w:line="360" w:lineRule="auto"/>
    </w:pPr>
    <w:rPr>
      <w:rFonts w:ascii="宋体" w:hAnsi="Arial" w:cs="Arial"/>
      <w:snapToGrid w:val="0"/>
      <w:sz w:val="24"/>
      <w:szCs w:val="21"/>
      <w:lang w:val="zh-CN"/>
    </w:rPr>
  </w:style>
  <w:style w:type="paragraph" w:styleId="26">
    <w:name w:val="Body Text Indent"/>
    <w:basedOn w:val="1"/>
    <w:next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7"/>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1"/>
    <w:next w:val="21"/>
    <w:link w:val="96"/>
    <w:qFormat/>
    <w:uiPriority w:val="0"/>
    <w:rPr>
      <w:b/>
      <w:bCs/>
    </w:rPr>
  </w:style>
  <w:style w:type="paragraph" w:styleId="62">
    <w:name w:val="Body Text First Indent"/>
    <w:basedOn w:val="25"/>
    <w:link w:val="320"/>
    <w:qFormat/>
    <w:uiPriority w:val="0"/>
    <w:pPr>
      <w:ind w:firstLine="420"/>
    </w:pPr>
    <w:rPr>
      <w:rFonts w:hAnsi="Calibri" w:cs="Times New Roman"/>
      <w:snapToGrid/>
      <w:szCs w:val="20"/>
    </w:rPr>
  </w:style>
  <w:style w:type="paragraph" w:styleId="63">
    <w:name w:val="Body Text First Indent 2"/>
    <w:basedOn w:val="26"/>
    <w:link w:val="121"/>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basedOn w:val="71"/>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_Style 2"/>
    <w:basedOn w:val="1"/>
    <w:qFormat/>
    <w:uiPriority w:val="0"/>
    <w:pPr>
      <w:ind w:firstLine="420" w:firstLineChars="200"/>
    </w:pPr>
    <w:rPr>
      <w:rFonts w:ascii="Calibri" w:hAnsi="Calibri" w:cs="Times New Roman"/>
      <w:szCs w:val="22"/>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3"/>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1"/>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basedOn w:val="7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99"/>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5"/>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7"/>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99"/>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20"/>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99"/>
    <w:rPr>
      <w:rFonts w:eastAsia="宋体"/>
      <w:kern w:val="2"/>
      <w:sz w:val="18"/>
      <w:szCs w:val="18"/>
      <w:lang w:val="en-US" w:eastAsia="zh-CN" w:bidi="ar-SA"/>
    </w:rPr>
  </w:style>
  <w:style w:type="character" w:customStyle="1" w:styleId="214">
    <w:name w:val="md"/>
    <w:basedOn w:val="71"/>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8"/>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4"/>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2"/>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7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3"/>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1"/>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basedOn w:val="7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1"/>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7"/>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5"/>
    <w:qFormat/>
    <w:uiPriority w:val="0"/>
    <w:rPr>
      <w:rFonts w:ascii="宋体" w:hAnsi="Arial" w:eastAsia="宋体" w:cs="Arial"/>
      <w:snapToGrid w:val="0"/>
      <w:kern w:val="2"/>
      <w:sz w:val="24"/>
      <w:szCs w:val="21"/>
      <w:lang w:val="zh-CN" w:eastAsia="zh-CN" w:bidi="ar-SA"/>
    </w:rPr>
  </w:style>
  <w:style w:type="character" w:customStyle="1" w:styleId="430">
    <w:name w:val="gray6"/>
    <w:basedOn w:val="71"/>
    <w:qFormat/>
    <w:uiPriority w:val="0"/>
    <w:rPr>
      <w:rFonts w:ascii="Arial" w:hAnsi="Arial" w:eastAsia="黑体" w:cs="Arial"/>
      <w:snapToGrid w:val="0"/>
      <w:kern w:val="0"/>
      <w:szCs w:val="21"/>
    </w:rPr>
  </w:style>
  <w:style w:type="character" w:customStyle="1" w:styleId="431">
    <w:name w:val="hui"/>
    <w:basedOn w:val="71"/>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5"/>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6"/>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6"/>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4"/>
    <w:qFormat/>
    <w:uiPriority w:val="0"/>
    <w:pPr>
      <w:tabs>
        <w:tab w:val="left" w:pos="840"/>
      </w:tabs>
      <w:adjustRightInd/>
      <w:ind w:left="840" w:hanging="420"/>
    </w:pPr>
  </w:style>
  <w:style w:type="paragraph" w:customStyle="1" w:styleId="625">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6"/>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7"/>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6"/>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20"/>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4"/>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basedOn w:val="71"/>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1"/>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5">
    <w:name w:val="List Paragraph"/>
    <w:basedOn w:val="1"/>
    <w:qFormat/>
    <w:uiPriority w:val="34"/>
    <w:pPr>
      <w:widowControl w:val="0"/>
      <w:ind w:left="720"/>
      <w:contextualSpacing/>
      <w:jc w:val="both"/>
    </w:pPr>
    <w:rPr>
      <w:rFonts w:ascii="Times New Roman" w:hAnsi="Times New Roman" w:cs="Times New Roman"/>
      <w:kern w:val="2"/>
      <w:sz w:val="21"/>
    </w:rPr>
  </w:style>
  <w:style w:type="paragraph" w:customStyle="1" w:styleId="966">
    <w:name w:val="灿"/>
    <w:basedOn w:val="1"/>
    <w:qFormat/>
    <w:uiPriority w:val="0"/>
    <w:pPr>
      <w:widowControl w:val="0"/>
      <w:tabs>
        <w:tab w:val="left" w:pos="2160"/>
        <w:tab w:val="left" w:pos="2520"/>
        <w:tab w:val="left" w:pos="2880"/>
        <w:tab w:val="left" w:pos="3240"/>
      </w:tabs>
      <w:snapToGrid w:val="0"/>
      <w:jc w:val="both"/>
    </w:pPr>
    <w:rPr>
      <w:rFonts w:ascii="華康中楷體" w:hAnsi="Arial" w:eastAsia="華康中楷體" w:cs="Times New Roman"/>
      <w:szCs w:val="20"/>
    </w:rPr>
  </w:style>
  <w:style w:type="paragraph" w:customStyle="1" w:styleId="967">
    <w:name w:val="正文_0"/>
    <w:basedOn w:val="968"/>
    <w:qFormat/>
    <w:uiPriority w:val="0"/>
    <w:pPr>
      <w:widowControl w:val="0"/>
      <w:jc w:val="both"/>
    </w:pPr>
    <w:rPr>
      <w:rFonts w:ascii="Times New Roman" w:hAnsi="Times New Roman"/>
      <w:kern w:val="2"/>
      <w:sz w:val="21"/>
      <w:szCs w:val="22"/>
      <w:lang w:val="en-US" w:eastAsia="zh-CN" w:bidi="ar-SA"/>
    </w:rPr>
  </w:style>
  <w:style w:type="paragraph" w:customStyle="1" w:styleId="968">
    <w:name w:val="正文_1"/>
    <w:basedOn w:val="969"/>
    <w:qFormat/>
    <w:uiPriority w:val="0"/>
    <w:pPr>
      <w:widowControl w:val="0"/>
      <w:jc w:val="both"/>
    </w:pPr>
    <w:rPr>
      <w:rFonts w:ascii="Calibri" w:hAnsi="Calibri"/>
      <w:kern w:val="2"/>
      <w:sz w:val="21"/>
      <w:szCs w:val="22"/>
      <w:lang w:val="en-US" w:eastAsia="zh-CN" w:bidi="ar-SA"/>
    </w:rPr>
  </w:style>
  <w:style w:type="paragraph" w:customStyle="1" w:styleId="969">
    <w:name w:val="正文_2"/>
    <w:basedOn w:val="970"/>
    <w:qFormat/>
    <w:uiPriority w:val="0"/>
    <w:pPr>
      <w:widowControl w:val="0"/>
      <w:jc w:val="both"/>
    </w:pPr>
    <w:rPr>
      <w:rFonts w:ascii="Calibri" w:hAnsi="Calibri"/>
      <w:kern w:val="2"/>
      <w:sz w:val="21"/>
      <w:szCs w:val="22"/>
      <w:lang w:val="en-US" w:eastAsia="zh-CN" w:bidi="ar-SA"/>
    </w:rPr>
  </w:style>
  <w:style w:type="paragraph" w:customStyle="1" w:styleId="970">
    <w:name w:val="正文_3"/>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177</Pages>
  <Words>24317</Words>
  <Characters>25800</Characters>
  <Lines>348</Lines>
  <Paragraphs>98</Paragraphs>
  <TotalTime>91</TotalTime>
  <ScaleCrop>false</ScaleCrop>
  <LinksUpToDate>false</LinksUpToDate>
  <CharactersWithSpaces>27181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2024-01-09T10:04:00Z</dcterms:created>
  <dc:creator>玥</dc:creator>
  <cp:lastModifiedBy>巧</cp:lastModifiedBy>
  <cp:lastPrinted>2024-11-19T01:56:00Z</cp:lastPrinted>
  <dcterms:modified xsi:type="dcterms:W3CDTF">2024-11-20T02:13:30Z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