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C82245">
      <w:pPr>
        <w:keepNext w:val="0"/>
        <w:keepLines w:val="0"/>
        <w:pageBreakBefore w:val="0"/>
        <w:widowControl w:val="0"/>
        <w:kinsoku/>
        <w:wordWrap/>
        <w:overflowPunct/>
        <w:topLinePunct w:val="0"/>
        <w:autoSpaceDE/>
        <w:autoSpaceDN/>
        <w:bidi w:val="0"/>
        <w:adjustRightInd/>
        <w:snapToGrid/>
        <w:spacing w:before="157" w:beforeLines="50" w:line="580" w:lineRule="exact"/>
        <w:jc w:val="center"/>
        <w:textAlignment w:val="auto"/>
        <w:rPr>
          <w:rFonts w:hint="eastAsia" w:cs="宋体" w:asciiTheme="majorEastAsia" w:hAnsiTheme="majorEastAsia" w:eastAsiaTheme="majorEastAsia"/>
          <w:b/>
          <w:bCs/>
          <w:color w:val="auto"/>
          <w:spacing w:val="0"/>
          <w:kern w:val="0"/>
          <w:sz w:val="44"/>
          <w:szCs w:val="44"/>
          <w:highlight w:val="none"/>
          <w:lang w:eastAsia="zh-CN"/>
        </w:rPr>
      </w:pPr>
      <w:r>
        <w:rPr>
          <w:rFonts w:hint="eastAsia" w:cs="宋体" w:asciiTheme="majorEastAsia" w:hAnsiTheme="majorEastAsia" w:eastAsiaTheme="majorEastAsia"/>
          <w:b/>
          <w:bCs/>
          <w:color w:val="auto"/>
          <w:spacing w:val="0"/>
          <w:kern w:val="0"/>
          <w:sz w:val="44"/>
          <w:szCs w:val="44"/>
          <w:highlight w:val="none"/>
          <w:lang w:eastAsia="zh-CN"/>
        </w:rPr>
        <w:t>2025年嵊州市公共交通有限公司公交车辆</w:t>
      </w:r>
    </w:p>
    <w:p w14:paraId="1B77AAB6">
      <w:pPr>
        <w:keepNext w:val="0"/>
        <w:keepLines w:val="0"/>
        <w:pageBreakBefore w:val="0"/>
        <w:widowControl w:val="0"/>
        <w:kinsoku/>
        <w:wordWrap/>
        <w:overflowPunct/>
        <w:topLinePunct w:val="0"/>
        <w:autoSpaceDE/>
        <w:autoSpaceDN/>
        <w:bidi w:val="0"/>
        <w:adjustRightInd/>
        <w:snapToGrid/>
        <w:spacing w:before="157" w:beforeLines="50" w:line="580" w:lineRule="exact"/>
        <w:jc w:val="center"/>
        <w:textAlignment w:val="auto"/>
        <w:rPr>
          <w:rFonts w:hint="eastAsia" w:cs="宋体" w:asciiTheme="majorEastAsia" w:hAnsiTheme="majorEastAsia" w:eastAsiaTheme="majorEastAsia"/>
          <w:b/>
          <w:bCs/>
          <w:color w:val="auto"/>
          <w:spacing w:val="-11"/>
          <w:kern w:val="0"/>
          <w:sz w:val="44"/>
          <w:szCs w:val="44"/>
          <w:highlight w:val="none"/>
          <w:lang w:eastAsia="zh-CN"/>
        </w:rPr>
      </w:pPr>
      <w:r>
        <w:rPr>
          <w:rFonts w:hint="eastAsia" w:cs="宋体" w:asciiTheme="majorEastAsia" w:hAnsiTheme="majorEastAsia" w:eastAsiaTheme="majorEastAsia"/>
          <w:b/>
          <w:bCs/>
          <w:color w:val="auto"/>
          <w:spacing w:val="0"/>
          <w:kern w:val="0"/>
          <w:sz w:val="44"/>
          <w:szCs w:val="44"/>
          <w:highlight w:val="none"/>
          <w:lang w:eastAsia="zh-CN"/>
        </w:rPr>
        <w:t>采购项目</w:t>
      </w:r>
    </w:p>
    <w:p w14:paraId="45E88F36">
      <w:pPr>
        <w:keepNext w:val="0"/>
        <w:keepLines w:val="0"/>
        <w:pageBreakBefore w:val="0"/>
        <w:widowControl w:val="0"/>
        <w:kinsoku/>
        <w:wordWrap/>
        <w:overflowPunct/>
        <w:topLinePunct w:val="0"/>
        <w:autoSpaceDE/>
        <w:autoSpaceDN/>
        <w:bidi w:val="0"/>
        <w:adjustRightInd/>
        <w:snapToGrid/>
        <w:spacing w:before="157" w:beforeLines="50" w:line="720" w:lineRule="exact"/>
        <w:jc w:val="center"/>
        <w:textAlignment w:val="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（项目编号：</w:t>
      </w:r>
      <w:r>
        <w:rPr>
          <w:rFonts w:hint="eastAsia" w:ascii="宋体" w:hAnsi="宋体" w:cs="宋体"/>
          <w:b w:val="0"/>
          <w:bCs w:val="0"/>
          <w:color w:val="auto"/>
          <w:sz w:val="32"/>
          <w:szCs w:val="32"/>
          <w:highlight w:val="none"/>
          <w:lang w:val="en-US" w:eastAsia="zh-CN"/>
        </w:rPr>
        <w:t>SZMY-H20250416</w:t>
      </w:r>
      <w:r>
        <w:rPr>
          <w:rFonts w:hint="eastAsia" w:ascii="宋体" w:hAnsi="宋体" w:eastAsia="宋体" w:cs="宋体"/>
          <w:b w:val="0"/>
          <w:bCs w:val="0"/>
          <w:color w:val="auto"/>
          <w:sz w:val="28"/>
          <w:szCs w:val="28"/>
          <w:highlight w:val="none"/>
        </w:rPr>
        <w:t>）</w:t>
      </w:r>
    </w:p>
    <w:p w14:paraId="574A44A4">
      <w:pPr>
        <w:keepNext w:val="0"/>
        <w:keepLines w:val="0"/>
        <w:pageBreakBefore w:val="0"/>
        <w:widowControl w:val="0"/>
        <w:kinsoku/>
        <w:wordWrap/>
        <w:overflowPunct/>
        <w:topLinePunct w:val="0"/>
        <w:autoSpaceDE/>
        <w:autoSpaceDN/>
        <w:bidi w:val="0"/>
        <w:adjustRightInd/>
        <w:snapToGrid w:val="0"/>
        <w:spacing w:before="157" w:beforeLines="50"/>
        <w:jc w:val="center"/>
        <w:textAlignment w:val="auto"/>
        <w:rPr>
          <w:rFonts w:hint="default" w:ascii="宋体" w:hAnsi="宋体" w:eastAsia="宋体" w:cs="宋体"/>
          <w:b/>
          <w:color w:val="auto"/>
          <w:sz w:val="30"/>
          <w:szCs w:val="30"/>
          <w:highlight w:val="none"/>
          <w:lang w:val="en-US" w:eastAsia="zh-CN"/>
        </w:rPr>
      </w:pPr>
      <w:r>
        <w:rPr>
          <w:rFonts w:hint="eastAsia" w:ascii="宋体" w:hAnsi="宋体" w:cs="宋体"/>
          <w:b/>
          <w:color w:val="auto"/>
          <w:sz w:val="30"/>
          <w:szCs w:val="30"/>
          <w:highlight w:val="none"/>
          <w:lang w:val="en-US" w:eastAsia="zh-CN"/>
        </w:rPr>
        <w:t>（国企采购）</w:t>
      </w:r>
    </w:p>
    <w:p w14:paraId="5ACE01A2">
      <w:pPr>
        <w:keepNext w:val="0"/>
        <w:keepLines w:val="0"/>
        <w:pageBreakBefore w:val="0"/>
        <w:widowControl w:val="0"/>
        <w:kinsoku/>
        <w:wordWrap/>
        <w:overflowPunct/>
        <w:topLinePunct w:val="0"/>
        <w:autoSpaceDE/>
        <w:autoSpaceDN/>
        <w:bidi w:val="0"/>
        <w:adjustRightInd/>
        <w:snapToGrid/>
        <w:spacing w:before="1093" w:beforeLines="350" w:line="1000" w:lineRule="exact"/>
        <w:jc w:val="center"/>
        <w:textAlignment w:val="auto"/>
        <w:outlineLvl w:val="0"/>
        <w:rPr>
          <w:rFonts w:hint="eastAsia" w:ascii="仿宋" w:hAnsi="仿宋" w:eastAsia="仿宋" w:cs="仿宋"/>
          <w:b/>
          <w:bCs w:val="0"/>
          <w:color w:val="auto"/>
          <w:spacing w:val="-11"/>
          <w:sz w:val="84"/>
          <w:szCs w:val="84"/>
          <w:highlight w:val="none"/>
        </w:rPr>
      </w:pPr>
      <w:r>
        <w:rPr>
          <w:rFonts w:hint="eastAsia" w:ascii="仿宋" w:hAnsi="仿宋" w:eastAsia="仿宋" w:cs="仿宋"/>
          <w:b/>
          <w:bCs w:val="0"/>
          <w:color w:val="auto"/>
          <w:sz w:val="84"/>
          <w:szCs w:val="84"/>
          <w:highlight w:val="none"/>
        </w:rPr>
        <w:t>公</w:t>
      </w:r>
    </w:p>
    <w:p w14:paraId="54554265">
      <w:pPr>
        <w:keepNext w:val="0"/>
        <w:keepLines w:val="0"/>
        <w:pageBreakBefore w:val="0"/>
        <w:widowControl w:val="0"/>
        <w:kinsoku/>
        <w:wordWrap/>
        <w:overflowPunct/>
        <w:topLinePunct w:val="0"/>
        <w:autoSpaceDE/>
        <w:autoSpaceDN/>
        <w:bidi w:val="0"/>
        <w:adjustRightInd/>
        <w:snapToGrid/>
        <w:spacing w:line="1000" w:lineRule="exact"/>
        <w:jc w:val="center"/>
        <w:textAlignment w:val="auto"/>
        <w:outlineLvl w:val="0"/>
        <w:rPr>
          <w:rFonts w:hint="eastAsia" w:ascii="仿宋" w:hAnsi="仿宋" w:eastAsia="仿宋" w:cs="仿宋"/>
          <w:b/>
          <w:bCs w:val="0"/>
          <w:color w:val="auto"/>
          <w:sz w:val="84"/>
          <w:szCs w:val="84"/>
          <w:highlight w:val="none"/>
        </w:rPr>
      </w:pPr>
      <w:r>
        <w:rPr>
          <w:rFonts w:hint="eastAsia" w:ascii="仿宋" w:hAnsi="仿宋" w:eastAsia="仿宋" w:cs="仿宋"/>
          <w:b/>
          <w:bCs w:val="0"/>
          <w:color w:val="auto"/>
          <w:sz w:val="84"/>
          <w:szCs w:val="84"/>
          <w:highlight w:val="none"/>
        </w:rPr>
        <w:t>开</w:t>
      </w:r>
    </w:p>
    <w:p w14:paraId="774CB0D6">
      <w:pPr>
        <w:keepNext w:val="0"/>
        <w:keepLines w:val="0"/>
        <w:pageBreakBefore w:val="0"/>
        <w:widowControl w:val="0"/>
        <w:kinsoku/>
        <w:wordWrap/>
        <w:overflowPunct/>
        <w:topLinePunct w:val="0"/>
        <w:autoSpaceDE/>
        <w:autoSpaceDN/>
        <w:bidi w:val="0"/>
        <w:adjustRightInd/>
        <w:snapToGrid/>
        <w:spacing w:line="1000" w:lineRule="exact"/>
        <w:jc w:val="center"/>
        <w:textAlignment w:val="auto"/>
        <w:outlineLvl w:val="0"/>
        <w:rPr>
          <w:rFonts w:hint="eastAsia" w:ascii="仿宋" w:hAnsi="仿宋" w:eastAsia="仿宋" w:cs="仿宋"/>
          <w:b/>
          <w:bCs w:val="0"/>
          <w:color w:val="auto"/>
          <w:sz w:val="84"/>
          <w:szCs w:val="84"/>
          <w:highlight w:val="none"/>
        </w:rPr>
      </w:pPr>
      <w:r>
        <w:rPr>
          <w:rFonts w:hint="eastAsia" w:ascii="仿宋" w:hAnsi="仿宋" w:eastAsia="仿宋" w:cs="仿宋"/>
          <w:b/>
          <w:bCs w:val="0"/>
          <w:color w:val="auto"/>
          <w:sz w:val="84"/>
          <w:szCs w:val="84"/>
          <w:highlight w:val="none"/>
        </w:rPr>
        <w:t>招</w:t>
      </w:r>
    </w:p>
    <w:p w14:paraId="182898B0">
      <w:pPr>
        <w:keepNext w:val="0"/>
        <w:keepLines w:val="0"/>
        <w:pageBreakBefore w:val="0"/>
        <w:widowControl w:val="0"/>
        <w:kinsoku/>
        <w:wordWrap/>
        <w:overflowPunct/>
        <w:topLinePunct w:val="0"/>
        <w:autoSpaceDE/>
        <w:autoSpaceDN/>
        <w:bidi w:val="0"/>
        <w:adjustRightInd/>
        <w:snapToGrid/>
        <w:spacing w:line="1000" w:lineRule="exact"/>
        <w:jc w:val="center"/>
        <w:textAlignment w:val="auto"/>
        <w:outlineLvl w:val="0"/>
        <w:rPr>
          <w:rFonts w:hint="eastAsia" w:ascii="仿宋" w:hAnsi="仿宋" w:eastAsia="仿宋" w:cs="仿宋"/>
          <w:b/>
          <w:bCs w:val="0"/>
          <w:color w:val="auto"/>
          <w:sz w:val="84"/>
          <w:szCs w:val="84"/>
          <w:highlight w:val="none"/>
        </w:rPr>
      </w:pPr>
      <w:r>
        <w:rPr>
          <w:rFonts w:hint="eastAsia" w:ascii="仿宋" w:hAnsi="仿宋" w:eastAsia="仿宋" w:cs="仿宋"/>
          <w:b/>
          <w:bCs w:val="0"/>
          <w:color w:val="auto"/>
          <w:sz w:val="84"/>
          <w:szCs w:val="84"/>
          <w:highlight w:val="none"/>
        </w:rPr>
        <w:t>标</w:t>
      </w:r>
    </w:p>
    <w:p w14:paraId="6F2E6049">
      <w:pPr>
        <w:keepNext w:val="0"/>
        <w:keepLines w:val="0"/>
        <w:pageBreakBefore w:val="0"/>
        <w:widowControl w:val="0"/>
        <w:kinsoku/>
        <w:wordWrap/>
        <w:overflowPunct/>
        <w:topLinePunct w:val="0"/>
        <w:autoSpaceDE/>
        <w:autoSpaceDN/>
        <w:bidi w:val="0"/>
        <w:adjustRightInd/>
        <w:snapToGrid/>
        <w:spacing w:line="1000" w:lineRule="exact"/>
        <w:jc w:val="center"/>
        <w:textAlignment w:val="auto"/>
        <w:outlineLvl w:val="0"/>
        <w:rPr>
          <w:rFonts w:hint="eastAsia" w:ascii="仿宋" w:hAnsi="仿宋" w:eastAsia="仿宋" w:cs="仿宋"/>
          <w:b/>
          <w:bCs w:val="0"/>
          <w:color w:val="auto"/>
          <w:sz w:val="84"/>
          <w:szCs w:val="84"/>
          <w:highlight w:val="none"/>
        </w:rPr>
      </w:pPr>
      <w:r>
        <w:rPr>
          <w:rFonts w:hint="eastAsia" w:ascii="仿宋" w:hAnsi="仿宋" w:eastAsia="仿宋" w:cs="仿宋"/>
          <w:b/>
          <w:bCs w:val="0"/>
          <w:color w:val="auto"/>
          <w:sz w:val="84"/>
          <w:szCs w:val="84"/>
          <w:highlight w:val="none"/>
        </w:rPr>
        <w:t>文</w:t>
      </w:r>
    </w:p>
    <w:p w14:paraId="5553ADA6">
      <w:pPr>
        <w:keepNext w:val="0"/>
        <w:keepLines w:val="0"/>
        <w:pageBreakBefore w:val="0"/>
        <w:widowControl w:val="0"/>
        <w:kinsoku/>
        <w:wordWrap/>
        <w:overflowPunct/>
        <w:topLinePunct w:val="0"/>
        <w:autoSpaceDE/>
        <w:autoSpaceDN/>
        <w:bidi w:val="0"/>
        <w:adjustRightInd/>
        <w:snapToGrid/>
        <w:spacing w:line="1000" w:lineRule="exact"/>
        <w:jc w:val="center"/>
        <w:textAlignment w:val="auto"/>
        <w:outlineLvl w:val="0"/>
        <w:rPr>
          <w:rFonts w:hint="eastAsia" w:ascii="仿宋" w:hAnsi="仿宋" w:eastAsia="仿宋" w:cs="仿宋"/>
          <w:b/>
          <w:bCs w:val="0"/>
          <w:color w:val="auto"/>
          <w:sz w:val="44"/>
          <w:highlight w:val="none"/>
        </w:rPr>
      </w:pPr>
      <w:r>
        <w:rPr>
          <w:rFonts w:hint="eastAsia" w:ascii="仿宋" w:hAnsi="仿宋" w:eastAsia="仿宋" w:cs="仿宋"/>
          <w:b/>
          <w:bCs w:val="0"/>
          <w:color w:val="auto"/>
          <w:sz w:val="84"/>
          <w:szCs w:val="84"/>
          <w:highlight w:val="none"/>
        </w:rPr>
        <w:t>件</w:t>
      </w:r>
    </w:p>
    <w:p w14:paraId="51072A88">
      <w:pPr>
        <w:keepNext w:val="0"/>
        <w:keepLines w:val="0"/>
        <w:pageBreakBefore w:val="0"/>
        <w:widowControl w:val="0"/>
        <w:kinsoku/>
        <w:wordWrap/>
        <w:overflowPunct/>
        <w:topLinePunct w:val="0"/>
        <w:autoSpaceDE/>
        <w:autoSpaceDN/>
        <w:bidi w:val="0"/>
        <w:adjustRightInd/>
        <w:snapToGrid/>
        <w:spacing w:before="313" w:beforeLines="100" w:line="600" w:lineRule="exact"/>
        <w:jc w:val="both"/>
        <w:textAlignment w:val="auto"/>
        <w:rPr>
          <w:rFonts w:hint="eastAsia" w:ascii="宋体" w:hAnsi="宋体" w:eastAsia="宋体" w:cs="宋体"/>
          <w:bCs/>
          <w:color w:val="auto"/>
          <w:sz w:val="32"/>
          <w:szCs w:val="32"/>
          <w:highlight w:val="none"/>
          <w:lang w:eastAsia="zh-CN"/>
        </w:rPr>
      </w:pPr>
    </w:p>
    <w:tbl>
      <w:tblPr>
        <w:tblStyle w:val="31"/>
        <w:tblW w:w="8128" w:type="dxa"/>
        <w:jc w:val="center"/>
        <w:tblLayout w:type="fixed"/>
        <w:tblCellMar>
          <w:top w:w="0" w:type="dxa"/>
          <w:left w:w="108" w:type="dxa"/>
          <w:bottom w:w="0" w:type="dxa"/>
          <w:right w:w="108" w:type="dxa"/>
        </w:tblCellMar>
      </w:tblPr>
      <w:tblGrid>
        <w:gridCol w:w="2219"/>
        <w:gridCol w:w="5909"/>
      </w:tblGrid>
      <w:tr w14:paraId="650E6F1A">
        <w:trPr>
          <w:trHeight w:val="443" w:hRule="atLeast"/>
          <w:jc w:val="center"/>
        </w:trPr>
        <w:tc>
          <w:tcPr>
            <w:tcW w:w="2219" w:type="dxa"/>
          </w:tcPr>
          <w:p w14:paraId="7BA82178">
            <w:pPr>
              <w:keepNext w:val="0"/>
              <w:keepLines w:val="0"/>
              <w:pageBreakBefore w:val="0"/>
              <w:widowControl w:val="0"/>
              <w:kinsoku/>
              <w:wordWrap/>
              <w:overflowPunct/>
              <w:topLinePunct w:val="0"/>
              <w:autoSpaceDE/>
              <w:autoSpaceDN/>
              <w:bidi w:val="0"/>
              <w:adjustRightInd/>
              <w:snapToGrid/>
              <w:spacing w:afterAutospacing="0" w:line="600" w:lineRule="exact"/>
              <w:jc w:val="both"/>
              <w:textAlignment w:val="auto"/>
              <w:outlineLvl w:val="0"/>
              <w:rPr>
                <w:rFonts w:hint="eastAsia" w:ascii="宋体" w:hAnsi="宋体" w:eastAsia="宋体" w:cs="宋体"/>
                <w:b w:val="0"/>
                <w:bCs w:val="0"/>
                <w:color w:val="auto"/>
                <w:sz w:val="28"/>
                <w:szCs w:val="28"/>
                <w:highlight w:val="none"/>
                <w:u w:val="none"/>
                <w:lang w:eastAsia="zh-CN"/>
              </w:rPr>
            </w:pPr>
            <w:r>
              <w:rPr>
                <w:rFonts w:hint="eastAsia" w:ascii="宋体" w:hAnsi="宋体" w:eastAsia="宋体" w:cs="宋体"/>
                <w:b w:val="0"/>
                <w:bCs w:val="0"/>
                <w:color w:val="auto"/>
                <w:sz w:val="28"/>
                <w:szCs w:val="28"/>
                <w:highlight w:val="none"/>
                <w:u w:val="none"/>
                <w:lang w:eastAsia="zh-CN"/>
              </w:rPr>
              <w:t>采购单位：</w:t>
            </w:r>
          </w:p>
        </w:tc>
        <w:tc>
          <w:tcPr>
            <w:tcW w:w="5909" w:type="dxa"/>
            <w:vAlign w:val="center"/>
          </w:tcPr>
          <w:p w14:paraId="544F61DA">
            <w:pPr>
              <w:keepNext w:val="0"/>
              <w:keepLines w:val="0"/>
              <w:pageBreakBefore w:val="0"/>
              <w:widowControl w:val="0"/>
              <w:kinsoku/>
              <w:wordWrap/>
              <w:overflowPunct/>
              <w:topLinePunct w:val="0"/>
              <w:autoSpaceDE/>
              <w:autoSpaceDN/>
              <w:bidi w:val="0"/>
              <w:adjustRightInd/>
              <w:snapToGrid/>
              <w:spacing w:afterAutospacing="0" w:line="600" w:lineRule="exact"/>
              <w:jc w:val="both"/>
              <w:textAlignment w:val="auto"/>
              <w:outlineLvl w:val="0"/>
              <w:rPr>
                <w:rFonts w:hint="eastAsia" w:ascii="宋体" w:hAnsi="宋体" w:eastAsia="宋体" w:cs="宋体"/>
                <w:b w:val="0"/>
                <w:bCs w:val="0"/>
                <w:color w:val="auto"/>
                <w:sz w:val="28"/>
                <w:szCs w:val="28"/>
                <w:highlight w:val="none"/>
                <w:u w:val="none"/>
                <w:lang w:eastAsia="zh-CN"/>
              </w:rPr>
            </w:pPr>
            <w:r>
              <w:rPr>
                <w:rFonts w:hint="eastAsia" w:ascii="宋体" w:hAnsi="宋体" w:eastAsia="宋体" w:cs="宋体"/>
                <w:b w:val="0"/>
                <w:bCs w:val="0"/>
                <w:color w:val="auto"/>
                <w:sz w:val="28"/>
                <w:szCs w:val="28"/>
                <w:highlight w:val="none"/>
                <w:u w:val="none"/>
                <w:lang w:eastAsia="zh-CN"/>
              </w:rPr>
              <w:t>嵊州市公共交通有限公司</w:t>
            </w:r>
          </w:p>
        </w:tc>
      </w:tr>
      <w:tr w14:paraId="7A47301C">
        <w:tblPrEx>
          <w:tblCellMar>
            <w:top w:w="0" w:type="dxa"/>
            <w:left w:w="108" w:type="dxa"/>
            <w:bottom w:w="0" w:type="dxa"/>
            <w:right w:w="108" w:type="dxa"/>
          </w:tblCellMar>
        </w:tblPrEx>
        <w:trPr>
          <w:trHeight w:val="494" w:hRule="atLeast"/>
          <w:jc w:val="center"/>
        </w:trPr>
        <w:tc>
          <w:tcPr>
            <w:tcW w:w="2219" w:type="dxa"/>
          </w:tcPr>
          <w:p w14:paraId="1BA152CB">
            <w:pPr>
              <w:keepNext w:val="0"/>
              <w:keepLines w:val="0"/>
              <w:pageBreakBefore w:val="0"/>
              <w:widowControl w:val="0"/>
              <w:kinsoku/>
              <w:wordWrap/>
              <w:overflowPunct/>
              <w:topLinePunct w:val="0"/>
              <w:autoSpaceDE/>
              <w:autoSpaceDN/>
              <w:bidi w:val="0"/>
              <w:adjustRightInd/>
              <w:snapToGrid/>
              <w:spacing w:afterAutospacing="0" w:line="600" w:lineRule="exact"/>
              <w:jc w:val="both"/>
              <w:textAlignment w:val="auto"/>
              <w:outlineLvl w:val="0"/>
              <w:rPr>
                <w:rFonts w:hint="eastAsia" w:ascii="宋体" w:hAnsi="宋体" w:eastAsia="宋体" w:cs="宋体"/>
                <w:b w:val="0"/>
                <w:bCs w:val="0"/>
                <w:color w:val="auto"/>
                <w:sz w:val="28"/>
                <w:szCs w:val="28"/>
                <w:highlight w:val="none"/>
                <w:u w:val="none"/>
                <w:lang w:eastAsia="zh-CN"/>
              </w:rPr>
            </w:pPr>
            <w:r>
              <w:rPr>
                <w:rFonts w:hint="eastAsia" w:ascii="宋体" w:hAnsi="宋体" w:eastAsia="宋体" w:cs="宋体"/>
                <w:b w:val="0"/>
                <w:bCs w:val="0"/>
                <w:color w:val="auto"/>
                <w:sz w:val="28"/>
                <w:szCs w:val="28"/>
                <w:highlight w:val="none"/>
                <w:u w:val="none"/>
                <w:lang w:eastAsia="zh-CN"/>
              </w:rPr>
              <w:t>采购代理机构：</w:t>
            </w:r>
          </w:p>
        </w:tc>
        <w:tc>
          <w:tcPr>
            <w:tcW w:w="5909" w:type="dxa"/>
          </w:tcPr>
          <w:p w14:paraId="268A7A1B">
            <w:pPr>
              <w:keepNext w:val="0"/>
              <w:keepLines w:val="0"/>
              <w:pageBreakBefore w:val="0"/>
              <w:widowControl w:val="0"/>
              <w:kinsoku/>
              <w:wordWrap/>
              <w:overflowPunct/>
              <w:topLinePunct w:val="0"/>
              <w:autoSpaceDE/>
              <w:autoSpaceDN/>
              <w:bidi w:val="0"/>
              <w:adjustRightInd/>
              <w:snapToGrid/>
              <w:spacing w:afterAutospacing="0" w:line="600" w:lineRule="exact"/>
              <w:jc w:val="both"/>
              <w:textAlignment w:val="auto"/>
              <w:outlineLvl w:val="0"/>
              <w:rPr>
                <w:rFonts w:hint="eastAsia" w:ascii="宋体" w:hAnsi="宋体" w:eastAsia="宋体" w:cs="宋体"/>
                <w:b w:val="0"/>
                <w:bCs w:val="0"/>
                <w:color w:val="auto"/>
                <w:sz w:val="28"/>
                <w:szCs w:val="28"/>
                <w:highlight w:val="none"/>
                <w:u w:val="none"/>
                <w:lang w:val="en-US" w:eastAsia="zh-CN"/>
              </w:rPr>
            </w:pPr>
            <w:r>
              <w:rPr>
                <w:rFonts w:hint="eastAsia" w:ascii="宋体" w:hAnsi="宋体" w:eastAsia="宋体" w:cs="宋体"/>
                <w:bCs/>
                <w:color w:val="auto"/>
                <w:sz w:val="28"/>
                <w:szCs w:val="28"/>
                <w:highlight w:val="none"/>
              </w:rPr>
              <w:t>浙江明业项目管理有限公司 </w:t>
            </w:r>
          </w:p>
        </w:tc>
      </w:tr>
      <w:tr w14:paraId="45A446D8">
        <w:tblPrEx>
          <w:tblCellMar>
            <w:top w:w="0" w:type="dxa"/>
            <w:left w:w="108" w:type="dxa"/>
            <w:bottom w:w="0" w:type="dxa"/>
            <w:right w:w="108" w:type="dxa"/>
          </w:tblCellMar>
        </w:tblPrEx>
        <w:trPr>
          <w:trHeight w:val="397" w:hRule="atLeast"/>
          <w:jc w:val="center"/>
        </w:trPr>
        <w:tc>
          <w:tcPr>
            <w:tcW w:w="2219" w:type="dxa"/>
            <w:vAlign w:val="center"/>
          </w:tcPr>
          <w:p w14:paraId="0D8AF322">
            <w:pPr>
              <w:keepNext w:val="0"/>
              <w:keepLines w:val="0"/>
              <w:pageBreakBefore w:val="0"/>
              <w:widowControl w:val="0"/>
              <w:kinsoku/>
              <w:wordWrap/>
              <w:overflowPunct/>
              <w:topLinePunct w:val="0"/>
              <w:autoSpaceDE/>
              <w:autoSpaceDN/>
              <w:bidi w:val="0"/>
              <w:adjustRightInd/>
              <w:snapToGrid/>
              <w:spacing w:afterAutospacing="0" w:line="600" w:lineRule="exact"/>
              <w:jc w:val="both"/>
              <w:textAlignment w:val="auto"/>
              <w:outlineLvl w:val="0"/>
              <w:rPr>
                <w:rFonts w:hint="eastAsia" w:ascii="宋体" w:hAnsi="宋体" w:eastAsia="宋体" w:cs="宋体"/>
                <w:b w:val="0"/>
                <w:bCs w:val="0"/>
                <w:color w:val="auto"/>
                <w:sz w:val="28"/>
                <w:szCs w:val="28"/>
                <w:highlight w:val="none"/>
                <w:u w:val="none"/>
                <w:lang w:eastAsia="zh-CN"/>
              </w:rPr>
            </w:pPr>
            <w:r>
              <w:rPr>
                <w:rFonts w:hint="eastAsia" w:ascii="宋体" w:hAnsi="宋体" w:eastAsia="宋体" w:cs="宋体"/>
                <w:b w:val="0"/>
                <w:bCs w:val="0"/>
                <w:color w:val="auto"/>
                <w:sz w:val="28"/>
                <w:szCs w:val="28"/>
                <w:highlight w:val="none"/>
                <w:u w:val="none"/>
                <w:lang w:eastAsia="zh-CN"/>
              </w:rPr>
              <w:t>监督单位：</w:t>
            </w:r>
          </w:p>
        </w:tc>
        <w:tc>
          <w:tcPr>
            <w:tcW w:w="5909" w:type="dxa"/>
          </w:tcPr>
          <w:p w14:paraId="642044E5">
            <w:pPr>
              <w:keepNext w:val="0"/>
              <w:keepLines w:val="0"/>
              <w:pageBreakBefore w:val="0"/>
              <w:widowControl w:val="0"/>
              <w:kinsoku/>
              <w:wordWrap/>
              <w:overflowPunct/>
              <w:topLinePunct w:val="0"/>
              <w:autoSpaceDE/>
              <w:autoSpaceDN/>
              <w:bidi w:val="0"/>
              <w:adjustRightInd/>
              <w:snapToGrid/>
              <w:spacing w:afterAutospacing="0" w:line="600" w:lineRule="exact"/>
              <w:jc w:val="both"/>
              <w:textAlignment w:val="auto"/>
              <w:outlineLvl w:val="0"/>
              <w:rPr>
                <w:rFonts w:hint="eastAsia" w:ascii="宋体" w:hAnsi="宋体" w:eastAsia="宋体" w:cs="宋体"/>
                <w:b w:val="0"/>
                <w:bCs w:val="0"/>
                <w:color w:val="auto"/>
                <w:sz w:val="28"/>
                <w:szCs w:val="28"/>
                <w:highlight w:val="none"/>
                <w:u w:val="none"/>
                <w:lang w:eastAsia="zh-CN"/>
              </w:rPr>
            </w:pPr>
            <w:r>
              <w:rPr>
                <w:rFonts w:hint="eastAsia" w:ascii="宋体" w:hAnsi="宋体" w:eastAsia="宋体" w:cs="宋体"/>
                <w:b w:val="0"/>
                <w:bCs w:val="0"/>
                <w:color w:val="auto"/>
                <w:sz w:val="28"/>
                <w:szCs w:val="28"/>
                <w:highlight w:val="none"/>
                <w:u w:val="none"/>
                <w:lang w:val="en-US" w:eastAsia="zh-CN"/>
              </w:rPr>
              <w:t>嵊州市交通投资发展集团有限公司</w:t>
            </w:r>
          </w:p>
        </w:tc>
      </w:tr>
      <w:tr w14:paraId="25F9B838">
        <w:tblPrEx>
          <w:tblCellMar>
            <w:top w:w="0" w:type="dxa"/>
            <w:left w:w="108" w:type="dxa"/>
            <w:bottom w:w="0" w:type="dxa"/>
            <w:right w:w="108" w:type="dxa"/>
          </w:tblCellMar>
        </w:tblPrEx>
        <w:trPr>
          <w:trHeight w:val="333" w:hRule="atLeast"/>
          <w:jc w:val="center"/>
        </w:trPr>
        <w:tc>
          <w:tcPr>
            <w:tcW w:w="8128" w:type="dxa"/>
            <w:gridSpan w:val="2"/>
          </w:tcPr>
          <w:p w14:paraId="292C0650">
            <w:pPr>
              <w:keepNext w:val="0"/>
              <w:keepLines w:val="0"/>
              <w:pageBreakBefore w:val="0"/>
              <w:widowControl w:val="0"/>
              <w:kinsoku/>
              <w:wordWrap/>
              <w:overflowPunct/>
              <w:topLinePunct w:val="0"/>
              <w:autoSpaceDE/>
              <w:autoSpaceDN/>
              <w:bidi w:val="0"/>
              <w:snapToGrid/>
              <w:spacing w:afterAutospacing="0" w:line="600" w:lineRule="exact"/>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二○二</w:t>
            </w:r>
            <w:r>
              <w:rPr>
                <w:rFonts w:hint="eastAsia" w:ascii="宋体" w:hAnsi="宋体" w:eastAsia="宋体" w:cs="宋体"/>
                <w:color w:val="auto"/>
                <w:sz w:val="28"/>
                <w:szCs w:val="28"/>
                <w:highlight w:val="none"/>
                <w:lang w:val="en-US" w:eastAsia="zh-CN"/>
              </w:rPr>
              <w:t>五</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rPr>
              <w:t>月</w:t>
            </w:r>
          </w:p>
        </w:tc>
      </w:tr>
    </w:tbl>
    <w:p w14:paraId="591AE0FD">
      <w:pPr>
        <w:keepNext w:val="0"/>
        <w:keepLines w:val="0"/>
        <w:pageBreakBefore w:val="0"/>
        <w:widowControl w:val="0"/>
        <w:kinsoku/>
        <w:wordWrap/>
        <w:overflowPunct/>
        <w:topLinePunct w:val="0"/>
        <w:autoSpaceDE/>
        <w:autoSpaceDN/>
        <w:bidi w:val="0"/>
        <w:adjustRightInd/>
        <w:snapToGrid/>
        <w:spacing w:line="680" w:lineRule="exact"/>
        <w:ind w:firstLine="1280" w:firstLineChars="400"/>
        <w:jc w:val="both"/>
        <w:textAlignment w:val="auto"/>
        <w:rPr>
          <w:rFonts w:hint="eastAsia" w:ascii="宋体" w:hAnsi="宋体" w:eastAsia="宋体" w:cs="宋体"/>
          <w:bCs/>
          <w:color w:val="auto"/>
          <w:sz w:val="32"/>
          <w:szCs w:val="32"/>
          <w:highlight w:val="none"/>
          <w:lang w:eastAsia="zh-CN"/>
        </w:rPr>
      </w:pPr>
    </w:p>
    <w:p w14:paraId="67C8B467">
      <w:pPr>
        <w:pStyle w:val="18"/>
        <w:widowControl w:val="0"/>
        <w:spacing w:line="580" w:lineRule="exact"/>
        <w:jc w:val="center"/>
        <w:rPr>
          <w:rFonts w:hint="eastAsia" w:ascii="宋体" w:hAnsi="宋体" w:eastAsia="宋体" w:cs="宋体"/>
          <w:bCs/>
          <w:color w:val="auto"/>
          <w:sz w:val="44"/>
          <w:szCs w:val="44"/>
          <w:highlight w:val="none"/>
        </w:rPr>
        <w:sectPr>
          <w:pgSz w:w="11906" w:h="16838"/>
          <w:pgMar w:top="1417" w:right="1289" w:bottom="1417" w:left="1797" w:header="851" w:footer="851" w:gutter="0"/>
          <w:pgNumType w:start="1"/>
          <w:cols w:space="720" w:num="1"/>
          <w:docGrid w:type="lines" w:linePitch="312" w:charSpace="0"/>
        </w:sectPr>
      </w:pPr>
      <w:bookmarkStart w:id="0" w:name="用户单位名称"/>
      <w:bookmarkEnd w:id="0"/>
    </w:p>
    <w:p w14:paraId="6011524D">
      <w:pPr>
        <w:pStyle w:val="18"/>
        <w:widowControl w:val="0"/>
        <w:spacing w:line="580" w:lineRule="exact"/>
        <w:jc w:val="center"/>
        <w:rPr>
          <w:rFonts w:hint="eastAsia" w:ascii="宋体" w:hAnsi="宋体" w:eastAsia="宋体" w:cs="宋体"/>
          <w:bCs/>
          <w:color w:val="auto"/>
          <w:sz w:val="44"/>
          <w:szCs w:val="44"/>
          <w:highlight w:val="none"/>
        </w:rPr>
      </w:pPr>
    </w:p>
    <w:p w14:paraId="45DB9E0B">
      <w:pPr>
        <w:pStyle w:val="18"/>
        <w:widowControl w:val="0"/>
        <w:spacing w:line="580" w:lineRule="exact"/>
        <w:jc w:val="center"/>
        <w:rPr>
          <w:rFonts w:ascii="宋体" w:hAnsi="宋体" w:eastAsia="宋体" w:cs="宋体"/>
          <w:bCs/>
          <w:color w:val="auto"/>
          <w:sz w:val="44"/>
          <w:szCs w:val="44"/>
          <w:highlight w:val="none"/>
        </w:rPr>
      </w:pPr>
      <w:r>
        <w:rPr>
          <w:rFonts w:hint="eastAsia" w:ascii="宋体" w:hAnsi="宋体" w:eastAsia="宋体" w:cs="宋体"/>
          <w:bCs/>
          <w:color w:val="auto"/>
          <w:sz w:val="44"/>
          <w:szCs w:val="44"/>
          <w:highlight w:val="none"/>
        </w:rPr>
        <w:t>目  录</w:t>
      </w:r>
    </w:p>
    <w:p w14:paraId="250E9BA8">
      <w:pPr>
        <w:rPr>
          <w:rFonts w:ascii="宋体" w:hAnsi="宋体" w:cs="宋体"/>
          <w:color w:val="auto"/>
          <w:highlight w:val="none"/>
        </w:rPr>
      </w:pPr>
    </w:p>
    <w:p w14:paraId="46F8732D">
      <w:pPr>
        <w:rPr>
          <w:rFonts w:ascii="宋体" w:hAnsi="宋体" w:cs="宋体"/>
          <w:color w:val="auto"/>
          <w:highlight w:val="none"/>
        </w:rPr>
      </w:pPr>
    </w:p>
    <w:p w14:paraId="46841D93">
      <w:pPr>
        <w:rPr>
          <w:rFonts w:ascii="宋体" w:hAnsi="宋体" w:cs="宋体"/>
          <w:color w:val="auto"/>
          <w:highlight w:val="none"/>
        </w:rPr>
      </w:pPr>
    </w:p>
    <w:p w14:paraId="2A187938">
      <w:pPr>
        <w:pStyle w:val="22"/>
        <w:keepNext w:val="0"/>
        <w:keepLines w:val="0"/>
        <w:pageBreakBefore w:val="0"/>
        <w:widowControl w:val="0"/>
        <w:tabs>
          <w:tab w:val="right" w:leader="dot" w:pos="9016"/>
        </w:tabs>
        <w:kinsoku/>
        <w:wordWrap/>
        <w:overflowPunct/>
        <w:topLinePunct w:val="0"/>
        <w:autoSpaceDE/>
        <w:autoSpaceDN/>
        <w:bidi w:val="0"/>
        <w:adjustRightInd/>
        <w:snapToGrid/>
        <w:spacing w:line="360" w:lineRule="auto"/>
        <w:textAlignment w:val="auto"/>
        <w:rPr>
          <w:rFonts w:ascii="宋体" w:hAnsi="宋体" w:cs="宋体"/>
          <w:b w:val="0"/>
          <w:bCs/>
          <w:caps w:val="0"/>
          <w:color w:val="auto"/>
          <w:sz w:val="28"/>
          <w:szCs w:val="28"/>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TOC \o "1-2" \h \z \u </w:instrText>
      </w:r>
      <w:r>
        <w:rPr>
          <w:rFonts w:hint="eastAsia" w:ascii="宋体" w:hAnsi="宋体" w:cs="宋体"/>
          <w:color w:val="auto"/>
          <w:highlight w:val="none"/>
        </w:rPr>
        <w:fldChar w:fldCharType="separate"/>
      </w:r>
      <w:r>
        <w:rPr>
          <w:color w:val="auto"/>
          <w:highlight w:val="none"/>
        </w:rPr>
        <w:fldChar w:fldCharType="begin"/>
      </w:r>
      <w:r>
        <w:rPr>
          <w:color w:val="auto"/>
          <w:highlight w:val="none"/>
        </w:rPr>
        <w:instrText xml:space="preserve"> HYPERLINK \l "_Toc513456138" </w:instrText>
      </w:r>
      <w:r>
        <w:rPr>
          <w:color w:val="auto"/>
          <w:highlight w:val="none"/>
        </w:rPr>
        <w:fldChar w:fldCharType="separate"/>
      </w:r>
      <w:r>
        <w:rPr>
          <w:rStyle w:val="36"/>
          <w:rFonts w:hint="eastAsia" w:ascii="宋体" w:hAnsi="宋体" w:cs="宋体"/>
          <w:b w:val="0"/>
          <w:bCs/>
          <w:color w:val="auto"/>
          <w:sz w:val="28"/>
          <w:szCs w:val="28"/>
          <w:highlight w:val="none"/>
        </w:rPr>
        <w:t>第一部分  招标公告</w:t>
      </w:r>
      <w:r>
        <w:rPr>
          <w:rFonts w:hint="eastAsia" w:ascii="宋体" w:hAnsi="宋体" w:cs="宋体"/>
          <w:b w:val="0"/>
          <w:bCs/>
          <w:color w:val="auto"/>
          <w:sz w:val="28"/>
          <w:szCs w:val="28"/>
          <w:highlight w:val="none"/>
        </w:rPr>
        <w:tab/>
      </w:r>
      <w:r>
        <w:rPr>
          <w:rFonts w:hint="eastAsia" w:ascii="宋体" w:hAnsi="宋体" w:cs="宋体"/>
          <w:b w:val="0"/>
          <w:bCs/>
          <w:color w:val="auto"/>
          <w:sz w:val="28"/>
          <w:szCs w:val="28"/>
          <w:highlight w:val="none"/>
          <w:lang w:val="en-US" w:eastAsia="zh-CN"/>
        </w:rPr>
        <w:t>1</w:t>
      </w:r>
      <w:r>
        <w:rPr>
          <w:rFonts w:hint="eastAsia" w:ascii="宋体" w:hAnsi="宋体" w:cs="宋体"/>
          <w:b w:val="0"/>
          <w:bCs/>
          <w:color w:val="auto"/>
          <w:sz w:val="28"/>
          <w:szCs w:val="28"/>
          <w:highlight w:val="none"/>
        </w:rPr>
        <w:fldChar w:fldCharType="end"/>
      </w:r>
    </w:p>
    <w:p w14:paraId="1B3FFA7A">
      <w:pPr>
        <w:pStyle w:val="22"/>
        <w:keepNext w:val="0"/>
        <w:keepLines w:val="0"/>
        <w:pageBreakBefore w:val="0"/>
        <w:widowControl w:val="0"/>
        <w:tabs>
          <w:tab w:val="right" w:leader="dot" w:pos="9016"/>
        </w:tabs>
        <w:kinsoku/>
        <w:wordWrap/>
        <w:overflowPunct/>
        <w:topLinePunct w:val="0"/>
        <w:autoSpaceDE/>
        <w:autoSpaceDN/>
        <w:bidi w:val="0"/>
        <w:adjustRightInd/>
        <w:snapToGrid/>
        <w:spacing w:line="360" w:lineRule="auto"/>
        <w:textAlignment w:val="auto"/>
        <w:rPr>
          <w:rFonts w:ascii="宋体" w:hAnsi="宋体" w:cs="宋体"/>
          <w:b w:val="0"/>
          <w:bCs/>
          <w:caps w:val="0"/>
          <w:color w:val="auto"/>
          <w:sz w:val="28"/>
          <w:szCs w:val="28"/>
          <w:highlight w:val="none"/>
        </w:rPr>
      </w:pPr>
      <w:r>
        <w:rPr>
          <w:color w:val="auto"/>
          <w:highlight w:val="none"/>
        </w:rPr>
        <w:fldChar w:fldCharType="begin"/>
      </w:r>
      <w:r>
        <w:rPr>
          <w:color w:val="auto"/>
          <w:highlight w:val="none"/>
        </w:rPr>
        <w:instrText xml:space="preserve"> HYPERLINK \l "_Toc513456139" </w:instrText>
      </w:r>
      <w:r>
        <w:rPr>
          <w:color w:val="auto"/>
          <w:highlight w:val="none"/>
        </w:rPr>
        <w:fldChar w:fldCharType="separate"/>
      </w:r>
      <w:r>
        <w:rPr>
          <w:rStyle w:val="36"/>
          <w:rFonts w:hint="eastAsia" w:ascii="宋体" w:hAnsi="宋体" w:cs="宋体"/>
          <w:b w:val="0"/>
          <w:bCs/>
          <w:color w:val="auto"/>
          <w:sz w:val="28"/>
          <w:szCs w:val="28"/>
          <w:highlight w:val="none"/>
        </w:rPr>
        <w:t>第二部分  投标须知</w:t>
      </w:r>
      <w:r>
        <w:rPr>
          <w:rFonts w:hint="eastAsia" w:ascii="宋体" w:hAnsi="宋体" w:cs="宋体"/>
          <w:b w:val="0"/>
          <w:bCs/>
          <w:color w:val="auto"/>
          <w:sz w:val="28"/>
          <w:szCs w:val="28"/>
          <w:highlight w:val="none"/>
        </w:rPr>
        <w:tab/>
      </w:r>
      <w:r>
        <w:rPr>
          <w:rFonts w:hint="eastAsia" w:ascii="宋体" w:hAnsi="宋体" w:cs="宋体"/>
          <w:b w:val="0"/>
          <w:bCs/>
          <w:color w:val="auto"/>
          <w:sz w:val="28"/>
          <w:szCs w:val="28"/>
          <w:highlight w:val="none"/>
          <w:lang w:val="en-US" w:eastAsia="zh-CN"/>
        </w:rPr>
        <w:t>5</w:t>
      </w:r>
      <w:r>
        <w:rPr>
          <w:rFonts w:hint="eastAsia" w:ascii="宋体" w:hAnsi="宋体" w:cs="宋体"/>
          <w:b w:val="0"/>
          <w:bCs/>
          <w:color w:val="auto"/>
          <w:sz w:val="28"/>
          <w:szCs w:val="28"/>
          <w:highlight w:val="none"/>
        </w:rPr>
        <w:fldChar w:fldCharType="end"/>
      </w:r>
    </w:p>
    <w:p w14:paraId="56C75A6C">
      <w:pPr>
        <w:pStyle w:val="22"/>
        <w:keepNext w:val="0"/>
        <w:keepLines w:val="0"/>
        <w:pageBreakBefore w:val="0"/>
        <w:widowControl w:val="0"/>
        <w:tabs>
          <w:tab w:val="right" w:leader="dot" w:pos="9016"/>
        </w:tabs>
        <w:kinsoku/>
        <w:wordWrap/>
        <w:overflowPunct/>
        <w:topLinePunct w:val="0"/>
        <w:autoSpaceDE/>
        <w:autoSpaceDN/>
        <w:bidi w:val="0"/>
        <w:adjustRightInd/>
        <w:snapToGrid/>
        <w:spacing w:line="360" w:lineRule="auto"/>
        <w:textAlignment w:val="auto"/>
        <w:rPr>
          <w:rFonts w:hint="eastAsia" w:ascii="宋体" w:hAnsi="宋体" w:eastAsia="宋体" w:cs="宋体"/>
          <w:b w:val="0"/>
          <w:bCs/>
          <w:caps w:val="0"/>
          <w:color w:val="auto"/>
          <w:sz w:val="28"/>
          <w:szCs w:val="28"/>
          <w:highlight w:val="none"/>
          <w:lang w:val="en-US" w:eastAsia="zh-CN"/>
        </w:rPr>
      </w:pPr>
      <w:r>
        <w:rPr>
          <w:color w:val="auto"/>
          <w:highlight w:val="none"/>
        </w:rPr>
        <w:fldChar w:fldCharType="begin"/>
      </w:r>
      <w:r>
        <w:rPr>
          <w:color w:val="auto"/>
          <w:highlight w:val="none"/>
        </w:rPr>
        <w:instrText xml:space="preserve"> HYPERLINK \l "_Toc513456147" </w:instrText>
      </w:r>
      <w:r>
        <w:rPr>
          <w:color w:val="auto"/>
          <w:highlight w:val="none"/>
        </w:rPr>
        <w:fldChar w:fldCharType="separate"/>
      </w:r>
      <w:r>
        <w:rPr>
          <w:rStyle w:val="36"/>
          <w:rFonts w:hint="eastAsia" w:ascii="宋体" w:hAnsi="宋体" w:cs="宋体"/>
          <w:b w:val="0"/>
          <w:bCs/>
          <w:color w:val="auto"/>
          <w:sz w:val="28"/>
          <w:szCs w:val="28"/>
          <w:highlight w:val="none"/>
        </w:rPr>
        <w:t>第三部分  项目招标范围及服务要求</w:t>
      </w:r>
      <w:r>
        <w:rPr>
          <w:rFonts w:hint="eastAsia" w:ascii="宋体" w:hAnsi="宋体" w:cs="宋体"/>
          <w:b w:val="0"/>
          <w:bCs/>
          <w:color w:val="auto"/>
          <w:sz w:val="28"/>
          <w:szCs w:val="28"/>
          <w:highlight w:val="none"/>
        </w:rPr>
        <w:tab/>
      </w:r>
      <w:r>
        <w:rPr>
          <w:rFonts w:hint="eastAsia" w:ascii="宋体" w:hAnsi="宋体" w:cs="宋体"/>
          <w:b w:val="0"/>
          <w:bCs/>
          <w:color w:val="auto"/>
          <w:sz w:val="28"/>
          <w:szCs w:val="28"/>
          <w:highlight w:val="none"/>
          <w:lang w:val="en-US" w:eastAsia="zh-CN"/>
        </w:rPr>
        <w:t>2</w:t>
      </w:r>
      <w:r>
        <w:rPr>
          <w:rFonts w:hint="eastAsia" w:ascii="宋体" w:hAnsi="宋体" w:cs="宋体"/>
          <w:b w:val="0"/>
          <w:bCs/>
          <w:color w:val="auto"/>
          <w:sz w:val="28"/>
          <w:szCs w:val="28"/>
          <w:highlight w:val="none"/>
        </w:rPr>
        <w:fldChar w:fldCharType="end"/>
      </w:r>
      <w:r>
        <w:rPr>
          <w:rFonts w:hint="eastAsia" w:ascii="宋体" w:hAnsi="宋体" w:cs="宋体"/>
          <w:b w:val="0"/>
          <w:bCs/>
          <w:color w:val="auto"/>
          <w:sz w:val="28"/>
          <w:szCs w:val="28"/>
          <w:highlight w:val="none"/>
          <w:lang w:val="en-US" w:eastAsia="zh-CN"/>
        </w:rPr>
        <w:t>3</w:t>
      </w:r>
    </w:p>
    <w:p w14:paraId="2B3915B1">
      <w:pPr>
        <w:pStyle w:val="22"/>
        <w:keepNext w:val="0"/>
        <w:keepLines w:val="0"/>
        <w:pageBreakBefore w:val="0"/>
        <w:widowControl w:val="0"/>
        <w:tabs>
          <w:tab w:val="right" w:leader="dot" w:pos="9016"/>
        </w:tabs>
        <w:kinsoku/>
        <w:wordWrap/>
        <w:overflowPunct/>
        <w:topLinePunct w:val="0"/>
        <w:autoSpaceDE/>
        <w:autoSpaceDN/>
        <w:bidi w:val="0"/>
        <w:adjustRightInd/>
        <w:snapToGrid/>
        <w:spacing w:line="360" w:lineRule="auto"/>
        <w:textAlignment w:val="auto"/>
        <w:rPr>
          <w:rFonts w:hint="default" w:ascii="宋体" w:hAnsi="宋体" w:eastAsia="宋体" w:cs="宋体"/>
          <w:b w:val="0"/>
          <w:bCs/>
          <w:caps w:val="0"/>
          <w:color w:val="auto"/>
          <w:sz w:val="28"/>
          <w:szCs w:val="28"/>
          <w:highlight w:val="none"/>
          <w:lang w:val="en-US" w:eastAsia="zh-CN"/>
        </w:rPr>
      </w:pPr>
      <w:r>
        <w:rPr>
          <w:color w:val="auto"/>
          <w:highlight w:val="none"/>
        </w:rPr>
        <w:fldChar w:fldCharType="begin"/>
      </w:r>
      <w:r>
        <w:rPr>
          <w:color w:val="auto"/>
          <w:highlight w:val="none"/>
        </w:rPr>
        <w:instrText xml:space="preserve"> HYPERLINK \l "_Toc513456150" </w:instrText>
      </w:r>
      <w:r>
        <w:rPr>
          <w:color w:val="auto"/>
          <w:highlight w:val="none"/>
        </w:rPr>
        <w:fldChar w:fldCharType="separate"/>
      </w:r>
      <w:r>
        <w:rPr>
          <w:rStyle w:val="36"/>
          <w:rFonts w:hint="eastAsia" w:ascii="宋体" w:hAnsi="宋体" w:cs="宋体"/>
          <w:b w:val="0"/>
          <w:bCs/>
          <w:color w:val="auto"/>
          <w:sz w:val="28"/>
          <w:szCs w:val="28"/>
          <w:highlight w:val="none"/>
        </w:rPr>
        <w:t>第四部分  评标办</w:t>
      </w:r>
      <w:bookmarkStart w:id="1" w:name="_Hlt516404788"/>
      <w:bookmarkStart w:id="2" w:name="_Hlt516404789"/>
      <w:r>
        <w:rPr>
          <w:rStyle w:val="36"/>
          <w:rFonts w:hint="eastAsia" w:ascii="宋体" w:hAnsi="宋体" w:cs="宋体"/>
          <w:b w:val="0"/>
          <w:bCs/>
          <w:color w:val="auto"/>
          <w:sz w:val="28"/>
          <w:szCs w:val="28"/>
          <w:highlight w:val="none"/>
        </w:rPr>
        <w:t>法</w:t>
      </w:r>
      <w:bookmarkEnd w:id="1"/>
      <w:bookmarkEnd w:id="2"/>
      <w:r>
        <w:rPr>
          <w:rFonts w:hint="eastAsia" w:ascii="宋体" w:hAnsi="宋体" w:cs="宋体"/>
          <w:b w:val="0"/>
          <w:bCs/>
          <w:color w:val="auto"/>
          <w:sz w:val="28"/>
          <w:szCs w:val="28"/>
          <w:highlight w:val="none"/>
        </w:rPr>
        <w:tab/>
      </w:r>
      <w:r>
        <w:rPr>
          <w:rFonts w:hint="eastAsia" w:ascii="宋体" w:hAnsi="宋体" w:cs="宋体"/>
          <w:b w:val="0"/>
          <w:bCs/>
          <w:color w:val="auto"/>
          <w:sz w:val="28"/>
          <w:szCs w:val="28"/>
          <w:highlight w:val="none"/>
        </w:rPr>
        <w:fldChar w:fldCharType="end"/>
      </w:r>
      <w:r>
        <w:rPr>
          <w:rFonts w:hint="eastAsia" w:ascii="宋体" w:hAnsi="宋体" w:cs="宋体"/>
          <w:b w:val="0"/>
          <w:bCs/>
          <w:color w:val="auto"/>
          <w:sz w:val="28"/>
          <w:szCs w:val="28"/>
          <w:highlight w:val="none"/>
          <w:lang w:val="en-US" w:eastAsia="zh-CN"/>
        </w:rPr>
        <w:t>46</w:t>
      </w:r>
    </w:p>
    <w:p w14:paraId="5E066DB9">
      <w:pPr>
        <w:pStyle w:val="22"/>
        <w:keepNext w:val="0"/>
        <w:keepLines w:val="0"/>
        <w:pageBreakBefore w:val="0"/>
        <w:widowControl w:val="0"/>
        <w:tabs>
          <w:tab w:val="right" w:leader="dot" w:pos="9016"/>
        </w:tabs>
        <w:kinsoku/>
        <w:wordWrap/>
        <w:overflowPunct/>
        <w:topLinePunct w:val="0"/>
        <w:autoSpaceDE/>
        <w:autoSpaceDN/>
        <w:bidi w:val="0"/>
        <w:adjustRightInd/>
        <w:snapToGrid/>
        <w:spacing w:line="360" w:lineRule="auto"/>
        <w:textAlignment w:val="auto"/>
        <w:rPr>
          <w:rFonts w:hint="default" w:ascii="宋体" w:hAnsi="宋体" w:eastAsia="宋体" w:cs="宋体"/>
          <w:b w:val="0"/>
          <w:bCs/>
          <w:caps w:val="0"/>
          <w:color w:val="auto"/>
          <w:sz w:val="28"/>
          <w:szCs w:val="28"/>
          <w:highlight w:val="none"/>
          <w:lang w:val="en-US" w:eastAsia="zh-CN"/>
        </w:rPr>
      </w:pPr>
      <w:r>
        <w:rPr>
          <w:color w:val="auto"/>
          <w:highlight w:val="none"/>
        </w:rPr>
        <w:fldChar w:fldCharType="begin"/>
      </w:r>
      <w:r>
        <w:rPr>
          <w:color w:val="auto"/>
          <w:highlight w:val="none"/>
        </w:rPr>
        <w:instrText xml:space="preserve"> HYPERLINK \l "_Toc513456151" </w:instrText>
      </w:r>
      <w:r>
        <w:rPr>
          <w:color w:val="auto"/>
          <w:highlight w:val="none"/>
        </w:rPr>
        <w:fldChar w:fldCharType="separate"/>
      </w:r>
      <w:r>
        <w:rPr>
          <w:rStyle w:val="36"/>
          <w:rFonts w:hint="eastAsia" w:ascii="宋体" w:hAnsi="宋体" w:cs="宋体"/>
          <w:b w:val="0"/>
          <w:bCs/>
          <w:color w:val="auto"/>
          <w:sz w:val="28"/>
          <w:szCs w:val="28"/>
          <w:highlight w:val="none"/>
        </w:rPr>
        <w:t>第五部分  合同主要条款</w:t>
      </w:r>
      <w:r>
        <w:rPr>
          <w:rFonts w:hint="eastAsia" w:ascii="宋体" w:hAnsi="宋体" w:cs="宋体"/>
          <w:b w:val="0"/>
          <w:bCs/>
          <w:color w:val="auto"/>
          <w:sz w:val="28"/>
          <w:szCs w:val="28"/>
          <w:highlight w:val="none"/>
        </w:rPr>
        <w:tab/>
      </w:r>
      <w:r>
        <w:rPr>
          <w:rFonts w:hint="eastAsia" w:ascii="宋体" w:hAnsi="宋体" w:cs="宋体"/>
          <w:b w:val="0"/>
          <w:bCs/>
          <w:color w:val="auto"/>
          <w:sz w:val="28"/>
          <w:szCs w:val="28"/>
          <w:highlight w:val="none"/>
        </w:rPr>
        <w:fldChar w:fldCharType="end"/>
      </w:r>
      <w:r>
        <w:rPr>
          <w:rFonts w:hint="eastAsia" w:ascii="宋体" w:hAnsi="宋体" w:cs="宋体"/>
          <w:b w:val="0"/>
          <w:bCs/>
          <w:color w:val="auto"/>
          <w:sz w:val="28"/>
          <w:szCs w:val="28"/>
          <w:highlight w:val="none"/>
          <w:lang w:val="en-US" w:eastAsia="zh-CN"/>
        </w:rPr>
        <w:t>50</w:t>
      </w:r>
    </w:p>
    <w:p w14:paraId="3D66BA64">
      <w:pPr>
        <w:pStyle w:val="22"/>
        <w:keepNext w:val="0"/>
        <w:keepLines w:val="0"/>
        <w:pageBreakBefore w:val="0"/>
        <w:widowControl w:val="0"/>
        <w:tabs>
          <w:tab w:val="right" w:leader="dot" w:pos="9016"/>
        </w:tabs>
        <w:kinsoku/>
        <w:wordWrap/>
        <w:overflowPunct/>
        <w:topLinePunct w:val="0"/>
        <w:autoSpaceDE/>
        <w:autoSpaceDN/>
        <w:bidi w:val="0"/>
        <w:adjustRightInd/>
        <w:snapToGrid/>
        <w:spacing w:line="360" w:lineRule="auto"/>
        <w:textAlignment w:val="auto"/>
        <w:rPr>
          <w:rFonts w:hint="default" w:ascii="宋体" w:hAnsi="宋体" w:eastAsia="宋体" w:cs="宋体"/>
          <w:color w:val="auto"/>
          <w:sz w:val="28"/>
          <w:szCs w:val="28"/>
          <w:highlight w:val="none"/>
          <w:lang w:val="en-US" w:eastAsia="zh-CN"/>
        </w:rPr>
      </w:pPr>
      <w:r>
        <w:rPr>
          <w:color w:val="auto"/>
          <w:highlight w:val="none"/>
        </w:rPr>
        <w:fldChar w:fldCharType="begin"/>
      </w:r>
      <w:r>
        <w:rPr>
          <w:color w:val="auto"/>
          <w:highlight w:val="none"/>
        </w:rPr>
        <w:instrText xml:space="preserve"> HYPERLINK \l "_Toc513456152" </w:instrText>
      </w:r>
      <w:r>
        <w:rPr>
          <w:color w:val="auto"/>
          <w:highlight w:val="none"/>
        </w:rPr>
        <w:fldChar w:fldCharType="separate"/>
      </w:r>
      <w:r>
        <w:rPr>
          <w:rStyle w:val="36"/>
          <w:rFonts w:hint="eastAsia" w:ascii="宋体" w:hAnsi="宋体" w:cs="宋体"/>
          <w:b w:val="0"/>
          <w:bCs/>
          <w:color w:val="auto"/>
          <w:sz w:val="28"/>
          <w:szCs w:val="28"/>
          <w:highlight w:val="none"/>
        </w:rPr>
        <w:t>第六部分  投标文件</w:t>
      </w:r>
      <w:r>
        <w:rPr>
          <w:rStyle w:val="36"/>
          <w:rFonts w:hint="eastAsia" w:ascii="宋体" w:hAnsi="宋体" w:cs="宋体"/>
          <w:b w:val="0"/>
          <w:bCs/>
          <w:color w:val="auto"/>
          <w:sz w:val="28"/>
          <w:szCs w:val="28"/>
          <w:highlight w:val="none"/>
          <w:lang w:val="en-US" w:eastAsia="zh-CN"/>
        </w:rPr>
        <w:t>及其附件</w:t>
      </w:r>
      <w:r>
        <w:rPr>
          <w:rStyle w:val="36"/>
          <w:rFonts w:hint="eastAsia" w:ascii="宋体" w:hAnsi="宋体" w:cs="宋体"/>
          <w:b w:val="0"/>
          <w:bCs/>
          <w:color w:val="auto"/>
          <w:sz w:val="28"/>
          <w:szCs w:val="28"/>
          <w:highlight w:val="none"/>
        </w:rPr>
        <w:t>格式</w:t>
      </w:r>
      <w:r>
        <w:rPr>
          <w:rFonts w:hint="eastAsia" w:ascii="宋体" w:hAnsi="宋体" w:cs="宋体"/>
          <w:b w:val="0"/>
          <w:bCs/>
          <w:color w:val="auto"/>
          <w:sz w:val="28"/>
          <w:szCs w:val="28"/>
          <w:highlight w:val="none"/>
        </w:rPr>
        <w:tab/>
      </w:r>
      <w:r>
        <w:rPr>
          <w:rFonts w:hint="eastAsia" w:ascii="宋体" w:hAnsi="宋体" w:cs="宋体"/>
          <w:b w:val="0"/>
          <w:bCs/>
          <w:color w:val="auto"/>
          <w:sz w:val="28"/>
          <w:szCs w:val="28"/>
          <w:highlight w:val="none"/>
        </w:rPr>
        <w:fldChar w:fldCharType="end"/>
      </w:r>
      <w:r>
        <w:rPr>
          <w:rFonts w:hint="eastAsia" w:ascii="宋体" w:hAnsi="宋体" w:cs="宋体"/>
          <w:b w:val="0"/>
          <w:bCs/>
          <w:color w:val="auto"/>
          <w:sz w:val="28"/>
          <w:szCs w:val="28"/>
          <w:highlight w:val="none"/>
          <w:lang w:val="en-US" w:eastAsia="zh-CN"/>
        </w:rPr>
        <w:t>57</w:t>
      </w:r>
    </w:p>
    <w:p w14:paraId="2F27271C">
      <w:pPr>
        <w:rPr>
          <w:rFonts w:ascii="宋体" w:hAnsi="宋体" w:cs="宋体"/>
          <w:color w:val="auto"/>
          <w:highlight w:val="none"/>
        </w:rPr>
      </w:pPr>
    </w:p>
    <w:p w14:paraId="1A24EF2D">
      <w:pPr>
        <w:rPr>
          <w:rFonts w:ascii="宋体" w:hAnsi="宋体" w:cs="宋体"/>
          <w:color w:val="auto"/>
          <w:highlight w:val="none"/>
        </w:rPr>
      </w:pPr>
    </w:p>
    <w:p w14:paraId="1008381F">
      <w:pPr>
        <w:pStyle w:val="44"/>
        <w:rPr>
          <w:color w:val="auto"/>
          <w:highlight w:val="none"/>
        </w:rPr>
      </w:pPr>
    </w:p>
    <w:p w14:paraId="3EF7DAAC">
      <w:pPr>
        <w:rPr>
          <w:rFonts w:hint="eastAsia" w:hAnsi="宋体" w:cs="宋体"/>
          <w:color w:val="auto"/>
          <w:highlight w:val="none"/>
        </w:rPr>
      </w:pPr>
      <w:r>
        <w:rPr>
          <w:rFonts w:hint="eastAsia" w:hAnsi="宋体" w:cs="宋体"/>
          <w:color w:val="auto"/>
          <w:highlight w:val="none"/>
        </w:rPr>
        <w:fldChar w:fldCharType="end"/>
      </w:r>
      <w:bookmarkStart w:id="3" w:name="_Toc15829"/>
    </w:p>
    <w:p w14:paraId="1B362BC5">
      <w:pPr>
        <w:rPr>
          <w:rFonts w:hint="eastAsia" w:hAnsi="宋体" w:cs="宋体"/>
          <w:color w:val="auto"/>
          <w:highlight w:val="none"/>
        </w:rPr>
      </w:pPr>
    </w:p>
    <w:p w14:paraId="58264D8F">
      <w:pPr>
        <w:rPr>
          <w:rFonts w:hint="eastAsia" w:hAnsi="宋体" w:cs="宋体"/>
          <w:color w:val="auto"/>
          <w:highlight w:val="none"/>
        </w:rPr>
      </w:pPr>
    </w:p>
    <w:p w14:paraId="5650B221">
      <w:pPr>
        <w:rPr>
          <w:rFonts w:hint="eastAsia" w:hAnsi="宋体" w:cs="宋体"/>
          <w:color w:val="auto"/>
          <w:highlight w:val="none"/>
        </w:rPr>
      </w:pPr>
    </w:p>
    <w:p w14:paraId="05A89AA6">
      <w:pPr>
        <w:rPr>
          <w:rFonts w:hint="eastAsia" w:hAnsi="宋体" w:cs="宋体"/>
          <w:color w:val="auto"/>
          <w:highlight w:val="none"/>
        </w:rPr>
      </w:pPr>
    </w:p>
    <w:p w14:paraId="5A2ED876">
      <w:pPr>
        <w:rPr>
          <w:rFonts w:hint="eastAsia" w:hAnsi="宋体" w:cs="宋体"/>
          <w:color w:val="auto"/>
          <w:highlight w:val="none"/>
        </w:rPr>
      </w:pPr>
    </w:p>
    <w:p w14:paraId="71700702">
      <w:pPr>
        <w:rPr>
          <w:rFonts w:hint="eastAsia" w:hAnsi="宋体" w:cs="宋体"/>
          <w:color w:val="auto"/>
          <w:highlight w:val="none"/>
        </w:rPr>
      </w:pPr>
    </w:p>
    <w:p w14:paraId="48FA7F85">
      <w:pPr>
        <w:rPr>
          <w:rFonts w:hint="eastAsia" w:hAnsi="宋体" w:cs="宋体"/>
          <w:color w:val="auto"/>
          <w:highlight w:val="none"/>
        </w:rPr>
      </w:pPr>
    </w:p>
    <w:p w14:paraId="1AEAE0BF">
      <w:pPr>
        <w:rPr>
          <w:rFonts w:hint="eastAsia" w:hAnsi="宋体" w:cs="宋体"/>
          <w:color w:val="auto"/>
          <w:highlight w:val="none"/>
        </w:rPr>
      </w:pPr>
    </w:p>
    <w:p w14:paraId="43A0DA28">
      <w:pPr>
        <w:rPr>
          <w:rFonts w:hint="eastAsia" w:hAnsi="宋体" w:cs="宋体"/>
          <w:color w:val="auto"/>
          <w:highlight w:val="none"/>
        </w:rPr>
      </w:pPr>
    </w:p>
    <w:p w14:paraId="0D991871">
      <w:pPr>
        <w:rPr>
          <w:rFonts w:hint="eastAsia" w:hAnsi="宋体" w:cs="宋体"/>
          <w:color w:val="auto"/>
          <w:highlight w:val="none"/>
        </w:rPr>
      </w:pPr>
    </w:p>
    <w:p w14:paraId="00BC78E0">
      <w:pPr>
        <w:rPr>
          <w:rFonts w:hint="eastAsia" w:hAnsi="宋体" w:cs="宋体"/>
          <w:color w:val="auto"/>
          <w:highlight w:val="none"/>
        </w:rPr>
      </w:pPr>
    </w:p>
    <w:p w14:paraId="772926F1">
      <w:pPr>
        <w:rPr>
          <w:rFonts w:hint="eastAsia" w:hAnsi="宋体" w:cs="宋体"/>
          <w:color w:val="auto"/>
          <w:highlight w:val="none"/>
        </w:rPr>
      </w:pPr>
    </w:p>
    <w:p w14:paraId="4049A750">
      <w:pPr>
        <w:rPr>
          <w:rFonts w:hint="eastAsia" w:hAnsi="宋体" w:cs="宋体"/>
          <w:color w:val="auto"/>
          <w:highlight w:val="none"/>
        </w:rPr>
      </w:pPr>
    </w:p>
    <w:p w14:paraId="7E5D5479">
      <w:pPr>
        <w:rPr>
          <w:rFonts w:hint="eastAsia" w:hAnsi="宋体" w:cs="宋体"/>
          <w:color w:val="auto"/>
          <w:highlight w:val="none"/>
        </w:rPr>
      </w:pPr>
    </w:p>
    <w:p w14:paraId="4F4C7959">
      <w:pPr>
        <w:pStyle w:val="2"/>
        <w:rPr>
          <w:rFonts w:hint="eastAsia"/>
          <w:color w:val="auto"/>
          <w:highlight w:val="none"/>
        </w:rPr>
      </w:pPr>
    </w:p>
    <w:p w14:paraId="68396A0F">
      <w:pPr>
        <w:rPr>
          <w:rFonts w:hint="eastAsia"/>
          <w:color w:val="auto"/>
          <w:highlight w:val="none"/>
        </w:rPr>
      </w:pPr>
    </w:p>
    <w:p w14:paraId="4A515E57">
      <w:pPr>
        <w:pStyle w:val="40"/>
        <w:rPr>
          <w:rFonts w:hint="eastAsia"/>
          <w:color w:val="auto"/>
          <w:highlight w:val="none"/>
        </w:rPr>
      </w:pPr>
    </w:p>
    <w:p w14:paraId="70BDA5AD">
      <w:pPr>
        <w:pStyle w:val="41"/>
        <w:rPr>
          <w:rFonts w:hint="eastAsia"/>
          <w:color w:val="auto"/>
          <w:highlight w:val="none"/>
        </w:rPr>
      </w:pPr>
    </w:p>
    <w:p w14:paraId="28066EFA">
      <w:pPr>
        <w:rPr>
          <w:rFonts w:hint="eastAsia" w:hAnsi="宋体" w:cs="宋体"/>
          <w:color w:val="auto"/>
          <w:highlight w:val="none"/>
        </w:rPr>
        <w:sectPr>
          <w:footerReference r:id="rId3" w:type="default"/>
          <w:pgSz w:w="11906" w:h="16838"/>
          <w:pgMar w:top="1134" w:right="1289" w:bottom="1134" w:left="1797" w:header="851" w:footer="851" w:gutter="0"/>
          <w:pgNumType w:start="1"/>
          <w:cols w:space="720" w:num="1"/>
          <w:docGrid w:type="lines" w:linePitch="312" w:charSpace="0"/>
        </w:sectPr>
      </w:pPr>
    </w:p>
    <w:p w14:paraId="0CD6E32C">
      <w:pPr>
        <w:jc w:val="center"/>
        <w:rPr>
          <w:rFonts w:ascii="宋体" w:hAnsi="宋体" w:cs="宋体"/>
          <w:b/>
          <w:bCs/>
          <w:color w:val="auto"/>
          <w:kern w:val="0"/>
          <w:sz w:val="36"/>
          <w:highlight w:val="none"/>
        </w:rPr>
      </w:pPr>
      <w:r>
        <w:rPr>
          <w:rFonts w:hint="eastAsia" w:ascii="宋体" w:hAnsi="宋体" w:cs="宋体"/>
          <w:b/>
          <w:bCs/>
          <w:color w:val="auto"/>
          <w:kern w:val="0"/>
          <w:sz w:val="36"/>
          <w:highlight w:val="none"/>
        </w:rPr>
        <w:t>第一部分  招标公告</w:t>
      </w:r>
      <w:bookmarkEnd w:id="3"/>
    </w:p>
    <w:p w14:paraId="09E083D1">
      <w:pPr>
        <w:spacing w:line="300" w:lineRule="exact"/>
        <w:jc w:val="center"/>
        <w:rPr>
          <w:rFonts w:ascii="宋体" w:hAnsi="宋体" w:cs="宋体"/>
          <w:color w:val="auto"/>
          <w:spacing w:val="6"/>
          <w:sz w:val="21"/>
          <w:szCs w:val="21"/>
          <w:highlight w:val="none"/>
        </w:rPr>
      </w:pPr>
    </w:p>
    <w:p w14:paraId="1104F492">
      <w:pPr>
        <w:pBdr>
          <w:top w:val="single" w:color="auto" w:sz="4" w:space="1"/>
          <w:left w:val="single" w:color="auto" w:sz="4" w:space="4"/>
          <w:bottom w:val="single" w:color="auto" w:sz="4" w:space="1"/>
          <w:right w:val="single" w:color="auto" w:sz="4" w:space="4"/>
        </w:pBdr>
        <w:spacing w:line="440" w:lineRule="exact"/>
        <w:ind w:firstLine="480" w:firstLineChars="200"/>
        <w:rPr>
          <w:rFonts w:ascii="宋体" w:hAnsi="宋体" w:cs="宋体"/>
          <w:color w:val="auto"/>
          <w:szCs w:val="24"/>
          <w:highlight w:val="none"/>
        </w:rPr>
      </w:pPr>
      <w:r>
        <w:rPr>
          <w:rFonts w:hint="eastAsia" w:ascii="宋体" w:hAnsi="宋体" w:cs="宋体"/>
          <w:color w:val="auto"/>
          <w:szCs w:val="24"/>
          <w:highlight w:val="none"/>
        </w:rPr>
        <w:t>项目概况</w:t>
      </w:r>
    </w:p>
    <w:p w14:paraId="2548113B">
      <w:pPr>
        <w:pBdr>
          <w:top w:val="single" w:color="auto" w:sz="4" w:space="1"/>
          <w:left w:val="single" w:color="auto" w:sz="4" w:space="4"/>
          <w:bottom w:val="single" w:color="auto" w:sz="4" w:space="1"/>
          <w:right w:val="single" w:color="auto" w:sz="4" w:space="4"/>
        </w:pBdr>
        <w:spacing w:line="440" w:lineRule="exact"/>
        <w:ind w:firstLine="480" w:firstLineChars="200"/>
        <w:rPr>
          <w:rFonts w:ascii="宋体" w:hAnsi="宋体" w:cs="宋体"/>
          <w:color w:val="auto"/>
          <w:szCs w:val="24"/>
          <w:highlight w:val="none"/>
        </w:rPr>
      </w:pPr>
      <w:r>
        <w:rPr>
          <w:rFonts w:hint="eastAsia" w:ascii="宋体" w:hAnsi="宋体" w:cs="宋体"/>
          <w:color w:val="auto"/>
          <w:highlight w:val="none"/>
          <w:u w:val="single"/>
          <w:lang w:eastAsia="zh-CN"/>
        </w:rPr>
        <w:t>2025年嵊州市公共交通有限公司公交车辆采购项目</w:t>
      </w:r>
      <w:r>
        <w:rPr>
          <w:rFonts w:hint="eastAsia" w:ascii="宋体" w:hAnsi="宋体" w:cs="宋体"/>
          <w:color w:val="auto"/>
          <w:szCs w:val="24"/>
          <w:highlight w:val="none"/>
        </w:rPr>
        <w:t>的潜在投标人应在</w:t>
      </w:r>
      <w:r>
        <w:rPr>
          <w:rFonts w:hint="eastAsia" w:ascii="宋体" w:hAnsi="宋体" w:cs="宋体"/>
          <w:color w:val="auto"/>
          <w:spacing w:val="6"/>
          <w:szCs w:val="24"/>
          <w:highlight w:val="none"/>
        </w:rPr>
        <w:t>乐采云平台</w:t>
      </w:r>
      <w:r>
        <w:rPr>
          <w:color w:val="auto"/>
          <w:highlight w:val="none"/>
        </w:rPr>
        <w:fldChar w:fldCharType="begin"/>
      </w:r>
      <w:r>
        <w:rPr>
          <w:color w:val="auto"/>
          <w:highlight w:val="none"/>
        </w:rPr>
        <w:instrText xml:space="preserve"> HYPERLINK "http://www.zcygov.cn/获取采购文件，并于2023年" </w:instrText>
      </w:r>
      <w:r>
        <w:rPr>
          <w:color w:val="auto"/>
          <w:highlight w:val="none"/>
        </w:rPr>
        <w:fldChar w:fldCharType="separate"/>
      </w:r>
      <w:r>
        <w:rPr>
          <w:rFonts w:hint="eastAsia" w:ascii="宋体" w:hAnsi="宋体" w:eastAsia="宋体" w:cs="宋体"/>
          <w:color w:val="auto"/>
          <w:sz w:val="24"/>
          <w:highlight w:val="none"/>
          <w:u w:val="single"/>
        </w:rPr>
        <w:t>（</w:t>
      </w:r>
      <w:r>
        <w:rPr>
          <w:rFonts w:hint="eastAsia" w:ascii="宋体" w:hAnsi="宋体" w:eastAsia="宋体" w:cs="宋体"/>
          <w:color w:val="auto"/>
          <w:highlight w:val="none"/>
          <w:u w:val="single"/>
        </w:rPr>
        <w:fldChar w:fldCharType="begin"/>
      </w:r>
      <w:r>
        <w:rPr>
          <w:rFonts w:hint="eastAsia" w:ascii="宋体" w:hAnsi="宋体" w:eastAsia="宋体" w:cs="宋体"/>
          <w:color w:val="auto"/>
          <w:highlight w:val="none"/>
          <w:u w:val="single"/>
        </w:rPr>
        <w:instrText xml:space="preserve"> HYPERLINK "https://www.zcygov.cn/" </w:instrText>
      </w:r>
      <w:r>
        <w:rPr>
          <w:rFonts w:hint="eastAsia" w:ascii="宋体" w:hAnsi="宋体" w:eastAsia="宋体" w:cs="宋体"/>
          <w:color w:val="auto"/>
          <w:highlight w:val="none"/>
          <w:u w:val="single"/>
        </w:rPr>
        <w:fldChar w:fldCharType="separate"/>
      </w:r>
      <w:r>
        <w:rPr>
          <w:rStyle w:val="36"/>
          <w:rFonts w:hint="eastAsia" w:ascii="宋体" w:hAnsi="宋体" w:eastAsia="宋体" w:cs="宋体"/>
          <w:color w:val="auto"/>
          <w:sz w:val="24"/>
          <w:highlight w:val="none"/>
          <w:u w:val="single"/>
        </w:rPr>
        <w:t>https://www.lecaiyun.com/</w:t>
      </w:r>
      <w:r>
        <w:rPr>
          <w:rStyle w:val="36"/>
          <w:rFonts w:hint="eastAsia" w:ascii="宋体" w:hAnsi="宋体" w:eastAsia="宋体" w:cs="宋体"/>
          <w:color w:val="auto"/>
          <w:sz w:val="24"/>
          <w:highlight w:val="none"/>
          <w:u w:val="single"/>
        </w:rPr>
        <w:fldChar w:fldCharType="end"/>
      </w:r>
      <w:r>
        <w:rPr>
          <w:rFonts w:hint="eastAsia" w:ascii="宋体" w:hAnsi="宋体" w:eastAsia="宋体" w:cs="宋体"/>
          <w:color w:val="auto"/>
          <w:sz w:val="24"/>
          <w:highlight w:val="none"/>
          <w:u w:val="single"/>
        </w:rPr>
        <w:t>）</w:t>
      </w:r>
      <w:r>
        <w:rPr>
          <w:rStyle w:val="36"/>
          <w:rFonts w:hint="eastAsia" w:ascii="宋体" w:hAnsi="宋体" w:cs="宋体"/>
          <w:color w:val="auto"/>
          <w:szCs w:val="24"/>
          <w:highlight w:val="none"/>
          <w:u w:val="none"/>
        </w:rPr>
        <w:t>获取采购文件，并于</w:t>
      </w:r>
      <w:r>
        <w:rPr>
          <w:rStyle w:val="36"/>
          <w:rFonts w:hint="eastAsia" w:ascii="宋体" w:hAnsi="宋体" w:cs="宋体"/>
          <w:color w:val="auto"/>
          <w:szCs w:val="24"/>
          <w:highlight w:val="none"/>
        </w:rPr>
        <w:t>202</w:t>
      </w:r>
      <w:r>
        <w:rPr>
          <w:rStyle w:val="36"/>
          <w:rFonts w:hint="eastAsia" w:ascii="宋体" w:hAnsi="宋体" w:cs="宋体"/>
          <w:color w:val="auto"/>
          <w:szCs w:val="24"/>
          <w:highlight w:val="none"/>
          <w:lang w:val="en-US" w:eastAsia="zh-CN"/>
        </w:rPr>
        <w:t>5</w:t>
      </w:r>
      <w:r>
        <w:rPr>
          <w:rStyle w:val="36"/>
          <w:rFonts w:hint="eastAsia" w:ascii="宋体" w:hAnsi="宋体" w:cs="宋体"/>
          <w:color w:val="auto"/>
          <w:szCs w:val="24"/>
          <w:highlight w:val="none"/>
          <w:u w:val="none"/>
        </w:rPr>
        <w:t>年</w:t>
      </w:r>
      <w:r>
        <w:rPr>
          <w:rStyle w:val="36"/>
          <w:rFonts w:hint="eastAsia" w:ascii="宋体" w:hAnsi="宋体" w:cs="宋体"/>
          <w:color w:val="auto"/>
          <w:szCs w:val="24"/>
          <w:highlight w:val="none"/>
          <w:u w:val="none"/>
        </w:rPr>
        <w:fldChar w:fldCharType="end"/>
      </w:r>
      <w:r>
        <w:rPr>
          <w:rStyle w:val="36"/>
          <w:rFonts w:hint="eastAsia" w:ascii="宋体" w:hAnsi="宋体" w:cs="宋体"/>
          <w:color w:val="auto"/>
          <w:szCs w:val="24"/>
          <w:highlight w:val="none"/>
          <w:u w:val="single"/>
          <w:lang w:val="en-US" w:eastAsia="zh-CN"/>
        </w:rPr>
        <w:t xml:space="preserve"> 5 </w:t>
      </w:r>
      <w:r>
        <w:rPr>
          <w:rFonts w:hint="eastAsia" w:ascii="宋体" w:hAnsi="宋体" w:cs="宋体"/>
          <w:color w:val="auto"/>
          <w:szCs w:val="24"/>
          <w:highlight w:val="none"/>
        </w:rPr>
        <w:t>月</w:t>
      </w:r>
      <w:r>
        <w:rPr>
          <w:rFonts w:hint="eastAsia" w:ascii="宋体" w:hAnsi="宋体" w:cs="宋体"/>
          <w:color w:val="auto"/>
          <w:szCs w:val="24"/>
          <w:highlight w:val="none"/>
          <w:u w:val="single"/>
          <w:lang w:val="en-US" w:eastAsia="zh-CN"/>
        </w:rPr>
        <w:t xml:space="preserve"> 13 </w:t>
      </w:r>
      <w:r>
        <w:rPr>
          <w:rFonts w:hint="eastAsia" w:ascii="宋体" w:hAnsi="宋体" w:cs="宋体"/>
          <w:color w:val="auto"/>
          <w:szCs w:val="24"/>
          <w:highlight w:val="none"/>
        </w:rPr>
        <w:t>日</w:t>
      </w:r>
      <w:r>
        <w:rPr>
          <w:rFonts w:hint="eastAsia" w:ascii="宋体" w:hAnsi="宋体" w:cs="宋体"/>
          <w:color w:val="auto"/>
          <w:szCs w:val="24"/>
          <w:highlight w:val="none"/>
          <w:u w:val="single"/>
          <w:lang w:val="en-US" w:eastAsia="zh-CN"/>
        </w:rPr>
        <w:t xml:space="preserve"> 9</w:t>
      </w:r>
      <w:r>
        <w:rPr>
          <w:rFonts w:hint="eastAsia" w:ascii="宋体" w:hAnsi="宋体" w:cs="宋体"/>
          <w:color w:val="auto"/>
          <w:szCs w:val="24"/>
          <w:highlight w:val="none"/>
        </w:rPr>
        <w:t>点</w:t>
      </w:r>
      <w:r>
        <w:rPr>
          <w:rFonts w:hint="eastAsia" w:ascii="宋体" w:hAnsi="宋体" w:cs="宋体"/>
          <w:color w:val="auto"/>
          <w:szCs w:val="24"/>
          <w:highlight w:val="none"/>
          <w:u w:val="single"/>
        </w:rPr>
        <w:t xml:space="preserve"> </w:t>
      </w:r>
      <w:r>
        <w:rPr>
          <w:rFonts w:hint="eastAsia" w:ascii="宋体" w:hAnsi="宋体" w:cs="宋体"/>
          <w:color w:val="auto"/>
          <w:szCs w:val="24"/>
          <w:highlight w:val="none"/>
          <w:u w:val="single"/>
          <w:lang w:val="en-US" w:eastAsia="zh-CN"/>
        </w:rPr>
        <w:t>00</w:t>
      </w:r>
      <w:r>
        <w:rPr>
          <w:rFonts w:hint="eastAsia" w:ascii="宋体" w:hAnsi="宋体" w:cs="宋体"/>
          <w:color w:val="auto"/>
          <w:szCs w:val="24"/>
          <w:highlight w:val="none"/>
        </w:rPr>
        <w:t>分</w:t>
      </w:r>
      <w:r>
        <w:rPr>
          <w:rFonts w:hint="eastAsia" w:ascii="宋体" w:hAnsi="宋体" w:cs="宋体"/>
          <w:bCs/>
          <w:color w:val="auto"/>
          <w:szCs w:val="24"/>
          <w:highlight w:val="none"/>
        </w:rPr>
        <w:t>（北京时间）前递交投标文件</w:t>
      </w:r>
      <w:r>
        <w:rPr>
          <w:rFonts w:hint="eastAsia" w:ascii="宋体" w:hAnsi="宋体" w:cs="宋体"/>
          <w:color w:val="auto"/>
          <w:szCs w:val="24"/>
          <w:highlight w:val="none"/>
        </w:rPr>
        <w:t>。</w:t>
      </w:r>
    </w:p>
    <w:p w14:paraId="7B841C4A">
      <w:pPr>
        <w:spacing w:line="440" w:lineRule="exact"/>
        <w:rPr>
          <w:rFonts w:ascii="宋体" w:hAnsi="宋体" w:cs="宋体"/>
          <w:b/>
          <w:bCs/>
          <w:color w:val="auto"/>
          <w:spacing w:val="6"/>
          <w:szCs w:val="24"/>
          <w:highlight w:val="none"/>
        </w:rPr>
      </w:pPr>
      <w:bookmarkStart w:id="4" w:name="_Toc28359002"/>
      <w:bookmarkStart w:id="5" w:name="_Toc28359079"/>
      <w:bookmarkStart w:id="6" w:name="_Toc35393790"/>
      <w:bookmarkStart w:id="7" w:name="_Toc35393621"/>
      <w:bookmarkStart w:id="8" w:name="_Hlk24379207"/>
      <w:r>
        <w:rPr>
          <w:rFonts w:hint="eastAsia" w:ascii="宋体" w:hAnsi="宋体" w:cs="宋体"/>
          <w:b/>
          <w:bCs/>
          <w:color w:val="auto"/>
          <w:spacing w:val="6"/>
          <w:szCs w:val="24"/>
          <w:highlight w:val="none"/>
        </w:rPr>
        <w:t>一、项目基本情况</w:t>
      </w:r>
      <w:bookmarkEnd w:id="4"/>
      <w:bookmarkEnd w:id="5"/>
      <w:bookmarkEnd w:id="6"/>
      <w:bookmarkEnd w:id="7"/>
    </w:p>
    <w:p w14:paraId="45DB5EEC">
      <w:pPr>
        <w:spacing w:line="480" w:lineRule="exact"/>
        <w:ind w:firstLine="480" w:firstLineChars="200"/>
        <w:rPr>
          <w:rFonts w:hint="eastAsia" w:ascii="宋体" w:hAnsi="宋体" w:eastAsia="宋体" w:cs="宋体"/>
          <w:color w:val="auto"/>
          <w:highlight w:val="none"/>
          <w:u w:val="single"/>
          <w:lang w:val="en-US" w:eastAsia="zh-CN"/>
        </w:rPr>
      </w:pPr>
      <w:r>
        <w:rPr>
          <w:rFonts w:hint="eastAsia" w:ascii="宋体" w:hAnsi="宋体" w:cs="宋体"/>
          <w:color w:val="auto"/>
          <w:szCs w:val="24"/>
          <w:highlight w:val="none"/>
        </w:rPr>
        <w:t>1.项目编号：</w:t>
      </w:r>
      <w:r>
        <w:rPr>
          <w:rFonts w:hint="eastAsia" w:ascii="宋体" w:hAnsi="宋体" w:cs="宋体"/>
          <w:color w:val="auto"/>
          <w:highlight w:val="none"/>
          <w:u w:val="single"/>
          <w:lang w:val="en-US" w:eastAsia="zh-CN"/>
        </w:rPr>
        <w:t>SZMY-H20250416</w:t>
      </w:r>
    </w:p>
    <w:p w14:paraId="641E5096">
      <w:pPr>
        <w:spacing w:line="480" w:lineRule="exact"/>
        <w:ind w:firstLine="480" w:firstLineChars="200"/>
        <w:rPr>
          <w:rFonts w:ascii="宋体" w:hAnsi="宋体" w:cs="宋体"/>
          <w:color w:val="auto"/>
          <w:szCs w:val="24"/>
          <w:highlight w:val="none"/>
        </w:rPr>
      </w:pPr>
      <w:r>
        <w:rPr>
          <w:rFonts w:hint="eastAsia" w:ascii="宋体" w:hAnsi="宋体" w:cs="宋体"/>
          <w:color w:val="auto"/>
          <w:szCs w:val="24"/>
          <w:highlight w:val="none"/>
        </w:rPr>
        <w:t>2.项目名称：</w:t>
      </w:r>
      <w:r>
        <w:rPr>
          <w:rFonts w:hint="eastAsia" w:ascii="宋体" w:hAnsi="宋体" w:cs="宋体"/>
          <w:color w:val="auto"/>
          <w:highlight w:val="none"/>
          <w:u w:val="single"/>
          <w:lang w:eastAsia="zh-CN"/>
        </w:rPr>
        <w:t>2025年嵊州市公共交通有限公司公交车辆采购项目</w:t>
      </w:r>
      <w:r>
        <w:rPr>
          <w:rFonts w:hint="eastAsia" w:ascii="宋体" w:hAnsi="宋体" w:cs="宋体"/>
          <w:color w:val="auto"/>
          <w:szCs w:val="24"/>
          <w:highlight w:val="none"/>
        </w:rPr>
        <w:t>。</w:t>
      </w:r>
    </w:p>
    <w:bookmarkEnd w:id="8"/>
    <w:p w14:paraId="231247CC">
      <w:pPr>
        <w:spacing w:line="480" w:lineRule="exact"/>
        <w:ind w:firstLine="480" w:firstLineChars="200"/>
        <w:rPr>
          <w:rFonts w:hint="default" w:ascii="宋体" w:hAnsi="宋体" w:cs="宋体"/>
          <w:color w:val="auto"/>
          <w:szCs w:val="24"/>
          <w:highlight w:val="none"/>
          <w:lang w:val="en-US"/>
        </w:rPr>
      </w:pPr>
      <w:r>
        <w:rPr>
          <w:rFonts w:hint="eastAsia" w:ascii="宋体" w:hAnsi="宋体" w:cs="宋体"/>
          <w:color w:val="auto"/>
          <w:szCs w:val="24"/>
          <w:highlight w:val="none"/>
        </w:rPr>
        <w:t>3.预算金额</w:t>
      </w:r>
      <w:r>
        <w:rPr>
          <w:rFonts w:hint="eastAsia" w:ascii="宋体" w:hAnsi="宋体" w:cs="宋体"/>
          <w:color w:val="auto"/>
          <w:szCs w:val="24"/>
          <w:highlight w:val="none"/>
          <w:lang w:eastAsia="zh-CN"/>
        </w:rPr>
        <w:t>（</w:t>
      </w:r>
      <w:r>
        <w:rPr>
          <w:rFonts w:hint="eastAsia" w:ascii="宋体" w:hAnsi="宋体" w:cs="宋体"/>
          <w:color w:val="auto"/>
          <w:szCs w:val="24"/>
          <w:highlight w:val="none"/>
          <w:lang w:val="en-US" w:eastAsia="zh-CN"/>
        </w:rPr>
        <w:t>元）</w:t>
      </w:r>
      <w:r>
        <w:rPr>
          <w:rFonts w:hint="eastAsia" w:ascii="宋体" w:hAnsi="宋体" w:cs="宋体"/>
          <w:color w:val="auto"/>
          <w:szCs w:val="24"/>
          <w:highlight w:val="none"/>
        </w:rPr>
        <w:t>：</w:t>
      </w:r>
      <w:r>
        <w:rPr>
          <w:rFonts w:hint="eastAsia" w:ascii="宋体" w:hAnsi="宋体" w:cs="宋体"/>
          <w:color w:val="auto"/>
          <w:szCs w:val="24"/>
          <w:highlight w:val="none"/>
          <w:lang w:val="en-US" w:eastAsia="zh-CN"/>
        </w:rPr>
        <w:t>7800000</w:t>
      </w:r>
    </w:p>
    <w:p w14:paraId="5D8FCE28">
      <w:pPr>
        <w:spacing w:line="440" w:lineRule="exact"/>
        <w:ind w:firstLine="480" w:firstLineChars="200"/>
        <w:rPr>
          <w:rFonts w:hint="default" w:ascii="宋体" w:hAnsi="宋体" w:cs="宋体"/>
          <w:color w:val="auto"/>
          <w:szCs w:val="24"/>
          <w:highlight w:val="none"/>
          <w:lang w:val="en-US"/>
        </w:rPr>
      </w:pPr>
      <w:r>
        <w:rPr>
          <w:rFonts w:hint="eastAsia" w:ascii="宋体" w:hAnsi="宋体" w:cs="宋体"/>
          <w:color w:val="auto"/>
          <w:szCs w:val="24"/>
          <w:highlight w:val="none"/>
        </w:rPr>
        <w:t>4.最高限价</w:t>
      </w:r>
      <w:r>
        <w:rPr>
          <w:rFonts w:hint="eastAsia" w:ascii="宋体" w:hAnsi="宋体" w:cs="宋体"/>
          <w:color w:val="auto"/>
          <w:szCs w:val="24"/>
          <w:highlight w:val="none"/>
          <w:lang w:eastAsia="zh-CN"/>
        </w:rPr>
        <w:t>（</w:t>
      </w:r>
      <w:r>
        <w:rPr>
          <w:rFonts w:hint="eastAsia" w:ascii="宋体" w:hAnsi="宋体" w:cs="宋体"/>
          <w:color w:val="auto"/>
          <w:szCs w:val="24"/>
          <w:highlight w:val="none"/>
          <w:lang w:val="en-US" w:eastAsia="zh-CN"/>
        </w:rPr>
        <w:t>元）</w:t>
      </w:r>
      <w:r>
        <w:rPr>
          <w:rFonts w:hint="eastAsia" w:ascii="宋体" w:hAnsi="宋体" w:cs="宋体"/>
          <w:color w:val="auto"/>
          <w:szCs w:val="24"/>
          <w:highlight w:val="none"/>
        </w:rPr>
        <w:t>：</w:t>
      </w:r>
      <w:r>
        <w:rPr>
          <w:rFonts w:hint="eastAsia" w:ascii="宋体" w:hAnsi="宋体" w:cs="宋体"/>
          <w:color w:val="auto"/>
          <w:szCs w:val="24"/>
          <w:highlight w:val="none"/>
          <w:lang w:val="en-US" w:eastAsia="zh-CN"/>
        </w:rPr>
        <w:t>7800000</w:t>
      </w:r>
    </w:p>
    <w:p w14:paraId="07B038B4">
      <w:pPr>
        <w:pStyle w:val="82"/>
        <w:spacing w:afterLines="0" w:line="440" w:lineRule="exact"/>
        <w:ind w:firstLine="480"/>
        <w:rPr>
          <w:rFonts w:hint="eastAsia" w:ascii="宋体" w:hAnsi="宋体" w:cs="宋体"/>
          <w:color w:val="auto"/>
          <w:szCs w:val="24"/>
          <w:highlight w:val="none"/>
        </w:rPr>
      </w:pPr>
      <w:r>
        <w:rPr>
          <w:rFonts w:hint="eastAsia" w:ascii="宋体" w:hAnsi="宋体" w:cs="宋体"/>
          <w:color w:val="auto"/>
          <w:szCs w:val="24"/>
          <w:highlight w:val="none"/>
        </w:rPr>
        <w:t>5.采购需求：</w:t>
      </w:r>
    </w:p>
    <w:p w14:paraId="4338CE97">
      <w:pPr>
        <w:pStyle w:val="82"/>
        <w:spacing w:afterLines="0" w:line="440" w:lineRule="exact"/>
        <w:ind w:firstLine="48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标项一:</w:t>
      </w:r>
    </w:p>
    <w:p w14:paraId="63522F9F">
      <w:pPr>
        <w:pStyle w:val="82"/>
        <w:spacing w:afterLines="0" w:line="440" w:lineRule="exact"/>
        <w:ind w:firstLine="480"/>
        <w:rPr>
          <w:rFonts w:hint="eastAsia" w:ascii="宋体" w:hAnsi="宋体" w:cs="宋体"/>
          <w:color w:val="auto"/>
          <w:highlight w:val="none"/>
          <w:u w:val="single"/>
          <w:lang w:eastAsia="zh-CN"/>
        </w:rPr>
      </w:pPr>
      <w:r>
        <w:rPr>
          <w:rFonts w:hint="eastAsia" w:ascii="宋体" w:hAnsi="宋体" w:eastAsia="宋体" w:cs="宋体"/>
          <w:color w:val="auto"/>
          <w:kern w:val="2"/>
          <w:sz w:val="24"/>
          <w:szCs w:val="24"/>
          <w:highlight w:val="none"/>
          <w:lang w:val="en-US" w:eastAsia="zh-CN" w:bidi="ar-SA"/>
        </w:rPr>
        <w:t xml:space="preserve">标项名称: </w:t>
      </w:r>
      <w:r>
        <w:rPr>
          <w:rFonts w:hint="eastAsia" w:ascii="宋体" w:hAnsi="宋体" w:cs="宋体"/>
          <w:color w:val="auto"/>
          <w:highlight w:val="none"/>
          <w:u w:val="single"/>
          <w:lang w:eastAsia="zh-CN"/>
        </w:rPr>
        <w:t>2025年嵊州市公共交通有限公司公交车辆采购项目</w:t>
      </w:r>
    </w:p>
    <w:p w14:paraId="38CF7C2E">
      <w:pPr>
        <w:pStyle w:val="82"/>
        <w:spacing w:afterLines="0" w:line="440" w:lineRule="exact"/>
        <w:ind w:firstLine="48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数量:</w:t>
      </w:r>
      <w:r>
        <w:rPr>
          <w:rFonts w:hint="eastAsia" w:ascii="宋体" w:hAnsi="宋体" w:cs="宋体"/>
          <w:color w:val="auto"/>
          <w:kern w:val="2"/>
          <w:sz w:val="24"/>
          <w:szCs w:val="24"/>
          <w:highlight w:val="none"/>
          <w:lang w:val="en-US" w:eastAsia="zh-CN" w:bidi="ar-SA"/>
        </w:rPr>
        <w:t xml:space="preserve"> 12辆</w:t>
      </w:r>
      <w:r>
        <w:rPr>
          <w:rFonts w:hint="eastAsia" w:ascii="宋体" w:hAnsi="宋体" w:eastAsia="宋体" w:cs="宋体"/>
          <w:color w:val="auto"/>
          <w:kern w:val="2"/>
          <w:sz w:val="24"/>
          <w:szCs w:val="24"/>
          <w:highlight w:val="none"/>
          <w:lang w:val="en-US" w:eastAsia="zh-CN" w:bidi="ar-SA"/>
        </w:rPr>
        <w:t>。</w:t>
      </w:r>
    </w:p>
    <w:p w14:paraId="5801531A">
      <w:pPr>
        <w:pStyle w:val="82"/>
        <w:spacing w:afterLines="0" w:line="440" w:lineRule="exact"/>
        <w:ind w:firstLine="48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预算金额（元）:</w:t>
      </w:r>
      <w:r>
        <w:rPr>
          <w:rFonts w:hint="eastAsia" w:ascii="宋体" w:hAnsi="宋体" w:cs="宋体"/>
          <w:color w:val="auto"/>
          <w:szCs w:val="24"/>
          <w:highlight w:val="none"/>
          <w:lang w:val="en-US" w:eastAsia="zh-CN"/>
        </w:rPr>
        <w:t>7800000</w:t>
      </w:r>
    </w:p>
    <w:p w14:paraId="7C7437B9">
      <w:pPr>
        <w:pStyle w:val="82"/>
        <w:spacing w:afterLines="0" w:line="440" w:lineRule="exact"/>
        <w:ind w:firstLine="48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简要规格描述或项目基本概况介绍、用途：详见采购文件 </w:t>
      </w:r>
    </w:p>
    <w:p w14:paraId="282681F4">
      <w:pPr>
        <w:pStyle w:val="82"/>
        <w:spacing w:afterLines="0" w:line="440" w:lineRule="exact"/>
        <w:ind w:firstLine="48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合同履约期限：</w:t>
      </w:r>
      <w:r>
        <w:rPr>
          <w:rFonts w:hint="eastAsia" w:ascii="宋体" w:hAnsi="宋体" w:cs="宋体"/>
          <w:color w:val="auto"/>
          <w:kern w:val="2"/>
          <w:sz w:val="24"/>
          <w:szCs w:val="24"/>
          <w:highlight w:val="none"/>
          <w:lang w:val="en-US" w:eastAsia="zh-CN" w:bidi="ar-SA"/>
        </w:rPr>
        <w:t>40日历天</w:t>
      </w:r>
      <w:r>
        <w:rPr>
          <w:rFonts w:hint="eastAsia" w:ascii="宋体" w:hAnsi="宋体" w:eastAsia="宋体" w:cs="宋体"/>
          <w:color w:val="auto"/>
          <w:kern w:val="2"/>
          <w:sz w:val="24"/>
          <w:szCs w:val="24"/>
          <w:highlight w:val="none"/>
          <w:lang w:val="en-US" w:eastAsia="zh-CN" w:bidi="ar-SA"/>
        </w:rPr>
        <w:t>。</w:t>
      </w:r>
    </w:p>
    <w:p w14:paraId="07C8CA5F">
      <w:pPr>
        <w:spacing w:line="440" w:lineRule="exact"/>
        <w:ind w:firstLine="480" w:firstLineChars="200"/>
        <w:rPr>
          <w:rFonts w:hint="eastAsia" w:ascii="宋体" w:hAnsi="宋体" w:eastAsia="宋体" w:cs="宋体"/>
          <w:color w:val="auto"/>
          <w:kern w:val="2"/>
          <w:sz w:val="24"/>
          <w:szCs w:val="24"/>
          <w:highlight w:val="none"/>
          <w:lang w:val="en-US" w:eastAsia="zh-CN" w:bidi="ar-SA"/>
        </w:rPr>
      </w:pPr>
      <w:bookmarkStart w:id="9" w:name="_Toc35393622"/>
      <w:bookmarkStart w:id="10" w:name="_Toc28359003"/>
      <w:bookmarkStart w:id="11" w:name="_Toc35393791"/>
      <w:bookmarkStart w:id="12" w:name="_Toc28359080"/>
      <w:r>
        <w:rPr>
          <w:rFonts w:hint="eastAsia" w:ascii="宋体" w:hAnsi="宋体" w:eastAsia="宋体" w:cs="宋体"/>
          <w:color w:val="auto"/>
          <w:kern w:val="2"/>
          <w:sz w:val="24"/>
          <w:szCs w:val="24"/>
          <w:highlight w:val="none"/>
          <w:lang w:val="en-US" w:eastAsia="zh-CN" w:bidi="ar-SA"/>
        </w:rPr>
        <w:t>本项目接受联合体投标：☑ 否。</w:t>
      </w:r>
    </w:p>
    <w:bookmarkEnd w:id="9"/>
    <w:bookmarkEnd w:id="10"/>
    <w:bookmarkEnd w:id="11"/>
    <w:bookmarkEnd w:id="12"/>
    <w:p w14:paraId="76EBABAB">
      <w:pPr>
        <w:spacing w:line="440" w:lineRule="exact"/>
        <w:rPr>
          <w:rFonts w:hint="eastAsia" w:ascii="宋体" w:hAnsi="宋体" w:eastAsia="宋体" w:cs="宋体"/>
          <w:b/>
          <w:color w:val="auto"/>
          <w:sz w:val="24"/>
          <w:szCs w:val="24"/>
          <w:highlight w:val="none"/>
        </w:rPr>
      </w:pPr>
      <w:bookmarkStart w:id="13" w:name="_Toc28359004"/>
      <w:bookmarkStart w:id="14" w:name="_Toc28359081"/>
      <w:bookmarkStart w:id="15" w:name="_Toc35393623"/>
      <w:bookmarkStart w:id="16" w:name="_Toc35393792"/>
      <w:r>
        <w:rPr>
          <w:rFonts w:hint="eastAsia" w:ascii="宋体" w:hAnsi="宋体" w:eastAsia="宋体" w:cs="宋体"/>
          <w:b/>
          <w:color w:val="auto"/>
          <w:sz w:val="24"/>
          <w:szCs w:val="24"/>
          <w:highlight w:val="none"/>
        </w:rPr>
        <w:t>二、申请人的资格要求：</w:t>
      </w:r>
    </w:p>
    <w:p w14:paraId="753CC96A">
      <w:pPr>
        <w:keepNext w:val="0"/>
        <w:keepLines w:val="0"/>
        <w:pageBreakBefore w:val="0"/>
        <w:widowControl w:val="0"/>
        <w:shd w:val="clear" w:color="auto" w:fill="auto"/>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具有独立承担民事责任的能力。</w:t>
      </w:r>
    </w:p>
    <w:p w14:paraId="4E394584">
      <w:pPr>
        <w:keepNext w:val="0"/>
        <w:keepLines w:val="0"/>
        <w:pageBreakBefore w:val="0"/>
        <w:widowControl w:val="0"/>
        <w:shd w:val="clear" w:color="auto" w:fill="auto"/>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2.具有良好的商业信誉。</w:t>
      </w:r>
    </w:p>
    <w:p w14:paraId="16244EBD">
      <w:pPr>
        <w:keepNext w:val="0"/>
        <w:keepLines w:val="0"/>
        <w:pageBreakBefore w:val="0"/>
        <w:widowControl w:val="0"/>
        <w:shd w:val="clear" w:color="auto" w:fill="auto"/>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3.具有履行合同所必需的设备和专业技术、售后保障等能力。</w:t>
      </w:r>
    </w:p>
    <w:p w14:paraId="166FAB48">
      <w:pPr>
        <w:keepNext w:val="0"/>
        <w:keepLines w:val="0"/>
        <w:pageBreakBefore w:val="0"/>
        <w:widowControl w:val="0"/>
        <w:shd w:val="clear" w:color="auto" w:fill="auto"/>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4.有依法缴纳税收和社会保障资金的良好记录。</w:t>
      </w:r>
    </w:p>
    <w:p w14:paraId="469F36C1">
      <w:pPr>
        <w:keepNext w:val="0"/>
        <w:keepLines w:val="0"/>
        <w:pageBreakBefore w:val="0"/>
        <w:widowControl w:val="0"/>
        <w:shd w:val="clear" w:color="auto" w:fill="auto"/>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5.参加采购活动前三年内，没有重大违法记录、严重失信行为和行贿记录。</w:t>
      </w:r>
    </w:p>
    <w:p w14:paraId="38D48DF6">
      <w:pPr>
        <w:keepNext w:val="0"/>
        <w:keepLines w:val="0"/>
        <w:pageBreakBefore w:val="0"/>
        <w:widowControl w:val="0"/>
        <w:shd w:val="clear" w:color="auto" w:fill="auto"/>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6.法律、行政法规规定的其他条件。</w:t>
      </w:r>
    </w:p>
    <w:p w14:paraId="519CF881">
      <w:pPr>
        <w:keepNext w:val="0"/>
        <w:keepLines w:val="0"/>
        <w:pageBreakBefore w:val="0"/>
        <w:widowControl w:val="0"/>
        <w:kinsoku/>
        <w:wordWrap/>
        <w:overflowPunct/>
        <w:topLinePunct w:val="0"/>
        <w:autoSpaceDE/>
        <w:autoSpaceDN/>
        <w:bidi w:val="0"/>
        <w:adjustRightInd w:val="0"/>
        <w:snapToGrid/>
        <w:spacing w:line="460" w:lineRule="exact"/>
        <w:ind w:firstLine="480" w:firstLineChars="200"/>
        <w:textAlignment w:val="auto"/>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.本项目的特定资格要求：</w:t>
      </w:r>
      <w:r>
        <w:rPr>
          <w:rFonts w:hint="eastAsia" w:ascii="宋体" w:hAnsi="宋体" w:eastAsia="宋体" w:cs="宋体"/>
          <w:b/>
          <w:bCs/>
          <w:color w:val="auto"/>
          <w:sz w:val="24"/>
          <w:szCs w:val="24"/>
          <w:highlight w:val="none"/>
          <w:u w:val="single"/>
          <w:lang w:val="en-US" w:eastAsia="zh-CN"/>
        </w:rPr>
        <w:t>投标人须是本次投标货物的制造商或经制造商授权的代理商</w:t>
      </w:r>
      <w:r>
        <w:rPr>
          <w:rFonts w:hint="eastAsia" w:ascii="宋体" w:hAnsi="宋体" w:eastAsia="宋体" w:cs="宋体"/>
          <w:b/>
          <w:bCs/>
          <w:color w:val="auto"/>
          <w:sz w:val="24"/>
          <w:szCs w:val="24"/>
          <w:highlight w:val="none"/>
          <w:u w:val="none"/>
          <w:lang w:val="en-US" w:eastAsia="zh-CN"/>
        </w:rPr>
        <w:t>。</w:t>
      </w:r>
    </w:p>
    <w:p w14:paraId="2EF2DE28">
      <w:pPr>
        <w:snapToGrid w:val="0"/>
        <w:spacing w:line="440" w:lineRule="exact"/>
        <w:ind w:firstLine="480" w:firstLineChars="200"/>
        <w:rPr>
          <w:rFonts w:hint="eastAsia" w:ascii="仿宋" w:hAnsi="仿宋" w:eastAsia="仿宋" w:cs="仿宋"/>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bookmarkEnd w:id="13"/>
    <w:bookmarkEnd w:id="14"/>
    <w:bookmarkEnd w:id="15"/>
    <w:bookmarkEnd w:id="16"/>
    <w:p w14:paraId="736A2C61">
      <w:pPr>
        <w:spacing w:line="440" w:lineRule="exact"/>
        <w:rPr>
          <w:rFonts w:hint="eastAsia" w:ascii="宋体" w:hAnsi="宋体" w:eastAsia="宋体" w:cs="宋体"/>
          <w:b/>
          <w:color w:val="auto"/>
          <w:sz w:val="24"/>
          <w:szCs w:val="24"/>
          <w:highlight w:val="none"/>
        </w:rPr>
      </w:pPr>
      <w:bookmarkStart w:id="17" w:name="_Toc513456147"/>
      <w:r>
        <w:rPr>
          <w:rFonts w:hint="eastAsia" w:ascii="宋体" w:hAnsi="宋体" w:eastAsia="宋体" w:cs="宋体"/>
          <w:b/>
          <w:color w:val="auto"/>
          <w:sz w:val="24"/>
          <w:szCs w:val="24"/>
          <w:highlight w:val="none"/>
        </w:rPr>
        <w:t>三、获取招标文件</w:t>
      </w:r>
    </w:p>
    <w:p w14:paraId="74FAB82A">
      <w:pPr>
        <w:spacing w:line="44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时间：</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color w:val="auto"/>
          <w:sz w:val="24"/>
          <w:szCs w:val="24"/>
          <w:highlight w:val="none"/>
        </w:rPr>
        <w:t>/至</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13</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，每天上午00:00至12:00 ，下午12:00至23:59（北京时间，线上获取法定节假日均可，线下获取文件法定节假日除外）</w:t>
      </w:r>
    </w:p>
    <w:p w14:paraId="1B2DE2F0">
      <w:pPr>
        <w:spacing w:line="44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地点（网址）：</w:t>
      </w:r>
      <w:r>
        <w:rPr>
          <w:rFonts w:hint="eastAsia" w:ascii="宋体" w:hAnsi="宋体" w:eastAsia="宋体" w:cs="宋体"/>
          <w:color w:val="auto"/>
          <w:sz w:val="24"/>
          <w:szCs w:val="24"/>
          <w:highlight w:val="none"/>
        </w:rPr>
        <w:t xml:space="preserve">乐采云平台（https://www.lecaiyun.com/） </w:t>
      </w:r>
    </w:p>
    <w:p w14:paraId="7E403B86">
      <w:pPr>
        <w:spacing w:line="44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rPr>
        <w:t xml:space="preserve">供应商登录乐采云平台https://www.lecaiyun.com/在线申请获取采购文件（进入“项目采购”应用，在获取采购文件菜单中选择项目，申请获取采购文件）。 </w:t>
      </w:r>
    </w:p>
    <w:p w14:paraId="2A323D59">
      <w:pPr>
        <w:spacing w:line="44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售价（元）：</w:t>
      </w:r>
      <w:r>
        <w:rPr>
          <w:rFonts w:hint="eastAsia" w:ascii="宋体" w:hAnsi="宋体" w:eastAsia="宋体" w:cs="宋体"/>
          <w:color w:val="auto"/>
          <w:sz w:val="24"/>
          <w:szCs w:val="24"/>
          <w:highlight w:val="none"/>
        </w:rPr>
        <w:t xml:space="preserve">0 </w:t>
      </w:r>
      <w:r>
        <w:rPr>
          <w:rFonts w:hint="eastAsia" w:ascii="宋体" w:hAnsi="宋体" w:eastAsia="宋体" w:cs="宋体"/>
          <w:color w:val="auto"/>
          <w:sz w:val="24"/>
          <w:szCs w:val="24"/>
          <w:highlight w:val="none"/>
        </w:rPr>
        <w:tab/>
      </w:r>
    </w:p>
    <w:p w14:paraId="2F52DF1E">
      <w:pPr>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四、提交投标文件截止时间、开标时间和地点</w:t>
      </w:r>
    </w:p>
    <w:p w14:paraId="02CDC3F2">
      <w:pPr>
        <w:spacing w:line="44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提交投标文件截止时间：</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13</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9</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点</w:t>
      </w:r>
      <w:r>
        <w:rPr>
          <w:rFonts w:hint="eastAsia" w:ascii="宋体" w:hAnsi="宋体" w:cs="宋体"/>
          <w:color w:val="auto"/>
          <w:sz w:val="24"/>
          <w:szCs w:val="24"/>
          <w:highlight w:val="none"/>
          <w:u w:val="single"/>
          <w:lang w:val="en-US" w:eastAsia="zh-CN"/>
        </w:rPr>
        <w:t xml:space="preserve"> 00</w:t>
      </w:r>
      <w:r>
        <w:rPr>
          <w:rFonts w:hint="eastAsia" w:ascii="宋体" w:hAnsi="宋体" w:eastAsia="宋体" w:cs="宋体"/>
          <w:color w:val="auto"/>
          <w:sz w:val="24"/>
          <w:szCs w:val="24"/>
          <w:highlight w:val="none"/>
          <w:u w:val="single"/>
        </w:rPr>
        <w:t>分00秒</w:t>
      </w:r>
      <w:r>
        <w:rPr>
          <w:rFonts w:hint="eastAsia" w:ascii="宋体" w:hAnsi="宋体" w:eastAsia="宋体" w:cs="宋体"/>
          <w:color w:val="auto"/>
          <w:sz w:val="24"/>
          <w:szCs w:val="24"/>
          <w:highlight w:val="none"/>
        </w:rPr>
        <w:t>（北京时间）</w:t>
      </w:r>
    </w:p>
    <w:p w14:paraId="09B8AAB2">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投标地点（网址）：</w:t>
      </w:r>
      <w:r>
        <w:rPr>
          <w:rFonts w:hint="eastAsia" w:ascii="宋体" w:hAnsi="宋体" w:eastAsia="宋体" w:cs="宋体"/>
          <w:color w:val="auto"/>
          <w:sz w:val="24"/>
          <w:szCs w:val="24"/>
          <w:highlight w:val="none"/>
        </w:rPr>
        <w:t xml:space="preserve">乐采云平台（https://www.lecaiyun.com/） </w:t>
      </w:r>
    </w:p>
    <w:p w14:paraId="24E19295">
      <w:pPr>
        <w:spacing w:line="440" w:lineRule="exact"/>
        <w:ind w:firstLine="482" w:firstLineChars="200"/>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rPr>
        <w:t>开标时间：</w:t>
      </w:r>
      <w:r>
        <w:rPr>
          <w:rFonts w:hint="eastAsia" w:ascii="宋体" w:hAnsi="宋体" w:eastAsia="宋体"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13</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9</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点</w:t>
      </w:r>
      <w:r>
        <w:rPr>
          <w:rFonts w:hint="eastAsia" w:ascii="宋体" w:hAnsi="宋体" w:cs="宋体"/>
          <w:color w:val="auto"/>
          <w:sz w:val="24"/>
          <w:szCs w:val="24"/>
          <w:highlight w:val="none"/>
          <w:u w:val="single"/>
          <w:lang w:val="en-US" w:eastAsia="zh-CN"/>
        </w:rPr>
        <w:t xml:space="preserve"> 00 </w:t>
      </w:r>
      <w:r>
        <w:rPr>
          <w:rFonts w:hint="eastAsia" w:ascii="宋体" w:hAnsi="宋体" w:eastAsia="宋体" w:cs="宋体"/>
          <w:color w:val="auto"/>
          <w:sz w:val="24"/>
          <w:szCs w:val="24"/>
          <w:highlight w:val="none"/>
          <w:u w:val="single"/>
        </w:rPr>
        <w:t>分00秒</w:t>
      </w:r>
    </w:p>
    <w:p w14:paraId="507D3D11">
      <w:pPr>
        <w:spacing w:line="440" w:lineRule="exact"/>
        <w:ind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开标地点（网址）：</w:t>
      </w:r>
      <w:r>
        <w:rPr>
          <w:rFonts w:hint="eastAsia" w:ascii="宋体" w:hAnsi="宋体" w:eastAsia="宋体" w:cs="宋体"/>
          <w:color w:val="auto"/>
          <w:sz w:val="24"/>
          <w:szCs w:val="24"/>
          <w:highlight w:val="none"/>
        </w:rPr>
        <w:t>乐采云平台（https://www.lecaiyun.com/）</w:t>
      </w:r>
    </w:p>
    <w:p w14:paraId="7A52E098">
      <w:pPr>
        <w:pStyle w:val="11"/>
        <w:keepNext w:val="0"/>
        <w:keepLines w:val="0"/>
        <w:pageBreakBefore w:val="0"/>
        <w:widowControl w:val="0"/>
        <w:kinsoku/>
        <w:wordWrap/>
        <w:overflowPunct/>
        <w:topLinePunct w:val="0"/>
        <w:autoSpaceDE w:val="0"/>
        <w:autoSpaceDN/>
        <w:bidi w:val="0"/>
        <w:adjustRightInd w:val="0"/>
        <w:spacing w:line="500" w:lineRule="exact"/>
        <w:ind w:left="0" w:leftChars="0" w:firstLine="0" w:firstLineChars="0"/>
        <w:jc w:val="left"/>
        <w:textAlignment w:val="auto"/>
        <w:rPr>
          <w:rFonts w:hint="eastAsia" w:ascii="宋体" w:hAnsi="宋体" w:eastAsia="宋体" w:cs="宋体"/>
          <w:b/>
          <w:bCs/>
          <w:color w:val="auto"/>
          <w:spacing w:val="0"/>
          <w:kern w:val="2"/>
          <w:sz w:val="24"/>
          <w:szCs w:val="24"/>
          <w:highlight w:val="none"/>
          <w:lang w:val="en-US" w:eastAsia="zh-CN" w:bidi="ar-SA"/>
        </w:rPr>
      </w:pPr>
      <w:r>
        <w:rPr>
          <w:rFonts w:hint="eastAsia" w:ascii="宋体" w:hAnsi="宋体" w:eastAsia="宋体" w:cs="宋体"/>
          <w:b/>
          <w:bCs/>
          <w:color w:val="auto"/>
          <w:spacing w:val="0"/>
          <w:kern w:val="2"/>
          <w:sz w:val="24"/>
          <w:szCs w:val="24"/>
          <w:highlight w:val="none"/>
          <w:lang w:val="en-US" w:eastAsia="zh-CN" w:bidi="ar-SA"/>
        </w:rPr>
        <w:t>五、投标保证金</w:t>
      </w:r>
    </w:p>
    <w:p w14:paraId="3CA6B819">
      <w:pPr>
        <w:keepNext w:val="0"/>
        <w:keepLines w:val="0"/>
        <w:pageBreakBefore w:val="0"/>
        <w:widowControl w:val="0"/>
        <w:kinsoku/>
        <w:wordWrap/>
        <w:overflowPunct/>
        <w:topLinePunct w:val="0"/>
        <w:autoSpaceDN/>
        <w:bidi w:val="0"/>
        <w:adjustRightInd w:val="0"/>
        <w:snapToGrid w:val="0"/>
        <w:spacing w:line="500" w:lineRule="exact"/>
        <w:ind w:firstLine="480"/>
        <w:textAlignment w:val="auto"/>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投标保证金：人民币150000.00元（</w:t>
      </w:r>
      <w:r>
        <w:rPr>
          <w:rFonts w:hint="eastAsia" w:ascii="宋体" w:hAnsi="宋体" w:eastAsia="宋体" w:cs="宋体"/>
          <w:color w:val="auto"/>
          <w:spacing w:val="0"/>
          <w:kern w:val="2"/>
          <w:sz w:val="24"/>
          <w:szCs w:val="24"/>
          <w:highlight w:val="none"/>
          <w:lang w:val="en-US" w:eastAsia="zh-CN" w:bidi="ar-SA"/>
        </w:rPr>
        <w:fldChar w:fldCharType="begin"/>
      </w:r>
      <w:r>
        <w:rPr>
          <w:rFonts w:hint="eastAsia" w:ascii="宋体" w:hAnsi="宋体" w:eastAsia="宋体" w:cs="宋体"/>
          <w:color w:val="auto"/>
          <w:spacing w:val="0"/>
          <w:kern w:val="2"/>
          <w:sz w:val="24"/>
          <w:szCs w:val="24"/>
          <w:highlight w:val="none"/>
          <w:lang w:val="en-US" w:eastAsia="zh-CN" w:bidi="ar-SA"/>
        </w:rPr>
        <w:instrText xml:space="preserve"> = 100000 \* CHINESENUM4 \* MERGEFORMAT </w:instrText>
      </w:r>
      <w:r>
        <w:rPr>
          <w:rFonts w:hint="eastAsia" w:ascii="宋体" w:hAnsi="宋体" w:eastAsia="宋体" w:cs="宋体"/>
          <w:color w:val="auto"/>
          <w:spacing w:val="0"/>
          <w:kern w:val="2"/>
          <w:sz w:val="24"/>
          <w:szCs w:val="24"/>
          <w:highlight w:val="none"/>
          <w:lang w:val="en-US" w:eastAsia="zh-CN" w:bidi="ar-SA"/>
        </w:rPr>
        <w:fldChar w:fldCharType="separate"/>
      </w:r>
      <w:r>
        <w:rPr>
          <w:rFonts w:hint="eastAsia" w:ascii="宋体" w:hAnsi="宋体" w:eastAsia="宋体" w:cs="宋体"/>
          <w:color w:val="auto"/>
          <w:spacing w:val="0"/>
          <w:kern w:val="2"/>
          <w:sz w:val="24"/>
          <w:szCs w:val="24"/>
          <w:highlight w:val="none"/>
          <w:lang w:val="en-US" w:eastAsia="zh-CN" w:bidi="ar-SA"/>
        </w:rPr>
        <w:t>壹拾伍万元整</w:t>
      </w:r>
      <w:r>
        <w:rPr>
          <w:rFonts w:hint="eastAsia" w:ascii="宋体" w:hAnsi="宋体" w:eastAsia="宋体" w:cs="宋体"/>
          <w:color w:val="auto"/>
          <w:spacing w:val="0"/>
          <w:kern w:val="2"/>
          <w:sz w:val="24"/>
          <w:szCs w:val="24"/>
          <w:highlight w:val="none"/>
          <w:lang w:val="en-US" w:eastAsia="zh-CN" w:bidi="ar-SA"/>
        </w:rPr>
        <w:fldChar w:fldCharType="end"/>
      </w:r>
      <w:r>
        <w:rPr>
          <w:rFonts w:hint="eastAsia" w:ascii="宋体" w:hAnsi="宋体" w:eastAsia="宋体" w:cs="宋体"/>
          <w:color w:val="auto"/>
          <w:spacing w:val="0"/>
          <w:kern w:val="2"/>
          <w:sz w:val="24"/>
          <w:szCs w:val="24"/>
          <w:highlight w:val="none"/>
          <w:lang w:val="en-US" w:eastAsia="zh-CN" w:bidi="ar-SA"/>
        </w:rPr>
        <w:t xml:space="preserve">）；  </w:t>
      </w:r>
    </w:p>
    <w:p w14:paraId="68EEE502">
      <w:pPr>
        <w:autoSpaceDE w:val="0"/>
        <w:autoSpaceDN w:val="0"/>
        <w:spacing w:line="440" w:lineRule="exact"/>
        <w:ind w:firstLine="480" w:firstLineChars="200"/>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投标人应于2025年</w:t>
      </w:r>
      <w:r>
        <w:rPr>
          <w:rFonts w:hint="eastAsia" w:ascii="宋体" w:hAnsi="宋体" w:cs="宋体"/>
          <w:color w:val="auto"/>
          <w:spacing w:val="0"/>
          <w:kern w:val="2"/>
          <w:sz w:val="24"/>
          <w:szCs w:val="24"/>
          <w:highlight w:val="none"/>
          <w:lang w:val="en-US" w:eastAsia="zh-CN" w:bidi="ar-SA"/>
        </w:rPr>
        <w:t xml:space="preserve"> 5 </w:t>
      </w:r>
      <w:r>
        <w:rPr>
          <w:rFonts w:hint="eastAsia" w:ascii="宋体" w:hAnsi="宋体" w:eastAsia="宋体" w:cs="宋体"/>
          <w:color w:val="auto"/>
          <w:spacing w:val="0"/>
          <w:kern w:val="2"/>
          <w:sz w:val="24"/>
          <w:szCs w:val="24"/>
          <w:highlight w:val="none"/>
          <w:lang w:val="en-US" w:eastAsia="zh-CN" w:bidi="ar-SA"/>
        </w:rPr>
        <w:t>月</w:t>
      </w:r>
      <w:r>
        <w:rPr>
          <w:rFonts w:hint="eastAsia" w:ascii="宋体" w:hAnsi="宋体" w:cs="宋体"/>
          <w:color w:val="auto"/>
          <w:spacing w:val="0"/>
          <w:kern w:val="2"/>
          <w:sz w:val="24"/>
          <w:szCs w:val="24"/>
          <w:highlight w:val="none"/>
          <w:lang w:val="en-US" w:eastAsia="zh-CN" w:bidi="ar-SA"/>
        </w:rPr>
        <w:t xml:space="preserve">12 </w:t>
      </w:r>
      <w:r>
        <w:rPr>
          <w:rFonts w:hint="eastAsia" w:ascii="宋体" w:hAnsi="宋体" w:eastAsia="宋体" w:cs="宋体"/>
          <w:color w:val="auto"/>
          <w:spacing w:val="0"/>
          <w:kern w:val="2"/>
          <w:sz w:val="24"/>
          <w:szCs w:val="24"/>
          <w:highlight w:val="none"/>
          <w:lang w:val="en-US" w:eastAsia="zh-CN" w:bidi="ar-SA"/>
        </w:rPr>
        <w:t>日16</w:t>
      </w:r>
      <w:r>
        <w:rPr>
          <w:rFonts w:hint="eastAsia" w:ascii="宋体" w:hAnsi="宋体" w:cs="宋体"/>
          <w:color w:val="auto"/>
          <w:spacing w:val="0"/>
          <w:kern w:val="2"/>
          <w:sz w:val="24"/>
          <w:szCs w:val="24"/>
          <w:highlight w:val="none"/>
          <w:lang w:val="en-US" w:eastAsia="zh-CN" w:bidi="ar-SA"/>
        </w:rPr>
        <w:t>:</w:t>
      </w:r>
      <w:r>
        <w:rPr>
          <w:rFonts w:hint="eastAsia" w:ascii="宋体" w:hAnsi="宋体" w:eastAsia="宋体" w:cs="宋体"/>
          <w:color w:val="auto"/>
          <w:spacing w:val="0"/>
          <w:kern w:val="2"/>
          <w:sz w:val="24"/>
          <w:szCs w:val="24"/>
          <w:highlight w:val="none"/>
          <w:lang w:val="en-US" w:eastAsia="zh-CN" w:bidi="ar-SA"/>
        </w:rPr>
        <w:t>00时前将投标保证金以电汇、转账、网上银行交至</w:t>
      </w:r>
      <w:r>
        <w:rPr>
          <w:rFonts w:hint="eastAsia" w:ascii="Times New Roman" w:hAnsi="Times New Roman" w:eastAsia="宋体" w:cs="Times New Roman"/>
          <w:bCs/>
          <w:color w:val="auto"/>
          <w:kern w:val="2"/>
          <w:sz w:val="24"/>
          <w:szCs w:val="24"/>
          <w:highlight w:val="none"/>
          <w:lang w:val="en-US" w:eastAsia="zh-CN" w:bidi="ar-SA"/>
        </w:rPr>
        <w:t>浙江明业项目管理有限公司嵊州分公司</w:t>
      </w:r>
      <w:r>
        <w:rPr>
          <w:rFonts w:hint="eastAsia" w:ascii="宋体" w:hAnsi="宋体" w:eastAsia="宋体" w:cs="宋体"/>
          <w:color w:val="auto"/>
          <w:spacing w:val="0"/>
          <w:kern w:val="2"/>
          <w:sz w:val="24"/>
          <w:szCs w:val="24"/>
          <w:highlight w:val="none"/>
          <w:lang w:val="en-US" w:eastAsia="zh-CN" w:bidi="ar-SA"/>
        </w:rPr>
        <w:t>，投标保证金以到账时间为准。</w:t>
      </w:r>
      <w:r>
        <w:rPr>
          <w:rFonts w:hint="eastAsia" w:ascii="宋体" w:hAnsi="宋体" w:eastAsia="宋体" w:cs="宋体"/>
          <w:b/>
          <w:bCs/>
          <w:color w:val="auto"/>
          <w:spacing w:val="0"/>
          <w:kern w:val="2"/>
          <w:sz w:val="24"/>
          <w:szCs w:val="24"/>
          <w:highlight w:val="none"/>
          <w:lang w:val="en-US" w:eastAsia="zh-CN" w:bidi="ar-SA"/>
        </w:rPr>
        <w:t>如因投标人自身原因，造成投标单位保证金未及时到账的，一律视为不响应招标文件，投标无效。投标人的投标保证金必须从其基本账户转出。</w:t>
      </w:r>
    </w:p>
    <w:p w14:paraId="0172E614">
      <w:pPr>
        <w:keepNext w:val="0"/>
        <w:keepLines w:val="0"/>
        <w:pageBreakBefore w:val="0"/>
        <w:widowControl/>
        <w:kinsoku/>
        <w:wordWrap/>
        <w:overflowPunct/>
        <w:topLinePunct w:val="0"/>
        <w:autoSpaceDN/>
        <w:bidi w:val="0"/>
        <w:adjustRightInd w:val="0"/>
        <w:spacing w:line="500" w:lineRule="exact"/>
        <w:ind w:firstLine="480"/>
        <w:textAlignment w:val="auto"/>
        <w:rPr>
          <w:rFonts w:hint="eastAsia" w:ascii="Times New Roman" w:hAnsi="Times New Roman" w:eastAsia="宋体" w:cs="Times New Roman"/>
          <w:bCs/>
          <w:color w:val="auto"/>
          <w:kern w:val="2"/>
          <w:sz w:val="24"/>
          <w:szCs w:val="24"/>
          <w:highlight w:val="none"/>
          <w:lang w:val="en-US" w:eastAsia="zh-CN" w:bidi="ar-SA"/>
        </w:rPr>
      </w:pPr>
      <w:r>
        <w:rPr>
          <w:rFonts w:hint="eastAsia" w:ascii="Times New Roman" w:hAnsi="Times New Roman" w:eastAsia="宋体" w:cs="Times New Roman"/>
          <w:bCs/>
          <w:color w:val="auto"/>
          <w:kern w:val="2"/>
          <w:sz w:val="24"/>
          <w:szCs w:val="24"/>
          <w:highlight w:val="none"/>
          <w:lang w:val="en-US" w:eastAsia="zh-CN" w:bidi="ar-SA"/>
        </w:rPr>
        <w:t>户 名：浙江明业项目管理有限公司嵊州分公司</w:t>
      </w:r>
    </w:p>
    <w:p w14:paraId="1D73035B">
      <w:pPr>
        <w:keepNext w:val="0"/>
        <w:keepLines w:val="0"/>
        <w:pageBreakBefore w:val="0"/>
        <w:widowControl/>
        <w:kinsoku/>
        <w:wordWrap/>
        <w:overflowPunct/>
        <w:topLinePunct w:val="0"/>
        <w:autoSpaceDN/>
        <w:bidi w:val="0"/>
        <w:adjustRightInd w:val="0"/>
        <w:spacing w:line="500" w:lineRule="exact"/>
        <w:ind w:firstLine="480"/>
        <w:textAlignment w:val="auto"/>
        <w:rPr>
          <w:rFonts w:hint="eastAsia" w:ascii="Times New Roman" w:hAnsi="Times New Roman" w:eastAsia="宋体" w:cs="Times New Roman"/>
          <w:bCs/>
          <w:color w:val="auto"/>
          <w:kern w:val="2"/>
          <w:sz w:val="24"/>
          <w:szCs w:val="24"/>
          <w:highlight w:val="none"/>
          <w:lang w:val="en-US" w:eastAsia="zh-CN" w:bidi="ar-SA"/>
        </w:rPr>
      </w:pPr>
      <w:r>
        <w:rPr>
          <w:rFonts w:hint="eastAsia" w:ascii="Times New Roman" w:hAnsi="Times New Roman" w:eastAsia="宋体" w:cs="Times New Roman"/>
          <w:bCs/>
          <w:color w:val="auto"/>
          <w:kern w:val="2"/>
          <w:sz w:val="24"/>
          <w:szCs w:val="24"/>
          <w:highlight w:val="none"/>
          <w:lang w:val="en-US" w:eastAsia="zh-CN" w:bidi="ar-SA"/>
        </w:rPr>
        <w:t>开户银行：中国银行嵊州城东支行</w:t>
      </w:r>
    </w:p>
    <w:p w14:paraId="4ADAA15E">
      <w:pPr>
        <w:pStyle w:val="68"/>
        <w:keepNext w:val="0"/>
        <w:keepLines w:val="0"/>
        <w:pageBreakBefore w:val="0"/>
        <w:widowControl w:val="0"/>
        <w:suppressLineNumbers w:val="0"/>
        <w:kinsoku/>
        <w:wordWrap/>
        <w:overflowPunct/>
        <w:topLinePunct w:val="0"/>
        <w:autoSpaceDE w:val="0"/>
        <w:autoSpaceDN w:val="0"/>
        <w:bidi w:val="0"/>
        <w:snapToGrid w:val="0"/>
        <w:spacing w:before="0" w:beforeAutospacing="0" w:after="0" w:afterAutospacing="0" w:line="420" w:lineRule="exact"/>
        <w:ind w:left="0" w:right="0" w:firstLine="480" w:firstLineChars="200"/>
        <w:textAlignment w:val="bottom"/>
        <w:rPr>
          <w:rFonts w:hint="eastAsia" w:ascii="宋体" w:hAnsi="宋体" w:cs="宋体"/>
          <w:b/>
          <w:color w:val="auto"/>
          <w:kern w:val="0"/>
          <w:sz w:val="24"/>
          <w:szCs w:val="24"/>
          <w:highlight w:val="none"/>
        </w:rPr>
      </w:pPr>
      <w:r>
        <w:rPr>
          <w:rFonts w:hint="eastAsia" w:ascii="Times New Roman" w:hAnsi="Times New Roman" w:eastAsia="宋体" w:cs="Times New Roman"/>
          <w:bCs/>
          <w:color w:val="auto"/>
          <w:kern w:val="2"/>
          <w:sz w:val="24"/>
          <w:szCs w:val="24"/>
          <w:highlight w:val="none"/>
          <w:lang w:val="en-US" w:eastAsia="zh-CN" w:bidi="ar-SA"/>
        </w:rPr>
        <w:t>银行账号：367 558 339 668</w:t>
      </w:r>
    </w:p>
    <w:p w14:paraId="12F3CDA8">
      <w:pPr>
        <w:keepNext w:val="0"/>
        <w:keepLines w:val="0"/>
        <w:pageBreakBefore w:val="0"/>
        <w:widowControl w:val="0"/>
        <w:kinsoku/>
        <w:wordWrap/>
        <w:overflowPunct/>
        <w:topLinePunct w:val="0"/>
        <w:autoSpaceDE/>
        <w:autoSpaceDN/>
        <w:bidi w:val="0"/>
        <w:snapToGrid/>
        <w:spacing w:line="460" w:lineRule="exact"/>
        <w:ind w:firstLine="480" w:firstLineChars="200"/>
        <w:textAlignment w:val="auto"/>
        <w:rPr>
          <w:rFonts w:hint="eastAsia"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投标保证金的退还：未中标的投标人的投标保证金将在中标通知书发出之日起3个工作日内退还，中标人的投标保证金在中标人与招标人签订采购合同后5个工作日内退还。</w:t>
      </w:r>
    </w:p>
    <w:p w14:paraId="7439EDD1">
      <w:pPr>
        <w:spacing w:line="440" w:lineRule="exac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六</w:t>
      </w:r>
      <w:r>
        <w:rPr>
          <w:rFonts w:hint="eastAsia" w:ascii="宋体" w:hAnsi="宋体" w:eastAsia="宋体" w:cs="宋体"/>
          <w:b/>
          <w:color w:val="auto"/>
          <w:sz w:val="24"/>
          <w:szCs w:val="24"/>
          <w:highlight w:val="none"/>
        </w:rPr>
        <w:t>、公告期限</w:t>
      </w:r>
    </w:p>
    <w:p w14:paraId="6DF9CF9B">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46B9BB8C">
      <w:pPr>
        <w:keepNext w:val="0"/>
        <w:keepLines w:val="0"/>
        <w:pageBreakBefore w:val="0"/>
        <w:widowControl/>
        <w:kinsoku/>
        <w:wordWrap/>
        <w:overflowPunct/>
        <w:topLinePunct w:val="0"/>
        <w:autoSpaceDE/>
        <w:autoSpaceDN/>
        <w:bidi w:val="0"/>
        <w:adjustRightInd/>
        <w:snapToGrid/>
        <w:spacing w:line="460" w:lineRule="exact"/>
        <w:textAlignment w:val="auto"/>
        <w:rPr>
          <w:bCs/>
          <w:color w:val="auto"/>
          <w:highlight w:val="none"/>
        </w:rPr>
      </w:pPr>
      <w:r>
        <w:rPr>
          <w:rFonts w:hint="eastAsia" w:ascii="宋体" w:hAnsi="宋体" w:cs="宋体"/>
          <w:b/>
          <w:bCs/>
          <w:color w:val="auto"/>
          <w:spacing w:val="6"/>
          <w:szCs w:val="24"/>
          <w:highlight w:val="none"/>
          <w:lang w:val="en-US" w:eastAsia="zh-CN"/>
        </w:rPr>
        <w:t>七</w:t>
      </w:r>
      <w:r>
        <w:rPr>
          <w:rFonts w:hint="eastAsia" w:ascii="宋体" w:hAnsi="宋体" w:cs="宋体"/>
          <w:b/>
          <w:bCs/>
          <w:color w:val="auto"/>
          <w:spacing w:val="6"/>
          <w:szCs w:val="24"/>
          <w:highlight w:val="none"/>
        </w:rPr>
        <w:t>、其他补充事宜</w:t>
      </w:r>
    </w:p>
    <w:p w14:paraId="6861C010">
      <w:pPr>
        <w:pStyle w:val="27"/>
        <w:keepNext w:val="0"/>
        <w:keepLines w:val="0"/>
        <w:pageBreakBefore w:val="0"/>
        <w:widowControl/>
        <w:numPr>
          <w:ilvl w:val="0"/>
          <w:numId w:val="4"/>
        </w:numPr>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color w:val="auto"/>
          <w:highlight w:val="none"/>
        </w:rPr>
      </w:pPr>
      <w:r>
        <w:rPr>
          <w:rFonts w:hint="eastAsia" w:ascii="宋体" w:hAnsi="宋体" w:eastAsia="宋体" w:cs="宋体"/>
          <w:bCs/>
          <w:color w:val="auto"/>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代理机构提出质疑。质疑供应商对采购代理机构的答复不满意或者采购代理机构未在规定的时间内作出答复的，</w:t>
      </w:r>
      <w:r>
        <w:rPr>
          <w:rFonts w:hint="eastAsia" w:ascii="宋体" w:hAnsi="宋体" w:eastAsia="宋体" w:cs="宋体"/>
          <w:color w:val="auto"/>
          <w:szCs w:val="24"/>
          <w:highlight w:val="none"/>
        </w:rPr>
        <w:t>可以在答复期满后十五个工作日</w:t>
      </w:r>
      <w:r>
        <w:rPr>
          <w:rFonts w:hint="eastAsia" w:ascii="宋体" w:hAnsi="宋体" w:eastAsia="宋体" w:cs="宋体"/>
          <w:color w:val="auto"/>
          <w:szCs w:val="24"/>
          <w:highlight w:val="none"/>
          <w:lang w:val="en-US" w:eastAsia="zh-CN"/>
        </w:rPr>
        <w:t>内根据嵊国资委【2023】1号文件的规定</w:t>
      </w:r>
      <w:r>
        <w:rPr>
          <w:rFonts w:hint="eastAsia" w:ascii="宋体" w:hAnsi="宋体" w:eastAsia="宋体" w:cs="宋体"/>
          <w:color w:val="auto"/>
          <w:szCs w:val="24"/>
          <w:highlight w:val="none"/>
        </w:rPr>
        <w:t>提出投诉。</w:t>
      </w:r>
    </w:p>
    <w:p w14:paraId="7528EE34">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1）电子招投标的说明：①电子招投标：本项目以数据电文形式，依托“乐采云平台（www.lecaiyun.com）”进行招投标活动，不接受纸质投标文件；②投标准备：注册账号--点击“商家入驻”，进行采购供应商资料填写；申领CA数字证书---申领流程详见“浙江企业采购信息服务网-下载专区-电子交易客户端-CA驱动和申领流程”；安装“乐采云电子交易客户端”----前往“浙江企业采购信息服务网--在线下载一电子交易端”进行下载并安装；③招标文件的获取：使用账号登录或者使用CA登录乐采云平台（www.lecaiyun.com）；进入“项目采购”应用，在获取采购文件菜单中选择项目，获取招标文件；④投标文件的制作：在“乐采云电子交易客户端”中完成“填写基本信息”、“导入投标文件”、“标书关联”、“标书检查”、“电子签名”、“生成电子标书”等操作；⑤采购人、采购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乐采云平台，还可以在投标截止时间前直接提交或者以顺丰快递（建议）方式递交备份投标文件1份。⑨投标文件的解密：投标人按照平台提示和招标文件的规定在半小时内完成在线解密。通过乐采云平台（www.lecaiyun.com）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没有在乐采云电子交易平台传输递交投标文件的，投标无效；⑩具体操作指南：详见乐采云平台“服务中心-帮助文档-项目采购-操作流程-电子招投标-采购项目电子交易管理操作指南-供应商”。</w:t>
      </w:r>
    </w:p>
    <w:p w14:paraId="44FB317C">
      <w:pPr>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八</w:t>
      </w:r>
      <w:r>
        <w:rPr>
          <w:rFonts w:hint="eastAsia" w:ascii="宋体" w:hAnsi="宋体" w:eastAsia="宋体" w:cs="宋体"/>
          <w:b/>
          <w:color w:val="auto"/>
          <w:sz w:val="24"/>
          <w:szCs w:val="24"/>
          <w:highlight w:val="none"/>
        </w:rPr>
        <w:t>、对本次采购提出询问、质疑、投诉，请按以下方式联系</w:t>
      </w:r>
    </w:p>
    <w:p w14:paraId="43F120BE">
      <w:pPr>
        <w:pStyle w:val="3"/>
        <w:tabs>
          <w:tab w:val="left" w:pos="432"/>
        </w:tabs>
        <w:spacing w:line="440" w:lineRule="exact"/>
        <w:ind w:left="0" w:firstLine="482" w:firstLineChars="200"/>
        <w:rPr>
          <w:rFonts w:hint="eastAsia" w:ascii="宋体" w:hAnsi="宋体" w:eastAsia="宋体" w:cs="宋体"/>
          <w:color w:val="auto"/>
          <w:sz w:val="24"/>
          <w:szCs w:val="24"/>
          <w:highlight w:val="none"/>
        </w:rPr>
      </w:pPr>
      <w:bookmarkStart w:id="18" w:name="_Toc35393637"/>
      <w:bookmarkStart w:id="19" w:name="_Toc35393806"/>
      <w:bookmarkStart w:id="20" w:name="_Toc28359096"/>
      <w:bookmarkStart w:id="21" w:name="_Toc28359019"/>
      <w:r>
        <w:rPr>
          <w:rFonts w:hint="eastAsia" w:ascii="宋体" w:hAnsi="宋体" w:eastAsia="宋体" w:cs="宋体"/>
          <w:color w:val="auto"/>
          <w:sz w:val="24"/>
          <w:szCs w:val="24"/>
          <w:highlight w:val="none"/>
        </w:rPr>
        <w:t>1.采购人信息</w:t>
      </w:r>
      <w:bookmarkEnd w:id="18"/>
      <w:bookmarkEnd w:id="19"/>
      <w:bookmarkEnd w:id="20"/>
      <w:bookmarkEnd w:id="21"/>
      <w:r>
        <w:rPr>
          <w:rFonts w:hint="eastAsia" w:ascii="宋体" w:hAnsi="宋体" w:eastAsia="宋体" w:cs="宋体"/>
          <w:color w:val="auto"/>
          <w:sz w:val="24"/>
          <w:szCs w:val="24"/>
          <w:highlight w:val="none"/>
        </w:rPr>
        <w:t>：</w:t>
      </w:r>
    </w:p>
    <w:p w14:paraId="568A908B">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lang w:val="en-US" w:eastAsia="zh-CN"/>
        </w:rPr>
        <w:t>嵊州市公共交通有限公司</w:t>
      </w:r>
    </w:p>
    <w:p w14:paraId="029BB331">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val="en-US" w:eastAsia="zh-CN"/>
        </w:rPr>
        <w:t>嵊州市浦口街道华发南路88号</w:t>
      </w:r>
    </w:p>
    <w:p w14:paraId="26D8C102">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lang w:val="en-US" w:eastAsia="zh-CN"/>
        </w:rPr>
        <w:t>/</w:t>
      </w:r>
    </w:p>
    <w:p w14:paraId="44F40DE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项目联系人（询问）：</w:t>
      </w:r>
      <w:r>
        <w:rPr>
          <w:rFonts w:hint="eastAsia" w:ascii="宋体" w:hAnsi="宋体" w:eastAsia="宋体" w:cs="宋体"/>
          <w:color w:val="auto"/>
          <w:sz w:val="24"/>
          <w:szCs w:val="24"/>
          <w:highlight w:val="none"/>
          <w:lang w:val="en-US" w:eastAsia="zh-CN"/>
        </w:rPr>
        <w:t>黄煜明</w:t>
      </w:r>
    </w:p>
    <w:p w14:paraId="3D6FC5D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项目联系方式（询问）：</w:t>
      </w:r>
      <w:r>
        <w:rPr>
          <w:rFonts w:hint="eastAsia" w:ascii="宋体" w:hAnsi="宋体" w:eastAsia="宋体" w:cs="宋体"/>
          <w:b w:val="0"/>
          <w:bCs w:val="0"/>
          <w:i w:val="0"/>
          <w:iCs w:val="0"/>
          <w:color w:val="auto"/>
          <w:sz w:val="24"/>
          <w:szCs w:val="24"/>
          <w:highlight w:val="none"/>
          <w:u w:val="none"/>
          <w:lang w:val="en-US" w:eastAsia="zh-CN"/>
        </w:rPr>
        <w:t>0575-83118028</w:t>
      </w:r>
      <w:bookmarkStart w:id="22" w:name="_Toc28359020"/>
      <w:bookmarkStart w:id="23" w:name="_Toc35393807"/>
      <w:bookmarkStart w:id="24" w:name="_Toc35393638"/>
      <w:bookmarkStart w:id="25" w:name="_Toc28359097"/>
    </w:p>
    <w:p w14:paraId="0631BF32">
      <w:pPr>
        <w:pStyle w:val="3"/>
        <w:tabs>
          <w:tab w:val="left" w:pos="432"/>
        </w:tabs>
        <w:spacing w:line="440" w:lineRule="exact"/>
        <w:ind w:left="0" w:firstLine="482"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bookmarkEnd w:id="22"/>
      <w:bookmarkEnd w:id="23"/>
      <w:bookmarkEnd w:id="24"/>
      <w:bookmarkEnd w:id="25"/>
      <w:r>
        <w:rPr>
          <w:rFonts w:hint="eastAsia" w:ascii="宋体" w:hAnsi="宋体" w:eastAsia="宋体" w:cs="宋体"/>
          <w:color w:val="auto"/>
          <w:sz w:val="24"/>
          <w:szCs w:val="24"/>
          <w:highlight w:val="none"/>
        </w:rPr>
        <w:t>：</w:t>
      </w:r>
    </w:p>
    <w:p w14:paraId="2D098195">
      <w:pPr>
        <w:keepNext w:val="0"/>
        <w:keepLines w:val="0"/>
        <w:pageBreakBefore w:val="0"/>
        <w:widowControl/>
        <w:kinsoku/>
        <w:wordWrap/>
        <w:overflowPunct/>
        <w:topLinePunct w:val="0"/>
        <w:autoSpaceDE/>
        <w:autoSpaceDN/>
        <w:bidi w:val="0"/>
        <w:adjustRightInd/>
        <w:snapToGrid/>
        <w:spacing w:line="480" w:lineRule="exact"/>
        <w:jc w:val="left"/>
        <w:textAlignment w:val="auto"/>
        <w:rPr>
          <w:bCs/>
          <w:color w:val="auto"/>
          <w:szCs w:val="24"/>
          <w:highlight w:val="none"/>
        </w:rPr>
      </w:pPr>
      <w:r>
        <w:rPr>
          <w:rFonts w:hint="eastAsia"/>
          <w:bCs/>
          <w:color w:val="auto"/>
          <w:szCs w:val="24"/>
          <w:highlight w:val="none"/>
        </w:rPr>
        <w:t> </w:t>
      </w:r>
      <w:r>
        <w:rPr>
          <w:bCs/>
          <w:color w:val="auto"/>
          <w:szCs w:val="24"/>
          <w:highlight w:val="none"/>
        </w:rPr>
        <w:t xml:space="preserve">   </w:t>
      </w:r>
      <w:r>
        <w:rPr>
          <w:rFonts w:hint="eastAsia"/>
          <w:bCs/>
          <w:color w:val="auto"/>
          <w:szCs w:val="24"/>
          <w:highlight w:val="none"/>
        </w:rPr>
        <w:t>名   称：浙江</w:t>
      </w:r>
      <w:r>
        <w:rPr>
          <w:bCs/>
          <w:color w:val="auto"/>
          <w:szCs w:val="24"/>
          <w:highlight w:val="none"/>
        </w:rPr>
        <w:t>明业项目管理有限公司</w:t>
      </w:r>
      <w:r>
        <w:rPr>
          <w:rFonts w:hint="eastAsia"/>
          <w:bCs/>
          <w:color w:val="auto"/>
          <w:szCs w:val="24"/>
          <w:highlight w:val="none"/>
        </w:rPr>
        <w:t>       </w:t>
      </w:r>
    </w:p>
    <w:p w14:paraId="38CC6A5F">
      <w:pPr>
        <w:keepNext w:val="0"/>
        <w:keepLines w:val="0"/>
        <w:pageBreakBefore w:val="0"/>
        <w:widowControl/>
        <w:kinsoku/>
        <w:wordWrap/>
        <w:overflowPunct/>
        <w:topLinePunct w:val="0"/>
        <w:autoSpaceDE/>
        <w:autoSpaceDN/>
        <w:bidi w:val="0"/>
        <w:adjustRightInd/>
        <w:snapToGrid/>
        <w:spacing w:line="480" w:lineRule="exact"/>
        <w:jc w:val="left"/>
        <w:textAlignment w:val="auto"/>
        <w:rPr>
          <w:bCs/>
          <w:color w:val="auto"/>
          <w:szCs w:val="24"/>
          <w:highlight w:val="none"/>
        </w:rPr>
      </w:pPr>
      <w:r>
        <w:rPr>
          <w:rFonts w:hint="eastAsia"/>
          <w:bCs/>
          <w:color w:val="auto"/>
          <w:szCs w:val="24"/>
          <w:highlight w:val="none"/>
        </w:rPr>
        <w:t> </w:t>
      </w:r>
      <w:r>
        <w:rPr>
          <w:bCs/>
          <w:color w:val="auto"/>
          <w:szCs w:val="24"/>
          <w:highlight w:val="none"/>
        </w:rPr>
        <w:t xml:space="preserve">   </w:t>
      </w:r>
      <w:r>
        <w:rPr>
          <w:rFonts w:hint="eastAsia"/>
          <w:bCs/>
          <w:color w:val="auto"/>
          <w:szCs w:val="24"/>
          <w:highlight w:val="none"/>
        </w:rPr>
        <w:t>地   址：嵊州市</w:t>
      </w:r>
      <w:r>
        <w:rPr>
          <w:bCs/>
          <w:color w:val="auto"/>
          <w:szCs w:val="24"/>
          <w:highlight w:val="none"/>
        </w:rPr>
        <w:t>官河南路</w:t>
      </w:r>
      <w:r>
        <w:rPr>
          <w:rFonts w:hint="eastAsia"/>
          <w:bCs/>
          <w:color w:val="auto"/>
          <w:szCs w:val="24"/>
          <w:highlight w:val="none"/>
        </w:rPr>
        <w:t>489号君泰大厦北楼14层       </w:t>
      </w:r>
    </w:p>
    <w:p w14:paraId="468BACE2">
      <w:pPr>
        <w:keepNext w:val="0"/>
        <w:keepLines w:val="0"/>
        <w:pageBreakBefore w:val="0"/>
        <w:widowControl/>
        <w:kinsoku/>
        <w:wordWrap/>
        <w:overflowPunct/>
        <w:topLinePunct w:val="0"/>
        <w:autoSpaceDE/>
        <w:autoSpaceDN/>
        <w:bidi w:val="0"/>
        <w:adjustRightInd/>
        <w:snapToGrid/>
        <w:spacing w:line="480" w:lineRule="exact"/>
        <w:jc w:val="left"/>
        <w:textAlignment w:val="auto"/>
        <w:rPr>
          <w:bCs/>
          <w:color w:val="auto"/>
          <w:szCs w:val="24"/>
          <w:highlight w:val="none"/>
        </w:rPr>
      </w:pPr>
      <w:r>
        <w:rPr>
          <w:rFonts w:hint="eastAsia"/>
          <w:bCs/>
          <w:color w:val="auto"/>
          <w:szCs w:val="24"/>
          <w:highlight w:val="none"/>
        </w:rPr>
        <w:t> </w:t>
      </w:r>
      <w:r>
        <w:rPr>
          <w:bCs/>
          <w:color w:val="auto"/>
          <w:szCs w:val="24"/>
          <w:highlight w:val="none"/>
        </w:rPr>
        <w:t xml:space="preserve"> </w:t>
      </w:r>
      <w:r>
        <w:rPr>
          <w:rFonts w:hint="eastAsia"/>
          <w:bCs/>
          <w:color w:val="auto"/>
          <w:szCs w:val="24"/>
          <w:highlight w:val="none"/>
          <w:lang w:val="en-US" w:eastAsia="zh-CN"/>
        </w:rPr>
        <w:t xml:space="preserve"> </w:t>
      </w:r>
      <w:r>
        <w:rPr>
          <w:bCs/>
          <w:color w:val="auto"/>
          <w:szCs w:val="24"/>
          <w:highlight w:val="none"/>
        </w:rPr>
        <w:t xml:space="preserve"> </w:t>
      </w:r>
      <w:r>
        <w:rPr>
          <w:rFonts w:hint="eastAsia"/>
          <w:bCs/>
          <w:color w:val="auto"/>
          <w:szCs w:val="24"/>
          <w:highlight w:val="none"/>
        </w:rPr>
        <w:t>联系人</w:t>
      </w:r>
      <w:r>
        <w:rPr>
          <w:rFonts w:hint="eastAsia"/>
          <w:bCs/>
          <w:color w:val="auto"/>
          <w:szCs w:val="24"/>
          <w:highlight w:val="none"/>
          <w:lang w:val="en-US" w:eastAsia="zh-CN"/>
        </w:rPr>
        <w:t>：</w:t>
      </w:r>
      <w:r>
        <w:rPr>
          <w:rFonts w:hint="eastAsia"/>
          <w:bCs/>
          <w:color w:val="auto"/>
          <w:szCs w:val="24"/>
          <w:highlight w:val="none"/>
        </w:rPr>
        <w:t>任  燕   </w:t>
      </w:r>
    </w:p>
    <w:p w14:paraId="7321EA21">
      <w:pPr>
        <w:spacing w:line="440" w:lineRule="exact"/>
        <w:ind w:firstLine="480" w:firstLineChars="200"/>
        <w:rPr>
          <w:rFonts w:hint="eastAsia"/>
          <w:bCs/>
          <w:color w:val="auto"/>
          <w:szCs w:val="24"/>
          <w:highlight w:val="none"/>
        </w:rPr>
      </w:pPr>
      <w:r>
        <w:rPr>
          <w:rFonts w:hint="eastAsia"/>
          <w:bCs/>
          <w:color w:val="auto"/>
          <w:szCs w:val="24"/>
          <w:highlight w:val="none"/>
        </w:rPr>
        <w:t>联系方式：0575-83338198   13757539220 </w:t>
      </w:r>
    </w:p>
    <w:p w14:paraId="433F872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质疑联系人：</w:t>
      </w:r>
      <w:r>
        <w:rPr>
          <w:rFonts w:hint="eastAsia" w:ascii="宋体" w:hAnsi="宋体" w:cs="宋体"/>
          <w:color w:val="auto"/>
          <w:sz w:val="24"/>
          <w:szCs w:val="24"/>
          <w:highlight w:val="none"/>
          <w:lang w:val="en-US" w:eastAsia="zh-CN"/>
        </w:rPr>
        <w:t>董玲玲</w:t>
      </w:r>
      <w:r>
        <w:rPr>
          <w:rFonts w:hint="eastAsia" w:ascii="宋体" w:hAnsi="宋体" w:eastAsia="宋体" w:cs="宋体"/>
          <w:color w:val="auto"/>
          <w:sz w:val="24"/>
          <w:szCs w:val="24"/>
          <w:highlight w:val="none"/>
        </w:rPr>
        <w:t xml:space="preserve">             </w:t>
      </w:r>
    </w:p>
    <w:p w14:paraId="2193AB23">
      <w:pPr>
        <w:spacing w:line="440" w:lineRule="exact"/>
        <w:ind w:firstLine="480" w:firstLineChars="200"/>
        <w:rPr>
          <w:rFonts w:hint="default"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质疑联系方式：</w:t>
      </w:r>
      <w:bookmarkStart w:id="26" w:name="_Toc28359021"/>
      <w:bookmarkStart w:id="27" w:name="_Toc28359098"/>
      <w:bookmarkStart w:id="28" w:name="_Toc35393808"/>
      <w:bookmarkStart w:id="29" w:name="_Toc35393639"/>
      <w:r>
        <w:rPr>
          <w:rFonts w:hint="eastAsia" w:ascii="宋体" w:hAnsi="宋体" w:cs="宋体"/>
          <w:color w:val="auto"/>
          <w:sz w:val="24"/>
          <w:szCs w:val="24"/>
          <w:highlight w:val="none"/>
          <w:lang w:val="en-US" w:eastAsia="zh-CN"/>
        </w:rPr>
        <w:t>18957531591</w:t>
      </w:r>
    </w:p>
    <w:p w14:paraId="18C4E644">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3.</w:t>
      </w:r>
      <w:r>
        <w:rPr>
          <w:rFonts w:hint="eastAsia" w:ascii="宋体" w:hAnsi="宋体" w:eastAsia="宋体" w:cs="宋体"/>
          <w:b/>
          <w:bCs/>
          <w:color w:val="auto"/>
          <w:sz w:val="24"/>
          <w:szCs w:val="24"/>
          <w:highlight w:val="none"/>
          <w:lang w:val="en-US" w:eastAsia="zh-CN"/>
        </w:rPr>
        <w:t>同级</w:t>
      </w:r>
      <w:r>
        <w:rPr>
          <w:rFonts w:hint="eastAsia" w:ascii="宋体" w:hAnsi="宋体" w:eastAsia="宋体" w:cs="宋体"/>
          <w:b/>
          <w:color w:val="auto"/>
          <w:sz w:val="24"/>
          <w:szCs w:val="24"/>
          <w:highlight w:val="none"/>
        </w:rPr>
        <w:t xml:space="preserve">采购监管部门信息： </w:t>
      </w:r>
    </w:p>
    <w:bookmarkEnd w:id="26"/>
    <w:bookmarkEnd w:id="27"/>
    <w:bookmarkEnd w:id="28"/>
    <w:bookmarkEnd w:id="29"/>
    <w:p w14:paraId="1941987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r>
        <w:rPr>
          <w:rFonts w:hint="eastAsia" w:ascii="宋体" w:hAnsi="宋体" w:eastAsia="宋体" w:cs="宋体"/>
          <w:color w:val="auto"/>
          <w:sz w:val="24"/>
          <w:szCs w:val="24"/>
          <w:highlight w:val="none"/>
          <w:lang w:val="en-US" w:eastAsia="zh-CN"/>
        </w:rPr>
        <w:t>嵊州市交通投资发展集团有限公司</w:t>
      </w:r>
    </w:p>
    <w:p w14:paraId="6D3EA47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val="en-US" w:eastAsia="zh-CN"/>
        </w:rPr>
        <w:t>嵊州市浦口街道华发南路88号</w:t>
      </w:r>
    </w:p>
    <w:p w14:paraId="47201616">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lang w:val="en-US" w:eastAsia="zh-CN"/>
        </w:rPr>
        <w:t>/</w:t>
      </w:r>
    </w:p>
    <w:p w14:paraId="652DBD3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赵渝</w:t>
      </w:r>
    </w:p>
    <w:p w14:paraId="2A4B6CF5">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监督投诉电话：</w:t>
      </w:r>
      <w:r>
        <w:rPr>
          <w:rFonts w:hint="eastAsia" w:ascii="宋体" w:hAnsi="宋体" w:eastAsia="宋体" w:cs="宋体"/>
          <w:color w:val="auto"/>
          <w:sz w:val="24"/>
          <w:szCs w:val="24"/>
          <w:highlight w:val="none"/>
          <w:lang w:val="en-US" w:eastAsia="zh-CN"/>
        </w:rPr>
        <w:t>0575-83815023</w:t>
      </w:r>
    </w:p>
    <w:p w14:paraId="6CC7048B">
      <w:pPr>
        <w:spacing w:line="440" w:lineRule="exact"/>
        <w:ind w:firstLine="480" w:firstLineChars="200"/>
        <w:rPr>
          <w:rFonts w:hint="eastAsia" w:ascii="宋体" w:hAnsi="宋体" w:eastAsia="宋体" w:cs="宋体"/>
          <w:color w:val="auto"/>
          <w:sz w:val="24"/>
          <w:szCs w:val="24"/>
          <w:highlight w:val="none"/>
        </w:rPr>
      </w:pPr>
    </w:p>
    <w:p w14:paraId="2032188B">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若对项目采购电子交易系统操作有疑问，可登录乐采云（https://www.lecaiyun.com/），点击右侧咨询小采，获取采小蜜智能服务管家帮助，或拨打乐采云服务热线95763获取热线服务帮助。      </w:t>
      </w:r>
    </w:p>
    <w:p w14:paraId="5E66829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CA问题联系电话（人工）：汇信CA 400-888-4636；天谷CA 400-087-8198。</w:t>
      </w:r>
    </w:p>
    <w:p w14:paraId="0DE7D816">
      <w:pPr>
        <w:widowControl/>
        <w:adjustRightInd/>
        <w:jc w:val="center"/>
        <w:rPr>
          <w:rFonts w:hint="eastAsia" w:ascii="宋体" w:hAnsi="宋体" w:eastAsia="宋体" w:cs="宋体"/>
          <w:b/>
          <w:bCs/>
          <w:color w:val="auto"/>
          <w:kern w:val="0"/>
          <w:sz w:val="36"/>
          <w:highlight w:val="none"/>
        </w:rPr>
      </w:pPr>
      <w:r>
        <w:rPr>
          <w:rFonts w:hint="eastAsia" w:ascii="仿宋" w:hAnsi="仿宋" w:eastAsia="仿宋" w:cs="仿宋"/>
          <w:b/>
          <w:color w:val="auto"/>
          <w:sz w:val="36"/>
          <w:szCs w:val="20"/>
          <w:highlight w:val="none"/>
        </w:rPr>
        <w:br w:type="page"/>
      </w:r>
      <w:r>
        <w:rPr>
          <w:rFonts w:hint="eastAsia" w:ascii="宋体" w:hAnsi="宋体" w:eastAsia="宋体" w:cs="宋体"/>
          <w:b/>
          <w:bCs/>
          <w:color w:val="auto"/>
          <w:kern w:val="0"/>
          <w:sz w:val="36"/>
          <w:highlight w:val="none"/>
        </w:rPr>
        <w:t>第二部分 投标须知</w:t>
      </w:r>
    </w:p>
    <w:p w14:paraId="5FD5893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b/>
          <w:bCs/>
          <w:color w:val="auto"/>
          <w:kern w:val="0"/>
          <w:sz w:val="36"/>
          <w:highlight w:val="none"/>
        </w:rPr>
      </w:pPr>
      <w:bookmarkStart w:id="30" w:name="_Hlk47616320"/>
      <w:r>
        <w:rPr>
          <w:rFonts w:hint="eastAsia" w:ascii="宋体" w:hAnsi="宋体" w:eastAsia="宋体" w:cs="宋体"/>
          <w:b/>
          <w:bCs/>
          <w:color w:val="auto"/>
          <w:kern w:val="0"/>
          <w:sz w:val="36"/>
          <w:highlight w:val="none"/>
        </w:rPr>
        <w:t>前附表</w:t>
      </w:r>
    </w:p>
    <w:tbl>
      <w:tblPr>
        <w:tblStyle w:val="31"/>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260"/>
        <w:gridCol w:w="7223"/>
      </w:tblGrid>
      <w:tr w14:paraId="2B6A7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49B287AA">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8483" w:type="dxa"/>
            <w:gridSpan w:val="2"/>
            <w:vAlign w:val="center"/>
          </w:tcPr>
          <w:p w14:paraId="26F361AB">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　　　　容</w:t>
            </w:r>
          </w:p>
        </w:tc>
      </w:tr>
      <w:tr w14:paraId="4F840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57F21826">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8483" w:type="dxa"/>
            <w:gridSpan w:val="2"/>
            <w:vAlign w:val="center"/>
          </w:tcPr>
          <w:p w14:paraId="057934AD">
            <w:pPr>
              <w:snapToGrid w:val="0"/>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lang w:val="en-US" w:eastAsia="zh-CN"/>
              </w:rPr>
              <w:t>投标人按照项目要求</w:t>
            </w:r>
            <w:r>
              <w:rPr>
                <w:rFonts w:hint="eastAsia" w:ascii="宋体" w:hAnsi="宋体" w:eastAsia="宋体" w:cs="宋体"/>
                <w:b/>
                <w:color w:val="auto"/>
                <w:sz w:val="24"/>
                <w:szCs w:val="24"/>
                <w:highlight w:val="none"/>
              </w:rPr>
              <w:t>特许资格、资信证明文件（如果有）：</w:t>
            </w:r>
          </w:p>
          <w:p w14:paraId="5FA838B7">
            <w:pPr>
              <w:spacing w:line="440" w:lineRule="exact"/>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4FA40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56268650">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483" w:type="dxa"/>
            <w:gridSpan w:val="2"/>
            <w:vAlign w:val="center"/>
          </w:tcPr>
          <w:p w14:paraId="787EAC0E">
            <w:pPr>
              <w:keepNext w:val="0"/>
              <w:keepLines w:val="0"/>
              <w:pageBreakBefore w:val="0"/>
              <w:widowControl w:val="0"/>
              <w:kinsoku/>
              <w:wordWrap/>
              <w:overflowPunct/>
              <w:topLinePunct w:val="0"/>
              <w:bidi w:val="0"/>
              <w:snapToGrid w:val="0"/>
              <w:spacing w:line="50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资格审查方式：</w:t>
            </w:r>
          </w:p>
          <w:p w14:paraId="310134A9">
            <w:pPr>
              <w:keepNext w:val="0"/>
              <w:keepLines w:val="0"/>
              <w:pageBreakBefore w:val="0"/>
              <w:widowControl w:val="0"/>
              <w:kinsoku/>
              <w:wordWrap/>
              <w:overflowPunct/>
              <w:topLinePunct w:val="0"/>
              <w:bidi w:val="0"/>
              <w:snapToGrid w:val="0"/>
              <w:spacing w:line="50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1.资格后审。</w:t>
            </w:r>
          </w:p>
          <w:p w14:paraId="51D42023">
            <w:pPr>
              <w:keepNext w:val="0"/>
              <w:keepLines w:val="0"/>
              <w:pageBreakBefore w:val="0"/>
              <w:widowControl w:val="0"/>
              <w:kinsoku/>
              <w:wordWrap/>
              <w:overflowPunct/>
              <w:topLinePunct w:val="0"/>
              <w:bidi w:val="0"/>
              <w:snapToGrid w:val="0"/>
              <w:spacing w:line="50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w:t>
            </w:r>
            <w:r>
              <w:rPr>
                <w:rFonts w:hint="eastAsia" w:ascii="宋体" w:hAnsi="宋体" w:cs="宋体"/>
                <w:b/>
                <w:color w:val="auto"/>
                <w:sz w:val="24"/>
                <w:szCs w:val="24"/>
                <w:highlight w:val="none"/>
                <w:lang w:val="en-US" w:eastAsia="zh-CN"/>
              </w:rPr>
              <w:t>扫描</w:t>
            </w:r>
            <w:r>
              <w:rPr>
                <w:rFonts w:hint="eastAsia" w:ascii="宋体" w:hAnsi="宋体" w:eastAsia="宋体" w:cs="宋体"/>
                <w:b/>
                <w:color w:val="auto"/>
                <w:sz w:val="24"/>
                <w:szCs w:val="24"/>
                <w:highlight w:val="none"/>
              </w:rPr>
              <w:t>件）。</w:t>
            </w:r>
          </w:p>
        </w:tc>
      </w:tr>
      <w:tr w14:paraId="60C4D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1065A0D9">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8483" w:type="dxa"/>
            <w:gridSpan w:val="2"/>
            <w:vAlign w:val="center"/>
          </w:tcPr>
          <w:p w14:paraId="1BFE1C0F">
            <w:pPr>
              <w:keepNext w:val="0"/>
              <w:keepLines w:val="0"/>
              <w:pageBreakBefore w:val="0"/>
              <w:widowControl w:val="0"/>
              <w:kinsoku/>
              <w:wordWrap/>
              <w:overflowPunct/>
              <w:topLinePunct w:val="0"/>
              <w:autoSpaceDE w:val="0"/>
              <w:autoSpaceDN w:val="0"/>
              <w:bidi w:val="0"/>
              <w:spacing w:line="500" w:lineRule="exact"/>
              <w:textAlignment w:val="bottom"/>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投标有效期：</w:t>
            </w:r>
            <w:r>
              <w:rPr>
                <w:rFonts w:hint="eastAsia" w:ascii="宋体" w:hAnsi="宋体" w:eastAsia="宋体" w:cs="宋体"/>
                <w:color w:val="auto"/>
                <w:sz w:val="24"/>
                <w:szCs w:val="24"/>
                <w:highlight w:val="none"/>
              </w:rPr>
              <w:t>投标有效期为从提交投标文件的截止之日起90天。</w:t>
            </w:r>
            <w:r>
              <w:rPr>
                <w:rFonts w:hint="eastAsia" w:ascii="宋体" w:hAnsi="宋体" w:eastAsia="宋体" w:cs="宋体"/>
                <w:b/>
                <w:color w:val="auto"/>
                <w:sz w:val="24"/>
                <w:szCs w:val="24"/>
                <w:highlight w:val="none"/>
              </w:rPr>
              <w:t>投标人的投标文件中承诺的投标有效期少于招标文件中载明的投标有效期的，投标无效。</w:t>
            </w:r>
          </w:p>
        </w:tc>
      </w:tr>
      <w:tr w14:paraId="4DD2B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66863D2D">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8483" w:type="dxa"/>
            <w:gridSpan w:val="2"/>
            <w:vAlign w:val="center"/>
          </w:tcPr>
          <w:p w14:paraId="2F430E37">
            <w:pPr>
              <w:keepNext w:val="0"/>
              <w:keepLines w:val="0"/>
              <w:pageBreakBefore w:val="0"/>
              <w:widowControl w:val="0"/>
              <w:kinsoku/>
              <w:wordWrap/>
              <w:overflowPunct/>
              <w:topLinePunct w:val="0"/>
              <w:bidi w:val="0"/>
              <w:spacing w:line="500" w:lineRule="exac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转包：</w:t>
            </w:r>
            <w:r>
              <w:rPr>
                <w:rFonts w:hint="eastAsia" w:ascii="宋体" w:hAnsi="宋体" w:eastAsia="宋体" w:cs="宋体"/>
                <w:color w:val="auto"/>
                <w:sz w:val="24"/>
                <w:szCs w:val="24"/>
                <w:highlight w:val="none"/>
              </w:rPr>
              <w:t>本项目不得转包。</w:t>
            </w:r>
          </w:p>
        </w:tc>
      </w:tr>
      <w:tr w14:paraId="4AC30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2FC04466">
            <w:pPr>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8483" w:type="dxa"/>
            <w:gridSpan w:val="2"/>
            <w:vAlign w:val="center"/>
          </w:tcPr>
          <w:p w14:paraId="6A225F83">
            <w:pPr>
              <w:keepNext w:val="0"/>
              <w:keepLines w:val="0"/>
              <w:pageBreakBefore w:val="0"/>
              <w:widowControl w:val="0"/>
              <w:kinsoku/>
              <w:wordWrap/>
              <w:overflowPunct/>
              <w:topLinePunct w:val="0"/>
              <w:bidi w:val="0"/>
              <w:spacing w:line="500" w:lineRule="exact"/>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分包：</w:t>
            </w:r>
            <w:r>
              <w:rPr>
                <w:rFonts w:hint="eastAsia" w:ascii="宋体" w:hAnsi="宋体" w:eastAsia="宋体" w:cs="宋体"/>
                <w:b w:val="0"/>
                <w:bCs/>
                <w:color w:val="auto"/>
                <w:sz w:val="24"/>
                <w:szCs w:val="24"/>
                <w:highlight w:val="none"/>
                <w:lang w:val="en-US" w:eastAsia="zh-CN"/>
              </w:rPr>
              <w:t>不同意分包。</w:t>
            </w:r>
          </w:p>
        </w:tc>
      </w:tr>
      <w:tr w14:paraId="51117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11D7131A">
            <w:pPr>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8483" w:type="dxa"/>
            <w:gridSpan w:val="2"/>
            <w:vAlign w:val="center"/>
          </w:tcPr>
          <w:p w14:paraId="4235D881">
            <w:pPr>
              <w:keepNext w:val="0"/>
              <w:keepLines w:val="0"/>
              <w:pageBreakBefore w:val="0"/>
              <w:widowControl w:val="0"/>
              <w:kinsoku/>
              <w:wordWrap/>
              <w:overflowPunct/>
              <w:topLinePunct w:val="0"/>
              <w:bidi w:val="0"/>
              <w:spacing w:line="500" w:lineRule="exac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投标文件份数：</w:t>
            </w:r>
            <w:r>
              <w:rPr>
                <w:rFonts w:hint="eastAsia" w:ascii="宋体" w:hAnsi="宋体" w:eastAsia="宋体" w:cs="宋体"/>
                <w:color w:val="auto"/>
                <w:sz w:val="24"/>
                <w:szCs w:val="24"/>
                <w:highlight w:val="none"/>
              </w:rPr>
              <w:t>本项目实行网上投标，供应商于“</w:t>
            </w:r>
            <w:r>
              <w:rPr>
                <w:rFonts w:hint="eastAsia" w:ascii="宋体" w:hAnsi="宋体" w:eastAsia="宋体" w:cs="宋体"/>
                <w:color w:val="auto"/>
                <w:sz w:val="24"/>
                <w:szCs w:val="24"/>
                <w:highlight w:val="none"/>
                <w:lang w:val="en-US" w:eastAsia="zh-CN"/>
              </w:rPr>
              <w:t>乐</w:t>
            </w:r>
            <w:r>
              <w:rPr>
                <w:rFonts w:hint="eastAsia" w:ascii="宋体" w:hAnsi="宋体" w:eastAsia="宋体" w:cs="宋体"/>
                <w:color w:val="auto"/>
                <w:sz w:val="24"/>
                <w:szCs w:val="24"/>
                <w:highlight w:val="none"/>
              </w:rPr>
              <w:t>采云”上提供电子投标文件。</w:t>
            </w:r>
          </w:p>
        </w:tc>
      </w:tr>
      <w:tr w14:paraId="0C480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2DEA8370">
            <w:pPr>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8483" w:type="dxa"/>
            <w:gridSpan w:val="2"/>
            <w:vAlign w:val="center"/>
          </w:tcPr>
          <w:p w14:paraId="50ED1E5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开标前答疑会或现场考察：</w:t>
            </w:r>
          </w:p>
          <w:p w14:paraId="67B7351A">
            <w:pPr>
              <w:keepNext w:val="0"/>
              <w:keepLines w:val="0"/>
              <w:pageBreakBefore w:val="0"/>
              <w:widowControl w:val="0"/>
              <w:kinsoku/>
              <w:wordWrap/>
              <w:overflowPunct/>
              <w:topLinePunct w:val="0"/>
              <w:bidi w:val="0"/>
              <w:spacing w:line="50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A不组织</w:t>
            </w:r>
          </w:p>
          <w:p w14:paraId="47B79C92">
            <w:pPr>
              <w:keepNext w:val="0"/>
              <w:keepLines w:val="0"/>
              <w:pageBreakBefore w:val="0"/>
              <w:widowControl w:val="0"/>
              <w:kinsoku/>
              <w:wordWrap/>
              <w:overflowPunct/>
              <w:topLinePunct w:val="0"/>
              <w:bidi w:val="0"/>
              <w:spacing w:line="500" w:lineRule="exact"/>
              <w:rPr>
                <w:rFonts w:hint="default" w:ascii="宋体" w:hAnsi="宋体" w:eastAsia="宋体" w:cs="宋体"/>
                <w:b/>
                <w:color w:val="auto"/>
                <w:sz w:val="24"/>
                <w:szCs w:val="24"/>
                <w:highlight w:val="none"/>
                <w:lang w:val="en-US" w:eastAsia="zh-CN"/>
              </w:rPr>
            </w:pPr>
            <w:sdt>
              <w:sdtPr>
                <w:rPr>
                  <w:rFonts w:hint="eastAsia" w:ascii="仿宋" w:hAnsi="仿宋" w:eastAsia="仿宋" w:cs="仿宋"/>
                  <w:color w:val="auto"/>
                  <w:kern w:val="0"/>
                  <w:sz w:val="24"/>
                  <w:szCs w:val="22"/>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2"/>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宋体" w:hAnsi="宋体" w:eastAsia="宋体" w:cs="宋体"/>
                <w:color w:val="auto"/>
                <w:sz w:val="24"/>
                <w:szCs w:val="24"/>
                <w:highlight w:val="none"/>
              </w:rPr>
              <w:t>B组织</w:t>
            </w:r>
          </w:p>
        </w:tc>
      </w:tr>
      <w:tr w14:paraId="13417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2FF4E631">
            <w:pPr>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8483" w:type="dxa"/>
            <w:gridSpan w:val="2"/>
            <w:vAlign w:val="center"/>
          </w:tcPr>
          <w:p w14:paraId="47CCAABD">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样品提供：</w:t>
            </w:r>
          </w:p>
          <w:p w14:paraId="59896B7B">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仿宋" w:hAnsi="仿宋" w:eastAsia="仿宋" w:cs="仿宋"/>
                <w:color w:val="auto"/>
                <w:sz w:val="24"/>
                <w:szCs w:val="22"/>
                <w:highlight w:val="none"/>
              </w:rPr>
            </w:pPr>
            <w:sdt>
              <w:sdtPr>
                <w:rPr>
                  <w:rFonts w:hint="eastAsia" w:ascii="仿宋" w:hAnsi="仿宋" w:eastAsia="仿宋" w:cs="仿宋"/>
                  <w:color w:val="auto"/>
                  <w:kern w:val="0"/>
                  <w:sz w:val="24"/>
                  <w:szCs w:val="22"/>
                  <w:highlight w:val="none"/>
                </w:rPr>
                <w:id w:val="147467435"/>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2"/>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宋体" w:hAnsi="宋体" w:eastAsia="宋体" w:cs="宋体"/>
                <w:color w:val="auto"/>
                <w:sz w:val="24"/>
                <w:szCs w:val="22"/>
                <w:highlight w:val="none"/>
              </w:rPr>
              <w:t>不要求提供</w:t>
            </w:r>
            <w:r>
              <w:rPr>
                <w:rFonts w:hint="eastAsia" w:ascii="仿宋" w:hAnsi="仿宋" w:eastAsia="仿宋" w:cs="仿宋"/>
                <w:color w:val="auto"/>
                <w:sz w:val="24"/>
                <w:szCs w:val="22"/>
                <w:highlight w:val="none"/>
              </w:rPr>
              <w:t>。</w:t>
            </w:r>
          </w:p>
          <w:p w14:paraId="013C4598">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Theme="majorEastAsia" w:hAnsiTheme="majorEastAsia" w:eastAsiaTheme="majorEastAsia" w:cstheme="majorEastAsia"/>
                <w:color w:val="auto"/>
                <w:kern w:val="0"/>
                <w:sz w:val="24"/>
                <w:szCs w:val="22"/>
                <w:highlight w:val="none"/>
              </w:rPr>
            </w:pPr>
            <w:sdt>
              <w:sdtPr>
                <w:rPr>
                  <w:rFonts w:hint="eastAsia" w:ascii="仿宋" w:hAnsi="仿宋" w:eastAsia="仿宋" w:cs="仿宋"/>
                  <w:color w:val="auto"/>
                  <w:kern w:val="0"/>
                  <w:sz w:val="24"/>
                  <w:szCs w:val="22"/>
                  <w:highlight w:val="none"/>
                </w:rPr>
                <w:id w:val="147474833"/>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2"/>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Theme="majorEastAsia" w:hAnsiTheme="majorEastAsia" w:eastAsiaTheme="majorEastAsia" w:cstheme="majorEastAsia"/>
                <w:color w:val="auto"/>
                <w:kern w:val="0"/>
                <w:sz w:val="24"/>
                <w:szCs w:val="22"/>
                <w:highlight w:val="none"/>
              </w:rPr>
              <w:t>要求提供，</w:t>
            </w:r>
          </w:p>
          <w:p w14:paraId="6B2A9D56">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Theme="majorEastAsia" w:hAnsiTheme="majorEastAsia" w:eastAsiaTheme="majorEastAsia" w:cstheme="majorEastAsia"/>
                <w:color w:val="auto"/>
                <w:kern w:val="0"/>
                <w:sz w:val="24"/>
                <w:szCs w:val="22"/>
                <w:highlight w:val="none"/>
              </w:rPr>
            </w:pPr>
            <w:r>
              <w:rPr>
                <w:rFonts w:hint="eastAsia" w:asciiTheme="majorEastAsia" w:hAnsiTheme="majorEastAsia" w:eastAsiaTheme="majorEastAsia" w:cstheme="majorEastAsia"/>
                <w:color w:val="auto"/>
                <w:kern w:val="0"/>
                <w:sz w:val="24"/>
                <w:szCs w:val="22"/>
                <w:highlight w:val="none"/>
              </w:rPr>
              <w:t>（1）</w:t>
            </w:r>
            <w:r>
              <w:rPr>
                <w:rFonts w:hint="eastAsia" w:asciiTheme="majorEastAsia" w:hAnsiTheme="majorEastAsia" w:eastAsiaTheme="majorEastAsia" w:cstheme="majorEastAsia"/>
                <w:snapToGrid w:val="0"/>
                <w:color w:val="auto"/>
                <w:kern w:val="28"/>
                <w:sz w:val="24"/>
                <w:szCs w:val="22"/>
                <w:highlight w:val="none"/>
              </w:rPr>
              <w:t>样品：</w:t>
            </w:r>
            <w:r>
              <w:rPr>
                <w:rFonts w:hint="eastAsia" w:asciiTheme="majorEastAsia" w:hAnsiTheme="majorEastAsia" w:eastAsiaTheme="majorEastAsia" w:cstheme="majorEastAsia"/>
                <w:color w:val="auto"/>
                <w:sz w:val="24"/>
                <w:szCs w:val="22"/>
                <w:highlight w:val="none"/>
                <w:u w:val="single"/>
                <w:lang w:eastAsia="zh-CN"/>
              </w:rPr>
              <w:t>详见</w:t>
            </w:r>
            <w:r>
              <w:rPr>
                <w:rFonts w:hint="eastAsia" w:asciiTheme="majorEastAsia" w:hAnsiTheme="majorEastAsia" w:eastAsiaTheme="majorEastAsia" w:cstheme="majorEastAsia"/>
                <w:snapToGrid w:val="0"/>
                <w:color w:val="auto"/>
                <w:kern w:val="28"/>
                <w:sz w:val="24"/>
                <w:szCs w:val="22"/>
                <w:highlight w:val="none"/>
                <w:u w:val="single"/>
                <w:lang w:val="en-US" w:eastAsia="zh-CN"/>
              </w:rPr>
              <w:t>第三部分项目招标范围及服务要求；</w:t>
            </w:r>
          </w:p>
          <w:p w14:paraId="59B85688">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Theme="majorEastAsia" w:hAnsiTheme="majorEastAsia" w:eastAsiaTheme="majorEastAsia" w:cstheme="majorEastAsia"/>
                <w:color w:val="auto"/>
                <w:kern w:val="0"/>
                <w:sz w:val="24"/>
                <w:szCs w:val="22"/>
                <w:highlight w:val="none"/>
              </w:rPr>
            </w:pPr>
            <w:r>
              <w:rPr>
                <w:rFonts w:hint="eastAsia" w:asciiTheme="majorEastAsia" w:hAnsiTheme="majorEastAsia" w:eastAsiaTheme="majorEastAsia" w:cstheme="majorEastAsia"/>
                <w:color w:val="auto"/>
                <w:kern w:val="0"/>
                <w:sz w:val="24"/>
                <w:szCs w:val="22"/>
                <w:highlight w:val="none"/>
              </w:rPr>
              <w:t>（2）</w:t>
            </w:r>
            <w:r>
              <w:rPr>
                <w:rFonts w:hint="eastAsia" w:asciiTheme="majorEastAsia" w:hAnsiTheme="majorEastAsia" w:eastAsiaTheme="majorEastAsia" w:cstheme="majorEastAsia"/>
                <w:snapToGrid w:val="0"/>
                <w:color w:val="auto"/>
                <w:kern w:val="28"/>
                <w:sz w:val="24"/>
                <w:szCs w:val="22"/>
                <w:highlight w:val="none"/>
              </w:rPr>
              <w:t>样品制作的标准和要求：</w:t>
            </w:r>
            <w:r>
              <w:rPr>
                <w:rFonts w:hint="eastAsia" w:asciiTheme="majorEastAsia" w:hAnsiTheme="majorEastAsia" w:eastAsiaTheme="majorEastAsia" w:cstheme="majorEastAsia"/>
                <w:color w:val="auto"/>
                <w:sz w:val="24"/>
                <w:szCs w:val="22"/>
                <w:highlight w:val="none"/>
                <w:u w:val="single"/>
                <w:lang w:eastAsia="zh-CN"/>
              </w:rPr>
              <w:t>详见</w:t>
            </w:r>
            <w:r>
              <w:rPr>
                <w:rFonts w:hint="eastAsia" w:asciiTheme="majorEastAsia" w:hAnsiTheme="majorEastAsia" w:eastAsiaTheme="majorEastAsia" w:cstheme="majorEastAsia"/>
                <w:snapToGrid w:val="0"/>
                <w:color w:val="auto"/>
                <w:kern w:val="28"/>
                <w:sz w:val="24"/>
                <w:szCs w:val="22"/>
                <w:highlight w:val="none"/>
                <w:u w:val="single"/>
                <w:lang w:val="en-US" w:eastAsia="zh-CN"/>
              </w:rPr>
              <w:t>第三部分项目招标范围及服务要求</w:t>
            </w:r>
            <w:r>
              <w:rPr>
                <w:rFonts w:hint="eastAsia" w:asciiTheme="majorEastAsia" w:hAnsiTheme="majorEastAsia" w:eastAsiaTheme="majorEastAsia" w:cstheme="majorEastAsia"/>
                <w:color w:val="auto"/>
                <w:kern w:val="0"/>
                <w:sz w:val="24"/>
                <w:szCs w:val="22"/>
                <w:highlight w:val="none"/>
              </w:rPr>
              <w:t>；</w:t>
            </w:r>
          </w:p>
          <w:p w14:paraId="2704960E">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Theme="majorEastAsia" w:hAnsiTheme="majorEastAsia" w:eastAsiaTheme="majorEastAsia" w:cstheme="majorEastAsia"/>
                <w:color w:val="auto"/>
                <w:kern w:val="0"/>
                <w:sz w:val="24"/>
                <w:szCs w:val="22"/>
                <w:highlight w:val="none"/>
              </w:rPr>
            </w:pPr>
            <w:r>
              <w:rPr>
                <w:rFonts w:hint="eastAsia" w:asciiTheme="majorEastAsia" w:hAnsiTheme="majorEastAsia" w:eastAsiaTheme="majorEastAsia" w:cstheme="majorEastAsia"/>
                <w:color w:val="auto"/>
                <w:kern w:val="0"/>
                <w:sz w:val="24"/>
                <w:szCs w:val="22"/>
                <w:highlight w:val="none"/>
              </w:rPr>
              <w:t>（3）样品的评审方法以及评审标准</w:t>
            </w:r>
            <w:r>
              <w:rPr>
                <w:rFonts w:hint="eastAsia" w:asciiTheme="majorEastAsia" w:hAnsiTheme="majorEastAsia" w:eastAsiaTheme="majorEastAsia" w:cstheme="majorEastAsia"/>
                <w:snapToGrid w:val="0"/>
                <w:color w:val="auto"/>
                <w:kern w:val="28"/>
                <w:sz w:val="24"/>
                <w:szCs w:val="22"/>
                <w:highlight w:val="none"/>
              </w:rPr>
              <w:t>：详见</w:t>
            </w:r>
            <w:r>
              <w:rPr>
                <w:rFonts w:hint="eastAsia" w:asciiTheme="majorEastAsia" w:hAnsiTheme="majorEastAsia" w:eastAsiaTheme="majorEastAsia" w:cstheme="majorEastAsia"/>
                <w:snapToGrid w:val="0"/>
                <w:color w:val="auto"/>
                <w:kern w:val="28"/>
                <w:sz w:val="24"/>
                <w:szCs w:val="22"/>
                <w:highlight w:val="none"/>
                <w:u w:val="single"/>
                <w:lang w:val="en-US" w:eastAsia="zh-CN"/>
              </w:rPr>
              <w:t>第四部分</w:t>
            </w:r>
            <w:r>
              <w:rPr>
                <w:rFonts w:hint="eastAsia" w:asciiTheme="majorEastAsia" w:hAnsiTheme="majorEastAsia" w:eastAsiaTheme="majorEastAsia" w:cstheme="majorEastAsia"/>
                <w:color w:val="auto"/>
                <w:sz w:val="24"/>
                <w:szCs w:val="22"/>
                <w:highlight w:val="none"/>
                <w:u w:val="single"/>
              </w:rPr>
              <w:t>评标办法</w:t>
            </w:r>
            <w:r>
              <w:rPr>
                <w:rFonts w:hint="eastAsia" w:asciiTheme="majorEastAsia" w:hAnsiTheme="majorEastAsia" w:eastAsiaTheme="majorEastAsia" w:cstheme="majorEastAsia"/>
                <w:color w:val="auto"/>
                <w:kern w:val="0"/>
                <w:sz w:val="24"/>
                <w:szCs w:val="22"/>
                <w:highlight w:val="none"/>
              </w:rPr>
              <w:t>；</w:t>
            </w:r>
          </w:p>
          <w:p w14:paraId="27C20C54">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Theme="majorEastAsia" w:hAnsiTheme="majorEastAsia" w:eastAsiaTheme="majorEastAsia" w:cstheme="majorEastAsia"/>
                <w:color w:val="auto"/>
                <w:kern w:val="0"/>
                <w:sz w:val="24"/>
                <w:szCs w:val="22"/>
                <w:highlight w:val="none"/>
              </w:rPr>
            </w:pPr>
            <w:r>
              <w:rPr>
                <w:rFonts w:hint="eastAsia" w:asciiTheme="majorEastAsia" w:hAnsiTheme="majorEastAsia" w:eastAsiaTheme="majorEastAsia" w:cstheme="majorEastAsia"/>
                <w:color w:val="auto"/>
                <w:kern w:val="0"/>
                <w:sz w:val="24"/>
                <w:szCs w:val="22"/>
                <w:highlight w:val="none"/>
              </w:rPr>
              <w:t>（4）是否需要随样品提交检测报告：</w:t>
            </w:r>
            <w:sdt>
              <w:sdtPr>
                <w:rPr>
                  <w:rFonts w:hint="eastAsia" w:asciiTheme="majorEastAsia" w:hAnsiTheme="majorEastAsia" w:eastAsiaTheme="majorEastAsia" w:cstheme="majorEastAsia"/>
                  <w:color w:val="auto"/>
                  <w:kern w:val="0"/>
                  <w:sz w:val="24"/>
                  <w:szCs w:val="22"/>
                  <w:highlight w:val="none"/>
                </w:rPr>
                <w:id w:val="1303421454"/>
                <w14:checkbox>
                  <w14:checked w14:val="1"/>
                  <w14:checkedState w14:val="00FE" w14:font="Wingdings"/>
                  <w14:uncheckedState w14:val="2610" w14:font="MS Gothic"/>
                </w14:checkbox>
              </w:sdtPr>
              <w:sdtEndPr>
                <w:rPr>
                  <w:rFonts w:hint="eastAsia" w:asciiTheme="majorEastAsia" w:hAnsiTheme="majorEastAsia" w:eastAsiaTheme="majorEastAsia" w:cstheme="majorEastAsia"/>
                  <w:color w:val="auto"/>
                  <w:kern w:val="0"/>
                  <w:sz w:val="24"/>
                  <w:szCs w:val="22"/>
                  <w:highlight w:val="none"/>
                </w:rPr>
              </w:sdtEndPr>
              <w:sdtContent>
                <w:r>
                  <w:rPr>
                    <w:rFonts w:hint="eastAsia" w:ascii="Wingdings" w:hAnsi="Wingdings" w:eastAsiaTheme="majorEastAsia" w:cstheme="majorEastAsia"/>
                    <w:color w:val="auto"/>
                    <w:kern w:val="0"/>
                    <w:sz w:val="24"/>
                    <w:szCs w:val="22"/>
                    <w:highlight w:val="none"/>
                    <w:lang w:val="en-US" w:eastAsia="zh-CN" w:bidi="ar-SA"/>
                  </w:rPr>
                  <w:t>þ</w:t>
                </w:r>
              </w:sdtContent>
            </w:sdt>
            <w:r>
              <w:rPr>
                <w:rFonts w:hint="eastAsia" w:asciiTheme="majorEastAsia" w:hAnsiTheme="majorEastAsia" w:eastAsiaTheme="majorEastAsia" w:cstheme="majorEastAsia"/>
                <w:color w:val="auto"/>
                <w:kern w:val="0"/>
                <w:sz w:val="24"/>
                <w:szCs w:val="22"/>
                <w:highlight w:val="none"/>
              </w:rPr>
              <w:t>否；</w:t>
            </w:r>
            <w:sdt>
              <w:sdtPr>
                <w:rPr>
                  <w:rFonts w:hint="eastAsia" w:asciiTheme="majorEastAsia" w:hAnsiTheme="majorEastAsia" w:eastAsiaTheme="majorEastAsia" w:cstheme="majorEastAsia"/>
                  <w:color w:val="auto"/>
                  <w:kern w:val="0"/>
                  <w:sz w:val="24"/>
                  <w:szCs w:val="22"/>
                  <w:highlight w:val="none"/>
                </w:rPr>
                <w:id w:val="1621728433"/>
                <w14:checkbox>
                  <w14:checked w14:val="0"/>
                  <w14:checkedState w14:val="00FE" w14:font="Wingdings"/>
                  <w14:uncheckedState w14:val="2610" w14:font="MS Gothic"/>
                </w14:checkbox>
              </w:sdtPr>
              <w:sdtEndPr>
                <w:rPr>
                  <w:rFonts w:hint="eastAsia" w:asciiTheme="majorEastAsia" w:hAnsiTheme="majorEastAsia" w:eastAsiaTheme="majorEastAsia" w:cstheme="majorEastAsia"/>
                  <w:color w:val="auto"/>
                  <w:kern w:val="0"/>
                  <w:sz w:val="24"/>
                  <w:szCs w:val="22"/>
                  <w:highlight w:val="none"/>
                </w:rPr>
              </w:sdtEndPr>
              <w:sdtContent>
                <w:r>
                  <w:rPr>
                    <w:rFonts w:hint="eastAsia" w:ascii="MS Gothic" w:hAnsi="MS Gothic" w:eastAsiaTheme="majorEastAsia" w:cstheme="majorEastAsia"/>
                    <w:color w:val="auto"/>
                    <w:kern w:val="0"/>
                    <w:sz w:val="24"/>
                    <w:szCs w:val="22"/>
                    <w:highlight w:val="none"/>
                    <w:lang w:val="en-US" w:eastAsia="zh-CN" w:bidi="ar-SA"/>
                  </w:rPr>
                  <w:t>☐</w:t>
                </w:r>
              </w:sdtContent>
            </w:sdt>
            <w:r>
              <w:rPr>
                <w:rFonts w:hint="eastAsia" w:asciiTheme="majorEastAsia" w:hAnsiTheme="majorEastAsia" w:eastAsiaTheme="majorEastAsia" w:cstheme="majorEastAsia"/>
                <w:color w:val="auto"/>
                <w:kern w:val="0"/>
                <w:sz w:val="24"/>
                <w:szCs w:val="22"/>
                <w:highlight w:val="none"/>
              </w:rPr>
              <w:t>是，检测机构的要求</w:t>
            </w:r>
            <w:r>
              <w:rPr>
                <w:rFonts w:hint="eastAsia" w:asciiTheme="majorEastAsia" w:hAnsiTheme="majorEastAsia" w:eastAsiaTheme="majorEastAsia" w:cstheme="majorEastAsia"/>
                <w:color w:val="auto"/>
                <w:sz w:val="24"/>
                <w:szCs w:val="22"/>
                <w:highlight w:val="none"/>
              </w:rPr>
              <w:t>：</w:t>
            </w:r>
            <w:r>
              <w:rPr>
                <w:rFonts w:hint="eastAsia" w:asciiTheme="majorEastAsia" w:hAnsiTheme="majorEastAsia" w:eastAsiaTheme="majorEastAsia" w:cstheme="majorEastAsia"/>
                <w:color w:val="auto"/>
                <w:sz w:val="24"/>
                <w:szCs w:val="22"/>
                <w:highlight w:val="none"/>
                <w:u w:val="single"/>
              </w:rPr>
              <w:t xml:space="preserve"> </w:t>
            </w:r>
            <w:r>
              <w:rPr>
                <w:rFonts w:hint="eastAsia" w:asciiTheme="majorEastAsia" w:hAnsiTheme="majorEastAsia" w:eastAsiaTheme="majorEastAsia" w:cstheme="majorEastAsia"/>
                <w:color w:val="auto"/>
                <w:sz w:val="24"/>
                <w:szCs w:val="22"/>
                <w:highlight w:val="none"/>
                <w:u w:val="single"/>
                <w:lang w:val="en-US" w:eastAsia="zh-CN"/>
              </w:rPr>
              <w:t>/</w:t>
            </w:r>
            <w:r>
              <w:rPr>
                <w:rFonts w:hint="eastAsia" w:asciiTheme="majorEastAsia" w:hAnsiTheme="majorEastAsia" w:eastAsiaTheme="majorEastAsia" w:cstheme="majorEastAsia"/>
                <w:color w:val="auto"/>
                <w:sz w:val="24"/>
                <w:szCs w:val="22"/>
                <w:highlight w:val="none"/>
                <w:u w:val="single"/>
              </w:rPr>
              <w:t xml:space="preserve">   </w:t>
            </w:r>
            <w:r>
              <w:rPr>
                <w:rFonts w:hint="eastAsia" w:asciiTheme="majorEastAsia" w:hAnsiTheme="majorEastAsia" w:eastAsiaTheme="majorEastAsia" w:cstheme="majorEastAsia"/>
                <w:color w:val="auto"/>
                <w:kern w:val="0"/>
                <w:sz w:val="24"/>
                <w:szCs w:val="22"/>
                <w:highlight w:val="none"/>
              </w:rPr>
              <w:t>；检测内容</w:t>
            </w:r>
            <w:r>
              <w:rPr>
                <w:rFonts w:hint="eastAsia" w:asciiTheme="majorEastAsia" w:hAnsiTheme="majorEastAsia" w:eastAsiaTheme="majorEastAsia" w:cstheme="majorEastAsia"/>
                <w:color w:val="auto"/>
                <w:sz w:val="24"/>
                <w:szCs w:val="22"/>
                <w:highlight w:val="none"/>
              </w:rPr>
              <w:t>：</w:t>
            </w:r>
            <w:r>
              <w:rPr>
                <w:rFonts w:hint="eastAsia" w:asciiTheme="majorEastAsia" w:hAnsiTheme="majorEastAsia" w:eastAsiaTheme="majorEastAsia" w:cstheme="majorEastAsia"/>
                <w:color w:val="auto"/>
                <w:sz w:val="24"/>
                <w:szCs w:val="22"/>
                <w:highlight w:val="none"/>
                <w:u w:val="single"/>
              </w:rPr>
              <w:t xml:space="preserve">  </w:t>
            </w:r>
            <w:r>
              <w:rPr>
                <w:rFonts w:hint="eastAsia" w:asciiTheme="majorEastAsia" w:hAnsiTheme="majorEastAsia" w:eastAsiaTheme="majorEastAsia" w:cstheme="majorEastAsia"/>
                <w:color w:val="auto"/>
                <w:sz w:val="24"/>
                <w:szCs w:val="22"/>
                <w:highlight w:val="none"/>
                <w:u w:val="single"/>
                <w:lang w:val="en-US" w:eastAsia="zh-CN"/>
              </w:rPr>
              <w:t>/</w:t>
            </w:r>
            <w:r>
              <w:rPr>
                <w:rFonts w:hint="eastAsia" w:asciiTheme="majorEastAsia" w:hAnsiTheme="majorEastAsia" w:eastAsiaTheme="majorEastAsia" w:cstheme="majorEastAsia"/>
                <w:color w:val="auto"/>
                <w:sz w:val="24"/>
                <w:szCs w:val="22"/>
                <w:highlight w:val="none"/>
                <w:u w:val="single"/>
              </w:rPr>
              <w:t xml:space="preserve">  </w:t>
            </w:r>
            <w:r>
              <w:rPr>
                <w:rFonts w:hint="eastAsia" w:asciiTheme="majorEastAsia" w:hAnsiTheme="majorEastAsia" w:eastAsiaTheme="majorEastAsia" w:cstheme="majorEastAsia"/>
                <w:color w:val="auto"/>
                <w:kern w:val="0"/>
                <w:sz w:val="24"/>
                <w:szCs w:val="22"/>
                <w:highlight w:val="none"/>
              </w:rPr>
              <w:t>。</w:t>
            </w:r>
          </w:p>
          <w:p w14:paraId="7E9C6175">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Theme="majorEastAsia" w:hAnsiTheme="majorEastAsia" w:eastAsiaTheme="majorEastAsia" w:cstheme="majorEastAsia"/>
                <w:color w:val="auto"/>
                <w:sz w:val="24"/>
                <w:szCs w:val="22"/>
                <w:highlight w:val="none"/>
              </w:rPr>
            </w:pPr>
            <w:r>
              <w:rPr>
                <w:rFonts w:hint="eastAsia" w:asciiTheme="majorEastAsia" w:hAnsiTheme="majorEastAsia" w:eastAsiaTheme="majorEastAsia" w:cstheme="majorEastAsia"/>
                <w:color w:val="auto"/>
                <w:sz w:val="24"/>
                <w:szCs w:val="22"/>
                <w:highlight w:val="none"/>
              </w:rPr>
              <w:t>（5）提供样品的时间：</w:t>
            </w:r>
            <w:r>
              <w:rPr>
                <w:rFonts w:hint="eastAsia" w:ascii="宋体" w:hAnsi="宋体"/>
                <w:color w:val="auto"/>
                <w:highlight w:val="none"/>
                <w:u w:val="single"/>
                <w:lang w:val="en-US" w:eastAsia="zh-CN"/>
              </w:rPr>
              <w:t xml:space="preserve"> 2025 </w:t>
            </w:r>
            <w:r>
              <w:rPr>
                <w:rFonts w:ascii="宋体" w:hAnsi="宋体"/>
                <w:color w:val="auto"/>
                <w:highlight w:val="none"/>
              </w:rPr>
              <w:t>年</w:t>
            </w:r>
            <w:r>
              <w:rPr>
                <w:rFonts w:hint="eastAsia" w:ascii="宋体" w:hAnsi="宋体"/>
                <w:color w:val="auto"/>
                <w:highlight w:val="none"/>
                <w:u w:val="single"/>
                <w:lang w:val="en-US" w:eastAsia="zh-CN"/>
              </w:rPr>
              <w:t xml:space="preserve">   </w:t>
            </w:r>
            <w:r>
              <w:rPr>
                <w:rFonts w:ascii="宋体" w:hAnsi="宋体"/>
                <w:color w:val="auto"/>
                <w:highlight w:val="none"/>
              </w:rPr>
              <w:t>月</w:t>
            </w:r>
            <w:r>
              <w:rPr>
                <w:rFonts w:hint="eastAsia" w:ascii="宋体" w:hAnsi="宋体"/>
                <w:color w:val="auto"/>
                <w:highlight w:val="none"/>
                <w:u w:val="single"/>
                <w:lang w:val="en-US" w:eastAsia="zh-CN"/>
              </w:rPr>
              <w:t xml:space="preserve">   </w:t>
            </w:r>
            <w:r>
              <w:rPr>
                <w:rFonts w:ascii="宋体" w:hAnsi="宋体"/>
                <w:color w:val="auto"/>
                <w:highlight w:val="none"/>
              </w:rPr>
              <w:t>日</w:t>
            </w:r>
            <w:r>
              <w:rPr>
                <w:rFonts w:hint="eastAsia" w:ascii="宋体" w:hAnsi="宋体"/>
                <w:color w:val="auto"/>
                <w:highlight w:val="none"/>
                <w:u w:val="single"/>
                <w:lang w:val="en-US" w:eastAsia="zh-CN"/>
              </w:rPr>
              <w:t xml:space="preserve"> 9:00</w:t>
            </w:r>
            <w:r>
              <w:rPr>
                <w:rFonts w:hint="eastAsia" w:ascii="宋体" w:hAnsi="宋体"/>
                <w:color w:val="auto"/>
                <w:highlight w:val="none"/>
              </w:rPr>
              <w:t>时</w:t>
            </w:r>
            <w:r>
              <w:rPr>
                <w:rFonts w:hint="eastAsia" w:ascii="宋体" w:hAnsi="宋体"/>
                <w:color w:val="auto"/>
                <w:highlight w:val="none"/>
                <w:lang w:val="en-US" w:eastAsia="zh-CN"/>
              </w:rPr>
              <w:t>前</w:t>
            </w:r>
            <w:r>
              <w:rPr>
                <w:rFonts w:hint="eastAsia" w:asciiTheme="majorEastAsia" w:hAnsiTheme="majorEastAsia" w:eastAsiaTheme="majorEastAsia" w:cstheme="majorEastAsia"/>
                <w:color w:val="auto"/>
                <w:sz w:val="24"/>
                <w:szCs w:val="22"/>
                <w:highlight w:val="none"/>
              </w:rPr>
              <w:t>；地点：</w:t>
            </w:r>
            <w:r>
              <w:rPr>
                <w:color w:val="auto"/>
                <w:highlight w:val="none"/>
              </w:rPr>
              <w:t>嵊州市官河南路 699 号(嵊州市国际会展中心)北楼三楼</w:t>
            </w:r>
            <w:r>
              <w:rPr>
                <w:rFonts w:hint="eastAsia"/>
                <w:color w:val="auto"/>
                <w:highlight w:val="none"/>
                <w:lang w:val="en-US" w:eastAsia="zh-CN"/>
              </w:rPr>
              <w:t>一</w:t>
            </w:r>
            <w:r>
              <w:rPr>
                <w:color w:val="auto"/>
                <w:highlight w:val="none"/>
              </w:rPr>
              <w:t>号开标室（嵊州市公共资源交易中心）</w:t>
            </w:r>
            <w:r>
              <w:rPr>
                <w:rFonts w:hint="eastAsia"/>
                <w:color w:val="auto"/>
                <w:highlight w:val="none"/>
                <w:lang w:eastAsia="zh-CN"/>
              </w:rPr>
              <w:t>。</w:t>
            </w:r>
            <w:r>
              <w:rPr>
                <w:rFonts w:hint="eastAsia" w:asciiTheme="majorEastAsia" w:hAnsiTheme="majorEastAsia" w:eastAsiaTheme="majorEastAsia" w:cstheme="majorEastAsia"/>
                <w:color w:val="auto"/>
                <w:sz w:val="24"/>
                <w:szCs w:val="22"/>
                <w:highlight w:val="none"/>
              </w:rPr>
              <w:t>联系人：</w:t>
            </w:r>
            <w:r>
              <w:rPr>
                <w:rFonts w:hint="eastAsia" w:asciiTheme="majorEastAsia" w:hAnsiTheme="majorEastAsia" w:eastAsiaTheme="majorEastAsia" w:cstheme="majorEastAsia"/>
                <w:color w:val="auto"/>
                <w:sz w:val="24"/>
                <w:szCs w:val="22"/>
                <w:highlight w:val="none"/>
                <w:lang w:val="en-US" w:eastAsia="zh-CN"/>
              </w:rPr>
              <w:t>任燕</w:t>
            </w:r>
            <w:r>
              <w:rPr>
                <w:rFonts w:hint="eastAsia" w:asciiTheme="majorEastAsia" w:hAnsiTheme="majorEastAsia" w:eastAsiaTheme="majorEastAsia" w:cstheme="majorEastAsia"/>
                <w:color w:val="auto"/>
                <w:sz w:val="24"/>
                <w:szCs w:val="22"/>
                <w:highlight w:val="none"/>
              </w:rPr>
              <w:t>，联系电话：</w:t>
            </w:r>
            <w:r>
              <w:rPr>
                <w:rFonts w:hint="eastAsia" w:asciiTheme="majorEastAsia" w:hAnsiTheme="majorEastAsia" w:eastAsiaTheme="majorEastAsia" w:cstheme="majorEastAsia"/>
                <w:color w:val="auto"/>
                <w:sz w:val="24"/>
                <w:szCs w:val="22"/>
                <w:highlight w:val="none"/>
                <w:lang w:val="en-US" w:eastAsia="zh-CN"/>
              </w:rPr>
              <w:t>13757539220</w:t>
            </w:r>
            <w:r>
              <w:rPr>
                <w:rFonts w:hint="eastAsia" w:asciiTheme="majorEastAsia" w:hAnsiTheme="majorEastAsia" w:eastAsiaTheme="majorEastAsia" w:cstheme="majorEastAsia"/>
                <w:color w:val="auto"/>
                <w:sz w:val="24"/>
                <w:szCs w:val="22"/>
                <w:highlight w:val="none"/>
              </w:rPr>
              <w:t>。请投标人在上述时间内提供样品并按规定位置安装完毕。超过截止时间的，采购人或采购代理机构将不予接收，将清场并封闭样品现场。</w:t>
            </w:r>
          </w:p>
          <w:p w14:paraId="168F5836">
            <w:pPr>
              <w:keepNext w:val="0"/>
              <w:keepLines w:val="0"/>
              <w:pageBreakBefore w:val="0"/>
              <w:widowControl w:val="0"/>
              <w:suppressLineNumbers w:val="0"/>
              <w:kinsoku/>
              <w:wordWrap/>
              <w:overflowPunct/>
              <w:topLinePunct w:val="0"/>
              <w:bidi w:val="0"/>
              <w:spacing w:before="0" w:beforeAutospacing="0" w:after="0" w:afterAutospacing="0" w:line="420" w:lineRule="exact"/>
              <w:ind w:left="0" w:right="0"/>
              <w:rPr>
                <w:rFonts w:hint="eastAsia" w:asciiTheme="majorEastAsia" w:hAnsiTheme="majorEastAsia" w:eastAsiaTheme="majorEastAsia" w:cstheme="majorEastAsia"/>
                <w:color w:val="auto"/>
                <w:sz w:val="24"/>
                <w:szCs w:val="22"/>
                <w:highlight w:val="none"/>
              </w:rPr>
            </w:pPr>
            <w:r>
              <w:rPr>
                <w:rFonts w:hint="eastAsia" w:asciiTheme="majorEastAsia" w:hAnsiTheme="majorEastAsia" w:eastAsiaTheme="majorEastAsia" w:cstheme="majorEastAsia"/>
                <w:color w:val="auto"/>
                <w:sz w:val="24"/>
                <w:szCs w:val="22"/>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25B4B79">
            <w:pPr>
              <w:keepNext w:val="0"/>
              <w:keepLines w:val="0"/>
              <w:pageBreakBefore w:val="0"/>
              <w:widowControl w:val="0"/>
              <w:kinsoku/>
              <w:wordWrap/>
              <w:overflowPunct/>
              <w:topLinePunct w:val="0"/>
              <w:autoSpaceDE w:val="0"/>
              <w:autoSpaceDN w:val="0"/>
              <w:bidi w:val="0"/>
              <w:adjustRightInd w:val="0"/>
              <w:spacing w:line="500" w:lineRule="exact"/>
              <w:jc w:val="left"/>
              <w:rPr>
                <w:rFonts w:hint="eastAsia" w:ascii="宋体" w:hAnsi="宋体" w:eastAsia="宋体" w:cs="宋体"/>
                <w:b/>
                <w:color w:val="auto"/>
                <w:sz w:val="24"/>
                <w:szCs w:val="24"/>
                <w:highlight w:val="none"/>
              </w:rPr>
            </w:pPr>
            <w:r>
              <w:rPr>
                <w:rFonts w:hint="eastAsia" w:asciiTheme="majorEastAsia" w:hAnsiTheme="majorEastAsia" w:eastAsiaTheme="majorEastAsia" w:cstheme="majorEastAsia"/>
                <w:color w:val="auto"/>
                <w:sz w:val="24"/>
                <w:szCs w:val="22"/>
                <w:highlight w:val="none"/>
              </w:rPr>
              <w:t>（7）制作、运输、安装和保管样品所发生的一切费用由投标人自理。</w:t>
            </w:r>
          </w:p>
        </w:tc>
      </w:tr>
      <w:tr w14:paraId="7F8C8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1B01F197">
            <w:pPr>
              <w:spacing w:line="44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8483" w:type="dxa"/>
            <w:gridSpan w:val="2"/>
            <w:vAlign w:val="center"/>
          </w:tcPr>
          <w:p w14:paraId="5630225D">
            <w:pPr>
              <w:spacing w:beforeLines="0" w:afterLines="0"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方案讲解演示：</w:t>
            </w:r>
          </w:p>
          <w:p w14:paraId="4FA1932B">
            <w:pPr>
              <w:spacing w:beforeLines="0" w:afterLines="0"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A无方案讲解演示。</w:t>
            </w:r>
          </w:p>
          <w:p w14:paraId="07ED7083">
            <w:pPr>
              <w:spacing w:beforeLines="0" w:afterLines="0" w:line="440" w:lineRule="exac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□B有方案讲解演示：</w:t>
            </w:r>
          </w:p>
          <w:p w14:paraId="64B2E432">
            <w:pPr>
              <w:spacing w:beforeLines="0" w:afterLines="0"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（1）在评标时安排每个供应商进行方案讲解演示。每个供应商时间不超过</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zh-CN"/>
              </w:rPr>
              <w:t>分钟（编制时可根据项目情况进行调整），讲解次序以投标文件解密时间先后次序为准。讲解演示结束后按要求解答评标委员会提问。</w:t>
            </w:r>
          </w:p>
          <w:p w14:paraId="5FF73A57">
            <w:pPr>
              <w:spacing w:beforeLines="0" w:afterLines="0"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（2）方案讲解演示可选择以下其中一种方式：</w:t>
            </w:r>
          </w:p>
          <w:p w14:paraId="3898D5A6">
            <w:pPr>
              <w:spacing w:beforeLines="0" w:afterLines="0"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方式一：</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lang w:val="zh-CN"/>
              </w:rPr>
              <w:t>采云平台在线讲解演示。</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lang w:val="zh-CN"/>
              </w:rPr>
              <w:t>采云平台在线讲解需供应商根据</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lang w:val="zh-CN"/>
              </w:rPr>
              <w:t>采云平台操作要求做好准备工作，提前完善软硬件配置环境。</w:t>
            </w:r>
          </w:p>
          <w:p w14:paraId="5C0AF504">
            <w:pPr>
              <w:spacing w:beforeLines="0" w:afterLines="0" w:line="4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方式二：现场讲解演示。现场讲解地点为</w:t>
            </w:r>
            <w:r>
              <w:rPr>
                <w:rFonts w:hint="eastAsia" w:ascii="宋体" w:hAnsi="宋体" w:eastAsia="宋体" w:cs="宋体"/>
                <w:color w:val="auto"/>
                <w:sz w:val="24"/>
                <w:szCs w:val="24"/>
                <w:highlight w:val="none"/>
                <w:u w:val="single"/>
                <w:lang w:val="zh-CN"/>
              </w:rPr>
              <w:t xml:space="preserve">     </w:t>
            </w:r>
            <w:r>
              <w:rPr>
                <w:rFonts w:hint="eastAsia" w:ascii="宋体" w:hAnsi="宋体" w:eastAsia="宋体" w:cs="宋体"/>
                <w:color w:val="auto"/>
                <w:sz w:val="24"/>
                <w:szCs w:val="24"/>
                <w:highlight w:val="none"/>
                <w:lang w:val="zh-CN"/>
              </w:rPr>
              <w:t>，</w:t>
            </w:r>
            <w:r>
              <w:rPr>
                <w:rFonts w:hint="eastAsia" w:ascii="宋体" w:hAnsi="宋体" w:eastAsia="宋体" w:cs="宋体"/>
                <w:color w:val="auto"/>
                <w:kern w:val="0"/>
                <w:sz w:val="24"/>
                <w:highlight w:val="none"/>
                <w:lang w:val="zh-CN"/>
              </w:rPr>
              <w:t>讲解演示人员不超过</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zh-CN"/>
              </w:rPr>
              <w:t>人（编制时可根据项目情况进行调整）。</w:t>
            </w:r>
            <w:r>
              <w:rPr>
                <w:rFonts w:hint="eastAsia" w:ascii="宋体" w:hAnsi="宋体" w:eastAsia="宋体" w:cs="宋体"/>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3765725B">
            <w:pPr>
              <w:keepNext w:val="0"/>
              <w:keepLines w:val="0"/>
              <w:pageBreakBefore w:val="0"/>
              <w:widowControl w:val="0"/>
              <w:kinsoku/>
              <w:wordWrap/>
              <w:overflowPunct/>
              <w:topLinePunct w:val="0"/>
              <w:bidi w:val="0"/>
              <w:spacing w:line="50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61BA5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394D3E1D">
            <w:pPr>
              <w:spacing w:line="44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260" w:type="dxa"/>
            <w:vAlign w:val="center"/>
          </w:tcPr>
          <w:p w14:paraId="01960757">
            <w:pPr>
              <w:keepNext w:val="0"/>
              <w:keepLines w:val="0"/>
              <w:pageBreakBefore w:val="0"/>
              <w:widowControl w:val="0"/>
              <w:kinsoku/>
              <w:wordWrap/>
              <w:overflowPunct/>
              <w:topLinePunct w:val="0"/>
              <w:autoSpaceDE/>
              <w:autoSpaceDN/>
              <w:bidi w:val="0"/>
              <w:adjustRightInd/>
              <w:snapToGrid w:val="0"/>
              <w:spacing w:line="5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进口</w:t>
            </w:r>
          </w:p>
          <w:p w14:paraId="0D39E684">
            <w:pPr>
              <w:keepNext w:val="0"/>
              <w:keepLines w:val="0"/>
              <w:pageBreakBefore w:val="0"/>
              <w:widowControl w:val="0"/>
              <w:kinsoku/>
              <w:wordWrap/>
              <w:overflowPunct/>
              <w:topLinePunct w:val="0"/>
              <w:autoSpaceDE/>
              <w:autoSpaceDN/>
              <w:bidi w:val="0"/>
              <w:adjustRightInd/>
              <w:snapToGrid w:val="0"/>
              <w:spacing w:line="5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产品</w:t>
            </w:r>
          </w:p>
        </w:tc>
        <w:tc>
          <w:tcPr>
            <w:tcW w:w="7223" w:type="dxa"/>
            <w:vAlign w:val="center"/>
          </w:tcPr>
          <w:p w14:paraId="40457FED">
            <w:pPr>
              <w:keepNext w:val="0"/>
              <w:keepLines w:val="0"/>
              <w:pageBreakBefore w:val="0"/>
              <w:widowControl w:val="0"/>
              <w:kinsoku/>
              <w:wordWrap/>
              <w:overflowPunct/>
              <w:topLinePunct w:val="0"/>
              <w:autoSpaceDE/>
              <w:autoSpaceDN/>
              <w:bidi w:val="0"/>
              <w:adjustRightInd/>
              <w:snapToGrid w:val="0"/>
              <w:spacing w:line="500" w:lineRule="exact"/>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本项目不</w:t>
            </w:r>
            <w:r>
              <w:rPr>
                <w:rFonts w:hint="eastAsia" w:ascii="宋体" w:hAnsi="宋体" w:eastAsia="宋体" w:cs="宋体"/>
                <w:color w:val="auto"/>
                <w:sz w:val="24"/>
                <w:szCs w:val="24"/>
                <w:highlight w:val="none"/>
                <w:lang w:val="en-US" w:eastAsia="zh-CN"/>
              </w:rPr>
              <w:t>允许</w:t>
            </w:r>
            <w:r>
              <w:rPr>
                <w:rFonts w:hint="eastAsia" w:ascii="宋体" w:hAnsi="宋体" w:eastAsia="宋体" w:cs="宋体"/>
                <w:color w:val="auto"/>
                <w:sz w:val="24"/>
                <w:szCs w:val="24"/>
                <w:highlight w:val="none"/>
              </w:rPr>
              <w:t>采购进口产品，供应商所提供的货物和服务须在我国境内合法生产、销售。</w:t>
            </w:r>
          </w:p>
        </w:tc>
      </w:tr>
      <w:tr w14:paraId="5F162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3FEB292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11</w:t>
            </w:r>
          </w:p>
        </w:tc>
        <w:tc>
          <w:tcPr>
            <w:tcW w:w="1260" w:type="dxa"/>
            <w:vAlign w:val="center"/>
          </w:tcPr>
          <w:p w14:paraId="76CC7AC2">
            <w:pPr>
              <w:keepNext w:val="0"/>
              <w:keepLines w:val="0"/>
              <w:pageBreakBefore w:val="0"/>
              <w:widowControl w:val="0"/>
              <w:kinsoku/>
              <w:wordWrap/>
              <w:overflowPunct/>
              <w:topLinePunct w:val="0"/>
              <w:bidi w:val="0"/>
              <w:adjustRightInd w:val="0"/>
              <w:snapToGrid w:val="0"/>
              <w:spacing w:line="500" w:lineRule="exact"/>
              <w:ind w:left="14" w:leftChars="0" w:right="0" w:rightChars="0" w:hanging="14" w:hangingChars="7"/>
              <w:rPr>
                <w:rFonts w:hint="eastAsia" w:ascii="仿宋" w:hAnsi="仿宋" w:eastAsia="仿宋" w:cs="仿宋"/>
                <w:b/>
                <w:color w:val="auto"/>
                <w:spacing w:val="-20"/>
                <w:kern w:val="2"/>
                <w:sz w:val="24"/>
                <w:highlight w:val="none"/>
                <w:lang w:val="en-US" w:eastAsia="zh-CN" w:bidi="ar-SA"/>
              </w:rPr>
            </w:pPr>
            <w:r>
              <w:rPr>
                <w:rFonts w:hint="eastAsia" w:ascii="仿宋" w:hAnsi="仿宋" w:eastAsia="仿宋" w:cs="仿宋"/>
                <w:b/>
                <w:color w:val="auto"/>
                <w:spacing w:val="-20"/>
                <w:sz w:val="24"/>
                <w:highlight w:val="none"/>
              </w:rPr>
              <w:t>项目属性与核心产品</w:t>
            </w:r>
          </w:p>
        </w:tc>
        <w:tc>
          <w:tcPr>
            <w:tcW w:w="7223" w:type="dxa"/>
            <w:vAlign w:val="center"/>
          </w:tcPr>
          <w:p w14:paraId="06FF3E8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highlight w:val="none"/>
                <w:u w:val="single"/>
              </w:rPr>
            </w:pPr>
            <w:r>
              <w:rPr>
                <w:rFonts w:hint="eastAsia" w:ascii="宋体" w:hAnsi="宋体" w:eastAsia="宋体" w:cs="宋体"/>
                <w:color w:val="auto"/>
                <w:highlight w:val="none"/>
              </w:rPr>
              <w:t>☑</w:t>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货物类，单一产品或</w:t>
            </w:r>
            <w:r>
              <w:rPr>
                <w:rFonts w:hint="eastAsia" w:ascii="宋体" w:hAnsi="宋体" w:eastAsia="宋体" w:cs="宋体"/>
                <w:color w:val="auto"/>
                <w:kern w:val="0"/>
                <w:sz w:val="24"/>
                <w:highlight w:val="none"/>
              </w:rPr>
              <w:t>核心产品为：</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公交车</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w:t>
            </w:r>
          </w:p>
          <w:p w14:paraId="6006C5E9">
            <w:pPr>
              <w:keepNext w:val="0"/>
              <w:keepLines w:val="0"/>
              <w:pageBreakBefore w:val="0"/>
              <w:widowControl w:val="0"/>
              <w:kinsoku/>
              <w:wordWrap/>
              <w:overflowPunct/>
              <w:topLinePunct w:val="0"/>
              <w:autoSpaceDE/>
              <w:autoSpaceDN/>
              <w:bidi w:val="0"/>
              <w:adjustRightInd w:val="0"/>
              <w:snapToGrid w:val="0"/>
              <w:spacing w:line="400" w:lineRule="exact"/>
              <w:ind w:left="0" w:leftChars="0" w:right="0" w:rightChars="0"/>
              <w:textAlignment w:val="auto"/>
              <w:rPr>
                <w:rFonts w:hint="eastAsia" w:ascii="仿宋" w:hAnsi="仿宋" w:eastAsia="仿宋" w:cs="仿宋"/>
                <w:color w:val="auto"/>
                <w:kern w:val="2"/>
                <w:sz w:val="24"/>
                <w:highlight w:val="none"/>
                <w:lang w:val="en-US" w:eastAsia="zh-CN" w:bidi="ar-SA"/>
              </w:rPr>
            </w:pPr>
            <w:r>
              <w:rPr>
                <w:rFonts w:hint="eastAsia" w:ascii="宋体" w:hAnsi="宋体" w:eastAsia="宋体" w:cs="宋体"/>
                <w:color w:val="auto"/>
                <w:kern w:val="0"/>
                <w:sz w:val="24"/>
                <w:highlight w:val="none"/>
              </w:rPr>
              <w:t>☐B</w:t>
            </w:r>
            <w:r>
              <w:rPr>
                <w:rFonts w:hint="eastAsia" w:ascii="宋体" w:hAnsi="宋体" w:eastAsia="宋体" w:cs="宋体"/>
                <w:color w:val="auto"/>
                <w:sz w:val="24"/>
                <w:highlight w:val="none"/>
              </w:rPr>
              <w:t>服务类。</w:t>
            </w:r>
          </w:p>
        </w:tc>
      </w:tr>
      <w:tr w14:paraId="734E5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Merge w:val="restart"/>
            <w:vAlign w:val="center"/>
          </w:tcPr>
          <w:p w14:paraId="38C30590">
            <w:pPr>
              <w:keepNext w:val="0"/>
              <w:keepLines w:val="0"/>
              <w:pageBreakBefore w:val="0"/>
              <w:widowControl w:val="0"/>
              <w:kinsoku/>
              <w:wordWrap/>
              <w:overflowPunct/>
              <w:topLinePunct w:val="0"/>
              <w:bidi w:val="0"/>
              <w:adjustRightInd/>
              <w:spacing w:line="5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2</w:t>
            </w:r>
          </w:p>
        </w:tc>
        <w:tc>
          <w:tcPr>
            <w:tcW w:w="1260" w:type="dxa"/>
            <w:vMerge w:val="restart"/>
            <w:vAlign w:val="center"/>
          </w:tcPr>
          <w:p w14:paraId="1345F6D0">
            <w:pPr>
              <w:keepNext w:val="0"/>
              <w:keepLines w:val="0"/>
              <w:pageBreakBefore w:val="0"/>
              <w:widowControl w:val="0"/>
              <w:kinsoku/>
              <w:wordWrap/>
              <w:overflowPunct/>
              <w:topLinePunct w:val="0"/>
              <w:bidi w:val="0"/>
              <w:adjustRightInd/>
              <w:snapToGrid w:val="0"/>
              <w:spacing w:line="5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投标人信用信息事项</w:t>
            </w:r>
          </w:p>
        </w:tc>
        <w:tc>
          <w:tcPr>
            <w:tcW w:w="7223" w:type="dxa"/>
            <w:vAlign w:val="center"/>
          </w:tcPr>
          <w:p w14:paraId="20985CC9">
            <w:pPr>
              <w:keepNext w:val="0"/>
              <w:keepLines w:val="0"/>
              <w:pageBreakBefore w:val="0"/>
              <w:widowControl w:val="0"/>
              <w:kinsoku/>
              <w:wordWrap/>
              <w:overflowPunct/>
              <w:topLinePunct w:val="0"/>
              <w:bidi w:val="0"/>
              <w:adjustRightInd/>
              <w:snapToGrid w:val="0"/>
              <w:spacing w:line="5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信用信息查询渠道及截止时间：</w:t>
            </w:r>
            <w:r>
              <w:rPr>
                <w:rFonts w:hint="eastAsia" w:ascii="宋体" w:hAnsi="宋体" w:eastAsia="宋体" w:cs="宋体"/>
                <w:color w:val="auto"/>
                <w:sz w:val="24"/>
                <w:szCs w:val="24"/>
                <w:highlight w:val="none"/>
              </w:rPr>
              <w:t>采购人或采购代理机构将通过“信用中国”网站(www.creditchina.gov.cn)、中国政府采购网(www.ccgp.gov.cn)渠道查询投标人</w:t>
            </w:r>
            <w:r>
              <w:rPr>
                <w:rFonts w:hint="eastAsia" w:ascii="宋体" w:hAnsi="宋体" w:eastAsia="宋体" w:cs="宋体"/>
                <w:b/>
                <w:color w:val="auto"/>
                <w:sz w:val="24"/>
                <w:szCs w:val="24"/>
                <w:highlight w:val="none"/>
              </w:rPr>
              <w:t>开标当天</w:t>
            </w:r>
            <w:r>
              <w:rPr>
                <w:rFonts w:hint="eastAsia" w:ascii="宋体" w:hAnsi="宋体" w:eastAsia="宋体" w:cs="宋体"/>
                <w:color w:val="auto"/>
                <w:sz w:val="24"/>
                <w:szCs w:val="24"/>
                <w:highlight w:val="none"/>
              </w:rPr>
              <w:t>的信用记录。</w:t>
            </w:r>
          </w:p>
        </w:tc>
      </w:tr>
      <w:tr w14:paraId="20D1F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Merge w:val="continue"/>
            <w:vAlign w:val="center"/>
          </w:tcPr>
          <w:p w14:paraId="7F1CE366">
            <w:pPr>
              <w:keepNext w:val="0"/>
              <w:keepLines w:val="0"/>
              <w:pageBreakBefore w:val="0"/>
              <w:widowControl w:val="0"/>
              <w:kinsoku/>
              <w:wordWrap/>
              <w:overflowPunct/>
              <w:topLinePunct w:val="0"/>
              <w:bidi w:val="0"/>
              <w:adjustRightInd/>
              <w:spacing w:line="500" w:lineRule="exact"/>
              <w:jc w:val="center"/>
              <w:textAlignment w:val="auto"/>
              <w:rPr>
                <w:rFonts w:hint="eastAsia" w:ascii="宋体" w:hAnsi="宋体" w:eastAsia="宋体" w:cs="宋体"/>
                <w:color w:val="auto"/>
                <w:sz w:val="24"/>
                <w:szCs w:val="24"/>
                <w:highlight w:val="none"/>
              </w:rPr>
            </w:pPr>
          </w:p>
        </w:tc>
        <w:tc>
          <w:tcPr>
            <w:tcW w:w="1260" w:type="dxa"/>
            <w:vMerge w:val="continue"/>
            <w:vAlign w:val="center"/>
          </w:tcPr>
          <w:p w14:paraId="5E5F4230">
            <w:pPr>
              <w:keepNext w:val="0"/>
              <w:keepLines w:val="0"/>
              <w:pageBreakBefore w:val="0"/>
              <w:widowControl w:val="0"/>
              <w:kinsoku/>
              <w:wordWrap/>
              <w:overflowPunct/>
              <w:topLinePunct w:val="0"/>
              <w:bidi w:val="0"/>
              <w:adjustRightInd/>
              <w:snapToGrid w:val="0"/>
              <w:spacing w:line="500" w:lineRule="exact"/>
              <w:textAlignment w:val="auto"/>
              <w:rPr>
                <w:rFonts w:hint="eastAsia" w:ascii="宋体" w:hAnsi="宋体" w:eastAsia="宋体" w:cs="宋体"/>
                <w:b/>
                <w:color w:val="auto"/>
                <w:sz w:val="24"/>
                <w:szCs w:val="24"/>
                <w:highlight w:val="none"/>
              </w:rPr>
            </w:pPr>
          </w:p>
        </w:tc>
        <w:tc>
          <w:tcPr>
            <w:tcW w:w="7223" w:type="dxa"/>
            <w:vAlign w:val="center"/>
          </w:tcPr>
          <w:p w14:paraId="11BEE327">
            <w:pPr>
              <w:keepNext w:val="0"/>
              <w:keepLines w:val="0"/>
              <w:pageBreakBefore w:val="0"/>
              <w:widowControl w:val="0"/>
              <w:kinsoku/>
              <w:wordWrap/>
              <w:overflowPunct/>
              <w:topLinePunct w:val="0"/>
              <w:bidi w:val="0"/>
              <w:adjustRightInd/>
              <w:snapToGrid w:val="0"/>
              <w:spacing w:line="5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信用信息查询记录和证据留存的具体方式：</w:t>
            </w:r>
            <w:r>
              <w:rPr>
                <w:rFonts w:hint="eastAsia" w:ascii="宋体" w:hAnsi="宋体" w:eastAsia="宋体" w:cs="宋体"/>
                <w:color w:val="auto"/>
                <w:sz w:val="24"/>
                <w:szCs w:val="24"/>
                <w:highlight w:val="none"/>
              </w:rPr>
              <w:t>采购人或采购代理机构现场查询投标人的信用记录，查询结果经确认后与采购文件一起存档。</w:t>
            </w:r>
          </w:p>
        </w:tc>
      </w:tr>
      <w:tr w14:paraId="22A2D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Merge w:val="continue"/>
            <w:vAlign w:val="center"/>
          </w:tcPr>
          <w:p w14:paraId="79FC9786">
            <w:pPr>
              <w:keepNext w:val="0"/>
              <w:keepLines w:val="0"/>
              <w:pageBreakBefore w:val="0"/>
              <w:widowControl w:val="0"/>
              <w:kinsoku/>
              <w:wordWrap/>
              <w:overflowPunct/>
              <w:topLinePunct w:val="0"/>
              <w:bidi w:val="0"/>
              <w:adjustRightInd/>
              <w:spacing w:line="500" w:lineRule="exact"/>
              <w:jc w:val="center"/>
              <w:textAlignment w:val="auto"/>
              <w:rPr>
                <w:rFonts w:hint="eastAsia" w:ascii="宋体" w:hAnsi="宋体" w:eastAsia="宋体" w:cs="宋体"/>
                <w:color w:val="auto"/>
                <w:sz w:val="24"/>
                <w:szCs w:val="24"/>
                <w:highlight w:val="none"/>
              </w:rPr>
            </w:pPr>
          </w:p>
        </w:tc>
        <w:tc>
          <w:tcPr>
            <w:tcW w:w="1260" w:type="dxa"/>
            <w:vMerge w:val="continue"/>
            <w:vAlign w:val="center"/>
          </w:tcPr>
          <w:p w14:paraId="4934AE67">
            <w:pPr>
              <w:keepNext w:val="0"/>
              <w:keepLines w:val="0"/>
              <w:pageBreakBefore w:val="0"/>
              <w:widowControl w:val="0"/>
              <w:kinsoku/>
              <w:wordWrap/>
              <w:overflowPunct/>
              <w:topLinePunct w:val="0"/>
              <w:bidi w:val="0"/>
              <w:adjustRightInd/>
              <w:snapToGrid w:val="0"/>
              <w:spacing w:line="500" w:lineRule="exact"/>
              <w:textAlignment w:val="auto"/>
              <w:rPr>
                <w:rFonts w:hint="eastAsia" w:ascii="宋体" w:hAnsi="宋体" w:eastAsia="宋体" w:cs="宋体"/>
                <w:b/>
                <w:color w:val="auto"/>
                <w:sz w:val="24"/>
                <w:szCs w:val="24"/>
                <w:highlight w:val="none"/>
              </w:rPr>
            </w:pPr>
          </w:p>
        </w:tc>
        <w:tc>
          <w:tcPr>
            <w:tcW w:w="7223" w:type="dxa"/>
            <w:vAlign w:val="center"/>
          </w:tcPr>
          <w:p w14:paraId="0D52F966">
            <w:pPr>
              <w:keepNext w:val="0"/>
              <w:keepLines w:val="0"/>
              <w:pageBreakBefore w:val="0"/>
              <w:widowControl w:val="0"/>
              <w:kinsoku/>
              <w:wordWrap/>
              <w:overflowPunct/>
              <w:topLinePunct w:val="0"/>
              <w:bidi w:val="0"/>
              <w:adjustRightInd/>
              <w:snapToGrid w:val="0"/>
              <w:spacing w:line="5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信用信息的使用规则：</w:t>
            </w:r>
            <w:r>
              <w:rPr>
                <w:rFonts w:hint="eastAsia" w:ascii="宋体" w:hAnsi="宋体" w:eastAsia="宋体" w:cs="宋体"/>
                <w:color w:val="auto"/>
                <w:sz w:val="24"/>
                <w:szCs w:val="24"/>
                <w:highlight w:val="none"/>
              </w:rPr>
              <w:t>经查询列入失信被执行人名单、重大税收违法案件当事人名单、政府采购严重违法失信行为记录名单的投标人将被拒绝参与采购活动。</w:t>
            </w:r>
          </w:p>
        </w:tc>
      </w:tr>
      <w:tr w14:paraId="35A3A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57" w:type="dxa"/>
            <w:vAlign w:val="center"/>
          </w:tcPr>
          <w:p w14:paraId="27BF0EE8">
            <w:pPr>
              <w:keepNext w:val="0"/>
              <w:keepLines w:val="0"/>
              <w:pageBreakBefore w:val="0"/>
              <w:widowControl w:val="0"/>
              <w:kinsoku/>
              <w:wordWrap/>
              <w:overflowPunct/>
              <w:topLinePunct w:val="0"/>
              <w:bidi w:val="0"/>
              <w:adjustRightInd/>
              <w:spacing w:line="5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3</w:t>
            </w:r>
          </w:p>
        </w:tc>
        <w:tc>
          <w:tcPr>
            <w:tcW w:w="8483" w:type="dxa"/>
            <w:gridSpan w:val="2"/>
            <w:vAlign w:val="center"/>
          </w:tcPr>
          <w:p w14:paraId="7A519023">
            <w:pPr>
              <w:keepNext w:val="0"/>
              <w:keepLines w:val="0"/>
              <w:pageBreakBefore w:val="0"/>
              <w:widowControl w:val="0"/>
              <w:kinsoku/>
              <w:wordWrap/>
              <w:overflowPunct/>
              <w:topLinePunct w:val="0"/>
              <w:bidi w:val="0"/>
              <w:adjustRightInd/>
              <w:snapToGrid w:val="0"/>
              <w:spacing w:line="5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更正补充公告请自行登录</w:t>
            </w:r>
            <w:r>
              <w:rPr>
                <w:rFonts w:hint="eastAsia" w:ascii="宋体" w:hAnsi="宋体" w:cs="宋体"/>
                <w:color w:val="auto"/>
                <w:sz w:val="24"/>
                <w:szCs w:val="24"/>
                <w:highlight w:val="none"/>
                <w:lang w:val="en-US" w:eastAsia="zh-CN"/>
              </w:rPr>
              <w:t>乐采云平台</w:t>
            </w:r>
            <w:r>
              <w:rPr>
                <w:rFonts w:hint="eastAsia" w:ascii="宋体" w:hAnsi="宋体" w:eastAsia="宋体" w:cs="宋体"/>
                <w:color w:val="auto"/>
                <w:sz w:val="24"/>
                <w:szCs w:val="24"/>
                <w:highlight w:val="none"/>
              </w:rPr>
              <w:t>查看下载。</w:t>
            </w:r>
          </w:p>
        </w:tc>
      </w:tr>
      <w:tr w14:paraId="1AA79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7" w:type="dxa"/>
            <w:vAlign w:val="center"/>
          </w:tcPr>
          <w:p w14:paraId="244CB60D">
            <w:pPr>
              <w:keepNext w:val="0"/>
              <w:keepLines w:val="0"/>
              <w:pageBreakBefore w:val="0"/>
              <w:widowControl w:val="0"/>
              <w:kinsoku/>
              <w:wordWrap/>
              <w:overflowPunct/>
              <w:topLinePunct w:val="0"/>
              <w:bidi w:val="0"/>
              <w:adjustRightInd/>
              <w:spacing w:line="46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4</w:t>
            </w:r>
          </w:p>
        </w:tc>
        <w:tc>
          <w:tcPr>
            <w:tcW w:w="8483" w:type="dxa"/>
            <w:gridSpan w:val="2"/>
            <w:vAlign w:val="center"/>
          </w:tcPr>
          <w:p w14:paraId="7E33D751">
            <w:pPr>
              <w:keepNext w:val="0"/>
              <w:keepLines w:val="0"/>
              <w:pageBreakBefore w:val="0"/>
              <w:widowControl w:val="0"/>
              <w:kinsoku/>
              <w:wordWrap/>
              <w:overflowPunct/>
              <w:topLinePunct w:val="0"/>
              <w:bidi w:val="0"/>
              <w:adjustRightInd/>
              <w:snapToGrid w:val="0"/>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投标与开标注意事项：</w:t>
            </w:r>
          </w:p>
          <w:p w14:paraId="4C337FDE">
            <w:pPr>
              <w:keepNext w:val="0"/>
              <w:keepLines w:val="0"/>
              <w:pageBreakBefore w:val="0"/>
              <w:widowControl w:val="0"/>
              <w:kinsoku/>
              <w:wordWrap/>
              <w:overflowPunct/>
              <w:topLinePunct w:val="0"/>
              <w:bidi w:val="0"/>
              <w:adjustRightInd/>
              <w:snapToGrid w:val="0"/>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1.本项目实行网上投标，采用电子投标文件。若供应商参与投标，自行承担投标一切费用。</w:t>
            </w:r>
          </w:p>
          <w:p w14:paraId="1E308935">
            <w:pPr>
              <w:keepNext w:val="0"/>
              <w:keepLines w:val="0"/>
              <w:pageBreakBefore w:val="0"/>
              <w:widowControl w:val="0"/>
              <w:kinsoku/>
              <w:wordWrap/>
              <w:overflowPunct/>
              <w:topLinePunct w:val="0"/>
              <w:bidi w:val="0"/>
              <w:adjustRightInd/>
              <w:snapToGrid w:val="0"/>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2.标前准备：各供应商应在开标前完成CA数字证书办理。供应商将</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采云电子交易客户端下载、安装完成后，可通过账号密码或CA登录客户端进行投标文件制作。在使用</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采云投标客户端时，建议使用WIN7及以上操作系统。</w:t>
            </w:r>
          </w:p>
          <w:p w14:paraId="2457EEE3">
            <w:pPr>
              <w:keepNext w:val="0"/>
              <w:keepLines w:val="0"/>
              <w:pageBreakBefore w:val="0"/>
              <w:widowControl w:val="0"/>
              <w:kinsoku/>
              <w:wordWrap/>
              <w:overflowPunct/>
              <w:topLinePunct w:val="0"/>
              <w:bidi w:val="0"/>
              <w:adjustRightInd/>
              <w:snapToGrid w:val="0"/>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注：供应商先要申领CA，取得CA后需要在</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采云平台进行绑定，CA相关操作可参考《CA申领操作指南》和《CA管理操作指南》。完成CA数字证书办理在资料齐全的情况下预计7个工作日左右，建议供应商获取招标文件后立即办理。</w:t>
            </w:r>
          </w:p>
          <w:p w14:paraId="7AB0E74D">
            <w:pPr>
              <w:keepNext w:val="0"/>
              <w:keepLines w:val="0"/>
              <w:pageBreakBefore w:val="0"/>
              <w:widowControl w:val="0"/>
              <w:kinsoku/>
              <w:wordWrap/>
              <w:overflowPunct/>
              <w:topLinePunct w:val="0"/>
              <w:bidi w:val="0"/>
              <w:adjustRightInd/>
              <w:snapToGrid w:val="0"/>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3.投标文件制作、递交、解密：</w:t>
            </w:r>
          </w:p>
          <w:p w14:paraId="31A297A7">
            <w:pPr>
              <w:keepNext w:val="0"/>
              <w:keepLines w:val="0"/>
              <w:pageBreakBefore w:val="0"/>
              <w:widowControl w:val="0"/>
              <w:kinsoku/>
              <w:wordWrap/>
              <w:overflowPunct/>
              <w:topLinePunct w:val="0"/>
              <w:bidi w:val="0"/>
              <w:adjustRightInd/>
              <w:snapToGrid w:val="0"/>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3.1应按照本项目招标文件和</w:t>
            </w:r>
            <w:r>
              <w:rPr>
                <w:rFonts w:hint="eastAsia" w:ascii="宋体" w:hAnsi="宋体" w:eastAsia="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采云平台的要求编制、加密传输投标文件。供应商在使用系统进行投标的过程中遇到涉及平台使用的任何问题，可致电</w:t>
            </w:r>
            <w:r>
              <w:rPr>
                <w:rFonts w:hint="eastAsia" w:ascii="宋体" w:hAnsi="宋体" w:eastAsia="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采云平台技术支持热线咨询，联系方式：</w:t>
            </w:r>
            <w:r>
              <w:rPr>
                <w:rFonts w:hint="eastAsia" w:ascii="宋体" w:hAnsi="宋体" w:eastAsia="宋体" w:cs="宋体"/>
                <w:color w:val="auto"/>
                <w:sz w:val="24"/>
                <w:szCs w:val="24"/>
                <w:highlight w:val="none"/>
                <w:lang w:val="en-US" w:eastAsia="zh-CN"/>
              </w:rPr>
              <w:t>95763</w:t>
            </w:r>
            <w:r>
              <w:rPr>
                <w:rFonts w:hint="eastAsia" w:ascii="宋体" w:hAnsi="宋体" w:eastAsia="宋体" w:cs="宋体"/>
                <w:color w:val="auto"/>
                <w:sz w:val="24"/>
                <w:szCs w:val="24"/>
                <w:highlight w:val="none"/>
              </w:rPr>
              <w:t>。</w:t>
            </w:r>
          </w:p>
          <w:p w14:paraId="25AB9DA1">
            <w:pPr>
              <w:keepNext w:val="0"/>
              <w:keepLines w:val="0"/>
              <w:pageBreakBefore w:val="0"/>
              <w:widowControl w:val="0"/>
              <w:kinsoku/>
              <w:wordWrap/>
              <w:overflowPunct/>
              <w:topLinePunct w:val="0"/>
              <w:bidi w:val="0"/>
              <w:adjustRightInd/>
              <w:snapToGrid w:val="0"/>
              <w:spacing w:line="46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3.2投标人通过“</w:t>
            </w:r>
            <w:r>
              <w:rPr>
                <w:rFonts w:hint="eastAsia" w:ascii="宋体" w:hAnsi="宋体" w:eastAsia="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采云”平台制作电子投标文件，投标文件制作详见“供应商-采购项目电子交易操作指南：</w:t>
            </w:r>
          </w:p>
          <w:p w14:paraId="37BEF456">
            <w:pPr>
              <w:keepNext w:val="0"/>
              <w:keepLines w:val="0"/>
              <w:pageBreakBefore w:val="0"/>
              <w:widowControl w:val="0"/>
              <w:kinsoku/>
              <w:wordWrap/>
              <w:overflowPunct/>
              <w:topLinePunct w:val="0"/>
              <w:bidi w:val="0"/>
              <w:adjustRightInd/>
              <w:snapToGrid w:val="0"/>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3.3开标时间后30分钟内供应商可以登录“</w:t>
            </w:r>
            <w:r>
              <w:rPr>
                <w:rFonts w:hint="eastAsia" w:ascii="宋体" w:hAnsi="宋体" w:eastAsia="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采云”平台，用“项目采购-开标评标”功能进行解密投标文件。若供应商</w:t>
            </w:r>
            <w:r>
              <w:rPr>
                <w:rFonts w:hint="eastAsia" w:ascii="宋体" w:hAnsi="宋体" w:eastAsia="宋体" w:cs="宋体"/>
                <w:b/>
                <w:color w:val="auto"/>
                <w:sz w:val="24"/>
                <w:szCs w:val="24"/>
                <w:highlight w:val="none"/>
                <w:u w:val="single"/>
              </w:rPr>
              <w:t>未按时解密的</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u w:val="single"/>
              </w:rPr>
              <w:t>视为投标文件撤回</w:t>
            </w:r>
            <w:r>
              <w:rPr>
                <w:rFonts w:hint="eastAsia" w:ascii="宋体" w:hAnsi="宋体" w:eastAsia="宋体" w:cs="宋体"/>
                <w:color w:val="auto"/>
                <w:sz w:val="24"/>
                <w:szCs w:val="24"/>
                <w:highlight w:val="none"/>
              </w:rPr>
              <w:t>。</w:t>
            </w:r>
          </w:p>
        </w:tc>
      </w:tr>
      <w:tr w14:paraId="13058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57" w:type="dxa"/>
            <w:vAlign w:val="center"/>
          </w:tcPr>
          <w:p w14:paraId="44218CFF">
            <w:pPr>
              <w:keepNext w:val="0"/>
              <w:keepLines w:val="0"/>
              <w:pageBreakBefore w:val="0"/>
              <w:widowControl w:val="0"/>
              <w:kinsoku/>
              <w:wordWrap/>
              <w:overflowPunct/>
              <w:topLinePunct w:val="0"/>
              <w:bidi w:val="0"/>
              <w:adjustRightInd/>
              <w:spacing w:line="46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p>
        </w:tc>
        <w:tc>
          <w:tcPr>
            <w:tcW w:w="8483" w:type="dxa"/>
            <w:gridSpan w:val="2"/>
            <w:vAlign w:val="center"/>
          </w:tcPr>
          <w:p w14:paraId="48951070">
            <w:pPr>
              <w:widowControl/>
              <w:spacing w:line="4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sz w:val="24"/>
                <w:szCs w:val="24"/>
                <w:highlight w:val="none"/>
                <w:lang w:val="en-US" w:eastAsia="zh-CN"/>
              </w:rPr>
              <w:t>1、采购代理服务费：</w:t>
            </w:r>
            <w:r>
              <w:rPr>
                <w:rFonts w:hint="eastAsia" w:ascii="宋体" w:hAnsi="宋体" w:eastAsia="宋体" w:cs="宋体"/>
                <w:color w:val="auto"/>
                <w:szCs w:val="24"/>
                <w:highlight w:val="none"/>
              </w:rPr>
              <w:t>中标人</w:t>
            </w:r>
            <w:r>
              <w:rPr>
                <w:rFonts w:hint="eastAsia" w:ascii="宋体" w:hAnsi="宋体" w:eastAsia="宋体" w:cs="宋体"/>
                <w:color w:val="auto"/>
                <w:szCs w:val="24"/>
                <w:highlight w:val="none"/>
                <w:lang w:val="en-US" w:eastAsia="zh-CN"/>
              </w:rPr>
              <w:t>按</w:t>
            </w:r>
            <w:r>
              <w:rPr>
                <w:rFonts w:hint="eastAsia" w:ascii="宋体" w:hAnsi="宋体" w:eastAsia="宋体" w:cs="宋体"/>
                <w:color w:val="auto"/>
                <w:szCs w:val="24"/>
                <w:highlight w:val="none"/>
              </w:rPr>
              <w:t>如下标准</w:t>
            </w:r>
            <w:r>
              <w:rPr>
                <w:rFonts w:hint="eastAsia" w:ascii="宋体" w:hAnsi="宋体" w:eastAsia="宋体" w:cs="宋体"/>
                <w:color w:val="auto"/>
                <w:szCs w:val="24"/>
                <w:highlight w:val="none"/>
                <w:lang w:val="en-US" w:eastAsia="zh-CN"/>
              </w:rPr>
              <w:t>下浮40%</w:t>
            </w:r>
            <w:r>
              <w:rPr>
                <w:rFonts w:hint="eastAsia" w:ascii="宋体" w:hAnsi="宋体" w:eastAsia="宋体" w:cs="宋体"/>
                <w:color w:val="auto"/>
                <w:szCs w:val="24"/>
                <w:highlight w:val="none"/>
              </w:rPr>
              <w:t>交纳中标服务费，请在投标报价中自行考虑：</w:t>
            </w:r>
          </w:p>
          <w:tbl>
            <w:tblPr>
              <w:tblStyle w:val="31"/>
              <w:tblW w:w="0" w:type="auto"/>
              <w:jc w:val="center"/>
              <w:tblLayout w:type="fixed"/>
              <w:tblCellMar>
                <w:top w:w="0" w:type="dxa"/>
                <w:left w:w="0" w:type="dxa"/>
                <w:bottom w:w="0" w:type="dxa"/>
                <w:right w:w="0" w:type="dxa"/>
              </w:tblCellMar>
            </w:tblPr>
            <w:tblGrid>
              <w:gridCol w:w="2132"/>
              <w:gridCol w:w="1725"/>
              <w:gridCol w:w="1725"/>
              <w:gridCol w:w="1726"/>
            </w:tblGrid>
            <w:tr w14:paraId="72AA2B9B">
              <w:trPr>
                <w:jc w:val="center"/>
              </w:trPr>
              <w:tc>
                <w:tcPr>
                  <w:tcW w:w="2132" w:type="dxa"/>
                  <w:tcBorders>
                    <w:top w:val="single" w:color="auto" w:sz="8" w:space="0"/>
                    <w:left w:val="single" w:color="auto" w:sz="8" w:space="0"/>
                    <w:bottom w:val="single" w:color="auto" w:sz="4" w:space="0"/>
                    <w:right w:val="single" w:color="auto" w:sz="8" w:space="0"/>
                  </w:tcBorders>
                  <w:shd w:val="clear" w:color="auto" w:fill="auto"/>
                  <w:noWrap w:val="0"/>
                  <w:tcMar>
                    <w:top w:w="0" w:type="dxa"/>
                    <w:left w:w="108" w:type="dxa"/>
                    <w:bottom w:w="0" w:type="dxa"/>
                    <w:right w:w="108" w:type="dxa"/>
                  </w:tcMar>
                  <w:vAlign w:val="top"/>
                </w:tcPr>
                <w:p w14:paraId="7DFC4878">
                  <w:pPr>
                    <w:widowControl/>
                    <w:spacing w:line="4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中标金额（万元）</w:t>
                  </w:r>
                </w:p>
              </w:tc>
              <w:tc>
                <w:tcPr>
                  <w:tcW w:w="1725" w:type="dxa"/>
                  <w:tcBorders>
                    <w:top w:val="single" w:color="auto" w:sz="8" w:space="0"/>
                    <w:left w:val="outset" w:color="F4F4F4" w:sz="6" w:space="0"/>
                    <w:bottom w:val="single" w:color="auto" w:sz="4" w:space="0"/>
                    <w:right w:val="single" w:color="auto" w:sz="8" w:space="0"/>
                  </w:tcBorders>
                  <w:shd w:val="clear" w:color="auto" w:fill="auto"/>
                  <w:noWrap w:val="0"/>
                  <w:tcMar>
                    <w:top w:w="0" w:type="dxa"/>
                    <w:left w:w="108" w:type="dxa"/>
                    <w:bottom w:w="0" w:type="dxa"/>
                    <w:right w:w="108" w:type="dxa"/>
                  </w:tcMar>
                  <w:vAlign w:val="center"/>
                </w:tcPr>
                <w:p w14:paraId="393C7D24">
                  <w:pPr>
                    <w:widowControl/>
                    <w:spacing w:line="4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货物招标</w:t>
                  </w:r>
                </w:p>
              </w:tc>
              <w:tc>
                <w:tcPr>
                  <w:tcW w:w="1725" w:type="dxa"/>
                  <w:tcBorders>
                    <w:top w:val="single" w:color="auto" w:sz="8" w:space="0"/>
                    <w:left w:val="outset" w:color="F4F4F4" w:sz="6" w:space="0"/>
                    <w:bottom w:val="single" w:color="auto" w:sz="4" w:space="0"/>
                    <w:right w:val="single" w:color="auto" w:sz="8" w:space="0"/>
                  </w:tcBorders>
                  <w:shd w:val="clear" w:color="auto" w:fill="auto"/>
                  <w:noWrap w:val="0"/>
                  <w:tcMar>
                    <w:top w:w="0" w:type="dxa"/>
                    <w:left w:w="108" w:type="dxa"/>
                    <w:bottom w:w="0" w:type="dxa"/>
                    <w:right w:w="108" w:type="dxa"/>
                  </w:tcMar>
                  <w:vAlign w:val="center"/>
                </w:tcPr>
                <w:p w14:paraId="090511C3">
                  <w:pPr>
                    <w:widowControl/>
                    <w:spacing w:line="4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服务招标</w:t>
                  </w:r>
                </w:p>
              </w:tc>
              <w:tc>
                <w:tcPr>
                  <w:tcW w:w="1726" w:type="dxa"/>
                  <w:tcBorders>
                    <w:top w:val="single" w:color="auto" w:sz="8" w:space="0"/>
                    <w:left w:val="outset" w:color="F4F4F4" w:sz="6" w:space="0"/>
                    <w:bottom w:val="single" w:color="auto" w:sz="4" w:space="0"/>
                    <w:right w:val="single" w:color="auto" w:sz="8" w:space="0"/>
                  </w:tcBorders>
                  <w:shd w:val="clear" w:color="auto" w:fill="auto"/>
                  <w:noWrap w:val="0"/>
                  <w:tcMar>
                    <w:top w:w="0" w:type="dxa"/>
                    <w:left w:w="108" w:type="dxa"/>
                    <w:bottom w:w="0" w:type="dxa"/>
                    <w:right w:w="108" w:type="dxa"/>
                  </w:tcMar>
                  <w:vAlign w:val="center"/>
                </w:tcPr>
                <w:p w14:paraId="60C65117">
                  <w:pPr>
                    <w:widowControl/>
                    <w:spacing w:line="4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工程招标</w:t>
                  </w:r>
                </w:p>
              </w:tc>
            </w:tr>
            <w:tr w14:paraId="1A1181D6">
              <w:tblPrEx>
                <w:tblCellMar>
                  <w:top w:w="0" w:type="dxa"/>
                  <w:left w:w="0" w:type="dxa"/>
                  <w:bottom w:w="0" w:type="dxa"/>
                  <w:right w:w="0" w:type="dxa"/>
                </w:tblCellMar>
              </w:tblPrEx>
              <w:trPr>
                <w:jc w:val="center"/>
              </w:trPr>
              <w:tc>
                <w:tcPr>
                  <w:tcW w:w="2132"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top"/>
                </w:tcPr>
                <w:p w14:paraId="3822C1CD">
                  <w:pPr>
                    <w:widowControl/>
                    <w:spacing w:line="440" w:lineRule="exact"/>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100 以下</w:t>
                  </w:r>
                </w:p>
              </w:tc>
              <w:tc>
                <w:tcPr>
                  <w:tcW w:w="172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6C1A3ED3">
                  <w:pPr>
                    <w:widowControl/>
                    <w:spacing w:line="4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1.5%</w:t>
                  </w:r>
                </w:p>
              </w:tc>
              <w:tc>
                <w:tcPr>
                  <w:tcW w:w="172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7AB07064">
                  <w:pPr>
                    <w:widowControl/>
                    <w:spacing w:line="4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1.5%</w:t>
                  </w:r>
                </w:p>
              </w:tc>
              <w:tc>
                <w:tcPr>
                  <w:tcW w:w="1726"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7E34AD12">
                  <w:pPr>
                    <w:widowControl/>
                    <w:spacing w:line="440" w:lineRule="exact"/>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24"/>
                      <w:highlight w:val="none"/>
                    </w:rPr>
                    <w:t>1.0%</w:t>
                  </w:r>
                </w:p>
              </w:tc>
            </w:tr>
            <w:tr w14:paraId="7D4C128D">
              <w:tblPrEx>
                <w:tblCellMar>
                  <w:top w:w="0" w:type="dxa"/>
                  <w:left w:w="0" w:type="dxa"/>
                  <w:bottom w:w="0" w:type="dxa"/>
                  <w:right w:w="0" w:type="dxa"/>
                </w:tblCellMar>
              </w:tblPrEx>
              <w:trPr>
                <w:jc w:val="center"/>
              </w:trPr>
              <w:tc>
                <w:tcPr>
                  <w:tcW w:w="2132"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top"/>
                </w:tcPr>
                <w:p w14:paraId="4A7E45D0">
                  <w:pPr>
                    <w:widowControl/>
                    <w:spacing w:line="440" w:lineRule="exact"/>
                    <w:jc w:val="left"/>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100-500</w:t>
                  </w:r>
                </w:p>
              </w:tc>
              <w:tc>
                <w:tcPr>
                  <w:tcW w:w="172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36349462">
                  <w:pPr>
                    <w:widowControl/>
                    <w:spacing w:line="440" w:lineRule="exact"/>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1.1</w:t>
                  </w:r>
                </w:p>
              </w:tc>
              <w:tc>
                <w:tcPr>
                  <w:tcW w:w="172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78058711">
                  <w:pPr>
                    <w:widowControl/>
                    <w:spacing w:line="440" w:lineRule="exact"/>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0.8</w:t>
                  </w:r>
                </w:p>
              </w:tc>
              <w:tc>
                <w:tcPr>
                  <w:tcW w:w="1726"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75F518EE">
                  <w:pPr>
                    <w:widowControl/>
                    <w:spacing w:line="440" w:lineRule="exact"/>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0.7</w:t>
                  </w:r>
                </w:p>
              </w:tc>
            </w:tr>
            <w:tr w14:paraId="510A9886">
              <w:tblPrEx>
                <w:tblCellMar>
                  <w:top w:w="0" w:type="dxa"/>
                  <w:left w:w="0" w:type="dxa"/>
                  <w:bottom w:w="0" w:type="dxa"/>
                  <w:right w:w="0" w:type="dxa"/>
                </w:tblCellMar>
              </w:tblPrEx>
              <w:trPr>
                <w:jc w:val="center"/>
              </w:trPr>
              <w:tc>
                <w:tcPr>
                  <w:tcW w:w="2132"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top"/>
                </w:tcPr>
                <w:p w14:paraId="4707463F">
                  <w:pPr>
                    <w:widowControl/>
                    <w:spacing w:line="440" w:lineRule="exact"/>
                    <w:jc w:val="left"/>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500-1000</w:t>
                  </w:r>
                </w:p>
              </w:tc>
              <w:tc>
                <w:tcPr>
                  <w:tcW w:w="172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757D9C3C">
                  <w:pPr>
                    <w:widowControl/>
                    <w:spacing w:line="440" w:lineRule="exact"/>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0.3</w:t>
                  </w:r>
                </w:p>
              </w:tc>
              <w:tc>
                <w:tcPr>
                  <w:tcW w:w="1725"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01BF21E3">
                  <w:pPr>
                    <w:widowControl/>
                    <w:spacing w:line="440" w:lineRule="exact"/>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0.45</w:t>
                  </w:r>
                </w:p>
              </w:tc>
              <w:tc>
                <w:tcPr>
                  <w:tcW w:w="1726" w:type="dxa"/>
                  <w:tcBorders>
                    <w:top w:val="single" w:color="auto" w:sz="4" w:space="0"/>
                    <w:left w:val="single" w:color="auto" w:sz="4" w:space="0"/>
                    <w:bottom w:val="single" w:color="auto" w:sz="4" w:space="0"/>
                    <w:right w:val="single" w:color="auto" w:sz="4" w:space="0"/>
                  </w:tcBorders>
                  <w:shd w:val="clear" w:color="auto" w:fill="auto"/>
                  <w:noWrap w:val="0"/>
                  <w:tcMar>
                    <w:top w:w="0" w:type="dxa"/>
                    <w:left w:w="108" w:type="dxa"/>
                    <w:bottom w:w="0" w:type="dxa"/>
                    <w:right w:w="108" w:type="dxa"/>
                  </w:tcMar>
                  <w:vAlign w:val="center"/>
                </w:tcPr>
                <w:p w14:paraId="749CA3AA">
                  <w:pPr>
                    <w:widowControl/>
                    <w:spacing w:line="440" w:lineRule="exact"/>
                    <w:jc w:val="center"/>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0.55</w:t>
                  </w:r>
                </w:p>
              </w:tc>
            </w:tr>
          </w:tbl>
          <w:p w14:paraId="50D454C9">
            <w:pPr>
              <w:pStyle w:val="68"/>
              <w:keepNext w:val="0"/>
              <w:keepLines w:val="0"/>
              <w:pageBreakBefore w:val="0"/>
              <w:widowControl w:val="0"/>
              <w:numPr>
                <w:ilvl w:val="0"/>
                <w:numId w:val="0"/>
              </w:numPr>
              <w:kinsoku/>
              <w:wordWrap/>
              <w:overflowPunct/>
              <w:topLinePunct w:val="0"/>
              <w:autoSpaceDE w:val="0"/>
              <w:autoSpaceDN w:val="0"/>
              <w:bidi w:val="0"/>
              <w:adjustRightInd/>
              <w:snapToGrid w:val="0"/>
              <w:spacing w:line="460" w:lineRule="exact"/>
              <w:textAlignment w:val="auto"/>
              <w:rPr>
                <w:rFonts w:hAnsi="宋体" w:cs="宋体"/>
                <w:color w:val="auto"/>
                <w:szCs w:val="24"/>
                <w:highlight w:val="none"/>
              </w:rPr>
            </w:pPr>
            <w:r>
              <w:rPr>
                <w:rFonts w:hint="eastAsia" w:hAnsi="宋体" w:cs="宋体"/>
                <w:color w:val="auto"/>
                <w:szCs w:val="24"/>
                <w:highlight w:val="none"/>
              </w:rPr>
              <w:t>2、中标服务费的交纳方式：</w:t>
            </w:r>
          </w:p>
          <w:p w14:paraId="4937D65B">
            <w:pPr>
              <w:pStyle w:val="68"/>
              <w:keepNext w:val="0"/>
              <w:keepLines w:val="0"/>
              <w:pageBreakBefore w:val="0"/>
              <w:widowControl w:val="0"/>
              <w:kinsoku/>
              <w:wordWrap/>
              <w:overflowPunct/>
              <w:topLinePunct w:val="0"/>
              <w:autoSpaceDE w:val="0"/>
              <w:autoSpaceDN w:val="0"/>
              <w:bidi w:val="0"/>
              <w:adjustRightInd/>
              <w:snapToGrid w:val="0"/>
              <w:spacing w:line="460" w:lineRule="exact"/>
              <w:textAlignment w:val="auto"/>
              <w:rPr>
                <w:rFonts w:hAnsi="宋体" w:cs="宋体"/>
                <w:color w:val="auto"/>
                <w:szCs w:val="24"/>
                <w:highlight w:val="none"/>
              </w:rPr>
            </w:pPr>
            <w:r>
              <w:rPr>
                <w:rFonts w:hint="eastAsia" w:hAnsi="宋体" w:cs="宋体"/>
                <w:color w:val="auto"/>
                <w:szCs w:val="24"/>
                <w:highlight w:val="none"/>
              </w:rPr>
              <w:t>用银行支票、汇票、电汇、现金等付款方式直接交纳中标服务费。</w:t>
            </w:r>
          </w:p>
          <w:p w14:paraId="62B511D0">
            <w:pPr>
              <w:pStyle w:val="68"/>
              <w:keepNext w:val="0"/>
              <w:keepLines w:val="0"/>
              <w:pageBreakBefore w:val="0"/>
              <w:widowControl w:val="0"/>
              <w:kinsoku/>
              <w:wordWrap/>
              <w:overflowPunct/>
              <w:topLinePunct w:val="0"/>
              <w:autoSpaceDE w:val="0"/>
              <w:autoSpaceDN w:val="0"/>
              <w:bidi w:val="0"/>
              <w:adjustRightInd/>
              <w:snapToGrid w:val="0"/>
              <w:spacing w:line="460" w:lineRule="exact"/>
              <w:textAlignment w:val="auto"/>
              <w:rPr>
                <w:rFonts w:hAnsi="宋体" w:cs="宋体"/>
                <w:color w:val="auto"/>
                <w:szCs w:val="24"/>
                <w:highlight w:val="none"/>
              </w:rPr>
            </w:pPr>
            <w:r>
              <w:rPr>
                <w:rFonts w:hint="eastAsia" w:hAnsi="宋体" w:cs="宋体"/>
                <w:color w:val="auto"/>
                <w:szCs w:val="24"/>
                <w:highlight w:val="none"/>
              </w:rPr>
              <w:t>公司名称：浙江明业项目管理有限公司嵊州分公司</w:t>
            </w:r>
          </w:p>
          <w:p w14:paraId="19C6B49E">
            <w:pPr>
              <w:pStyle w:val="68"/>
              <w:keepNext w:val="0"/>
              <w:keepLines w:val="0"/>
              <w:pageBreakBefore w:val="0"/>
              <w:widowControl w:val="0"/>
              <w:kinsoku/>
              <w:wordWrap/>
              <w:overflowPunct/>
              <w:topLinePunct w:val="0"/>
              <w:autoSpaceDE w:val="0"/>
              <w:autoSpaceDN w:val="0"/>
              <w:bidi w:val="0"/>
              <w:adjustRightInd/>
              <w:snapToGrid w:val="0"/>
              <w:spacing w:line="460" w:lineRule="exact"/>
              <w:textAlignment w:val="auto"/>
              <w:rPr>
                <w:rFonts w:hAnsi="宋体" w:cs="宋体"/>
                <w:color w:val="auto"/>
                <w:szCs w:val="24"/>
                <w:highlight w:val="none"/>
              </w:rPr>
            </w:pPr>
            <w:r>
              <w:rPr>
                <w:rFonts w:hint="eastAsia" w:hAnsi="宋体" w:cs="宋体"/>
                <w:color w:val="auto"/>
                <w:szCs w:val="24"/>
                <w:highlight w:val="none"/>
              </w:rPr>
              <w:t>开户行：中国银行嵊州城东支行</w:t>
            </w:r>
          </w:p>
          <w:p w14:paraId="579EB2BA">
            <w:pPr>
              <w:pStyle w:val="68"/>
              <w:keepNext w:val="0"/>
              <w:keepLines w:val="0"/>
              <w:pageBreakBefore w:val="0"/>
              <w:widowControl w:val="0"/>
              <w:kinsoku/>
              <w:wordWrap/>
              <w:overflowPunct/>
              <w:topLinePunct w:val="0"/>
              <w:autoSpaceDE w:val="0"/>
              <w:autoSpaceDN w:val="0"/>
              <w:bidi w:val="0"/>
              <w:adjustRightInd/>
              <w:snapToGrid w:val="0"/>
              <w:spacing w:line="460" w:lineRule="exact"/>
              <w:textAlignment w:val="auto"/>
              <w:rPr>
                <w:rFonts w:hint="default" w:ascii="宋体" w:hAnsi="宋体" w:eastAsia="宋体" w:cs="宋体"/>
                <w:color w:val="auto"/>
                <w:sz w:val="24"/>
                <w:szCs w:val="24"/>
                <w:highlight w:val="none"/>
                <w:lang w:val="en-US" w:eastAsia="zh-CN"/>
              </w:rPr>
            </w:pPr>
            <w:r>
              <w:rPr>
                <w:rFonts w:hint="eastAsia" w:hAnsi="宋体" w:cs="宋体"/>
                <w:color w:val="auto"/>
                <w:szCs w:val="24"/>
                <w:highlight w:val="none"/>
              </w:rPr>
              <w:t>账  号：367 558 339 668</w:t>
            </w:r>
          </w:p>
        </w:tc>
      </w:tr>
      <w:tr w14:paraId="402DD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9240" w:type="dxa"/>
            <w:gridSpan w:val="3"/>
            <w:vAlign w:val="center"/>
          </w:tcPr>
          <w:p w14:paraId="18D68F2C">
            <w:pPr>
              <w:keepNext w:val="0"/>
              <w:keepLines w:val="0"/>
              <w:pageBreakBefore w:val="0"/>
              <w:widowControl w:val="0"/>
              <w:kinsoku/>
              <w:wordWrap/>
              <w:overflowPunct/>
              <w:topLinePunct w:val="0"/>
              <w:bidi w:val="0"/>
              <w:adjustRightInd/>
              <w:spacing w:line="4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解释：凡涉及本招标文件的解释权属于采购人。</w:t>
            </w:r>
          </w:p>
        </w:tc>
      </w:tr>
      <w:tr w14:paraId="4CB51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240" w:type="dxa"/>
            <w:gridSpan w:val="3"/>
            <w:vAlign w:val="center"/>
          </w:tcPr>
          <w:p w14:paraId="21621391">
            <w:pPr>
              <w:keepNext w:val="0"/>
              <w:keepLines w:val="0"/>
              <w:pageBreakBefore w:val="0"/>
              <w:widowControl w:val="0"/>
              <w:kinsoku/>
              <w:wordWrap/>
              <w:overflowPunct/>
              <w:topLinePunct w:val="0"/>
              <w:bidi w:val="0"/>
              <w:adjustRightInd/>
              <w:spacing w:line="4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注：中标人放弃中标资格或因质疑、投诉被取消中标资格或不能履行合同的，本项目重新组织采购。</w:t>
            </w:r>
          </w:p>
        </w:tc>
      </w:tr>
      <w:bookmarkEnd w:id="30"/>
    </w:tbl>
    <w:p w14:paraId="62C1E927">
      <w:pPr>
        <w:pageBreakBefore/>
        <w:snapToGrid w:val="0"/>
        <w:spacing w:line="30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一、总则</w:t>
      </w:r>
    </w:p>
    <w:p w14:paraId="3F58C19A">
      <w:pPr>
        <w:keepNext w:val="0"/>
        <w:keepLines w:val="0"/>
        <w:pageBreakBefore w:val="0"/>
        <w:kinsoku/>
        <w:wordWrap/>
        <w:overflowPunct/>
        <w:topLinePunct w:val="0"/>
        <w:autoSpaceDE/>
        <w:autoSpaceDN/>
        <w:bidi w:val="0"/>
        <w:snapToGrid w:val="0"/>
        <w:spacing w:beforeAutospacing="0" w:line="440" w:lineRule="exact"/>
        <w:ind w:left="0" w:leftChars="0" w:firstLine="0" w:firstLineChars="0"/>
        <w:jc w:val="left"/>
        <w:textAlignment w:val="auto"/>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1.适用范围</w:t>
      </w:r>
    </w:p>
    <w:p w14:paraId="6889F80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20C3894C">
      <w:pPr>
        <w:keepNext w:val="0"/>
        <w:keepLines w:val="0"/>
        <w:pageBreakBefore w:val="0"/>
        <w:kinsoku/>
        <w:wordWrap/>
        <w:overflowPunct/>
        <w:topLinePunct w:val="0"/>
        <w:autoSpaceDE/>
        <w:autoSpaceDN/>
        <w:bidi w:val="0"/>
        <w:adjustRightInd/>
        <w:spacing w:beforeAutospacing="0" w:line="440" w:lineRule="exact"/>
        <w:ind w:left="0" w:leftChars="0" w:firstLine="0" w:firstLine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14:paraId="4543977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0F97C8B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 “</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”系指招标公告中载明的本项目的</w:t>
      </w:r>
      <w:r>
        <w:rPr>
          <w:rFonts w:hint="eastAsia" w:ascii="宋体" w:hAnsi="宋体" w:eastAsia="宋体" w:cs="宋体"/>
          <w:color w:val="auto"/>
          <w:sz w:val="24"/>
          <w:highlight w:val="none"/>
          <w:lang w:eastAsia="zh-CN"/>
        </w:rPr>
        <w:t>采购代理机构</w:t>
      </w:r>
      <w:r>
        <w:rPr>
          <w:rFonts w:hint="eastAsia" w:ascii="宋体" w:hAnsi="宋体" w:eastAsia="宋体" w:cs="宋体"/>
          <w:color w:val="auto"/>
          <w:sz w:val="24"/>
          <w:highlight w:val="none"/>
        </w:rPr>
        <w:t>。</w:t>
      </w:r>
    </w:p>
    <w:p w14:paraId="7EC078F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“投标人”“供应商”系指是指响应招标、参加投标竞争的法人、其他组织或者自然人。</w:t>
      </w:r>
    </w:p>
    <w:p w14:paraId="41998BB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 xml:space="preserve"> “负责人”系指法人企业的法定负责人，或其他组织为法律、行政法规规定代表单位行使职权的主要负责人，或自然人本人。</w:t>
      </w:r>
    </w:p>
    <w:p w14:paraId="21F12D3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“电子签名”系指数据电文中以电子形式所含、所附用于识别签名人身份并表明签名人认可其中内容的数据；“公章”系指单位法定名称章。</w:t>
      </w:r>
    </w:p>
    <w:p w14:paraId="48DC361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“电子交易平台”</w:t>
      </w:r>
      <w:r>
        <w:rPr>
          <w:rFonts w:hint="eastAsia" w:ascii="宋体" w:hAnsi="宋体" w:eastAsia="宋体" w:cs="宋体"/>
          <w:color w:val="auto"/>
          <w:sz w:val="24"/>
          <w:highlight w:val="none"/>
          <w:lang w:val="en-US" w:eastAsia="zh-CN"/>
        </w:rPr>
        <w:t>系</w:t>
      </w:r>
      <w:r>
        <w:rPr>
          <w:rFonts w:hint="eastAsia" w:ascii="宋体" w:hAnsi="宋体" w:eastAsia="宋体" w:cs="宋体"/>
          <w:color w:val="auto"/>
          <w:sz w:val="24"/>
          <w:highlight w:val="none"/>
        </w:rPr>
        <w:t>指本项目采购活动所依托的</w:t>
      </w:r>
      <w:r>
        <w:rPr>
          <w:rFonts w:hint="eastAsia" w:ascii="宋体" w:hAnsi="宋体" w:eastAsia="宋体" w:cs="宋体"/>
          <w:color w:val="auto"/>
          <w:sz w:val="24"/>
          <w:highlight w:val="none"/>
          <w:lang w:val="en-US" w:eastAsia="zh-CN"/>
        </w:rPr>
        <w:t>乐</w:t>
      </w:r>
      <w:r>
        <w:rPr>
          <w:rFonts w:hint="eastAsia" w:ascii="宋体" w:hAnsi="宋体" w:eastAsia="宋体" w:cs="宋体"/>
          <w:color w:val="auto"/>
          <w:sz w:val="24"/>
          <w:highlight w:val="none"/>
        </w:rPr>
        <w:t>采云平台。</w:t>
      </w:r>
    </w:p>
    <w:p w14:paraId="1581801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宋体" w:hAnsi="宋体" w:eastAsia="宋体" w:cs="宋体"/>
          <w:color w:val="auto"/>
          <w:sz w:val="24"/>
          <w:highlight w:val="none"/>
          <w:lang w:val="en" w:eastAsia="zh-CN"/>
        </w:rPr>
        <w:t>☑</w:t>
      </w:r>
      <w:r>
        <w:rPr>
          <w:rFonts w:hint="eastAsia" w:ascii="宋体" w:hAnsi="宋体" w:eastAsia="宋体" w:cs="宋体"/>
          <w:color w:val="auto"/>
          <w:sz w:val="24"/>
          <w:highlight w:val="none"/>
        </w:rPr>
        <w:t>” 系指适用本项目的要求，“☐” 系指不适用本项目的要求。</w:t>
      </w:r>
    </w:p>
    <w:p w14:paraId="67883452">
      <w:pPr>
        <w:keepNext w:val="0"/>
        <w:keepLines w:val="0"/>
        <w:pageBreakBefore w:val="0"/>
        <w:kinsoku/>
        <w:wordWrap/>
        <w:overflowPunct/>
        <w:topLinePunct w:val="0"/>
        <w:autoSpaceDE/>
        <w:autoSpaceDN/>
        <w:bidi w:val="0"/>
        <w:adjustRightInd/>
        <w:spacing w:beforeAutospacing="0" w:line="440" w:lineRule="exact"/>
        <w:ind w:left="0" w:leftChars="0" w:firstLine="0" w:firstLineChars="0"/>
        <w:textAlignment w:val="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3</w:t>
      </w:r>
      <w:r>
        <w:rPr>
          <w:rFonts w:hint="eastAsia" w:ascii="宋体" w:hAnsi="宋体" w:eastAsia="宋体" w:cs="宋体"/>
          <w:b/>
          <w:color w:val="auto"/>
          <w:sz w:val="24"/>
          <w:highlight w:val="none"/>
        </w:rPr>
        <w:t>.特别说明</w:t>
      </w:r>
    </w:p>
    <w:p w14:paraId="178EC7D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.1供应商投标所使用的资格、信誉、荣誉、业绩与企业认证必须为投标单位所拥有。供应商投标所使用的采购项目实施人员必须为投标单位正式员工。</w:t>
      </w:r>
    </w:p>
    <w:p w14:paraId="46B20F1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.2供应商应仔细阅读招标文件的所有内容，按照招标文件的要求提交投标文件，并对所提供的全部资料的真实性承担法律责任。</w:t>
      </w:r>
    </w:p>
    <w:p w14:paraId="74B03CF0">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10264756">
      <w:pPr>
        <w:keepNext w:val="0"/>
        <w:keepLines w:val="0"/>
        <w:pageBreakBefore w:val="0"/>
        <w:widowControl w:val="0"/>
        <w:kinsoku/>
        <w:wordWrap/>
        <w:overflowPunct/>
        <w:topLinePunct w:val="0"/>
        <w:autoSpaceDE/>
        <w:autoSpaceDN/>
        <w:bidi w:val="0"/>
        <w:adjustRightInd/>
        <w:snapToGrid w:val="0"/>
        <w:spacing w:before="156" w:beforeLines="50" w:after="156" w:afterLines="50" w:line="500" w:lineRule="exact"/>
        <w:jc w:val="center"/>
        <w:textAlignment w:val="auto"/>
        <w:rPr>
          <w:rFonts w:hint="eastAsia" w:ascii="宋体" w:hAnsi="宋体" w:eastAsia="宋体" w:cs="宋体"/>
          <w:color w:val="auto"/>
          <w:sz w:val="36"/>
          <w:szCs w:val="36"/>
          <w:highlight w:val="none"/>
        </w:rPr>
      </w:pPr>
      <w:r>
        <w:rPr>
          <w:rFonts w:hint="eastAsia" w:ascii="宋体" w:hAnsi="宋体" w:eastAsia="宋体" w:cs="宋体"/>
          <w:b/>
          <w:color w:val="auto"/>
          <w:sz w:val="36"/>
          <w:szCs w:val="36"/>
          <w:highlight w:val="none"/>
        </w:rPr>
        <w:t>二、招标文件</w:t>
      </w:r>
    </w:p>
    <w:p w14:paraId="3CF3619A">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1．招标方式</w:t>
      </w:r>
    </w:p>
    <w:p w14:paraId="31B921F0">
      <w:pPr>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本次招标采用</w:t>
      </w:r>
      <w:r>
        <w:rPr>
          <w:rFonts w:hint="eastAsia" w:ascii="宋体" w:hAnsi="宋体" w:eastAsia="宋体" w:cs="宋体"/>
          <w:b/>
          <w:color w:val="auto"/>
          <w:kern w:val="0"/>
          <w:sz w:val="24"/>
          <w:szCs w:val="24"/>
          <w:highlight w:val="none"/>
        </w:rPr>
        <w:t>公开招标</w:t>
      </w:r>
      <w:r>
        <w:rPr>
          <w:rFonts w:hint="eastAsia" w:ascii="宋体" w:hAnsi="宋体" w:eastAsia="宋体" w:cs="宋体"/>
          <w:color w:val="auto"/>
          <w:sz w:val="24"/>
          <w:szCs w:val="24"/>
          <w:highlight w:val="none"/>
        </w:rPr>
        <w:t>方式进行。</w:t>
      </w:r>
    </w:p>
    <w:p w14:paraId="43FAAF78">
      <w:pPr>
        <w:snapToGrid w:val="0"/>
        <w:spacing w:line="440" w:lineRule="exact"/>
        <w:ind w:firstLine="480" w:firstLineChars="20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1.2 如某一标项投标人或实质性响应招标文件的投标人不足三家时，由采购人重新组织招标或按有关规定实施。</w:t>
      </w:r>
    </w:p>
    <w:p w14:paraId="4834F2BB">
      <w:pPr>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 本次招标设定限价，即招标公告中公布的各标项预算金额或最高限价（各标项之间的预算金额不能互相调整）。</w:t>
      </w:r>
    </w:p>
    <w:p w14:paraId="1F6D577B">
      <w:pPr>
        <w:pStyle w:val="11"/>
        <w:snapToGrid w:val="0"/>
        <w:spacing w:after="0" w:line="440" w:lineRule="exact"/>
        <w:ind w:left="0" w:leftChars="0" w:firstLine="0" w:firstLineChars="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2.授权委托</w:t>
      </w:r>
    </w:p>
    <w:p w14:paraId="64964632">
      <w:pPr>
        <w:pStyle w:val="9"/>
        <w:numPr>
          <w:ilvl w:val="0"/>
          <w:numId w:val="0"/>
        </w:numPr>
        <w:spacing w:afterLines="0"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本项目为电子投标项目，投标人的法定代表人或其授权代表或个体工商户不需要参加现场投标和开标。</w:t>
      </w:r>
    </w:p>
    <w:p w14:paraId="0E1F3B9A">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投标费用</w:t>
      </w:r>
    </w:p>
    <w:p w14:paraId="78DC0CF0">
      <w:pPr>
        <w:pStyle w:val="9"/>
        <w:numPr>
          <w:ilvl w:val="0"/>
          <w:numId w:val="0"/>
        </w:numPr>
        <w:spacing w:afterLines="0"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投标人应自行承担编制投标文件及参加本次投标所涉及的一切费用。不管投标结果如何，招标人对上述费用不负任何责任。</w:t>
      </w:r>
    </w:p>
    <w:p w14:paraId="363B1DE9">
      <w:pPr>
        <w:numPr>
          <w:ilvl w:val="0"/>
          <w:numId w:val="5"/>
        </w:numPr>
        <w:snapToGrid w:val="0"/>
        <w:spacing w:line="44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sz w:val="24"/>
          <w:szCs w:val="24"/>
          <w:highlight w:val="none"/>
        </w:rPr>
        <w:t>招标文件的修改</w:t>
      </w:r>
    </w:p>
    <w:p w14:paraId="385738EC">
      <w:pPr>
        <w:numPr>
          <w:ilvl w:val="0"/>
          <w:numId w:val="0"/>
        </w:numPr>
        <w:snapToGrid w:val="0"/>
        <w:spacing w:line="440" w:lineRule="exact"/>
        <w:jc w:val="left"/>
        <w:rPr>
          <w:rFonts w:hint="eastAsia" w:ascii="宋体" w:hAnsi="宋体" w:eastAsia="宋体" w:cs="宋体"/>
          <w:color w:val="auto"/>
          <w:sz w:val="24"/>
          <w:szCs w:val="24"/>
          <w:highlight w:val="none"/>
          <w:lang w:val="en-US" w:eastAsia="zh-CN"/>
        </w:rPr>
      </w:pPr>
      <w:r>
        <w:rPr>
          <w:rFonts w:hint="eastAsia" w:ascii="宋体" w:hAnsi="宋体" w:cs="宋体"/>
          <w:b w:val="0"/>
          <w:bCs/>
          <w:color w:val="auto"/>
          <w:sz w:val="24"/>
          <w:szCs w:val="24"/>
          <w:highlight w:val="none"/>
          <w:lang w:val="en-US" w:eastAsia="zh-CN"/>
        </w:rPr>
        <w:t>4.1</w:t>
      </w:r>
      <w:r>
        <w:rPr>
          <w:rFonts w:hint="eastAsia" w:ascii="宋体" w:hAnsi="宋体" w:eastAsia="宋体" w:cs="宋体"/>
          <w:color w:val="auto"/>
          <w:sz w:val="24"/>
          <w:szCs w:val="24"/>
          <w:highlight w:val="none"/>
          <w:lang w:val="en-US" w:eastAsia="zh-CN"/>
        </w:rPr>
        <w:t>招标文件包括本招标文件及所有的招标答疑记录（澄清、修改）和发出的补充通知。</w:t>
      </w:r>
    </w:p>
    <w:p w14:paraId="0EE6407F">
      <w:pPr>
        <w:numPr>
          <w:ilvl w:val="0"/>
          <w:numId w:val="0"/>
        </w:numPr>
        <w:snapToGrid w:val="0"/>
        <w:spacing w:line="440" w:lineRule="exact"/>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4.2招标文件的澄清  投标人对招标文件如有疑点要求澄清，可用书面形式（包括并不仅限于纸质、信件和数据电文(包括电报、电传、传真、电子数据交换和电子邮件）等通知招标人，但通知不得迟于开标前7日使招标人收到，招标人将予以答复。如有必要，可将不说明来源的答复发给所有投标人。</w:t>
      </w:r>
    </w:p>
    <w:p w14:paraId="2C38F66D">
      <w:pPr>
        <w:pStyle w:val="9"/>
        <w:keepNext w:val="0"/>
        <w:keepLines w:val="0"/>
        <w:pageBreakBefore w:val="0"/>
        <w:widowControl w:val="0"/>
        <w:numPr>
          <w:ilvl w:val="0"/>
          <w:numId w:val="0"/>
        </w:numPr>
        <w:kinsoku/>
        <w:wordWrap/>
        <w:overflowPunct/>
        <w:topLinePunct w:val="0"/>
        <w:autoSpaceDE/>
        <w:autoSpaceDN/>
        <w:bidi w:val="0"/>
        <w:adjustRightInd/>
        <w:spacing w:line="480" w:lineRule="exac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4.3招标文件的修改</w:t>
      </w:r>
    </w:p>
    <w:p w14:paraId="5CD6B618">
      <w:pPr>
        <w:pStyle w:val="9"/>
        <w:keepNext w:val="0"/>
        <w:keepLines w:val="0"/>
        <w:pageBreakBefore w:val="0"/>
        <w:widowControl w:val="0"/>
        <w:numPr>
          <w:ilvl w:val="0"/>
          <w:numId w:val="0"/>
        </w:numPr>
        <w:kinsoku/>
        <w:wordWrap/>
        <w:overflowPunct/>
        <w:topLinePunct w:val="0"/>
        <w:autoSpaceDE/>
        <w:autoSpaceDN/>
        <w:bidi w:val="0"/>
        <w:adjustRightInd/>
        <w:spacing w:line="480" w:lineRule="exact"/>
        <w:ind w:leftChars="-20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4.3.1在投标截止时间前，招标人有权修改招标文件，</w:t>
      </w:r>
      <w:r>
        <w:rPr>
          <w:rFonts w:hint="eastAsia" w:ascii="宋体" w:hAnsi="宋体" w:eastAsia="宋体" w:cs="宋体"/>
          <w:color w:val="auto"/>
          <w:kern w:val="2"/>
          <w:sz w:val="24"/>
          <w:szCs w:val="24"/>
          <w:highlight w:val="none"/>
          <w:lang w:val="en-US" w:eastAsia="zh-CN" w:bidi="ar-SA"/>
        </w:rPr>
        <w:t>将会在发布招标公告的网站上发布更正公告。澄清或者修改的内容可能影响投标文件编制的，更正公告在提交投标截止时间至少15日前发出；不足15日的，采购人应当顺延提交投标文件的截止时间。</w:t>
      </w:r>
    </w:p>
    <w:p w14:paraId="1E10815C">
      <w:pPr>
        <w:pStyle w:val="9"/>
        <w:keepNext w:val="0"/>
        <w:keepLines w:val="0"/>
        <w:pageBreakBefore w:val="0"/>
        <w:widowControl w:val="0"/>
        <w:numPr>
          <w:ilvl w:val="0"/>
          <w:numId w:val="0"/>
        </w:numPr>
        <w:kinsoku/>
        <w:wordWrap/>
        <w:overflowPunct/>
        <w:topLinePunct w:val="0"/>
        <w:autoSpaceDE/>
        <w:autoSpaceDN/>
        <w:bidi w:val="0"/>
        <w:adjustRightInd/>
        <w:spacing w:line="480" w:lineRule="exact"/>
        <w:ind w:leftChars="-20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4.3.2</w:t>
      </w:r>
      <w:r>
        <w:rPr>
          <w:rFonts w:hint="eastAsia" w:ascii="宋体" w:hAnsi="宋体" w:eastAsia="宋体" w:cs="宋体"/>
          <w:color w:val="auto"/>
          <w:kern w:val="2"/>
          <w:sz w:val="24"/>
          <w:szCs w:val="24"/>
          <w:highlight w:val="none"/>
          <w:lang w:val="en-US" w:eastAsia="zh-CN" w:bidi="ar-SA"/>
        </w:rPr>
        <w:t>更正公告为招标文件的组成部分，一经在网站发布，视同已通知所有招标文件的收受人，不再采用其它方式传达相关信息, 若因未能及时了解到上述网站上发布的相关信息而导致的一切后果自行承担。</w:t>
      </w:r>
    </w:p>
    <w:p w14:paraId="78967F0C">
      <w:pPr>
        <w:pStyle w:val="9"/>
        <w:keepNext w:val="0"/>
        <w:keepLines w:val="0"/>
        <w:pageBreakBefore w:val="0"/>
        <w:widowControl w:val="0"/>
        <w:numPr>
          <w:ilvl w:val="0"/>
          <w:numId w:val="0"/>
        </w:numPr>
        <w:kinsoku/>
        <w:wordWrap/>
        <w:overflowPunct/>
        <w:topLinePunct w:val="0"/>
        <w:autoSpaceDE/>
        <w:autoSpaceDN/>
        <w:bidi w:val="0"/>
        <w:adjustRightInd/>
        <w:spacing w:line="480" w:lineRule="exact"/>
        <w:ind w:leftChars="-200" w:firstLine="480" w:firstLineChars="200"/>
        <w:textAlignment w:val="auto"/>
        <w:rPr>
          <w:rFonts w:hint="eastAsia" w:ascii="宋体" w:hAnsi="宋体" w:eastAsia="宋体" w:cs="宋体"/>
          <w:b/>
          <w:color w:val="auto"/>
          <w:sz w:val="24"/>
          <w:szCs w:val="24"/>
          <w:highlight w:val="none"/>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b/>
          <w:color w:val="auto"/>
          <w:sz w:val="24"/>
          <w:szCs w:val="24"/>
          <w:highlight w:val="none"/>
        </w:rPr>
        <w:t>参考品牌</w:t>
      </w:r>
    </w:p>
    <w:p w14:paraId="3982D62C">
      <w:pPr>
        <w:pStyle w:val="9"/>
        <w:keepNext w:val="0"/>
        <w:keepLines w:val="0"/>
        <w:pageBreakBefore w:val="0"/>
        <w:widowControl w:val="0"/>
        <w:numPr>
          <w:ilvl w:val="0"/>
          <w:numId w:val="0"/>
        </w:numPr>
        <w:kinsoku/>
        <w:wordWrap/>
        <w:overflowPunct/>
        <w:topLinePunct w:val="0"/>
        <w:autoSpaceDE/>
        <w:autoSpaceDN/>
        <w:bidi w:val="0"/>
        <w:adjustRightInd/>
        <w:spacing w:line="480" w:lineRule="exact"/>
        <w:ind w:leftChars="-20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本招标文件如涉及各类品牌、型号，则所述品牌、型号是结合实际现有情况的推荐性参考方案，投标方也可根据招标文件</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w:t>
      </w:r>
    </w:p>
    <w:p w14:paraId="4DECE944">
      <w:pPr>
        <w:snapToGrid w:val="0"/>
        <w:spacing w:line="800" w:lineRule="exact"/>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三、投标文件</w:t>
      </w:r>
    </w:p>
    <w:p w14:paraId="16B90489">
      <w:pPr>
        <w:numPr>
          <w:ilvl w:val="0"/>
          <w:numId w:val="6"/>
        </w:num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投标文件的语言、计量单位、形式及效力</w:t>
      </w:r>
    </w:p>
    <w:p w14:paraId="57C398F6">
      <w:pPr>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1.1投标人应仔细阅读招标文件中的所有内容，按照招标文件要求，详细编制投标文件，并保证投标文件的正确性和真实性。</w:t>
      </w:r>
    </w:p>
    <w:p w14:paraId="76CB5EAB">
      <w:pPr>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 投标文件以及投标方与招标方就有关投标事宜的所有来往函电，均应以中文书写（技术术语除外）。</w:t>
      </w:r>
    </w:p>
    <w:p w14:paraId="5D4C4BE0">
      <w:pPr>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 投标计量单位，除招标文件中有特殊要求外，应采用中华人民共和国法定计量单位，货币单位：人民币元。</w:t>
      </w:r>
    </w:p>
    <w:p w14:paraId="5750FA62">
      <w:pPr>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1.4不按招标文件的要求提供的投标文件可能导致被拒绝。</w:t>
      </w:r>
    </w:p>
    <w:p w14:paraId="367AAFC7">
      <w:pPr>
        <w:snapToGrid w:val="0"/>
        <w:spacing w:line="440" w:lineRule="exact"/>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1.5投标文件的形式和效力</w:t>
      </w:r>
    </w:p>
    <w:p w14:paraId="36A10FC2">
      <w:pPr>
        <w:snapToGrid w:val="0"/>
        <w:spacing w:line="440" w:lineRule="exact"/>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1.5.1投标文件为电子投标文件，电子投标文件按“</w:t>
      </w:r>
      <w:r>
        <w:rPr>
          <w:rFonts w:hint="eastAsia" w:ascii="宋体" w:hAnsi="宋体" w:cs="宋体"/>
          <w:b/>
          <w:color w:val="auto"/>
          <w:sz w:val="24"/>
          <w:szCs w:val="24"/>
          <w:highlight w:val="none"/>
          <w:lang w:val="en-US" w:eastAsia="zh-CN"/>
        </w:rPr>
        <w:t>乐</w:t>
      </w:r>
      <w:r>
        <w:rPr>
          <w:rFonts w:hint="eastAsia" w:ascii="宋体" w:hAnsi="宋体" w:eastAsia="宋体" w:cs="宋体"/>
          <w:b/>
          <w:color w:val="auto"/>
          <w:sz w:val="24"/>
          <w:szCs w:val="24"/>
          <w:highlight w:val="none"/>
        </w:rPr>
        <w:t>采云供应商项目采购-电子招投标操作指南”及本招标文件要求制作、加密传输。</w:t>
      </w:r>
    </w:p>
    <w:p w14:paraId="7978AA4B">
      <w:pPr>
        <w:snapToGrid w:val="0"/>
        <w:spacing w:line="440" w:lineRule="exact"/>
        <w:ind w:firstLine="482" w:firstLineChars="200"/>
        <w:jc w:val="left"/>
        <w:rPr>
          <w:rFonts w:hint="eastAsia" w:ascii="宋体" w:hAnsi="宋体" w:eastAsia="宋体" w:cs="宋体"/>
          <w:b/>
          <w:color w:val="auto"/>
          <w:sz w:val="24"/>
          <w:szCs w:val="24"/>
          <w:highlight w:val="none"/>
          <w:u w:val="single"/>
        </w:rPr>
      </w:pPr>
      <w:r>
        <w:rPr>
          <w:rFonts w:hint="eastAsia" w:ascii="宋体" w:hAnsi="宋体" w:eastAsia="宋体" w:cs="宋体"/>
          <w:b/>
          <w:color w:val="auto"/>
          <w:sz w:val="24"/>
          <w:szCs w:val="24"/>
          <w:highlight w:val="none"/>
          <w:u w:val="single"/>
        </w:rPr>
        <w:t>1.5.2投标文件的效力：</w:t>
      </w:r>
    </w:p>
    <w:p w14:paraId="196334F4">
      <w:pPr>
        <w:snapToGrid w:val="0"/>
        <w:spacing w:line="440" w:lineRule="exact"/>
        <w:ind w:firstLine="472" w:firstLineChars="196"/>
        <w:jc w:val="left"/>
        <w:rPr>
          <w:rFonts w:hint="eastAsia" w:ascii="宋体" w:hAnsi="宋体" w:eastAsia="宋体" w:cs="宋体"/>
          <w:b/>
          <w:color w:val="auto"/>
          <w:sz w:val="24"/>
          <w:szCs w:val="24"/>
          <w:highlight w:val="none"/>
          <w:u w:val="single"/>
        </w:rPr>
      </w:pPr>
      <w:r>
        <w:rPr>
          <w:rFonts w:hint="eastAsia" w:ascii="宋体" w:hAnsi="宋体" w:eastAsia="宋体" w:cs="宋体"/>
          <w:b/>
          <w:color w:val="auto"/>
          <w:sz w:val="24"/>
          <w:szCs w:val="24"/>
          <w:highlight w:val="none"/>
          <w:u w:val="single"/>
        </w:rPr>
        <w:t>投标文件未在投标截止时间前完成传输的，视为投标文件撤回；投标文件未按时解密，亦视为投标文件撤回。</w:t>
      </w:r>
    </w:p>
    <w:p w14:paraId="04F7F86A">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投标文件的组成</w:t>
      </w:r>
    </w:p>
    <w:p w14:paraId="53D2C8DA">
      <w:pPr>
        <w:keepNext w:val="0"/>
        <w:keepLines w:val="0"/>
        <w:pageBreakBefore w:val="0"/>
        <w:widowControl w:val="0"/>
        <w:kinsoku/>
        <w:wordWrap/>
        <w:overflowPunct/>
        <w:topLinePunct w:val="0"/>
        <w:autoSpaceDE/>
        <w:autoSpaceDN/>
        <w:bidi w:val="0"/>
        <w:spacing w:line="480" w:lineRule="exact"/>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投标文件由</w:t>
      </w:r>
      <w:r>
        <w:rPr>
          <w:rFonts w:hint="eastAsia" w:ascii="宋体" w:hAnsi="宋体" w:eastAsia="宋体" w:cs="宋体"/>
          <w:b/>
          <w:bCs/>
          <w:color w:val="auto"/>
          <w:sz w:val="24"/>
          <w:szCs w:val="24"/>
          <w:highlight w:val="none"/>
          <w:lang w:eastAsia="zh-CN"/>
        </w:rPr>
        <w:t>“资格文件”、</w:t>
      </w:r>
      <w:r>
        <w:rPr>
          <w:rFonts w:hint="eastAsia" w:ascii="宋体" w:hAnsi="宋体" w:eastAsia="宋体" w:cs="宋体"/>
          <w:b/>
          <w:bCs/>
          <w:color w:val="auto"/>
          <w:sz w:val="24"/>
          <w:szCs w:val="24"/>
          <w:highlight w:val="none"/>
        </w:rPr>
        <w:t>“商务技术文件资料”、“报价文件资料”</w:t>
      </w:r>
      <w:r>
        <w:rPr>
          <w:rFonts w:hint="eastAsia" w:ascii="宋体" w:hAnsi="宋体" w:eastAsia="宋体" w:cs="宋体"/>
          <w:b/>
          <w:bCs/>
          <w:color w:val="auto"/>
          <w:sz w:val="24"/>
          <w:szCs w:val="24"/>
          <w:highlight w:val="none"/>
          <w:lang w:eastAsia="zh-CN"/>
        </w:rPr>
        <w:t>三</w:t>
      </w:r>
      <w:r>
        <w:rPr>
          <w:rFonts w:hint="eastAsia" w:ascii="宋体" w:hAnsi="宋体" w:eastAsia="宋体" w:cs="宋体"/>
          <w:b/>
          <w:bCs/>
          <w:color w:val="auto"/>
          <w:sz w:val="24"/>
          <w:szCs w:val="24"/>
          <w:highlight w:val="none"/>
        </w:rPr>
        <w:t>部分组成，其中电子投标文件中所须加盖公章部分均应采用电子签章。</w:t>
      </w:r>
    </w:p>
    <w:p w14:paraId="507D7754">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rPr>
        <w:t>2</w:t>
      </w:r>
      <w:r>
        <w:rPr>
          <w:rFonts w:hint="eastAsia" w:ascii="宋体" w:hAnsi="宋体" w:eastAsia="宋体" w:cs="宋体"/>
          <w:b/>
          <w:color w:val="auto"/>
          <w:sz w:val="24"/>
          <w:szCs w:val="24"/>
          <w:highlight w:val="none"/>
          <w:lang w:val="zh-CN"/>
        </w:rPr>
        <w:t>.1资格文件：</w:t>
      </w:r>
    </w:p>
    <w:p w14:paraId="60216A03">
      <w:pPr>
        <w:keepNext w:val="0"/>
        <w:keepLines w:val="0"/>
        <w:pageBreakBefore w:val="0"/>
        <w:widowControl w:val="0"/>
        <w:kinsoku/>
        <w:wordWrap/>
        <w:overflowPunct/>
        <w:topLinePunct w:val="0"/>
        <w:autoSpaceDE/>
        <w:autoSpaceDN/>
        <w:bidi w:val="0"/>
        <w:adjustRightInd w:val="0"/>
        <w:snapToGrid w:val="0"/>
        <w:spacing w:beforeAutospacing="0" w:line="480" w:lineRule="exact"/>
        <w:ind w:left="0" w:leftChars="0" w:firstLine="720" w:firstLineChars="3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.1.1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营业执照扫描件；</w:t>
      </w:r>
    </w:p>
    <w:p w14:paraId="3223472A">
      <w:pPr>
        <w:keepNext w:val="0"/>
        <w:keepLines w:val="0"/>
        <w:pageBreakBefore w:val="0"/>
        <w:widowControl w:val="0"/>
        <w:kinsoku/>
        <w:wordWrap/>
        <w:overflowPunct/>
        <w:topLinePunct w:val="0"/>
        <w:autoSpaceDE/>
        <w:autoSpaceDN/>
        <w:bidi w:val="0"/>
        <w:adjustRightInd w:val="0"/>
        <w:snapToGrid w:val="0"/>
        <w:spacing w:beforeAutospacing="0" w:line="480" w:lineRule="exact"/>
        <w:ind w:left="0" w:leftChars="0" w:firstLine="720" w:firstLineChars="3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2.1.2 </w:t>
      </w:r>
      <w:r>
        <w:rPr>
          <w:rFonts w:hint="eastAsia" w:ascii="宋体" w:cs="宋体"/>
          <w:color w:val="auto"/>
          <w:kern w:val="0"/>
          <w:sz w:val="24"/>
          <w:szCs w:val="24"/>
          <w:highlight w:val="none"/>
        </w:rPr>
        <w:t>具有履行合同所必需的设备和专业技术能力的承诺函</w:t>
      </w:r>
    </w:p>
    <w:p w14:paraId="5713BB99">
      <w:pPr>
        <w:keepNext w:val="0"/>
        <w:keepLines w:val="0"/>
        <w:pageBreakBefore w:val="0"/>
        <w:widowControl w:val="0"/>
        <w:kinsoku/>
        <w:wordWrap/>
        <w:overflowPunct/>
        <w:topLinePunct w:val="0"/>
        <w:autoSpaceDE/>
        <w:autoSpaceDN/>
        <w:bidi w:val="0"/>
        <w:adjustRightInd w:val="0"/>
        <w:snapToGrid w:val="0"/>
        <w:spacing w:beforeAutospacing="0" w:line="480" w:lineRule="exact"/>
        <w:ind w:left="0" w:leftChars="0" w:firstLine="720" w:firstLineChars="3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符合参加采购活动应当具备的一般条件的承诺函；</w:t>
      </w:r>
    </w:p>
    <w:p w14:paraId="1A277978">
      <w:pPr>
        <w:pStyle w:val="17"/>
        <w:keepNext w:val="0"/>
        <w:keepLines w:val="0"/>
        <w:pageBreakBefore w:val="0"/>
        <w:widowControl w:val="0"/>
        <w:kinsoku/>
        <w:wordWrap/>
        <w:overflowPunct/>
        <w:topLinePunct w:val="0"/>
        <w:autoSpaceDE/>
        <w:autoSpaceDN/>
        <w:bidi w:val="0"/>
        <w:spacing w:line="480" w:lineRule="exact"/>
        <w:ind w:left="0" w:leftChars="0" w:right="0" w:firstLine="720" w:firstLineChars="300"/>
        <w:textAlignment w:val="auto"/>
        <w:rPr>
          <w:rFonts w:hint="eastAsia" w:ascii="宋体" w:hAnsi="宋体" w:eastAsia="宋体" w:cs="宋体"/>
          <w:color w:val="auto"/>
          <w:sz w:val="24"/>
          <w:szCs w:val="24"/>
          <w:highlight w:val="none"/>
          <w:u w:val="none"/>
          <w:lang w:val="en-US" w:eastAsia="zh-CN"/>
        </w:rPr>
      </w:pPr>
      <w:r>
        <w:rPr>
          <w:rStyle w:val="36"/>
          <w:rFonts w:hint="eastAsia" w:ascii="宋体" w:hAnsi="宋体" w:eastAsia="宋体" w:cs="宋体"/>
          <w:color w:val="auto"/>
          <w:sz w:val="24"/>
          <w:szCs w:val="24"/>
          <w:highlight w:val="none"/>
          <w:u w:val="none"/>
          <w:lang w:val="en-US" w:eastAsia="zh-CN" w:bidi="ar-SA"/>
        </w:rPr>
        <w:t>2.1.4 特定资格要求</w:t>
      </w:r>
      <w:r>
        <w:rPr>
          <w:rStyle w:val="36"/>
          <w:rFonts w:hint="eastAsia" w:hAnsi="宋体" w:cs="宋体"/>
          <w:color w:val="auto"/>
          <w:sz w:val="24"/>
          <w:szCs w:val="24"/>
          <w:highlight w:val="none"/>
          <w:u w:val="none"/>
          <w:lang w:val="en-US" w:eastAsia="zh-CN" w:bidi="ar-SA"/>
        </w:rPr>
        <w:t>需提供</w:t>
      </w:r>
      <w:r>
        <w:rPr>
          <w:rStyle w:val="36"/>
          <w:rFonts w:hint="eastAsia" w:ascii="宋体" w:hAnsi="宋体" w:eastAsia="宋体" w:cs="宋体"/>
          <w:color w:val="auto"/>
          <w:sz w:val="24"/>
          <w:szCs w:val="24"/>
          <w:highlight w:val="none"/>
          <w:u w:val="none"/>
          <w:lang w:val="en-US" w:eastAsia="zh-CN" w:bidi="ar-SA"/>
        </w:rPr>
        <w:t>的证明材料（</w:t>
      </w:r>
      <w:r>
        <w:rPr>
          <w:rStyle w:val="36"/>
          <w:rFonts w:hint="eastAsia" w:hAnsi="宋体" w:cs="宋体"/>
          <w:color w:val="auto"/>
          <w:sz w:val="24"/>
          <w:szCs w:val="24"/>
          <w:highlight w:val="none"/>
          <w:u w:val="none"/>
          <w:lang w:val="en-US" w:eastAsia="zh-CN" w:bidi="ar-SA"/>
        </w:rPr>
        <w:t>若</w:t>
      </w:r>
      <w:r>
        <w:rPr>
          <w:rStyle w:val="36"/>
          <w:rFonts w:hint="eastAsia" w:ascii="宋体" w:hAnsi="宋体" w:eastAsia="宋体" w:cs="宋体"/>
          <w:color w:val="auto"/>
          <w:sz w:val="24"/>
          <w:szCs w:val="24"/>
          <w:highlight w:val="none"/>
          <w:u w:val="none"/>
          <w:lang w:val="en-US" w:eastAsia="zh-CN" w:bidi="ar-SA"/>
        </w:rPr>
        <w:t>有）。</w:t>
      </w:r>
    </w:p>
    <w:p w14:paraId="3FFBE692">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2.</w:t>
      </w:r>
      <w:r>
        <w:rPr>
          <w:rFonts w:hint="eastAsia" w:ascii="宋体" w:hAnsi="宋体" w:eastAsia="宋体" w:cs="宋体"/>
          <w:b/>
          <w:color w:val="auto"/>
          <w:sz w:val="24"/>
          <w:szCs w:val="24"/>
          <w:highlight w:val="none"/>
        </w:rPr>
        <w:t>2商务技术</w:t>
      </w:r>
      <w:r>
        <w:rPr>
          <w:rFonts w:hint="eastAsia" w:ascii="宋体" w:hAnsi="宋体" w:eastAsia="宋体" w:cs="宋体"/>
          <w:b/>
          <w:color w:val="auto"/>
          <w:sz w:val="24"/>
          <w:szCs w:val="24"/>
          <w:highlight w:val="none"/>
          <w:lang w:val="zh-CN"/>
        </w:rPr>
        <w:t>文件：</w:t>
      </w:r>
    </w:p>
    <w:p w14:paraId="0B5AEB6C">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w:t>
      </w:r>
      <w:r>
        <w:rPr>
          <w:rFonts w:hint="eastAsia" w:ascii="宋体" w:hAnsi="宋体" w:eastAsia="宋体" w:cs="宋体"/>
          <w:color w:val="auto"/>
          <w:sz w:val="24"/>
          <w:szCs w:val="24"/>
          <w:highlight w:val="none"/>
          <w:lang w:val="zh-CN"/>
        </w:rPr>
        <w:t xml:space="preserve"> </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函；</w:t>
      </w:r>
    </w:p>
    <w:p w14:paraId="40F889C2">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法定代表人身份证明书；</w:t>
      </w:r>
    </w:p>
    <w:p w14:paraId="20E8328D">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法定代表人授权委托书</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lang w:eastAsia="zh-CN"/>
        </w:rPr>
        <w:t>授权代表社保证明（</w:t>
      </w:r>
      <w:r>
        <w:rPr>
          <w:rFonts w:hint="eastAsia" w:ascii="宋体" w:hAnsi="宋体" w:eastAsia="宋体" w:cs="宋体"/>
          <w:color w:val="auto"/>
          <w:sz w:val="24"/>
          <w:szCs w:val="24"/>
          <w:highlight w:val="none"/>
          <w:lang w:val="en-US" w:eastAsia="zh-CN"/>
        </w:rPr>
        <w:t>若委托</w:t>
      </w:r>
      <w:r>
        <w:rPr>
          <w:rFonts w:hint="eastAsia" w:ascii="宋体" w:hAnsi="宋体" w:eastAsia="宋体" w:cs="宋体"/>
          <w:color w:val="auto"/>
          <w:sz w:val="24"/>
          <w:szCs w:val="24"/>
          <w:highlight w:val="none"/>
          <w:lang w:eastAsia="zh-CN"/>
        </w:rPr>
        <w:t>）；</w:t>
      </w:r>
    </w:p>
    <w:p w14:paraId="74FDD898">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2.2.4 </w:t>
      </w:r>
      <w:r>
        <w:rPr>
          <w:rFonts w:hint="eastAsia" w:ascii="宋体" w:hAnsi="宋体" w:eastAsia="宋体" w:cs="宋体"/>
          <w:color w:val="auto"/>
          <w:sz w:val="24"/>
          <w:szCs w:val="24"/>
          <w:highlight w:val="none"/>
          <w:lang w:val="en-US" w:eastAsia="zh-CN"/>
        </w:rPr>
        <w:t>法定代表人及其授权代表身份证复印件（正反面）；</w:t>
      </w:r>
    </w:p>
    <w:p w14:paraId="1B01B964">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 xml:space="preserve"> 评分索引表；</w:t>
      </w:r>
    </w:p>
    <w:p w14:paraId="14D094E6">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highlight w:val="none"/>
          <w:lang w:val="en-US" w:eastAsia="zh-CN"/>
        </w:rPr>
        <w:t>商务偏离表</w:t>
      </w:r>
      <w:r>
        <w:rPr>
          <w:rFonts w:hint="eastAsia" w:ascii="宋体" w:hAnsi="宋体" w:eastAsia="宋体" w:cs="宋体"/>
          <w:color w:val="auto"/>
          <w:sz w:val="24"/>
          <w:szCs w:val="24"/>
          <w:highlight w:val="none"/>
          <w:lang w:val="en-US" w:eastAsia="zh-CN"/>
        </w:rPr>
        <w:t>；</w:t>
      </w:r>
    </w:p>
    <w:p w14:paraId="1F71773D">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2.2.7</w:t>
      </w:r>
      <w:r>
        <w:rPr>
          <w:rFonts w:hint="eastAsia" w:ascii="宋体" w:hAnsi="宋体" w:eastAsia="宋体" w:cs="宋体"/>
          <w:color w:val="auto"/>
          <w:highlight w:val="none"/>
          <w:lang w:val="en-US" w:eastAsia="zh-CN"/>
        </w:rPr>
        <w:t>技术偏离表</w:t>
      </w:r>
    </w:p>
    <w:p w14:paraId="1522FB57">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kern w:val="2"/>
          <w:sz w:val="24"/>
          <w:highlight w:val="none"/>
          <w:lang w:val="en-US" w:eastAsia="zh-CN" w:bidi="ar-SA"/>
        </w:rPr>
        <w:t>同类</w:t>
      </w:r>
      <w:r>
        <w:rPr>
          <w:rFonts w:hint="eastAsia" w:ascii="宋体" w:hAnsi="宋体" w:eastAsia="宋体" w:cs="宋体"/>
          <w:color w:val="auto"/>
          <w:kern w:val="2"/>
          <w:sz w:val="24"/>
          <w:highlight w:val="none"/>
          <w:lang w:val="zh-CN" w:eastAsia="zh-CN" w:bidi="ar-SA"/>
        </w:rPr>
        <w:t>业绩证明</w:t>
      </w:r>
      <w:r>
        <w:rPr>
          <w:rFonts w:hint="eastAsia" w:ascii="宋体" w:hAnsi="宋体" w:eastAsia="宋体" w:cs="宋体"/>
          <w:color w:val="auto"/>
          <w:sz w:val="24"/>
          <w:szCs w:val="24"/>
          <w:highlight w:val="none"/>
          <w:lang w:val="en-US" w:eastAsia="zh-CN"/>
        </w:rPr>
        <w:t>；</w:t>
      </w:r>
    </w:p>
    <w:p w14:paraId="2B4EC6BC">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highlight w:val="none"/>
          <w:lang w:val="en-US" w:eastAsia="zh-CN"/>
        </w:rPr>
        <w:t>供应商廉洁自律承诺书；</w:t>
      </w:r>
    </w:p>
    <w:p w14:paraId="40FA2CC4">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2.2.10 </w:t>
      </w:r>
      <w:r>
        <w:rPr>
          <w:rFonts w:hint="eastAsia" w:ascii="宋体" w:hAnsi="宋体" w:eastAsia="宋体" w:cs="宋体"/>
          <w:color w:val="auto"/>
          <w:sz w:val="24"/>
          <w:szCs w:val="24"/>
          <w:highlight w:val="none"/>
        </w:rPr>
        <w:t>综合评价</w:t>
      </w:r>
      <w:r>
        <w:rPr>
          <w:rFonts w:hint="eastAsia" w:ascii="宋体" w:hAnsi="宋体" w:eastAsia="宋体" w:cs="宋体"/>
          <w:color w:val="auto"/>
          <w:sz w:val="24"/>
          <w:szCs w:val="24"/>
          <w:highlight w:val="none"/>
          <w:lang w:val="en-US" w:eastAsia="zh-CN"/>
        </w:rPr>
        <w:t>；</w:t>
      </w:r>
    </w:p>
    <w:p w14:paraId="0A210F05">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2.2.</w:t>
      </w:r>
      <w:r>
        <w:rPr>
          <w:rFonts w:hint="eastAsia" w:ascii="宋体" w:hAnsi="宋体" w:cs="宋体"/>
          <w:b w:val="0"/>
          <w:color w:val="auto"/>
          <w:kern w:val="2"/>
          <w:sz w:val="24"/>
          <w:szCs w:val="24"/>
          <w:highlight w:val="none"/>
          <w:lang w:val="en-US" w:eastAsia="zh-CN" w:bidi="ar-SA"/>
        </w:rPr>
        <w:t>11</w:t>
      </w:r>
      <w:r>
        <w:rPr>
          <w:rFonts w:hint="eastAsia" w:ascii="宋体" w:hAnsi="宋体" w:eastAsia="宋体" w:cs="宋体"/>
          <w:b w:val="0"/>
          <w:color w:val="auto"/>
          <w:kern w:val="2"/>
          <w:sz w:val="24"/>
          <w:szCs w:val="24"/>
          <w:highlight w:val="none"/>
          <w:lang w:val="en-US" w:eastAsia="zh-CN" w:bidi="ar-SA"/>
        </w:rPr>
        <w:t xml:space="preserve"> </w:t>
      </w:r>
      <w:r>
        <w:rPr>
          <w:rFonts w:hint="eastAsia" w:ascii="宋体" w:hAnsi="宋体" w:eastAsia="宋体" w:cs="宋体"/>
          <w:color w:val="auto"/>
          <w:sz w:val="24"/>
          <w:szCs w:val="24"/>
          <w:highlight w:val="none"/>
        </w:rPr>
        <w:t>认证证书</w:t>
      </w:r>
      <w:r>
        <w:rPr>
          <w:rFonts w:hint="eastAsia" w:ascii="宋体" w:hAnsi="宋体" w:eastAsia="宋体" w:cs="宋体"/>
          <w:b w:val="0"/>
          <w:color w:val="auto"/>
          <w:kern w:val="2"/>
          <w:sz w:val="24"/>
          <w:szCs w:val="24"/>
          <w:highlight w:val="none"/>
          <w:lang w:val="en-US" w:eastAsia="zh-CN" w:bidi="ar-SA"/>
        </w:rPr>
        <w:t>；</w:t>
      </w:r>
    </w:p>
    <w:p w14:paraId="7FD213A9">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default"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2.2.1</w:t>
      </w:r>
      <w:r>
        <w:rPr>
          <w:rFonts w:hint="eastAsia" w:ascii="宋体" w:hAnsi="宋体" w:cs="宋体"/>
          <w:b w:val="0"/>
          <w:color w:val="auto"/>
          <w:kern w:val="2"/>
          <w:sz w:val="24"/>
          <w:szCs w:val="24"/>
          <w:highlight w:val="none"/>
          <w:lang w:val="en-US" w:eastAsia="zh-CN" w:bidi="ar-SA"/>
        </w:rPr>
        <w:t>2</w:t>
      </w:r>
      <w:r>
        <w:rPr>
          <w:rFonts w:hint="eastAsia" w:ascii="宋体" w:hAnsi="宋体" w:eastAsia="宋体" w:cs="宋体"/>
          <w:b w:val="0"/>
          <w:color w:val="auto"/>
          <w:kern w:val="2"/>
          <w:sz w:val="24"/>
          <w:szCs w:val="24"/>
          <w:highlight w:val="none"/>
          <w:lang w:val="en-US" w:eastAsia="zh-CN" w:bidi="ar-SA"/>
        </w:rPr>
        <w:t xml:space="preserve"> </w:t>
      </w:r>
      <w:r>
        <w:rPr>
          <w:rFonts w:hint="eastAsia" w:ascii="宋体" w:hAnsi="宋体" w:eastAsia="宋体" w:cs="宋体"/>
          <w:color w:val="auto"/>
          <w:sz w:val="24"/>
          <w:szCs w:val="24"/>
          <w:highlight w:val="none"/>
        </w:rPr>
        <w:t>企业荣誉</w:t>
      </w:r>
      <w:r>
        <w:rPr>
          <w:rFonts w:hint="eastAsia" w:ascii="宋体" w:hAnsi="宋体" w:eastAsia="宋体" w:cs="宋体"/>
          <w:b w:val="0"/>
          <w:color w:val="auto"/>
          <w:kern w:val="2"/>
          <w:sz w:val="24"/>
          <w:szCs w:val="24"/>
          <w:highlight w:val="none"/>
          <w:lang w:val="en-US" w:eastAsia="zh-CN" w:bidi="ar-SA"/>
        </w:rPr>
        <w:t>；</w:t>
      </w:r>
    </w:p>
    <w:p w14:paraId="7FF6F6CF">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2.2.1</w:t>
      </w:r>
      <w:r>
        <w:rPr>
          <w:rFonts w:hint="eastAsia" w:ascii="宋体" w:hAnsi="宋体" w:cs="宋体"/>
          <w:b w:val="0"/>
          <w:color w:val="auto"/>
          <w:kern w:val="2"/>
          <w:sz w:val="24"/>
          <w:szCs w:val="24"/>
          <w:highlight w:val="none"/>
          <w:lang w:val="en-US" w:eastAsia="zh-CN" w:bidi="ar-SA"/>
        </w:rPr>
        <w:t>3</w:t>
      </w:r>
      <w:r>
        <w:rPr>
          <w:rFonts w:hint="eastAsia" w:ascii="宋体" w:hAnsi="宋体" w:eastAsia="宋体" w:cs="宋体"/>
          <w:b w:val="0"/>
          <w:color w:val="auto"/>
          <w:kern w:val="2"/>
          <w:sz w:val="24"/>
          <w:szCs w:val="24"/>
          <w:highlight w:val="none"/>
          <w:lang w:val="en-US" w:eastAsia="zh-CN" w:bidi="ar-SA"/>
        </w:rPr>
        <w:t xml:space="preserve"> </w:t>
      </w:r>
      <w:r>
        <w:rPr>
          <w:rFonts w:hint="eastAsia" w:ascii="宋体" w:hAnsi="宋体" w:eastAsia="宋体" w:cs="宋体"/>
          <w:color w:val="auto"/>
          <w:sz w:val="24"/>
          <w:szCs w:val="24"/>
          <w:highlight w:val="none"/>
          <w:lang w:val="en-US" w:eastAsia="zh-CN"/>
        </w:rPr>
        <w:t>产品性能指标</w:t>
      </w:r>
      <w:r>
        <w:rPr>
          <w:rFonts w:hint="eastAsia" w:ascii="宋体" w:hAnsi="宋体" w:eastAsia="宋体" w:cs="宋体"/>
          <w:b w:val="0"/>
          <w:color w:val="auto"/>
          <w:kern w:val="2"/>
          <w:sz w:val="24"/>
          <w:szCs w:val="24"/>
          <w:highlight w:val="none"/>
          <w:lang w:val="en-US" w:eastAsia="zh-CN" w:bidi="ar-SA"/>
        </w:rPr>
        <w:t>；</w:t>
      </w:r>
    </w:p>
    <w:p w14:paraId="33B27919">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2.2.1</w:t>
      </w:r>
      <w:r>
        <w:rPr>
          <w:rFonts w:hint="eastAsia" w:ascii="宋体" w:hAnsi="宋体" w:cs="宋体"/>
          <w:b w:val="0"/>
          <w:color w:val="auto"/>
          <w:kern w:val="2"/>
          <w:sz w:val="24"/>
          <w:szCs w:val="24"/>
          <w:highlight w:val="none"/>
          <w:lang w:val="en-US" w:eastAsia="zh-CN" w:bidi="ar-SA"/>
        </w:rPr>
        <w:t>4</w:t>
      </w:r>
      <w:r>
        <w:rPr>
          <w:rFonts w:hint="eastAsia" w:ascii="宋体" w:hAnsi="宋体" w:eastAsia="宋体" w:cs="宋体"/>
          <w:b w:val="0"/>
          <w:color w:val="auto"/>
          <w:kern w:val="2"/>
          <w:sz w:val="24"/>
          <w:szCs w:val="24"/>
          <w:highlight w:val="none"/>
          <w:lang w:val="en-US" w:eastAsia="zh-CN" w:bidi="ar-SA"/>
        </w:rPr>
        <w:t xml:space="preserve"> </w:t>
      </w:r>
      <w:r>
        <w:rPr>
          <w:rFonts w:hint="eastAsia" w:ascii="宋体" w:hAnsi="宋体" w:cs="宋体"/>
          <w:color w:val="auto"/>
          <w:sz w:val="24"/>
          <w:highlight w:val="none"/>
          <w:lang w:val="en-US" w:eastAsia="zh-CN"/>
        </w:rPr>
        <w:t>质保期</w:t>
      </w:r>
      <w:r>
        <w:rPr>
          <w:rFonts w:hint="eastAsia" w:ascii="宋体" w:hAnsi="宋体" w:eastAsia="宋体" w:cs="宋体"/>
          <w:b w:val="0"/>
          <w:color w:val="auto"/>
          <w:kern w:val="2"/>
          <w:sz w:val="24"/>
          <w:szCs w:val="24"/>
          <w:highlight w:val="none"/>
          <w:lang w:val="en-US" w:eastAsia="zh-CN" w:bidi="ar-SA"/>
        </w:rPr>
        <w:t>；</w:t>
      </w:r>
    </w:p>
    <w:p w14:paraId="18BB9AC0">
      <w:pPr>
        <w:pStyle w:val="5"/>
        <w:pageBreakBefore w:val="0"/>
        <w:widowControl w:val="0"/>
        <w:kinsoku/>
        <w:wordWrap/>
        <w:overflowPunct/>
        <w:topLinePunct w:val="0"/>
        <w:autoSpaceDE/>
        <w:autoSpaceDN/>
        <w:bidi w:val="0"/>
        <w:spacing w:after="0" w:line="460" w:lineRule="exact"/>
        <w:ind w:firstLine="720" w:firstLineChars="3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2.2.1</w:t>
      </w:r>
      <w:r>
        <w:rPr>
          <w:rFonts w:hint="eastAsia" w:ascii="宋体" w:hAnsi="宋体" w:cs="宋体"/>
          <w:b w:val="0"/>
          <w:color w:val="auto"/>
          <w:kern w:val="2"/>
          <w:sz w:val="24"/>
          <w:szCs w:val="24"/>
          <w:highlight w:val="none"/>
          <w:lang w:val="en-US" w:eastAsia="zh-CN" w:bidi="ar-SA"/>
        </w:rPr>
        <w:t xml:space="preserve">5 </w:t>
      </w:r>
      <w:r>
        <w:rPr>
          <w:rFonts w:hint="eastAsia" w:ascii="宋体" w:hAnsi="宋体" w:eastAsia="宋体" w:cs="宋体"/>
          <w:color w:val="auto"/>
          <w:sz w:val="24"/>
          <w:szCs w:val="24"/>
          <w:highlight w:val="none"/>
        </w:rPr>
        <w:t>特约服务网点</w:t>
      </w:r>
      <w:r>
        <w:rPr>
          <w:rFonts w:hint="eastAsia" w:ascii="宋体" w:hAnsi="宋体" w:eastAsia="宋体" w:cs="宋体"/>
          <w:b w:val="0"/>
          <w:color w:val="auto"/>
          <w:kern w:val="2"/>
          <w:sz w:val="24"/>
          <w:szCs w:val="24"/>
          <w:highlight w:val="none"/>
          <w:lang w:val="en-US" w:eastAsia="zh-CN" w:bidi="ar-SA"/>
        </w:rPr>
        <w:t>；</w:t>
      </w:r>
    </w:p>
    <w:p w14:paraId="774F695F">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2.2.1</w:t>
      </w:r>
      <w:r>
        <w:rPr>
          <w:rFonts w:hint="eastAsia" w:ascii="宋体" w:hAnsi="宋体" w:cs="宋体"/>
          <w:b w:val="0"/>
          <w:color w:val="auto"/>
          <w:kern w:val="2"/>
          <w:sz w:val="24"/>
          <w:szCs w:val="24"/>
          <w:highlight w:val="none"/>
          <w:lang w:val="en-US" w:eastAsia="zh-CN" w:bidi="ar-SA"/>
        </w:rPr>
        <w:t>6</w:t>
      </w:r>
      <w:r>
        <w:rPr>
          <w:rFonts w:hint="eastAsia" w:ascii="宋体" w:hAnsi="宋体" w:eastAsia="宋体" w:cs="宋体"/>
          <w:b w:val="0"/>
          <w:color w:val="auto"/>
          <w:kern w:val="2"/>
          <w:sz w:val="24"/>
          <w:szCs w:val="24"/>
          <w:highlight w:val="none"/>
          <w:lang w:val="en-US" w:eastAsia="zh-CN" w:bidi="ar-SA"/>
        </w:rPr>
        <w:t xml:space="preserve"> </w:t>
      </w:r>
      <w:r>
        <w:rPr>
          <w:rFonts w:hint="eastAsia" w:ascii="宋体" w:hAnsi="宋体" w:eastAsia="宋体" w:cs="宋体"/>
          <w:color w:val="auto"/>
          <w:sz w:val="24"/>
          <w:szCs w:val="24"/>
          <w:highlight w:val="none"/>
        </w:rPr>
        <w:t>售后服务方案</w:t>
      </w:r>
      <w:r>
        <w:rPr>
          <w:rFonts w:hint="eastAsia" w:ascii="宋体" w:hAnsi="宋体" w:eastAsia="宋体" w:cs="宋体"/>
          <w:b w:val="0"/>
          <w:color w:val="auto"/>
          <w:kern w:val="2"/>
          <w:sz w:val="24"/>
          <w:szCs w:val="24"/>
          <w:highlight w:val="none"/>
          <w:lang w:val="en-US" w:eastAsia="zh-CN" w:bidi="ar-SA"/>
        </w:rPr>
        <w:t>；</w:t>
      </w:r>
    </w:p>
    <w:p w14:paraId="01DB2B1E">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2.2.1</w:t>
      </w:r>
      <w:r>
        <w:rPr>
          <w:rFonts w:hint="eastAsia" w:ascii="宋体" w:hAnsi="宋体" w:cs="宋体"/>
          <w:b w:val="0"/>
          <w:color w:val="auto"/>
          <w:kern w:val="2"/>
          <w:sz w:val="24"/>
          <w:szCs w:val="24"/>
          <w:highlight w:val="none"/>
          <w:lang w:val="en-US" w:eastAsia="zh-CN" w:bidi="ar-SA"/>
        </w:rPr>
        <w:t>7</w:t>
      </w:r>
      <w:r>
        <w:rPr>
          <w:rFonts w:hint="eastAsia" w:ascii="宋体" w:hAnsi="宋体" w:eastAsia="宋体" w:cs="宋体"/>
          <w:b w:val="0"/>
          <w:color w:val="auto"/>
          <w:kern w:val="2"/>
          <w:sz w:val="24"/>
          <w:szCs w:val="24"/>
          <w:highlight w:val="none"/>
          <w:lang w:val="en-US" w:eastAsia="zh-CN" w:bidi="ar-SA"/>
        </w:rPr>
        <w:t xml:space="preserve"> </w:t>
      </w:r>
      <w:r>
        <w:rPr>
          <w:rFonts w:hint="eastAsia" w:ascii="宋体" w:hAnsi="宋体" w:eastAsia="宋体" w:cs="宋体"/>
          <w:color w:val="auto"/>
          <w:kern w:val="2"/>
          <w:sz w:val="24"/>
          <w:szCs w:val="24"/>
          <w:highlight w:val="none"/>
          <w:lang w:val="en-US" w:eastAsia="zh-CN" w:bidi="ar-SA"/>
        </w:rPr>
        <w:t>应急响应方案</w:t>
      </w:r>
      <w:r>
        <w:rPr>
          <w:rFonts w:hint="eastAsia" w:ascii="宋体" w:hAnsi="宋体" w:eastAsia="宋体" w:cs="宋体"/>
          <w:b w:val="0"/>
          <w:color w:val="auto"/>
          <w:kern w:val="2"/>
          <w:sz w:val="24"/>
          <w:szCs w:val="24"/>
          <w:highlight w:val="none"/>
          <w:lang w:val="en-US" w:eastAsia="zh-CN" w:bidi="ar-SA"/>
        </w:rPr>
        <w:t>；</w:t>
      </w:r>
    </w:p>
    <w:p w14:paraId="601D5BFB">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2.2.1</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 xml:space="preserve"> 投标人认为需要说明的其他文件和说明（若有）。</w:t>
      </w:r>
    </w:p>
    <w:p w14:paraId="0DC7C592">
      <w:pPr>
        <w:keepNext w:val="0"/>
        <w:keepLines w:val="0"/>
        <w:pageBreakBefore w:val="0"/>
        <w:widowControl w:val="0"/>
        <w:kinsoku/>
        <w:wordWrap/>
        <w:overflowPunct/>
        <w:topLinePunct w:val="0"/>
        <w:autoSpaceDE/>
        <w:autoSpaceDN/>
        <w:bidi w:val="0"/>
        <w:adjustRightInd w:val="0"/>
        <w:snapToGrid w:val="0"/>
        <w:spacing w:line="460" w:lineRule="exact"/>
        <w:ind w:firstLine="482" w:firstLineChars="200"/>
        <w:textAlignment w:val="auto"/>
        <w:rPr>
          <w:rFonts w:hint="eastAsia" w:ascii="宋体" w:hAnsi="宋体" w:eastAsia="宋体" w:cs="宋体"/>
          <w:b/>
          <w:color w:val="auto"/>
          <w:sz w:val="24"/>
          <w:szCs w:val="24"/>
          <w:highlight w:val="none"/>
          <w:lang w:val="zh-CN"/>
        </w:rPr>
      </w:pPr>
      <w:r>
        <w:rPr>
          <w:rFonts w:hint="eastAsia" w:ascii="宋体" w:hAnsi="宋体" w:eastAsia="宋体" w:cs="宋体"/>
          <w:b/>
          <w:bCs/>
          <w:i w:val="0"/>
          <w:iCs w:val="0"/>
          <w:color w:val="auto"/>
          <w:kern w:val="2"/>
          <w:sz w:val="24"/>
          <w:szCs w:val="24"/>
          <w:highlight w:val="none"/>
          <w:vertAlign w:val="baseline"/>
          <w:lang w:val="zh-CN" w:eastAsia="zh-CN" w:bidi="ar-SA"/>
        </w:rPr>
        <w:t xml:space="preserve">2.3报价文件： </w:t>
      </w:r>
    </w:p>
    <w:p w14:paraId="324E4ECB">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2.3.1开标一览表；</w:t>
      </w:r>
    </w:p>
    <w:p w14:paraId="378358E7">
      <w:pPr>
        <w:keepNext w:val="0"/>
        <w:keepLines w:val="0"/>
        <w:pageBreakBefore w:val="0"/>
        <w:widowControl w:val="0"/>
        <w:kinsoku/>
        <w:wordWrap/>
        <w:overflowPunct/>
        <w:topLinePunct w:val="0"/>
        <w:autoSpaceDE/>
        <w:autoSpaceDN/>
        <w:bidi w:val="0"/>
        <w:adjustRightInd w:val="0"/>
        <w:snapToGrid w:val="0"/>
        <w:spacing w:beforeAutospacing="0" w:line="460" w:lineRule="exact"/>
        <w:ind w:left="0" w:leftChars="0" w:firstLine="720" w:firstLineChars="3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2.3.2</w:t>
      </w:r>
      <w:r>
        <w:rPr>
          <w:rFonts w:hint="eastAsia" w:ascii="宋体" w:hAnsi="宋体" w:cs="宋体"/>
          <w:color w:val="auto"/>
          <w:sz w:val="24"/>
          <w:szCs w:val="24"/>
          <w:highlight w:val="none"/>
          <w:lang w:val="en-US" w:eastAsia="zh-CN"/>
        </w:rPr>
        <w:t xml:space="preserve"> </w:t>
      </w:r>
      <w:r>
        <w:rPr>
          <w:rFonts w:hint="eastAsia" w:ascii="宋体" w:hAnsi="宋体"/>
          <w:color w:val="auto"/>
          <w:highlight w:val="none"/>
        </w:rPr>
        <w:t>投标人针对报价需要说明的其他文件和说明</w:t>
      </w:r>
      <w:r>
        <w:rPr>
          <w:rFonts w:hint="eastAsia" w:ascii="宋体" w:hAnsi="宋体"/>
          <w:color w:val="auto"/>
          <w:highlight w:val="none"/>
          <w:lang w:eastAsia="zh-CN"/>
        </w:rPr>
        <w:t>。</w:t>
      </w:r>
    </w:p>
    <w:p w14:paraId="6B596767">
      <w:pPr>
        <w:keepNext w:val="0"/>
        <w:keepLines w:val="0"/>
        <w:pageBreakBefore w:val="0"/>
        <w:widowControl w:val="0"/>
        <w:kinsoku/>
        <w:wordWrap/>
        <w:overflowPunct/>
        <w:topLinePunct w:val="0"/>
        <w:autoSpaceDE/>
        <w:autoSpaceDN/>
        <w:bidi w:val="0"/>
        <w:adjustRightInd w:val="0"/>
        <w:snapToGrid w:val="0"/>
        <w:spacing w:beforeAutospacing="0" w:line="480" w:lineRule="exact"/>
        <w:textAlignment w:val="auto"/>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3. 投标报价</w:t>
      </w:r>
    </w:p>
    <w:p w14:paraId="1159D23F">
      <w:pPr>
        <w:pStyle w:val="17"/>
        <w:keepNext w:val="0"/>
        <w:keepLines w:val="0"/>
        <w:pageBreakBefore w:val="0"/>
        <w:widowControl w:val="0"/>
        <w:kinsoku/>
        <w:wordWrap/>
        <w:overflowPunct/>
        <w:topLinePunct w:val="0"/>
        <w:autoSpaceDE/>
        <w:autoSpaceDN/>
        <w:bidi w:val="0"/>
        <w:spacing w:line="480" w:lineRule="exact"/>
        <w:ind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3.1投标人应按招标文件中《开标一览表》等附表要求填写。</w:t>
      </w:r>
    </w:p>
    <w:p w14:paraId="18931C8C">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80" w:firstLineChars="200"/>
        <w:textAlignment w:val="auto"/>
        <w:rPr>
          <w:color w:val="auto"/>
          <w:highlight w:val="none"/>
        </w:rPr>
      </w:pPr>
      <w:r>
        <w:rPr>
          <w:rFonts w:hint="eastAsia" w:ascii="宋体" w:hAnsi="宋体" w:eastAsia="宋体" w:cs="宋体"/>
          <w:color w:val="auto"/>
          <w:kern w:val="2"/>
          <w:sz w:val="24"/>
          <w:szCs w:val="24"/>
          <w:highlight w:val="none"/>
          <w:lang w:val="en-US" w:eastAsia="zh-CN" w:bidi="ar-SA"/>
        </w:rPr>
        <w:t>3.2报价为采购人可以合格使用产品的价格，</w:t>
      </w:r>
      <w:r>
        <w:rPr>
          <w:rFonts w:hint="eastAsia" w:ascii="宋体" w:hAnsi="宋体" w:eastAsia="宋体" w:cs="宋体"/>
          <w:bCs/>
          <w:color w:val="auto"/>
          <w:sz w:val="24"/>
          <w:szCs w:val="24"/>
          <w:highlight w:val="none"/>
          <w:u w:val="none"/>
        </w:rPr>
        <w:t>包括设计、制造、货物款、</w:t>
      </w:r>
      <w:r>
        <w:rPr>
          <w:rFonts w:hint="eastAsia" w:ascii="宋体" w:hAnsi="宋体" w:eastAsia="宋体" w:cs="宋体"/>
          <w:bCs/>
          <w:color w:val="auto"/>
          <w:sz w:val="24"/>
          <w:szCs w:val="24"/>
          <w:highlight w:val="none"/>
          <w:u w:val="none"/>
          <w:lang w:val="en-US" w:eastAsia="zh-CN"/>
        </w:rPr>
        <w:t>标准附件、</w:t>
      </w:r>
      <w:r>
        <w:rPr>
          <w:rFonts w:hint="eastAsia" w:ascii="宋体" w:hAnsi="宋体" w:eastAsia="宋体" w:cs="宋体"/>
          <w:bCs/>
          <w:color w:val="auto"/>
          <w:sz w:val="24"/>
          <w:szCs w:val="24"/>
          <w:highlight w:val="none"/>
          <w:u w:val="none"/>
        </w:rPr>
        <w:t>质保期内所需耗材、专用工具、送车费（含送车保险）、</w:t>
      </w:r>
      <w:r>
        <w:rPr>
          <w:rFonts w:hint="eastAsia" w:ascii="宋体" w:hAnsi="宋体" w:eastAsia="宋体" w:cs="宋体"/>
          <w:bCs/>
          <w:color w:val="auto"/>
          <w:sz w:val="24"/>
          <w:szCs w:val="24"/>
          <w:highlight w:val="none"/>
          <w:u w:val="none"/>
          <w:lang w:eastAsia="zh-CN"/>
        </w:rPr>
        <w:t>税金（车辆销售税）、</w:t>
      </w:r>
      <w:r>
        <w:rPr>
          <w:rFonts w:hint="eastAsia" w:ascii="宋体" w:hAnsi="宋体" w:eastAsia="宋体" w:cs="宋体"/>
          <w:bCs/>
          <w:color w:val="auto"/>
          <w:sz w:val="24"/>
          <w:szCs w:val="24"/>
          <w:highlight w:val="none"/>
          <w:u w:val="none"/>
        </w:rPr>
        <w:t>包装、</w:t>
      </w:r>
      <w:r>
        <w:rPr>
          <w:rFonts w:hint="eastAsia" w:ascii="宋体" w:hAnsi="宋体" w:eastAsia="宋体" w:cs="宋体"/>
          <w:bCs/>
          <w:color w:val="auto"/>
          <w:sz w:val="24"/>
          <w:szCs w:val="24"/>
          <w:highlight w:val="none"/>
          <w:u w:val="none"/>
          <w:lang w:val="en-US" w:eastAsia="zh-CN"/>
        </w:rPr>
        <w:t>运输</w:t>
      </w:r>
      <w:r>
        <w:rPr>
          <w:rFonts w:hint="eastAsia" w:ascii="宋体" w:hAnsi="宋体" w:eastAsia="宋体" w:cs="宋体"/>
          <w:bCs/>
          <w:color w:val="auto"/>
          <w:sz w:val="24"/>
          <w:szCs w:val="24"/>
          <w:highlight w:val="none"/>
          <w:u w:val="none"/>
        </w:rPr>
        <w:t>装卸就位、安装调试、验收（含第三方验收）、</w:t>
      </w:r>
      <w:r>
        <w:rPr>
          <w:rFonts w:hint="eastAsia" w:ascii="宋体" w:hAnsi="宋体" w:eastAsia="宋体" w:cs="宋体"/>
          <w:bCs/>
          <w:color w:val="auto"/>
          <w:sz w:val="24"/>
          <w:szCs w:val="24"/>
          <w:highlight w:val="none"/>
          <w:u w:val="none"/>
          <w:lang w:val="en-US" w:eastAsia="zh-CN"/>
        </w:rPr>
        <w:t>管理、</w:t>
      </w:r>
      <w:r>
        <w:rPr>
          <w:rFonts w:hint="eastAsia" w:ascii="宋体" w:hAnsi="宋体" w:eastAsia="宋体" w:cs="宋体"/>
          <w:bCs/>
          <w:color w:val="auto"/>
          <w:sz w:val="24"/>
          <w:szCs w:val="24"/>
          <w:highlight w:val="none"/>
          <w:u w:val="none"/>
        </w:rPr>
        <w:t>交付使用、技术服务、培训、售后服务、质保期保障、招标代理服务费等全部费用</w:t>
      </w:r>
      <w:r>
        <w:rPr>
          <w:rFonts w:hint="eastAsia" w:ascii="宋体" w:hAnsi="宋体" w:eastAsia="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但</w:t>
      </w:r>
      <w:r>
        <w:rPr>
          <w:rFonts w:hint="eastAsia" w:ascii="宋体" w:hAnsi="宋体" w:eastAsia="宋体" w:cs="宋体"/>
          <w:bCs/>
          <w:color w:val="auto"/>
          <w:sz w:val="24"/>
          <w:szCs w:val="24"/>
          <w:highlight w:val="none"/>
          <w:u w:val="none"/>
        </w:rPr>
        <w:t>综合单价及总报价不包含保险费、购置税、上牌费、检测费等，国家补贴由投标企业自行申报、领取。</w:t>
      </w:r>
    </w:p>
    <w:p w14:paraId="1CB99A48">
      <w:pPr>
        <w:pStyle w:val="17"/>
        <w:keepNext w:val="0"/>
        <w:keepLines w:val="0"/>
        <w:pageBreakBefore w:val="0"/>
        <w:widowControl w:val="0"/>
        <w:kinsoku/>
        <w:wordWrap/>
        <w:overflowPunct/>
        <w:topLinePunct w:val="0"/>
        <w:autoSpaceDE/>
        <w:autoSpaceDN/>
        <w:bidi w:val="0"/>
        <w:snapToGrid w:val="0"/>
        <w:spacing w:line="48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3.3招标文件未列明，而投标人认为必需的费用也需列入报价。</w:t>
      </w:r>
    </w:p>
    <w:p w14:paraId="236EFE57">
      <w:pPr>
        <w:keepNext w:val="0"/>
        <w:keepLines w:val="0"/>
        <w:pageBreakBefore w:val="0"/>
        <w:widowControl w:val="0"/>
        <w:tabs>
          <w:tab w:val="left" w:pos="525"/>
        </w:tabs>
        <w:kinsoku/>
        <w:wordWrap/>
        <w:overflowPunct/>
        <w:topLinePunct w:val="0"/>
        <w:autoSpaceDE/>
        <w:autoSpaceDN/>
        <w:bidi w:val="0"/>
        <w:spacing w:line="480" w:lineRule="exact"/>
        <w:ind w:firstLine="482"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kern w:val="2"/>
          <w:sz w:val="24"/>
          <w:szCs w:val="24"/>
          <w:highlight w:val="none"/>
          <w:lang w:val="en-US" w:eastAsia="zh-CN" w:bidi="ar-SA"/>
        </w:rPr>
        <w:t>3.4投标报价只允许有一个报价，有选择的报价将不予接受（除指定外）。</w:t>
      </w:r>
    </w:p>
    <w:p w14:paraId="76F33A6D">
      <w:pPr>
        <w:pStyle w:val="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zh-CN" w:eastAsia="zh-CN" w:bidi="ar-SA"/>
        </w:rPr>
        <w:t xml:space="preserve"> </w:t>
      </w:r>
      <w:r>
        <w:rPr>
          <w:rFonts w:hint="eastAsia" w:ascii="宋体" w:hAnsi="宋体" w:eastAsia="宋体" w:cs="宋体"/>
          <w:color w:val="auto"/>
          <w:kern w:val="2"/>
          <w:sz w:val="24"/>
          <w:szCs w:val="24"/>
          <w:highlight w:val="none"/>
          <w:lang w:val="en-US" w:eastAsia="zh-CN" w:bidi="ar-SA"/>
        </w:rPr>
        <w:t>投标文件的编制和签署</w:t>
      </w:r>
    </w:p>
    <w:p w14:paraId="736EB650">
      <w:pPr>
        <w:snapToGrid w:val="0"/>
        <w:spacing w:line="440" w:lineRule="exact"/>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zh-CN" w:eastAsia="zh-CN" w:bidi="ar-SA"/>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C99EBDC">
      <w:pPr>
        <w:snapToGrid w:val="0"/>
        <w:spacing w:line="440" w:lineRule="exact"/>
        <w:ind w:firstLine="480" w:firstLineChars="200"/>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zh-CN" w:eastAsia="zh-CN" w:bidi="ar-SA"/>
        </w:rPr>
        <w:t>.2投标人进行电子投标应安装客户端软件—“</w:t>
      </w:r>
      <w:r>
        <w:rPr>
          <w:rFonts w:hint="eastAsia" w:ascii="宋体" w:hAnsi="宋体" w:cs="宋体"/>
          <w:color w:val="auto"/>
          <w:kern w:val="2"/>
          <w:sz w:val="24"/>
          <w:szCs w:val="24"/>
          <w:highlight w:val="none"/>
          <w:lang w:val="en-US" w:eastAsia="zh-CN" w:bidi="ar-SA"/>
        </w:rPr>
        <w:t>乐</w:t>
      </w:r>
      <w:r>
        <w:rPr>
          <w:rFonts w:hint="eastAsia" w:ascii="宋体" w:hAnsi="宋体" w:eastAsia="宋体" w:cs="宋体"/>
          <w:color w:val="auto"/>
          <w:kern w:val="2"/>
          <w:sz w:val="24"/>
          <w:szCs w:val="24"/>
          <w:highlight w:val="none"/>
          <w:lang w:val="zh-CN" w:eastAsia="zh-CN" w:bidi="ar-SA"/>
        </w:rPr>
        <w:t>采云电子交易客户端”，并按照招标文件和电子交易平台的要求编制并加密投标文件。投标人未按规定加密的投标文件，电子交易平台将拒收并提示。</w:t>
      </w:r>
    </w:p>
    <w:p w14:paraId="377BEBBA">
      <w:pPr>
        <w:snapToGrid w:val="0"/>
        <w:spacing w:line="440" w:lineRule="exact"/>
        <w:ind w:firstLine="480" w:firstLineChars="200"/>
        <w:jc w:val="left"/>
        <w:rPr>
          <w:rFonts w:hint="eastAsia" w:ascii="宋体" w:hAnsi="宋体" w:eastAsia="宋体" w:cs="宋体"/>
          <w:color w:val="auto"/>
          <w:sz w:val="24"/>
          <w:szCs w:val="24"/>
          <w:highlight w:val="none"/>
          <w:lang w:val="zh-CN"/>
        </w:rPr>
      </w:pPr>
      <w:r>
        <w:rPr>
          <w:rFonts w:hint="eastAsia" w:ascii="宋体" w:hAnsi="宋体" w:eastAsia="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zh-CN" w:eastAsia="zh-CN" w:bidi="ar-SA"/>
        </w:rPr>
        <w:t>.3</w:t>
      </w:r>
      <w:r>
        <w:rPr>
          <w:rFonts w:hint="eastAsia" w:ascii="宋体" w:hAnsi="宋体" w:eastAsia="宋体" w:cs="宋体"/>
          <w:color w:val="auto"/>
          <w:sz w:val="24"/>
          <w:szCs w:val="24"/>
          <w:highlight w:val="none"/>
          <w:lang w:val="zh-CN"/>
        </w:rPr>
        <w:t>使用“乐采云电子交易客户端”需要提前申领CA数字证书，申领流程请自行前往“</w:t>
      </w:r>
      <w:r>
        <w:rPr>
          <w:rFonts w:hint="eastAsia" w:ascii="宋体" w:hAnsi="宋体" w:eastAsia="宋体" w:cs="宋体"/>
          <w:color w:val="auto"/>
          <w:kern w:val="2"/>
          <w:sz w:val="24"/>
          <w:szCs w:val="24"/>
          <w:highlight w:val="none"/>
          <w:lang w:val="en-US" w:eastAsia="zh-CN" w:bidi="ar-SA"/>
        </w:rPr>
        <w:t>浙江企业采购信息服务网</w:t>
      </w:r>
      <w:r>
        <w:rPr>
          <w:rFonts w:hint="eastAsia" w:ascii="宋体" w:hAnsi="宋体" w:eastAsia="宋体" w:cs="宋体"/>
          <w:color w:val="auto"/>
          <w:sz w:val="24"/>
          <w:szCs w:val="24"/>
          <w:highlight w:val="none"/>
          <w:lang w:val="zh-CN"/>
        </w:rPr>
        <w:t>-下载专区-电子交易客户端-CA驱动和申领流程”进行查阅。</w:t>
      </w:r>
    </w:p>
    <w:p w14:paraId="0741DB98">
      <w:pPr>
        <w:snapToGrid w:val="0"/>
        <w:spacing w:line="440" w:lineRule="exact"/>
        <w:ind w:firstLine="480" w:firstLineChars="200"/>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4.4</w:t>
      </w:r>
      <w:r>
        <w:rPr>
          <w:rFonts w:hint="eastAsia" w:ascii="宋体" w:hAnsi="宋体" w:eastAsia="宋体" w:cs="宋体"/>
          <w:color w:val="auto"/>
          <w:kern w:val="2"/>
          <w:sz w:val="24"/>
          <w:szCs w:val="24"/>
          <w:highlight w:val="none"/>
          <w:lang w:val="zh-CN" w:eastAsia="zh-CN" w:bidi="ar-SA"/>
        </w:rPr>
        <w:t>投标文件按照招标文件第六部分格式要求进行签署、盖章。投标人的投标文件未按照招标文件要求签署、盖章的，其投标无效。</w:t>
      </w:r>
    </w:p>
    <w:p w14:paraId="1FB94D0C">
      <w:pPr>
        <w:snapToGrid w:val="0"/>
        <w:spacing w:line="440" w:lineRule="exact"/>
        <w:ind w:firstLine="480" w:firstLineChars="200"/>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4.5</w:t>
      </w:r>
      <w:r>
        <w:rPr>
          <w:rFonts w:hint="eastAsia" w:ascii="宋体" w:hAnsi="宋体" w:eastAsia="宋体" w:cs="宋体"/>
          <w:color w:val="auto"/>
          <w:kern w:val="2"/>
          <w:sz w:val="24"/>
          <w:szCs w:val="24"/>
          <w:highlight w:val="none"/>
          <w:lang w:val="zh-CN" w:eastAsia="zh-CN" w:bidi="ar-SA"/>
        </w:rPr>
        <w:t>为确保网上操作合法、有效和安全，投标人应当在投标截止时间前完成在“</w:t>
      </w:r>
      <w:r>
        <w:rPr>
          <w:rFonts w:hint="eastAsia" w:ascii="宋体" w:hAnsi="宋体" w:eastAsia="宋体" w:cs="宋体"/>
          <w:color w:val="auto"/>
          <w:sz w:val="24"/>
          <w:szCs w:val="24"/>
          <w:highlight w:val="none"/>
          <w:lang w:val="zh-CN"/>
        </w:rPr>
        <w:t>乐采云平台”</w:t>
      </w:r>
      <w:r>
        <w:rPr>
          <w:rFonts w:hint="eastAsia" w:ascii="宋体" w:hAnsi="宋体" w:eastAsia="宋体" w:cs="宋体"/>
          <w:color w:val="auto"/>
          <w:kern w:val="2"/>
          <w:sz w:val="24"/>
          <w:szCs w:val="24"/>
          <w:highlight w:val="none"/>
          <w:lang w:val="zh-CN" w:eastAsia="zh-CN" w:bidi="ar-SA"/>
        </w:rPr>
        <w:t>的身份认证，确保在电子投标过程中能够对相关数据电文进行加密和使用电子签名。</w:t>
      </w:r>
    </w:p>
    <w:p w14:paraId="4DC41BBE">
      <w:pPr>
        <w:snapToGrid w:val="0"/>
        <w:spacing w:line="440" w:lineRule="exact"/>
        <w:ind w:firstLine="480" w:firstLineChars="200"/>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4.6</w:t>
      </w:r>
      <w:r>
        <w:rPr>
          <w:rFonts w:hint="eastAsia" w:ascii="宋体" w:hAnsi="宋体" w:eastAsia="宋体" w:cs="宋体"/>
          <w:color w:val="auto"/>
          <w:kern w:val="2"/>
          <w:sz w:val="24"/>
          <w:szCs w:val="24"/>
          <w:highlight w:val="none"/>
          <w:lang w:val="zh-CN" w:eastAsia="zh-CN" w:bidi="ar-SA"/>
        </w:rPr>
        <w:t>招标文件对投标文件签署、盖章的要求适用于电子签名。</w:t>
      </w:r>
    </w:p>
    <w:p w14:paraId="1CE16334">
      <w:pPr>
        <w:pStyle w:val="109"/>
        <w:spacing w:before="0" w:line="440" w:lineRule="exact"/>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 投标文件的提交、补充、修改、撤回</w:t>
      </w:r>
    </w:p>
    <w:p w14:paraId="52B0EB7B">
      <w:pPr>
        <w:snapToGrid w:val="0"/>
        <w:spacing w:line="440" w:lineRule="exact"/>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EEC5E47">
      <w:pPr>
        <w:snapToGrid w:val="0"/>
        <w:spacing w:line="440" w:lineRule="exact"/>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5.2电子交易平台收到投标文件，将妥善保存并即时向供应商发出确认回执通知。在投标截止时间前，除供应商补充、修改或者撤回投标文件外，任何单位和个人不得解密或提取投标文件。</w:t>
      </w:r>
    </w:p>
    <w:p w14:paraId="48CE7B56">
      <w:pPr>
        <w:snapToGrid w:val="0"/>
        <w:spacing w:line="440" w:lineRule="exact"/>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5.3采购人、采购代理机构可以视情况延长投标文件提交的截止时间。在上述情况下，采购代理机构与投标人以前在投标截止期方面的全部权利、责任和义务，将适用于延长至新的投标截止期。</w:t>
      </w:r>
    </w:p>
    <w:p w14:paraId="65BC59B5">
      <w:pPr>
        <w:adjustRightInd w:val="0"/>
        <w:spacing w:line="440" w:lineRule="exact"/>
        <w:ind w:left="0" w:leftChars="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w:t>
      </w:r>
      <w:r>
        <w:rPr>
          <w:rFonts w:hint="default" w:ascii="宋体" w:hAnsi="宋体" w:eastAsia="宋体" w:cs="宋体"/>
          <w:color w:val="auto"/>
          <w:kern w:val="2"/>
          <w:sz w:val="24"/>
          <w:szCs w:val="24"/>
          <w:highlight w:val="none"/>
          <w:lang w:val="en-US" w:eastAsia="zh-CN" w:bidi="ar-SA"/>
        </w:rPr>
        <w:t>.投标有效期</w:t>
      </w:r>
    </w:p>
    <w:p w14:paraId="2EDF9F8C">
      <w:pPr>
        <w:adjustRightInd w:val="0"/>
        <w:snapToGrid w:val="0"/>
        <w:spacing w:line="440" w:lineRule="exact"/>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w:t>
      </w:r>
      <w:r>
        <w:rPr>
          <w:rFonts w:hint="default" w:ascii="宋体" w:hAnsi="宋体" w:eastAsia="宋体" w:cs="宋体"/>
          <w:color w:val="auto"/>
          <w:kern w:val="2"/>
          <w:sz w:val="24"/>
          <w:szCs w:val="24"/>
          <w:highlight w:val="none"/>
          <w:lang w:val="en-US" w:eastAsia="zh-CN" w:bidi="ar-SA"/>
        </w:rPr>
        <w:t>.1投标有效期为从提交投标文件的截止之日起90天。投标人的投标文件中承诺的投标有效期少于招标文件中载明的投标有效期的，投标无效。</w:t>
      </w:r>
    </w:p>
    <w:p w14:paraId="72D4291D">
      <w:pPr>
        <w:adjustRightInd w:val="0"/>
        <w:snapToGrid w:val="0"/>
        <w:spacing w:line="440" w:lineRule="exact"/>
        <w:ind w:firstLine="480" w:firstLineChars="20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w:t>
      </w:r>
      <w:r>
        <w:rPr>
          <w:rFonts w:hint="default" w:ascii="宋体" w:hAnsi="宋体" w:eastAsia="宋体" w:cs="宋体"/>
          <w:color w:val="auto"/>
          <w:kern w:val="2"/>
          <w:sz w:val="24"/>
          <w:szCs w:val="24"/>
          <w:highlight w:val="none"/>
          <w:lang w:val="en-US" w:eastAsia="zh-CN" w:bidi="ar-SA"/>
        </w:rPr>
        <w:t>.2投标文件合格投递后，自投标截止日期起，在投标有效期内有效。</w:t>
      </w:r>
    </w:p>
    <w:p w14:paraId="04D56E0B">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宋体" w:hAnsi="宋体" w:eastAsia="宋体" w:cs="宋体"/>
          <w:color w:val="auto"/>
          <w:kern w:val="2"/>
          <w:sz w:val="24"/>
          <w:szCs w:val="24"/>
          <w:highlight w:val="none"/>
          <w:lang w:val="en-US" w:eastAsia="zh-CN" w:bidi="ar-SA"/>
        </w:rPr>
        <w:t>6</w:t>
      </w:r>
      <w:r>
        <w:rPr>
          <w:rFonts w:hint="default" w:ascii="宋体" w:hAnsi="宋体" w:eastAsia="宋体" w:cs="宋体"/>
          <w:color w:val="auto"/>
          <w:kern w:val="2"/>
          <w:sz w:val="24"/>
          <w:szCs w:val="24"/>
          <w:highlight w:val="no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r>
        <w:rPr>
          <w:rFonts w:hint="default" w:ascii="仿宋" w:hAnsi="仿宋" w:eastAsia="仿宋" w:cs="仿宋"/>
          <w:b w:val="0"/>
          <w:bCs w:val="0"/>
          <w:i w:val="0"/>
          <w:iCs w:val="0"/>
          <w:color w:val="auto"/>
          <w:kern w:val="2"/>
          <w:sz w:val="24"/>
          <w:szCs w:val="24"/>
          <w:highlight w:val="none"/>
          <w:vertAlign w:val="baseline"/>
          <w:lang w:val="en-US" w:eastAsia="zh-CN" w:bidi="ar-SA"/>
        </w:rPr>
        <w:t>。</w:t>
      </w:r>
    </w:p>
    <w:p w14:paraId="05A513BC">
      <w:pPr>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四、开标和评标</w:t>
      </w:r>
    </w:p>
    <w:p w14:paraId="42520481">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1．电子招投标开标及评审程序</w:t>
      </w:r>
    </w:p>
    <w:p w14:paraId="28373105">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1.1投标截止时间后，主持人宣布开标开始。</w:t>
      </w:r>
    </w:p>
    <w:p w14:paraId="7EF24ED2">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1.2投标人登录</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采云平台，用“项目采购-开标评标”功能对电子投标文件进行在线解密。在线解密电子投标文件时间为开标时间起30分钟内。</w:t>
      </w:r>
    </w:p>
    <w:p w14:paraId="233F935E">
      <w:pPr>
        <w:snapToGrid w:val="0"/>
        <w:spacing w:line="480" w:lineRule="exact"/>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1.3评标委员会对资格和商务技术响应文件进行评审</w:t>
      </w:r>
      <w:r>
        <w:rPr>
          <w:rFonts w:hint="eastAsia" w:ascii="宋体" w:hAnsi="宋体" w:eastAsia="宋体" w:cs="宋体"/>
          <w:color w:val="auto"/>
          <w:sz w:val="24"/>
          <w:szCs w:val="24"/>
          <w:highlight w:val="none"/>
          <w:lang w:eastAsia="zh-CN"/>
        </w:rPr>
        <w:t>。</w:t>
      </w:r>
    </w:p>
    <w:p w14:paraId="1BF42CE0">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1.4主持人宣布商务技术得分及无效（废）投标情形（如有），公布经商务技术（资信）评审符合招标文件要求的投标人名单及其商务技术得分。</w:t>
      </w:r>
    </w:p>
    <w:p w14:paraId="6BF5D1A2">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1.5启封报价文件资料，主持人宣读投标人名称、投标价格和投标文件的其他内容。未宣读的投标报价和招标文件未允许提供的备选投标方案等实质性内容，评标时不予承认。</w:t>
      </w:r>
    </w:p>
    <w:p w14:paraId="1010834A">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1.6评标委员会对投标文件报价文件资料进行评审，核准投标报价及计算价格分，汇总商务技术分、价格分，根据得分排序确定中标候选人。</w:t>
      </w:r>
    </w:p>
    <w:p w14:paraId="6D7A039D">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1.7主持人公布评标结果。</w:t>
      </w:r>
    </w:p>
    <w:p w14:paraId="62C31FC4">
      <w:pPr>
        <w:snapToGrid w:val="0"/>
        <w:spacing w:line="48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特别说明：</w:t>
      </w:r>
      <w:r>
        <w:rPr>
          <w:rFonts w:hint="eastAsia" w:ascii="宋体" w:hAnsi="宋体" w:cs="宋体"/>
          <w:b/>
          <w:color w:val="auto"/>
          <w:sz w:val="24"/>
          <w:szCs w:val="24"/>
          <w:highlight w:val="none"/>
          <w:lang w:val="en-US" w:eastAsia="zh-CN"/>
        </w:rPr>
        <w:t>乐</w:t>
      </w:r>
      <w:r>
        <w:rPr>
          <w:rFonts w:hint="eastAsia" w:ascii="宋体" w:hAnsi="宋体" w:eastAsia="宋体" w:cs="宋体"/>
          <w:b/>
          <w:color w:val="auto"/>
          <w:sz w:val="24"/>
          <w:szCs w:val="24"/>
          <w:highlight w:val="none"/>
        </w:rPr>
        <w:t>采云公司如对电子化开标及评审程序有调整的，按调整后的程序操作。</w:t>
      </w:r>
    </w:p>
    <w:p w14:paraId="51942E71">
      <w:pPr>
        <w:snapToGrid w:val="0"/>
        <w:spacing w:line="48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2.采购过程中出现以下情形，导致电子交易平台无法正常运行，或者无法保证电子交易的公平、公正和安全时，采购组织机构可中止电子交易活动：</w:t>
      </w:r>
    </w:p>
    <w:p w14:paraId="44B0315C">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2.1电子交易平台发生故障而无法登录访问的； </w:t>
      </w:r>
    </w:p>
    <w:p w14:paraId="3F33FF6C">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2.2电子交易平台应用或数据库出现错误，不能进行正常操作的；</w:t>
      </w:r>
    </w:p>
    <w:p w14:paraId="0CB07634">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2.3电子交易平台发现严重安全漏洞，有潜在泄密危险的；</w:t>
      </w:r>
    </w:p>
    <w:p w14:paraId="696E04EC">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2.4病毒发作导致不能进行正常操作的； </w:t>
      </w:r>
    </w:p>
    <w:p w14:paraId="228D19F2">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2.5其他无法保证电子交易的公平、公正和安全的情况。</w:t>
      </w:r>
    </w:p>
    <w:p w14:paraId="45C3FC05">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14:paraId="6ACCCFC7">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3．评标</w:t>
      </w:r>
    </w:p>
    <w:p w14:paraId="441F6A88">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3.1评标委员会由招标采购单位依法组建，负责评标活动。评标委员会遵循公开、公平、公正、科学合理、竞争择优的原则。</w:t>
      </w:r>
    </w:p>
    <w:p w14:paraId="5817F68A">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3.2评标委员会由采购人代表和有关方面的专家组成，成员人数为五人以上单数。</w:t>
      </w:r>
    </w:p>
    <w:p w14:paraId="7756E56B">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3.3评标委员会负责对投标人资格的最终审定。</w:t>
      </w:r>
    </w:p>
    <w:p w14:paraId="08BC3D87">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3.4评标委员会可以要求投标人对其投标文件中含义不明确的内容作必要的澄清或者说明，但澄清或者说明不得超过投标文件的范围或者改变投标文件的实质性内容。</w:t>
      </w:r>
    </w:p>
    <w:p w14:paraId="440848FA">
      <w:pPr>
        <w:spacing w:line="48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评审中需要供应商对投标、响应文件作出澄清、说明或者补正的，评标委员会和供应商应当通过</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采云平台交换数据电文。给予供应商提交澄清说明或补正的时间不少于半小时，供应商已经明确表示澄清说明或补正完毕的除外。</w:t>
      </w:r>
    </w:p>
    <w:p w14:paraId="74409A98">
      <w:pPr>
        <w:spacing w:line="48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供应商通过</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采云平台交换的数据电文必须进行电子签章。</w:t>
      </w:r>
    </w:p>
    <w:p w14:paraId="1BF563AD">
      <w:pPr>
        <w:widowControl/>
        <w:snapToGrid w:val="0"/>
        <w:spacing w:line="48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3.5</w:t>
      </w:r>
      <w:r>
        <w:rPr>
          <w:rFonts w:hint="eastAsia" w:ascii="宋体" w:hAnsi="宋体" w:eastAsia="宋体" w:cs="宋体"/>
          <w:color w:val="auto"/>
          <w:sz w:val="24"/>
          <w:szCs w:val="24"/>
          <w:highlight w:val="none"/>
        </w:rPr>
        <w:t>评标委员会</w:t>
      </w:r>
      <w:r>
        <w:rPr>
          <w:rFonts w:hint="eastAsia" w:ascii="宋体" w:hAnsi="宋体" w:eastAsia="宋体" w:cs="宋体"/>
          <w:color w:val="auto"/>
          <w:kern w:val="0"/>
          <w:sz w:val="24"/>
          <w:szCs w:val="24"/>
          <w:highlight w:val="none"/>
        </w:rPr>
        <w:t>对投标文件的判定，只依据投标文件和招标文件内容本身，不依据任何外来证明。</w:t>
      </w:r>
    </w:p>
    <w:p w14:paraId="24C76D8F">
      <w:pPr>
        <w:widowControl/>
        <w:snapToGrid w:val="0"/>
        <w:spacing w:line="480" w:lineRule="exac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3.6评标委员会不向落标方解释落标的原因。</w:t>
      </w:r>
    </w:p>
    <w:p w14:paraId="6F7F6A46">
      <w:pPr>
        <w:snapToGrid w:val="0"/>
        <w:spacing w:line="48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4．投标文件的初审鉴定</w:t>
      </w:r>
    </w:p>
    <w:p w14:paraId="467EA25B">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4.1资格性审查</w:t>
      </w:r>
    </w:p>
    <w:p w14:paraId="17A85873">
      <w:pPr>
        <w:snapToGrid w:val="0"/>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4.1.1依据法律、法规和招标文件规定，采购人或采购人代表对投标人进行资格审查，以确定投标人是否具备投标资格。</w:t>
      </w:r>
    </w:p>
    <w:p w14:paraId="0B0B76F0">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4.2符合性审查</w:t>
      </w:r>
    </w:p>
    <w:p w14:paraId="7E305B0E">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C1C8904">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4.3如果投标文件实质不响应招标文件的各项要求，评标委员会将予以拒绝，并且不允许投标人通过修改或撤销其不符合要求的差异或保留，使之成为具有实质性响应的投标。</w:t>
      </w:r>
    </w:p>
    <w:p w14:paraId="39BFF81E">
      <w:pPr>
        <w:spacing w:line="48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 xml:space="preserve">5. </w:t>
      </w:r>
      <w:r>
        <w:rPr>
          <w:rFonts w:hint="eastAsia" w:ascii="宋体" w:hAnsi="宋体" w:eastAsia="宋体" w:cs="宋体"/>
          <w:b/>
          <w:color w:val="auto"/>
          <w:sz w:val="24"/>
          <w:szCs w:val="24"/>
          <w:highlight w:val="none"/>
        </w:rPr>
        <w:t>投标文件报价出现前后不一致的，按照下列规定修正：</w:t>
      </w:r>
    </w:p>
    <w:p w14:paraId="1CF29393">
      <w:pPr>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5.1投标文件中开标一览表（报价表）内容与投标文件中相应内容不一致的，以开标一览表（报价表）为准；</w:t>
      </w:r>
    </w:p>
    <w:p w14:paraId="63183AE2">
      <w:pPr>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5.2大写金额和小写金额不一致的，以大写金额为准；</w:t>
      </w:r>
    </w:p>
    <w:p w14:paraId="0A97AC93">
      <w:pPr>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5.3单价金额小数点或者百分比有明显错位的，以开标一览表的总价为准，并修改单价；</w:t>
      </w:r>
    </w:p>
    <w:p w14:paraId="18D47C9F">
      <w:pPr>
        <w:spacing w:line="4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5.4总价金额与按单价汇总金额不一致的，以单价金额计算结果为准。</w:t>
      </w:r>
    </w:p>
    <w:p w14:paraId="6DC54533">
      <w:pPr>
        <w:spacing w:line="440" w:lineRule="exact"/>
        <w:ind w:firstLine="48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同时出现两种以上不一致的，按照前款规定的顺序修正。</w:t>
      </w:r>
      <w:r>
        <w:rPr>
          <w:rFonts w:hint="eastAsia" w:ascii="宋体" w:hAnsi="宋体" w:eastAsia="宋体" w:cs="宋体"/>
          <w:bCs/>
          <w:color w:val="auto"/>
          <w:sz w:val="24"/>
          <w:szCs w:val="24"/>
          <w:highlight w:val="none"/>
        </w:rPr>
        <w:t>修正后的报价</w:t>
      </w:r>
      <w:r>
        <w:rPr>
          <w:rFonts w:hint="eastAsia" w:ascii="宋体" w:hAnsi="宋体" w:cs="宋体"/>
          <w:bCs/>
          <w:color w:val="auto"/>
          <w:sz w:val="24"/>
          <w:szCs w:val="24"/>
          <w:highlight w:val="none"/>
          <w:lang w:val="en-US" w:eastAsia="zh-CN"/>
        </w:rPr>
        <w:t>参</w:t>
      </w:r>
      <w:r>
        <w:rPr>
          <w:rFonts w:hint="eastAsia" w:ascii="宋体" w:hAnsi="宋体" w:eastAsia="宋体" w:cs="宋体"/>
          <w:bCs/>
          <w:color w:val="auto"/>
          <w:sz w:val="24"/>
          <w:szCs w:val="24"/>
          <w:highlight w:val="none"/>
        </w:rPr>
        <w:t>照财政部公布第87号令 《政府采购货物和服务招标投标管理办法》</w:t>
      </w:r>
      <w:r>
        <w:rPr>
          <w:rFonts w:hint="eastAsia" w:ascii="宋体" w:hAnsi="宋体" w:eastAsia="宋体" w:cs="宋体"/>
          <w:color w:val="auto"/>
          <w:sz w:val="24"/>
          <w:szCs w:val="24"/>
          <w:highlight w:val="none"/>
        </w:rPr>
        <w:t>第五十一条第二款的规定经投标人确认后产生约束力，投标人不确认的，其投标无效。</w:t>
      </w:r>
    </w:p>
    <w:p w14:paraId="221478C1">
      <w:pPr>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6.投标文件的评审、比较和否决</w:t>
      </w:r>
    </w:p>
    <w:p w14:paraId="33D3F4CF">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6.1评标委员会将对在实质上响应招标文件要求的投标文件进行评估和比较。</w:t>
      </w:r>
    </w:p>
    <w:p w14:paraId="52EACE6B">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6.2在评审过程中，评标委员会可以书面形式要求投标人就投标文件含义不明确的内容可对其通过</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采云平台进行书面说明并提供相关材料，但不得超过投标文件的范围或者改变投标文件的实质性内容。</w:t>
      </w:r>
    </w:p>
    <w:p w14:paraId="0AFE64E7">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6.3在评标过程中，如发现与招标文件要求相偏离的，评标委员会可对其偏离情形进行必要的核实。</w:t>
      </w:r>
    </w:p>
    <w:p w14:paraId="22E61FE1">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6.4在评审过程中，如属于实质性偏离或符合无效响应条件的，应当询问相关投标人，并可对其通过</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采云平台进行线上确认，但不允许对偏离条款进行补充、修正或撤回。</w:t>
      </w:r>
    </w:p>
    <w:p w14:paraId="149C6BE1">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6.5比较与评价。评标委员会应当按照评标标准，对符合性审查合格的投标文件进行商务和技术评估，综合比较与评价。</w:t>
      </w:r>
    </w:p>
    <w:p w14:paraId="313C1C9E">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6.6汇总（商务技术得分情况）。评标委员会各成员应当独立对每个投标人的商务技术（资信）文件进行评价，并汇总商务技术得分情况。</w:t>
      </w:r>
    </w:p>
    <w:p w14:paraId="661EAD63">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6.7 报价审核。对符合采购需求且通过商务技术（资信）评审的投标人的报价的合理性、准确性等进行审查核实。</w:t>
      </w:r>
    </w:p>
    <w:p w14:paraId="4CCE45F2">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6.7.1评标委员会认为投标人的报价明显低于其他通过符合性审查投标人的报价，有可能影响产品质量或者不能诚信履约的，应当要求其在评标现场合理的时间内通过</w:t>
      </w:r>
      <w:r>
        <w:rPr>
          <w:rFonts w:hint="eastAsia" w:ascii="宋体" w:hAnsi="宋体" w:cs="宋体"/>
          <w:color w:val="auto"/>
          <w:sz w:val="24"/>
          <w:szCs w:val="24"/>
          <w:highlight w:val="none"/>
          <w:lang w:val="en-US" w:eastAsia="zh-CN"/>
        </w:rPr>
        <w:t>乐</w:t>
      </w:r>
      <w:r>
        <w:rPr>
          <w:rFonts w:hint="eastAsia" w:ascii="宋体" w:hAnsi="宋体" w:eastAsia="宋体" w:cs="宋体"/>
          <w:color w:val="auto"/>
          <w:sz w:val="24"/>
          <w:szCs w:val="24"/>
          <w:highlight w:val="none"/>
        </w:rPr>
        <w:t>采云平台提供线上说明，必要时提交相关证明材料。</w:t>
      </w:r>
    </w:p>
    <w:p w14:paraId="606459B0">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6.7.3如需投标价格修正，按财政部87号令第五十九条的规定对投标价格进行修正。</w:t>
      </w:r>
    </w:p>
    <w:p w14:paraId="5790D58B">
      <w:pPr>
        <w:spacing w:line="48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6.8评标委员会依据招标文件规定的评标标准和方法，对投标文件进行评审和比较后提供书面评标报告，并按得分高低排序推荐中标候选供应商。</w:t>
      </w:r>
    </w:p>
    <w:p w14:paraId="178899CE">
      <w:pPr>
        <w:pStyle w:val="9"/>
        <w:widowControl w:val="0"/>
        <w:numPr>
          <w:ilvl w:val="0"/>
          <w:numId w:val="0"/>
        </w:numPr>
        <w:spacing w:afterLines="0" w:line="440" w:lineRule="exact"/>
        <w:ind w:leftChars="-200"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7.投标文件的澄清</w:t>
      </w:r>
    </w:p>
    <w:p w14:paraId="36618C52">
      <w:pPr>
        <w:pStyle w:val="9"/>
        <w:widowControl w:val="0"/>
        <w:spacing w:afterLines="0"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06E7068D">
      <w:pPr>
        <w:pStyle w:val="17"/>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8.无效投标的情形</w:t>
      </w:r>
    </w:p>
    <w:p w14:paraId="5560C403">
      <w:pPr>
        <w:tabs>
          <w:tab w:val="left" w:pos="4085"/>
        </w:tabs>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投标文件有下列情形之一的作无效投标处理：</w:t>
      </w:r>
    </w:p>
    <w:p w14:paraId="48E43019">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8.1未按照招标文件规定要求电子签章、签字或盖章的；</w:t>
      </w:r>
    </w:p>
    <w:p w14:paraId="0D859F22">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8.2单位负责人为同一人或者存在直接控股、管理关系的不同供应商参加同一合同项下的采购活动的（均无效）；</w:t>
      </w:r>
    </w:p>
    <w:p w14:paraId="7600C928">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8.3为采购项目提供整体设计、规范编制或者项目管理、监理、检测等服务的供应商参加该采购项目的其他采购活动的； </w:t>
      </w:r>
    </w:p>
    <w:p w14:paraId="48DB6988">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8.4投标人不具备招标文件中规定的资格要求的（投标人未提供有效的资格证明文件的，视为投标人不具备招标文件中规定的资格要求）；</w:t>
      </w:r>
    </w:p>
    <w:p w14:paraId="2C04DA36">
      <w:pPr>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8.5《法定代表人身份证明书》与提供的身份证复印件信息不符的；《法定代表人授权委托书》与提供的身份证复印件信息不符的；</w:t>
      </w:r>
    </w:p>
    <w:p w14:paraId="0F48C076">
      <w:pPr>
        <w:snapToGrid w:val="0"/>
        <w:spacing w:line="44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8.6《法定代表人授权委托书》或《法定代表人身份证明书》填写不全、错误、未电子签章(《法定代表人授权委托书》要求“电子签章”和“签字或盖章”缺一不可）的；</w:t>
      </w:r>
    </w:p>
    <w:p w14:paraId="7721E1D1">
      <w:pPr>
        <w:snapToGrid w:val="0"/>
        <w:spacing w:line="44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8.7授权代表非投标单位正式职工的（以社保证明为准，如授权代表为离退休返聘人员的，需提供退休证明及单位聘用证明），法定代表人及个体工商户除外；</w:t>
      </w:r>
    </w:p>
    <w:p w14:paraId="2F262B3F">
      <w:pPr>
        <w:tabs>
          <w:tab w:val="left" w:pos="3870"/>
          <w:tab w:val="left" w:pos="4085"/>
        </w:tabs>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8.8投标文件中的投标函无投标人的电子签章或填写不全的；</w:t>
      </w:r>
    </w:p>
    <w:p w14:paraId="557CB7EF">
      <w:pPr>
        <w:tabs>
          <w:tab w:val="left" w:pos="3870"/>
          <w:tab w:val="left" w:pos="4085"/>
        </w:tabs>
        <w:snapToGrid w:val="0"/>
        <w:spacing w:line="44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8.9报</w:t>
      </w:r>
      <w:r>
        <w:rPr>
          <w:rFonts w:hint="eastAsia" w:ascii="宋体" w:hAnsi="宋体" w:eastAsia="宋体" w:cs="宋体"/>
          <w:b/>
          <w:color w:val="auto"/>
          <w:sz w:val="24"/>
          <w:szCs w:val="24"/>
          <w:highlight w:val="none"/>
        </w:rPr>
        <w:t>价一经涂改，未在涂改处加盖投标单位公章或者未经法定代表人或其授权代表签字或盖章的；</w:t>
      </w:r>
    </w:p>
    <w:p w14:paraId="01009DE3">
      <w:pPr>
        <w:tabs>
          <w:tab w:val="left" w:pos="3870"/>
          <w:tab w:val="left" w:pos="4085"/>
        </w:tabs>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8.10</w:t>
      </w:r>
      <w:r>
        <w:rPr>
          <w:rFonts w:hint="eastAsia" w:ascii="宋体" w:hAnsi="宋体" w:eastAsia="宋体" w:cs="宋体"/>
          <w:b/>
          <w:color w:val="auto"/>
          <w:sz w:val="24"/>
          <w:szCs w:val="24"/>
          <w:highlight w:val="none"/>
        </w:rPr>
        <w:t>未按招标文件规定的格式填写，或对招标服务或技术或产品等要求未详细应答或应答内容不全、有缺失的,经评标委员会认定为无法评审的；</w:t>
      </w:r>
    </w:p>
    <w:p w14:paraId="53FBA55B">
      <w:pPr>
        <w:pStyle w:val="17"/>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8.11出现同一标的物或本次招标产品(服务)内的主要产品(重要组成部分)出现商务技术（资信）文件资料、报价文件资料描述不一致或前后描述不一致，经评标委员会认定后为无法评审的；</w:t>
      </w:r>
    </w:p>
    <w:p w14:paraId="36734209">
      <w:pPr>
        <w:pStyle w:val="17"/>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8.12《技术偏离说明表》不真实填写或弄虚作假的；</w:t>
      </w:r>
    </w:p>
    <w:p w14:paraId="48557F16">
      <w:pPr>
        <w:tabs>
          <w:tab w:val="left" w:pos="3870"/>
          <w:tab w:val="left" w:pos="4085"/>
        </w:tabs>
        <w:snapToGrid w:val="0"/>
        <w:spacing w:line="44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sz w:val="24"/>
          <w:szCs w:val="24"/>
          <w:highlight w:val="none"/>
        </w:rPr>
        <w:t>8.13投</w:t>
      </w:r>
      <w:r>
        <w:rPr>
          <w:rFonts w:hint="eastAsia" w:ascii="宋体" w:hAnsi="宋体" w:eastAsia="宋体" w:cs="宋体"/>
          <w:b/>
          <w:color w:val="auto"/>
          <w:kern w:val="0"/>
          <w:sz w:val="24"/>
          <w:szCs w:val="24"/>
          <w:highlight w:val="none"/>
        </w:rPr>
        <w:t>标文件含有采购人不能接受的附加条件；</w:t>
      </w:r>
    </w:p>
    <w:p w14:paraId="7571838F">
      <w:pPr>
        <w:tabs>
          <w:tab w:val="left" w:pos="3870"/>
          <w:tab w:val="left" w:pos="4085"/>
        </w:tabs>
        <w:snapToGrid w:val="0"/>
        <w:spacing w:line="440" w:lineRule="exact"/>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8.14评</w:t>
      </w:r>
      <w:r>
        <w:rPr>
          <w:rFonts w:hint="eastAsia" w:ascii="宋体" w:hAnsi="宋体" w:eastAsia="宋体" w:cs="宋体"/>
          <w:b/>
          <w:color w:val="auto"/>
          <w:sz w:val="24"/>
          <w:szCs w:val="24"/>
          <w:highlight w:val="none"/>
        </w:rPr>
        <w:t>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14:paraId="29BF37D6">
      <w:pPr>
        <w:tabs>
          <w:tab w:val="left" w:pos="3870"/>
          <w:tab w:val="left" w:pos="4085"/>
        </w:tabs>
        <w:snapToGrid w:val="0"/>
        <w:spacing w:line="440" w:lineRule="exact"/>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8.15报价超过招标文件中规定的预算金额或最高限价的；</w:t>
      </w:r>
    </w:p>
    <w:p w14:paraId="1FDAB75C">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8.16投标文件“商务技术（资信）文件资料”部分中出现《开标一览表》相关内容的；</w:t>
      </w:r>
    </w:p>
    <w:p w14:paraId="4E47B3E1">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8.1</w:t>
      </w:r>
      <w:r>
        <w:rPr>
          <w:rFonts w:hint="eastAsia" w:ascii="宋体" w:hAnsi="宋体" w:cs="宋体"/>
          <w:b/>
          <w:color w:val="auto"/>
          <w:sz w:val="24"/>
          <w:szCs w:val="24"/>
          <w:highlight w:val="none"/>
          <w:lang w:val="en-US" w:eastAsia="zh-CN"/>
        </w:rPr>
        <w:t>7</w:t>
      </w:r>
      <w:r>
        <w:rPr>
          <w:rFonts w:hint="eastAsia" w:ascii="宋体" w:hAnsi="宋体" w:eastAsia="宋体" w:cs="宋体"/>
          <w:b/>
          <w:color w:val="auto"/>
          <w:sz w:val="24"/>
          <w:szCs w:val="24"/>
          <w:highlight w:val="none"/>
        </w:rPr>
        <w:t>《开标一览表》填写不完整或字迹不能辨认或有漏项的，经评标委员会认定属于重大偏差的；</w:t>
      </w:r>
    </w:p>
    <w:p w14:paraId="674B0B98">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8.1</w:t>
      </w:r>
      <w:r>
        <w:rPr>
          <w:rFonts w:hint="eastAsia" w:ascii="宋体" w:hAnsi="宋体" w:cs="宋体"/>
          <w:b/>
          <w:color w:val="auto"/>
          <w:sz w:val="24"/>
          <w:szCs w:val="24"/>
          <w:highlight w:val="none"/>
          <w:lang w:val="en-US" w:eastAsia="zh-CN"/>
        </w:rPr>
        <w:t>8</w:t>
      </w:r>
      <w:r>
        <w:rPr>
          <w:rFonts w:hint="eastAsia" w:ascii="宋体" w:hAnsi="宋体" w:eastAsia="宋体" w:cs="宋体"/>
          <w:b/>
          <w:color w:val="auto"/>
          <w:sz w:val="24"/>
          <w:szCs w:val="24"/>
          <w:highlight w:val="none"/>
        </w:rPr>
        <w:t>投标人对根据修正原则修正后的报价不确认的；</w:t>
      </w:r>
    </w:p>
    <w:p w14:paraId="7A57455E">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w:t>
      </w:r>
      <w:r>
        <w:rPr>
          <w:rFonts w:hint="eastAsia" w:ascii="宋体" w:hAnsi="宋体" w:cs="宋体"/>
          <w:b/>
          <w:color w:val="auto"/>
          <w:sz w:val="24"/>
          <w:szCs w:val="24"/>
          <w:highlight w:val="none"/>
          <w:lang w:val="en-US" w:eastAsia="zh-CN"/>
        </w:rPr>
        <w:t>19</w:t>
      </w:r>
      <w:r>
        <w:rPr>
          <w:rFonts w:hint="eastAsia" w:ascii="宋体" w:hAnsi="宋体" w:eastAsia="宋体" w:cs="宋体"/>
          <w:b/>
          <w:color w:val="auto"/>
          <w:sz w:val="24"/>
          <w:szCs w:val="24"/>
          <w:highlight w:val="none"/>
        </w:rPr>
        <w:t>投标人提供虚假材料投标的（包括但不限于以下情节）；</w:t>
      </w:r>
    </w:p>
    <w:p w14:paraId="6FA199C1">
      <w:pPr>
        <w:keepNext w:val="0"/>
        <w:keepLines w:val="0"/>
        <w:pageBreakBefore w:val="0"/>
        <w:tabs>
          <w:tab w:val="left" w:pos="3870"/>
          <w:tab w:val="left" w:pos="4085"/>
        </w:tabs>
        <w:kinsoku/>
        <w:wordWrap/>
        <w:overflowPunct/>
        <w:topLinePunct w:val="0"/>
        <w:bidi w:val="0"/>
        <w:adjustRightInd/>
        <w:snapToGrid w:val="0"/>
        <w:spacing w:line="440" w:lineRule="exact"/>
        <w:ind w:firstLine="470" w:firstLineChars="19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8.20.1使用伪造、变造的许可证件；</w:t>
      </w:r>
    </w:p>
    <w:p w14:paraId="1FC948E7">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8.20.2提供虚假的财务状况或者业绩；</w:t>
      </w:r>
    </w:p>
    <w:p w14:paraId="282C685B">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8.20.3提供虚假的项目负责人或者主要技术人员简历、劳动关系证明；</w:t>
      </w:r>
    </w:p>
    <w:p w14:paraId="144A4695">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8.20.4提供虚假的信用状况；</w:t>
      </w:r>
    </w:p>
    <w:p w14:paraId="3C584C98">
      <w:pPr>
        <w:keepNext w:val="0"/>
        <w:keepLines w:val="0"/>
        <w:pageBreakBefore w:val="0"/>
        <w:tabs>
          <w:tab w:val="left" w:pos="3870"/>
          <w:tab w:val="left" w:pos="4085"/>
        </w:tabs>
        <w:kinsoku/>
        <w:wordWrap/>
        <w:overflowPunct/>
        <w:topLinePunct w:val="0"/>
        <w:bidi w:val="0"/>
        <w:adjustRightInd/>
        <w:snapToGrid w:val="0"/>
        <w:spacing w:line="44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8.20.5其他弄虚作假的行为。</w:t>
      </w:r>
    </w:p>
    <w:p w14:paraId="77AF71EE">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8.2</w:t>
      </w:r>
      <w:r>
        <w:rPr>
          <w:rFonts w:hint="eastAsia" w:ascii="宋体" w:hAnsi="宋体" w:cs="宋体"/>
          <w:b/>
          <w:color w:val="auto"/>
          <w:sz w:val="24"/>
          <w:szCs w:val="24"/>
          <w:highlight w:val="none"/>
          <w:lang w:val="en-US" w:eastAsia="zh-CN"/>
        </w:rPr>
        <w:t>0</w:t>
      </w:r>
      <w:r>
        <w:rPr>
          <w:rFonts w:hint="eastAsia" w:ascii="宋体" w:hAnsi="宋体" w:eastAsia="宋体" w:cs="宋体"/>
          <w:b/>
          <w:color w:val="auto"/>
          <w:sz w:val="24"/>
          <w:szCs w:val="24"/>
          <w:highlight w:val="none"/>
        </w:rPr>
        <w:t>下列情形之一的，视为投标人串通投标，其投标无效：</w:t>
      </w:r>
    </w:p>
    <w:p w14:paraId="6A058523">
      <w:pPr>
        <w:keepNext w:val="0"/>
        <w:keepLines w:val="0"/>
        <w:pageBreakBefore w:val="0"/>
        <w:tabs>
          <w:tab w:val="left" w:pos="3870"/>
          <w:tab w:val="left" w:pos="4085"/>
        </w:tabs>
        <w:kinsoku/>
        <w:wordWrap/>
        <w:overflowPunct/>
        <w:topLinePunct w:val="0"/>
        <w:bidi w:val="0"/>
        <w:adjustRightInd/>
        <w:snapToGrid w:val="0"/>
        <w:spacing w:line="440" w:lineRule="exact"/>
        <w:ind w:firstLine="422" w:firstLineChars="17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.1不同投标人的投标文件由同一单位或者个人编制；</w:t>
      </w:r>
    </w:p>
    <w:p w14:paraId="64CE2E38">
      <w:pPr>
        <w:keepNext w:val="0"/>
        <w:keepLines w:val="0"/>
        <w:pageBreakBefore w:val="0"/>
        <w:tabs>
          <w:tab w:val="left" w:pos="3870"/>
          <w:tab w:val="left" w:pos="4085"/>
        </w:tabs>
        <w:kinsoku/>
        <w:wordWrap/>
        <w:overflowPunct/>
        <w:topLinePunct w:val="0"/>
        <w:bidi w:val="0"/>
        <w:adjustRightInd/>
        <w:snapToGrid w:val="0"/>
        <w:spacing w:line="440" w:lineRule="exact"/>
        <w:ind w:firstLine="422" w:firstLineChars="17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.2不同投标人委托同一单位或者个人办理投标事宜；</w:t>
      </w:r>
    </w:p>
    <w:p w14:paraId="79BC98BE">
      <w:pPr>
        <w:keepNext w:val="0"/>
        <w:keepLines w:val="0"/>
        <w:pageBreakBefore w:val="0"/>
        <w:tabs>
          <w:tab w:val="left" w:pos="3870"/>
          <w:tab w:val="left" w:pos="4085"/>
        </w:tabs>
        <w:kinsoku/>
        <w:wordWrap/>
        <w:overflowPunct/>
        <w:topLinePunct w:val="0"/>
        <w:bidi w:val="0"/>
        <w:adjustRightInd/>
        <w:snapToGrid w:val="0"/>
        <w:spacing w:line="440" w:lineRule="exact"/>
        <w:ind w:firstLine="422" w:firstLineChars="17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.3不同投标人的投标文件载明的项目管理成员或者联系人员为同一人；</w:t>
      </w:r>
    </w:p>
    <w:p w14:paraId="757999C3">
      <w:pPr>
        <w:keepNext w:val="0"/>
        <w:keepLines w:val="0"/>
        <w:pageBreakBefore w:val="0"/>
        <w:tabs>
          <w:tab w:val="left" w:pos="3870"/>
          <w:tab w:val="left" w:pos="4085"/>
        </w:tabs>
        <w:kinsoku/>
        <w:wordWrap/>
        <w:overflowPunct/>
        <w:topLinePunct w:val="0"/>
        <w:bidi w:val="0"/>
        <w:adjustRightInd/>
        <w:snapToGrid w:val="0"/>
        <w:spacing w:line="440" w:lineRule="exact"/>
        <w:ind w:firstLine="422" w:firstLineChars="17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.4不同投标人的投标文件异常一致或者投标报价呈规律性差异；</w:t>
      </w:r>
    </w:p>
    <w:p w14:paraId="6E0E6A9B">
      <w:pPr>
        <w:keepNext w:val="0"/>
        <w:keepLines w:val="0"/>
        <w:pageBreakBefore w:val="0"/>
        <w:tabs>
          <w:tab w:val="left" w:pos="3870"/>
          <w:tab w:val="left" w:pos="4085"/>
        </w:tabs>
        <w:kinsoku/>
        <w:wordWrap/>
        <w:overflowPunct/>
        <w:topLinePunct w:val="0"/>
        <w:bidi w:val="0"/>
        <w:adjustRightInd/>
        <w:snapToGrid w:val="0"/>
        <w:spacing w:line="440" w:lineRule="exact"/>
        <w:ind w:firstLine="422" w:firstLineChars="17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.5不同投标人的投标文件相互混装；</w:t>
      </w:r>
    </w:p>
    <w:p w14:paraId="6E7F6642">
      <w:pPr>
        <w:keepNext w:val="0"/>
        <w:keepLines w:val="0"/>
        <w:pageBreakBefore w:val="0"/>
        <w:tabs>
          <w:tab w:val="left" w:pos="3870"/>
          <w:tab w:val="left" w:pos="4085"/>
        </w:tabs>
        <w:kinsoku/>
        <w:wordWrap/>
        <w:overflowPunct/>
        <w:topLinePunct w:val="0"/>
        <w:bidi w:val="0"/>
        <w:adjustRightInd/>
        <w:snapToGrid w:val="0"/>
        <w:spacing w:line="440" w:lineRule="exact"/>
        <w:ind w:firstLine="422" w:firstLineChars="176"/>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6有二份及二份以上投标文件的相互之间有特别相同或相似之处②两家或两家以上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p>
    <w:p w14:paraId="512531CF">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8.2</w:t>
      </w:r>
      <w:r>
        <w:rPr>
          <w:rFonts w:hint="eastAsia" w:ascii="宋体" w:hAnsi="宋体" w:cs="宋体"/>
          <w:b/>
          <w:color w:val="auto"/>
          <w:sz w:val="24"/>
          <w:szCs w:val="24"/>
          <w:highlight w:val="none"/>
          <w:lang w:val="en-US" w:eastAsia="zh-CN"/>
        </w:rPr>
        <w:t>1</w:t>
      </w:r>
      <w:r>
        <w:rPr>
          <w:rFonts w:hint="eastAsia" w:ascii="宋体" w:hAnsi="宋体" w:eastAsia="宋体" w:cs="宋体"/>
          <w:b/>
          <w:color w:val="auto"/>
          <w:sz w:val="24"/>
          <w:szCs w:val="24"/>
          <w:highlight w:val="none"/>
        </w:rPr>
        <w:t>有下列情形之一的，属于恶意串通，其投标无效：</w:t>
      </w:r>
    </w:p>
    <w:p w14:paraId="51FF7CBF">
      <w:pPr>
        <w:keepNext w:val="0"/>
        <w:keepLines w:val="0"/>
        <w:pageBreakBefore w:val="0"/>
        <w:kinsoku/>
        <w:wordWrap/>
        <w:overflowPunct/>
        <w:topLinePunct w:val="0"/>
        <w:bidi w:val="0"/>
        <w:adjustRightIn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.1供应商直接或者间接从采购人或者采购机构处获得其他供应商的相关情况并修改其投标文件或者响应文件；</w:t>
      </w:r>
    </w:p>
    <w:p w14:paraId="24978AF3">
      <w:pPr>
        <w:keepNext w:val="0"/>
        <w:keepLines w:val="0"/>
        <w:pageBreakBefore w:val="0"/>
        <w:kinsoku/>
        <w:wordWrap/>
        <w:overflowPunct/>
        <w:topLinePunct w:val="0"/>
        <w:bidi w:val="0"/>
        <w:adjustRightIn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.2供应商按照采购人或者采购机构的授意撤换、修改投标文件或者响应文件；</w:t>
      </w:r>
    </w:p>
    <w:p w14:paraId="58CF1F8C">
      <w:pPr>
        <w:keepNext w:val="0"/>
        <w:keepLines w:val="0"/>
        <w:pageBreakBefore w:val="0"/>
        <w:kinsoku/>
        <w:wordWrap/>
        <w:overflowPunct/>
        <w:topLinePunct w:val="0"/>
        <w:bidi w:val="0"/>
        <w:adjustRightIn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.3供应商之间协商报价、技术方案等投标文件或者响应文件的实质性内容；</w:t>
      </w:r>
    </w:p>
    <w:p w14:paraId="55CBEDEC">
      <w:pPr>
        <w:keepNext w:val="0"/>
        <w:keepLines w:val="0"/>
        <w:pageBreakBefore w:val="0"/>
        <w:kinsoku/>
        <w:wordWrap/>
        <w:overflowPunct/>
        <w:topLinePunct w:val="0"/>
        <w:bidi w:val="0"/>
        <w:adjustRightIn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.4属于同一集团、协会、商会等组织成员的供应商按照该组织要求协同参加采购活动；</w:t>
      </w:r>
    </w:p>
    <w:p w14:paraId="41103173">
      <w:pPr>
        <w:keepNext w:val="0"/>
        <w:keepLines w:val="0"/>
        <w:pageBreakBefore w:val="0"/>
        <w:kinsoku/>
        <w:wordWrap/>
        <w:overflowPunct/>
        <w:topLinePunct w:val="0"/>
        <w:bidi w:val="0"/>
        <w:adjustRightIn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.5供应商之间事先约定由某一特定供应商中标、成交；</w:t>
      </w:r>
    </w:p>
    <w:p w14:paraId="00B75FA6">
      <w:pPr>
        <w:keepNext w:val="0"/>
        <w:keepLines w:val="0"/>
        <w:pageBreakBefore w:val="0"/>
        <w:kinsoku/>
        <w:wordWrap/>
        <w:overflowPunct/>
        <w:topLinePunct w:val="0"/>
        <w:bidi w:val="0"/>
        <w:adjustRightIn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.6供应商之间商定部分供应商放弃参加采购活动或者放弃中标、成交；</w:t>
      </w:r>
    </w:p>
    <w:p w14:paraId="099E4E5E">
      <w:pPr>
        <w:keepNext w:val="0"/>
        <w:keepLines w:val="0"/>
        <w:pageBreakBefore w:val="0"/>
        <w:tabs>
          <w:tab w:val="left" w:pos="3870"/>
          <w:tab w:val="left" w:pos="4085"/>
        </w:tabs>
        <w:kinsoku/>
        <w:wordWrap/>
        <w:overflowPunct/>
        <w:topLinePunct w:val="0"/>
        <w:bidi w:val="0"/>
        <w:adjustRightInd/>
        <w:snapToGrid w:val="0"/>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.7供应商与采购人或者采购机构之间、供应商相互之间，为谋求特定供应商中标、成交或者排斥其他供应商的其他串通行为。</w:t>
      </w:r>
    </w:p>
    <w:p w14:paraId="379EA7DE">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8.2</w:t>
      </w:r>
      <w:r>
        <w:rPr>
          <w:rFonts w:hint="eastAsia" w:ascii="宋体" w:hAnsi="宋体" w:cs="宋体"/>
          <w:b/>
          <w:color w:val="auto"/>
          <w:sz w:val="24"/>
          <w:szCs w:val="24"/>
          <w:highlight w:val="none"/>
          <w:lang w:val="en-US" w:eastAsia="zh-CN"/>
        </w:rPr>
        <w:t>2</w:t>
      </w:r>
      <w:r>
        <w:rPr>
          <w:rFonts w:hint="eastAsia" w:ascii="宋体" w:hAnsi="宋体" w:eastAsia="宋体" w:cs="宋体"/>
          <w:b/>
          <w:color w:val="auto"/>
          <w:sz w:val="24"/>
          <w:szCs w:val="24"/>
          <w:highlight w:val="none"/>
        </w:rPr>
        <w:t>评标委员会认定有重大偏差或实质性不响应招标文件要求的；</w:t>
      </w:r>
    </w:p>
    <w:p w14:paraId="605E3EC1">
      <w:pPr>
        <w:keepNext w:val="0"/>
        <w:keepLines w:val="0"/>
        <w:pageBreakBefore w:val="0"/>
        <w:tabs>
          <w:tab w:val="left" w:pos="3870"/>
          <w:tab w:val="left" w:pos="4085"/>
        </w:tabs>
        <w:kinsoku/>
        <w:wordWrap/>
        <w:overflowPunct/>
        <w:topLinePunct w:val="0"/>
        <w:bidi w:val="0"/>
        <w:adjustRightInd/>
        <w:snapToGrid w:val="0"/>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8.2</w:t>
      </w:r>
      <w:r>
        <w:rPr>
          <w:rFonts w:hint="eastAsia" w:ascii="宋体" w:hAnsi="宋体" w:cs="宋体"/>
          <w:b/>
          <w:color w:val="auto"/>
          <w:sz w:val="24"/>
          <w:szCs w:val="24"/>
          <w:highlight w:val="none"/>
          <w:lang w:val="en-US" w:eastAsia="zh-CN"/>
        </w:rPr>
        <w:t>3</w:t>
      </w:r>
      <w:r>
        <w:rPr>
          <w:rFonts w:hint="eastAsia" w:ascii="宋体" w:hAnsi="宋体" w:eastAsia="宋体" w:cs="宋体"/>
          <w:b/>
          <w:color w:val="auto"/>
          <w:sz w:val="24"/>
          <w:szCs w:val="24"/>
          <w:highlight w:val="none"/>
        </w:rPr>
        <w:t>报价文件中出现2个(含)以上的报价或方案的；</w:t>
      </w:r>
    </w:p>
    <w:p w14:paraId="657F4C58">
      <w:pPr>
        <w:keepNext w:val="0"/>
        <w:keepLines w:val="0"/>
        <w:pageBreakBefore w:val="0"/>
        <w:kinsoku/>
        <w:wordWrap/>
        <w:overflowPunct/>
        <w:topLinePunct w:val="0"/>
        <w:bidi w:val="0"/>
        <w:adjustRightIn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8.2</w:t>
      </w:r>
      <w:r>
        <w:rPr>
          <w:rFonts w:hint="eastAsia" w:ascii="宋体" w:hAnsi="宋体" w:cs="宋体"/>
          <w:b/>
          <w:color w:val="auto"/>
          <w:sz w:val="24"/>
          <w:szCs w:val="24"/>
          <w:highlight w:val="none"/>
          <w:lang w:val="en-US" w:eastAsia="zh-CN"/>
        </w:rPr>
        <w:t>4</w:t>
      </w:r>
      <w:r>
        <w:rPr>
          <w:rFonts w:hint="eastAsia" w:ascii="宋体" w:hAnsi="宋体" w:eastAsia="宋体" w:cs="宋体"/>
          <w:b/>
          <w:color w:val="auto"/>
          <w:sz w:val="24"/>
          <w:szCs w:val="24"/>
          <w:highlight w:val="none"/>
        </w:rPr>
        <w:t>其他违反法律、法规的情形。</w:t>
      </w:r>
    </w:p>
    <w:p w14:paraId="474117C8">
      <w:pPr>
        <w:keepNext w:val="0"/>
        <w:keepLines w:val="0"/>
        <w:pageBreakBefore w:val="0"/>
        <w:kinsoku/>
        <w:wordWrap/>
        <w:overflowPunct/>
        <w:topLinePunct w:val="0"/>
        <w:bidi w:val="0"/>
        <w:adjustRightInd/>
        <w:snapToGrid w:val="0"/>
        <w:spacing w:line="440" w:lineRule="exact"/>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9. 评标过程保密</w:t>
      </w:r>
    </w:p>
    <w:p w14:paraId="79BA9B16">
      <w:pPr>
        <w:keepNext w:val="0"/>
        <w:keepLines w:val="0"/>
        <w:pageBreakBefore w:val="0"/>
        <w:kinsoku/>
        <w:wordWrap/>
        <w:overflowPunct/>
        <w:topLinePunct w:val="0"/>
        <w:bidi w:val="0"/>
        <w:adjustRightInd/>
        <w:snapToGrid w:val="0"/>
        <w:spacing w:line="4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9.1</w:t>
      </w:r>
      <w:r>
        <w:rPr>
          <w:rFonts w:hint="eastAsia" w:ascii="宋体" w:hAnsi="宋体" w:eastAsia="宋体" w:cs="宋体"/>
          <w:color w:val="auto"/>
          <w:sz w:val="24"/>
          <w:szCs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7925FEC">
      <w:pPr>
        <w:keepNext w:val="0"/>
        <w:keepLines w:val="0"/>
        <w:pageBreakBefore w:val="0"/>
        <w:kinsoku/>
        <w:wordWrap/>
        <w:overflowPunct/>
        <w:topLinePunct w:val="0"/>
        <w:bidi w:val="0"/>
        <w:adjustRightInd/>
        <w:snapToGrid w:val="0"/>
        <w:spacing w:line="4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9.2 在评标期间，投标人企图影响招标人或</w:t>
      </w:r>
      <w:r>
        <w:rPr>
          <w:rFonts w:hint="eastAsia" w:ascii="宋体" w:hAnsi="宋体" w:eastAsia="宋体" w:cs="宋体"/>
          <w:color w:val="auto"/>
          <w:sz w:val="24"/>
          <w:szCs w:val="24"/>
          <w:highlight w:val="none"/>
        </w:rPr>
        <w:t>评标委员会</w:t>
      </w:r>
      <w:r>
        <w:rPr>
          <w:rFonts w:hint="eastAsia" w:ascii="宋体" w:hAnsi="宋体" w:eastAsia="宋体" w:cs="宋体"/>
          <w:color w:val="auto"/>
          <w:kern w:val="0"/>
          <w:sz w:val="24"/>
          <w:szCs w:val="24"/>
          <w:highlight w:val="none"/>
        </w:rPr>
        <w:t>的任何活动，都将导致投标被拒绝，并由其承担相应的法律责任。</w:t>
      </w:r>
    </w:p>
    <w:p w14:paraId="3DCAA212">
      <w:pPr>
        <w:pStyle w:val="17"/>
        <w:keepNext w:val="0"/>
        <w:keepLines w:val="0"/>
        <w:pageBreakBefore w:val="0"/>
        <w:kinsoku/>
        <w:wordWrap/>
        <w:overflowPunct/>
        <w:topLinePunct w:val="0"/>
        <w:bidi w:val="0"/>
        <w:adjustRightInd/>
        <w:spacing w:line="440" w:lineRule="exact"/>
        <w:ind w:firstLine="726"/>
        <w:jc w:val="center"/>
        <w:textAlignment w:val="auto"/>
        <w:rPr>
          <w:rFonts w:hint="eastAsia" w:ascii="宋体" w:hAnsi="宋体" w:eastAsia="宋体" w:cs="宋体"/>
          <w:b/>
          <w:color w:val="auto"/>
          <w:sz w:val="24"/>
          <w:szCs w:val="24"/>
          <w:highlight w:val="none"/>
        </w:rPr>
      </w:pPr>
      <w:bookmarkStart w:id="31" w:name="_Toc84325929"/>
      <w:bookmarkStart w:id="32" w:name="_Toc81372776"/>
      <w:bookmarkStart w:id="33" w:name="_Toc81372953"/>
      <w:r>
        <w:rPr>
          <w:rFonts w:hint="eastAsia" w:ascii="宋体" w:hAnsi="宋体" w:eastAsia="宋体" w:cs="宋体"/>
          <w:b/>
          <w:color w:val="auto"/>
          <w:sz w:val="24"/>
          <w:szCs w:val="24"/>
          <w:highlight w:val="none"/>
        </w:rPr>
        <w:t>五、授予合同</w:t>
      </w:r>
    </w:p>
    <w:p w14:paraId="49930A09">
      <w:pPr>
        <w:pStyle w:val="9"/>
        <w:keepNext w:val="0"/>
        <w:keepLines w:val="0"/>
        <w:pageBreakBefore w:val="0"/>
        <w:numPr>
          <w:ilvl w:val="0"/>
          <w:numId w:val="0"/>
        </w:numPr>
        <w:kinsoku/>
        <w:wordWrap/>
        <w:overflowPunct/>
        <w:topLinePunct w:val="0"/>
        <w:bidi w:val="0"/>
        <w:adjustRightInd/>
        <w:spacing w:afterLines="0" w:line="440" w:lineRule="exact"/>
        <w:ind w:left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1.中标条件</w:t>
      </w:r>
    </w:p>
    <w:p w14:paraId="4D20906A">
      <w:pPr>
        <w:pStyle w:val="9"/>
        <w:keepNext w:val="0"/>
        <w:keepLines w:val="0"/>
        <w:pageBreakBefore w:val="0"/>
        <w:numPr>
          <w:ilvl w:val="0"/>
          <w:numId w:val="0"/>
        </w:numPr>
        <w:kinsoku/>
        <w:wordWrap/>
        <w:overflowPunct/>
        <w:topLinePunct w:val="0"/>
        <w:bidi w:val="0"/>
        <w:adjustRightInd/>
        <w:spacing w:afterLines="0" w:line="440" w:lineRule="exact"/>
        <w:ind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1.1投标文件基本符合招标文件要求；</w:t>
      </w:r>
    </w:p>
    <w:p w14:paraId="608427A1">
      <w:pPr>
        <w:pStyle w:val="9"/>
        <w:keepNext w:val="0"/>
        <w:keepLines w:val="0"/>
        <w:pageBreakBefore w:val="0"/>
        <w:numPr>
          <w:ilvl w:val="0"/>
          <w:numId w:val="0"/>
        </w:numPr>
        <w:kinsoku/>
        <w:wordWrap/>
        <w:overflowPunct/>
        <w:topLinePunct w:val="0"/>
        <w:bidi w:val="0"/>
        <w:adjustRightInd/>
        <w:spacing w:afterLines="0" w:line="440" w:lineRule="exact"/>
        <w:ind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1.2投标人有很好的执行合同的能力；</w:t>
      </w:r>
    </w:p>
    <w:p w14:paraId="009ACC56">
      <w:pPr>
        <w:pStyle w:val="9"/>
        <w:keepNext w:val="0"/>
        <w:keepLines w:val="0"/>
        <w:pageBreakBefore w:val="0"/>
        <w:numPr>
          <w:ilvl w:val="0"/>
          <w:numId w:val="0"/>
        </w:numPr>
        <w:kinsoku/>
        <w:wordWrap/>
        <w:overflowPunct/>
        <w:topLinePunct w:val="0"/>
        <w:bidi w:val="0"/>
        <w:adjustRightInd/>
        <w:spacing w:afterLines="0" w:line="440" w:lineRule="exact"/>
        <w:ind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1.3实施方案最合理并对招标人最为有利，最大限度满足招标文件的要求；</w:t>
      </w:r>
    </w:p>
    <w:p w14:paraId="04722087">
      <w:pPr>
        <w:pStyle w:val="9"/>
        <w:keepNext w:val="0"/>
        <w:keepLines w:val="0"/>
        <w:pageBreakBefore w:val="0"/>
        <w:numPr>
          <w:ilvl w:val="0"/>
          <w:numId w:val="0"/>
        </w:numPr>
        <w:kinsoku/>
        <w:wordWrap/>
        <w:overflowPunct/>
        <w:topLinePunct w:val="0"/>
        <w:bidi w:val="0"/>
        <w:adjustRightInd/>
        <w:spacing w:afterLines="0" w:line="440" w:lineRule="exact"/>
        <w:ind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1.4投标人能够提供质量技术、商务经济占综合优势的系统及服务。</w:t>
      </w:r>
    </w:p>
    <w:p w14:paraId="49113F27">
      <w:pPr>
        <w:pStyle w:val="9"/>
        <w:keepNext w:val="0"/>
        <w:keepLines w:val="0"/>
        <w:pageBreakBefore w:val="0"/>
        <w:numPr>
          <w:ilvl w:val="0"/>
          <w:numId w:val="0"/>
        </w:numPr>
        <w:kinsoku/>
        <w:wordWrap/>
        <w:overflowPunct/>
        <w:topLinePunct w:val="0"/>
        <w:bidi w:val="0"/>
        <w:adjustRightInd/>
        <w:spacing w:afterLines="0" w:line="440" w:lineRule="exact"/>
        <w:ind w:leftChars="-20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1.5招标人将把中标通知书授予最佳投标者，但最低价不是中标的绝对保证。</w:t>
      </w:r>
    </w:p>
    <w:bookmarkEnd w:id="31"/>
    <w:bookmarkEnd w:id="32"/>
    <w:bookmarkEnd w:id="33"/>
    <w:p w14:paraId="2D5CD35F">
      <w:pPr>
        <w:keepNext w:val="0"/>
        <w:keepLines w:val="0"/>
        <w:pageBreakBefore w:val="0"/>
        <w:kinsoku/>
        <w:wordWrap/>
        <w:overflowPunct/>
        <w:topLinePunct w:val="0"/>
        <w:bidi w:val="0"/>
        <w:adjustRightInd/>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2.中标确认</w:t>
      </w:r>
    </w:p>
    <w:p w14:paraId="7EFF5A8F">
      <w:pPr>
        <w:keepNext w:val="0"/>
        <w:keepLines w:val="0"/>
        <w:pageBreakBefore w:val="0"/>
        <w:kinsoku/>
        <w:wordWrap/>
        <w:overflowPunct/>
        <w:topLinePunct w:val="0"/>
        <w:bidi w:val="0"/>
        <w:adjustRightIn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2.1采购人应当自收到评标报告之日起５个工作日内，在评标报告确定的中标候选人名单中按顺序确定中标人。</w:t>
      </w:r>
    </w:p>
    <w:p w14:paraId="5983A118">
      <w:pPr>
        <w:keepNext w:val="0"/>
        <w:keepLines w:val="0"/>
        <w:pageBreakBefore w:val="0"/>
        <w:kinsoku/>
        <w:wordWrap/>
        <w:overflowPunct/>
        <w:topLinePunct w:val="0"/>
        <w:bidi w:val="0"/>
        <w:adjustRightIn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2.2采购人在收到评标报告5个工作日内未按评标报告推荐的中标候选人顺序确定中标人，视同按评标报告推荐的顺序确定的中标候选人为中标人。</w:t>
      </w:r>
    </w:p>
    <w:p w14:paraId="24E3C858">
      <w:pPr>
        <w:keepNext w:val="0"/>
        <w:keepLines w:val="0"/>
        <w:pageBreakBefore w:val="0"/>
        <w:kinsoku/>
        <w:wordWrap/>
        <w:overflowPunct/>
        <w:topLinePunct w:val="0"/>
        <w:bidi w:val="0"/>
        <w:adjustRightIn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2.3采购人应在确认中标人前再次对资格条件和相关证件材料进一步查验核实。</w:t>
      </w:r>
    </w:p>
    <w:p w14:paraId="302D4668">
      <w:pPr>
        <w:keepNext w:val="0"/>
        <w:keepLines w:val="0"/>
        <w:pageBreakBefore w:val="0"/>
        <w:kinsoku/>
        <w:wordWrap/>
        <w:overflowPunct/>
        <w:topLinePunct w:val="0"/>
        <w:bidi w:val="0"/>
        <w:adjustRightInd/>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3．中标通知</w:t>
      </w:r>
    </w:p>
    <w:p w14:paraId="6156C57A">
      <w:pPr>
        <w:pStyle w:val="109"/>
        <w:keepNext w:val="0"/>
        <w:keepLines w:val="0"/>
        <w:pageBreakBefore w:val="0"/>
        <w:tabs>
          <w:tab w:val="left" w:pos="0"/>
        </w:tabs>
        <w:kinsoku/>
        <w:wordWrap/>
        <w:overflowPunct/>
        <w:topLinePunct w:val="0"/>
        <w:bidi w:val="0"/>
        <w:adjustRightInd/>
        <w:spacing w:before="0"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w:t>
      </w:r>
      <w:r>
        <w:rPr>
          <w:rFonts w:hint="eastAsia" w:ascii="宋体" w:hAnsi="宋体" w:eastAsia="宋体" w:cs="宋体"/>
          <w:color w:val="auto"/>
          <w:kern w:val="0"/>
          <w:sz w:val="24"/>
          <w:szCs w:val="24"/>
          <w:highlight w:val="none"/>
        </w:rPr>
        <w:t>采购代理机构</w:t>
      </w:r>
      <w:r>
        <w:rPr>
          <w:rFonts w:hint="eastAsia" w:ascii="宋体" w:hAnsi="宋体" w:eastAsia="宋体" w:cs="宋体"/>
          <w:color w:val="auto"/>
          <w:sz w:val="24"/>
          <w:szCs w:val="24"/>
          <w:highlight w:val="none"/>
        </w:rPr>
        <w:t>对中标结果在指定媒体</w:t>
      </w:r>
      <w:r>
        <w:rPr>
          <w:rFonts w:hint="eastAsia" w:ascii="宋体" w:hAnsi="宋体" w:eastAsia="宋体" w:cs="宋体"/>
          <w:color w:val="auto"/>
          <w:kern w:val="0"/>
          <w:sz w:val="24"/>
          <w:szCs w:val="24"/>
          <w:highlight w:val="none"/>
          <w:lang w:val="en-US" w:eastAsia="zh-CN" w:bidi="ar-SA"/>
        </w:rPr>
        <w:t>（乐采云平台</w:t>
      </w:r>
      <w:r>
        <w:rPr>
          <w:rFonts w:hint="eastAsia" w:ascii="宋体" w:hAnsi="宋体" w:eastAsia="宋体" w:cs="宋体"/>
          <w:color w:val="auto"/>
          <w:highlight w:val="none"/>
          <w:u w:val="none"/>
        </w:rPr>
        <w:fldChar w:fldCharType="begin"/>
      </w:r>
      <w:r>
        <w:rPr>
          <w:rFonts w:hint="eastAsia" w:ascii="宋体" w:hAnsi="宋体" w:eastAsia="宋体" w:cs="宋体"/>
          <w:color w:val="auto"/>
          <w:highlight w:val="none"/>
          <w:u w:val="none"/>
        </w:rPr>
        <w:instrText xml:space="preserve"> HYPERLINK "https://www.zcygov.cn/" </w:instrText>
      </w:r>
      <w:r>
        <w:rPr>
          <w:rFonts w:hint="eastAsia" w:ascii="宋体" w:hAnsi="宋体" w:eastAsia="宋体" w:cs="宋体"/>
          <w:color w:val="auto"/>
          <w:highlight w:val="none"/>
          <w:u w:val="none"/>
        </w:rPr>
        <w:fldChar w:fldCharType="separate"/>
      </w:r>
      <w:r>
        <w:rPr>
          <w:rStyle w:val="36"/>
          <w:rFonts w:hint="eastAsia" w:ascii="宋体" w:hAnsi="宋体" w:eastAsia="宋体" w:cs="宋体"/>
          <w:color w:val="auto"/>
          <w:sz w:val="24"/>
          <w:highlight w:val="none"/>
          <w:u w:val="none"/>
        </w:rPr>
        <w:t>https://www.lecaiyun.com/</w:t>
      </w:r>
      <w:r>
        <w:rPr>
          <w:rStyle w:val="36"/>
          <w:rFonts w:hint="eastAsia" w:ascii="宋体" w:hAnsi="宋体" w:eastAsia="宋体" w:cs="宋体"/>
          <w:color w:val="auto"/>
          <w:sz w:val="24"/>
          <w:highlight w:val="none"/>
          <w:u w:val="none"/>
        </w:rPr>
        <w:fldChar w:fldCharType="end"/>
      </w:r>
      <w:r>
        <w:rPr>
          <w:rFonts w:hint="eastAsia" w:ascii="宋体" w:hAnsi="宋体" w:eastAsia="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rPr>
        <w:t>发布中标公告，中标公告期限为1个工作日。</w:t>
      </w:r>
    </w:p>
    <w:p w14:paraId="796BF087">
      <w:pPr>
        <w:keepNext w:val="0"/>
        <w:keepLines w:val="0"/>
        <w:pageBreakBefore w:val="0"/>
        <w:tabs>
          <w:tab w:val="left" w:pos="0"/>
        </w:tabs>
        <w:kinsoku/>
        <w:wordWrap/>
        <w:overflowPunct/>
        <w:topLinePunct w:val="0"/>
        <w:bidi w:val="0"/>
        <w:adjustRightInd/>
        <w:spacing w:line="440" w:lineRule="exact"/>
        <w:ind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3.2在采购代理机构发出中标通知书前，中标供应商如有违反有关法律法规和本项目要求行为的，则取消该投标人的中标资格</w:t>
      </w:r>
      <w:r>
        <w:rPr>
          <w:rFonts w:hint="eastAsia" w:ascii="宋体" w:hAnsi="宋体" w:eastAsia="宋体" w:cs="宋体"/>
          <w:color w:val="auto"/>
          <w:kern w:val="0"/>
          <w:sz w:val="24"/>
          <w:szCs w:val="24"/>
          <w:highlight w:val="none"/>
          <w:lang w:val="zh-CN"/>
        </w:rPr>
        <w:t>。</w:t>
      </w:r>
    </w:p>
    <w:p w14:paraId="4BF6E1F1">
      <w:pPr>
        <w:keepNext w:val="0"/>
        <w:keepLines w:val="0"/>
        <w:pageBreakBefore w:val="0"/>
        <w:kinsoku/>
        <w:wordWrap/>
        <w:overflowPunct/>
        <w:topLinePunct w:val="0"/>
        <w:bidi w:val="0"/>
        <w:adjustRightInd/>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3.3采购代理机构对中标结果不作任何说明和解释，也不回答任何提问。</w:t>
      </w:r>
    </w:p>
    <w:p w14:paraId="14682B25">
      <w:pPr>
        <w:keepNext w:val="0"/>
        <w:keepLines w:val="0"/>
        <w:pageBreakBefore w:val="0"/>
        <w:kinsoku/>
        <w:wordWrap/>
        <w:overflowPunct/>
        <w:topLinePunct w:val="0"/>
        <w:bidi w:val="0"/>
        <w:adjustRightInd/>
        <w:spacing w:line="44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4．履约保证金</w:t>
      </w:r>
    </w:p>
    <w:p w14:paraId="3E7B5710">
      <w:pPr>
        <w:keepNext w:val="0"/>
        <w:keepLines w:val="0"/>
        <w:pageBreakBefore w:val="0"/>
        <w:kinsoku/>
        <w:wordWrap/>
        <w:overflowPunct/>
        <w:topLinePunct w:val="0"/>
        <w:bidi w:val="0"/>
        <w:adjustRightInd/>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5BFA6250">
      <w:pPr>
        <w:keepNext w:val="0"/>
        <w:keepLines w:val="0"/>
        <w:pageBreakBefore w:val="0"/>
        <w:kinsoku/>
        <w:wordWrap/>
        <w:overflowPunct/>
        <w:topLinePunct w:val="0"/>
        <w:bidi w:val="0"/>
        <w:adjustRightInd/>
        <w:spacing w:line="46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5</w:t>
      </w:r>
      <w:r>
        <w:rPr>
          <w:rFonts w:hint="eastAsia" w:ascii="宋体" w:hAnsi="宋体" w:eastAsia="宋体" w:cs="宋体"/>
          <w:b/>
          <w:color w:val="auto"/>
          <w:sz w:val="24"/>
          <w:szCs w:val="24"/>
          <w:highlight w:val="none"/>
        </w:rPr>
        <w:t>．合同签订及备案</w:t>
      </w:r>
    </w:p>
    <w:p w14:paraId="7F44F560">
      <w:pPr>
        <w:keepNext w:val="0"/>
        <w:keepLines w:val="0"/>
        <w:pageBreakBefore w:val="0"/>
        <w:widowControl w:val="0"/>
        <w:kinsoku/>
        <w:wordWrap/>
        <w:overflowPunct/>
        <w:topLinePunct w:val="0"/>
        <w:autoSpaceDE/>
        <w:autoSpaceDN/>
        <w:bidi w:val="0"/>
        <w:adjustRightInd/>
        <w:snapToGrid w:val="0"/>
        <w:spacing w:line="460" w:lineRule="exact"/>
        <w:ind w:firstLine="480" w:firstLineChars="200"/>
        <w:jc w:val="left"/>
        <w:textAlignment w:val="auto"/>
        <w:outlineLvl w:val="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5.1中标人应当在中标通知书发出之日起30天内与采购人签订合同，自采购合同签订之日起3个工作日内，通过电子交易平台进行备案。</w:t>
      </w:r>
    </w:p>
    <w:p w14:paraId="3CC82FDE">
      <w:pPr>
        <w:keepNext w:val="0"/>
        <w:keepLines w:val="0"/>
        <w:pageBreakBefore w:val="0"/>
        <w:widowControl w:val="0"/>
        <w:kinsoku/>
        <w:wordWrap/>
        <w:overflowPunct/>
        <w:topLinePunct w:val="0"/>
        <w:autoSpaceDE/>
        <w:autoSpaceDN/>
        <w:bidi w:val="0"/>
        <w:adjustRightInd/>
        <w:snapToGrid w:val="0"/>
        <w:spacing w:line="460" w:lineRule="exact"/>
        <w:ind w:firstLine="480" w:firstLineChars="200"/>
        <w:jc w:val="left"/>
        <w:textAlignment w:val="auto"/>
        <w:outlineLvl w:val="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5.2如中标人为联合体的，由联合体成员各方法定代表人或其授权代表与采购人代表签订合同。</w:t>
      </w:r>
    </w:p>
    <w:p w14:paraId="2589B2A5">
      <w:pPr>
        <w:keepNext w:val="0"/>
        <w:keepLines w:val="0"/>
        <w:pageBreakBefore w:val="0"/>
        <w:widowControl w:val="0"/>
        <w:kinsoku/>
        <w:wordWrap/>
        <w:overflowPunct/>
        <w:topLinePunct w:val="0"/>
        <w:autoSpaceDE/>
        <w:autoSpaceDN/>
        <w:bidi w:val="0"/>
        <w:adjustRightInd/>
        <w:spacing w:line="460" w:lineRule="exact"/>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6.验收</w:t>
      </w:r>
    </w:p>
    <w:p w14:paraId="1C49CF66">
      <w:pPr>
        <w:keepNext w:val="0"/>
        <w:keepLines w:val="0"/>
        <w:pageBreakBefore w:val="0"/>
        <w:widowControl w:val="0"/>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05D33252">
      <w:pPr>
        <w:keepNext w:val="0"/>
        <w:keepLines w:val="0"/>
        <w:pageBreakBefore w:val="0"/>
        <w:widowControl w:val="0"/>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6.2采购人可以邀请参加本项目的其他投标人或者第三方机构参与验收。参与验收的投标人或者第三方机构的意见作为验收书的参考资料一并存档。</w:t>
      </w:r>
    </w:p>
    <w:p w14:paraId="1E566E12">
      <w:pPr>
        <w:keepNext w:val="0"/>
        <w:keepLines w:val="0"/>
        <w:pageBreakBefore w:val="0"/>
        <w:widowControl w:val="0"/>
        <w:kinsoku/>
        <w:wordWrap/>
        <w:overflowPunct/>
        <w:topLinePunct w:val="0"/>
        <w:autoSpaceDE/>
        <w:autoSpaceDN/>
        <w:bidi w:val="0"/>
        <w:adjustRightInd/>
        <w:spacing w:line="460" w:lineRule="exact"/>
        <w:ind w:firstLine="480" w:firstLineChars="200"/>
        <w:jc w:val="left"/>
        <w:textAlignment w:val="auto"/>
        <w:rPr>
          <w:rFonts w:hint="eastAsia" w:ascii="宋体" w:hAnsi="宋体" w:eastAsia="宋体" w:cs="宋体"/>
          <w:color w:val="auto"/>
          <w:spacing w:val="-11"/>
          <w:sz w:val="24"/>
          <w:szCs w:val="24"/>
          <w:highlight w:val="none"/>
        </w:rPr>
      </w:pPr>
      <w:r>
        <w:rPr>
          <w:rFonts w:hint="eastAsia" w:ascii="宋体" w:hAnsi="宋体" w:eastAsia="宋体" w:cs="宋体"/>
          <w:color w:val="auto"/>
          <w:sz w:val="24"/>
          <w:szCs w:val="24"/>
          <w:highlight w:val="none"/>
        </w:rPr>
        <w:t>6.3 采购人负责加强对中标人的履约管理，并按照采购合同约定，及时向中标人支</w:t>
      </w:r>
      <w:r>
        <w:rPr>
          <w:rFonts w:hint="eastAsia" w:ascii="宋体" w:hAnsi="宋体" w:eastAsia="宋体" w:cs="宋体"/>
          <w:color w:val="auto"/>
          <w:spacing w:val="-11"/>
          <w:sz w:val="24"/>
          <w:szCs w:val="24"/>
          <w:highlight w:val="none"/>
        </w:rPr>
        <w:t>付采购资金。对于中标人违反采购合同约定的行为，采购人应当及时处理，依法追究其违约责任。</w:t>
      </w:r>
    </w:p>
    <w:p w14:paraId="43769E59">
      <w:pPr>
        <w:keepNext w:val="0"/>
        <w:keepLines w:val="0"/>
        <w:pageBreakBefore w:val="0"/>
        <w:kinsoku/>
        <w:wordWrap/>
        <w:overflowPunct/>
        <w:topLinePunct w:val="0"/>
        <w:bidi w:val="0"/>
        <w:adjustRightInd/>
        <w:snapToGrid w:val="0"/>
        <w:spacing w:line="460" w:lineRule="exact"/>
        <w:jc w:val="center"/>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六、质疑与投诉</w:t>
      </w:r>
    </w:p>
    <w:bookmarkEnd w:id="17"/>
    <w:p w14:paraId="2C6EAADA">
      <w:pPr>
        <w:keepNext w:val="0"/>
        <w:keepLines w:val="0"/>
        <w:pageBreakBefore w:val="0"/>
        <w:kinsoku/>
        <w:wordWrap/>
        <w:overflowPunct/>
        <w:topLinePunct w:val="0"/>
        <w:bidi w:val="0"/>
        <w:adjustRightInd/>
        <w:spacing w:line="460" w:lineRule="exact"/>
        <w:ind w:firstLine="420"/>
        <w:textAlignment w:val="auto"/>
        <w:rPr>
          <w:rFonts w:ascii="宋体" w:hAnsi="宋体" w:cs="宋体"/>
          <w:color w:val="auto"/>
          <w:szCs w:val="24"/>
          <w:highlight w:val="none"/>
        </w:rPr>
      </w:pPr>
      <w:bookmarkStart w:id="34" w:name="_Toc513456151"/>
      <w:r>
        <w:rPr>
          <w:rFonts w:hint="eastAsia" w:ascii="宋体" w:hAnsi="宋体" w:cs="宋体"/>
          <w:color w:val="auto"/>
          <w:szCs w:val="24"/>
          <w:highlight w:val="none"/>
        </w:rPr>
        <w:t>供应商（投标人，下同）可以依法提起质疑和投诉</w:t>
      </w:r>
      <w:r>
        <w:rPr>
          <w:rFonts w:hint="eastAsia" w:ascii="宋体" w:hAnsi="宋体" w:cs="宋体"/>
          <w:color w:val="auto"/>
          <w:szCs w:val="24"/>
          <w:highlight w:val="none"/>
          <w:lang w:eastAsia="zh-CN"/>
        </w:rPr>
        <w:t>，</w:t>
      </w:r>
      <w:r>
        <w:rPr>
          <w:rFonts w:hint="eastAsia" w:ascii="宋体" w:hAnsi="宋体" w:cs="宋体"/>
          <w:color w:val="auto"/>
          <w:szCs w:val="24"/>
          <w:highlight w:val="none"/>
        </w:rPr>
        <w:t>质疑函范本、投诉书范本请到浙江政府采购网下载专区下载。</w:t>
      </w:r>
    </w:p>
    <w:p w14:paraId="3131A96D">
      <w:pPr>
        <w:keepNext w:val="0"/>
        <w:keepLines w:val="0"/>
        <w:pageBreakBefore w:val="0"/>
        <w:kinsoku/>
        <w:wordWrap/>
        <w:overflowPunct/>
        <w:topLinePunct w:val="0"/>
        <w:autoSpaceDE w:val="0"/>
        <w:autoSpaceDN w:val="0"/>
        <w:bidi w:val="0"/>
        <w:adjustRightInd/>
        <w:spacing w:line="460" w:lineRule="exact"/>
        <w:ind w:firstLine="472" w:firstLineChars="196"/>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1.供应商询问</w:t>
      </w:r>
    </w:p>
    <w:p w14:paraId="490132F2">
      <w:pPr>
        <w:pStyle w:val="17"/>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供应商对采购活动事项有疑问的，可以向采购机构提出询问，采购机构将对供应商依法提出的询问作出答复，但答复的内容不得涉及商业秘密。</w:t>
      </w:r>
    </w:p>
    <w:p w14:paraId="22071033">
      <w:pPr>
        <w:keepNext w:val="0"/>
        <w:keepLines w:val="0"/>
        <w:pageBreakBefore w:val="0"/>
        <w:kinsoku/>
        <w:wordWrap/>
        <w:overflowPunct/>
        <w:topLinePunct w:val="0"/>
        <w:bidi w:val="0"/>
        <w:adjustRightInd/>
        <w:spacing w:line="460" w:lineRule="exact"/>
        <w:ind w:firstLine="241" w:firstLineChars="1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 供应商质疑</w:t>
      </w:r>
    </w:p>
    <w:p w14:paraId="2E7F4F23">
      <w:pPr>
        <w:keepNext w:val="0"/>
        <w:keepLines w:val="0"/>
        <w:pageBreakBefore w:val="0"/>
        <w:kinsoku/>
        <w:wordWrap/>
        <w:overflowPunct/>
        <w:topLinePunct w:val="0"/>
        <w:bidi w:val="0"/>
        <w:adjustRightInd/>
        <w:spacing w:line="46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.1质疑提出时效</w:t>
      </w:r>
    </w:p>
    <w:p w14:paraId="39F600BE">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.1.1提出质疑的供应商应当是参与所质疑项目采购活动的供应商。潜在供应商已依法获取其可质疑的采购文件的，可以对该文件提出质疑。</w:t>
      </w:r>
    </w:p>
    <w:p w14:paraId="5179517B">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1052EB7">
      <w:pPr>
        <w:keepNext w:val="0"/>
        <w:keepLines w:val="0"/>
        <w:pageBreakBefore w:val="0"/>
        <w:widowControl/>
        <w:kinsoku/>
        <w:wordWrap/>
        <w:overflowPunct/>
        <w:topLinePunct w:val="0"/>
        <w:bidi w:val="0"/>
        <w:adjustRightInd/>
        <w:snapToGrid w:val="0"/>
        <w:spacing w:line="460" w:lineRule="exact"/>
        <w:ind w:firstLine="434" w:firstLineChars="181"/>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.1.2.1对采购文件提出质疑的，质疑期限为供应商获得采购文件之日或者采购文件公告期限届满之日起计算，采购文件在获取截止之日后获得的，应当自采购文件公告期限届满之日起计算。</w:t>
      </w:r>
    </w:p>
    <w:p w14:paraId="04ACE266">
      <w:pPr>
        <w:keepNext w:val="0"/>
        <w:keepLines w:val="0"/>
        <w:pageBreakBefore w:val="0"/>
        <w:kinsoku/>
        <w:wordWrap/>
        <w:overflowPunct/>
        <w:topLinePunct w:val="0"/>
        <w:bidi w:val="0"/>
        <w:adjustRightInd/>
        <w:spacing w:line="460" w:lineRule="exact"/>
        <w:ind w:firstLine="456" w:firstLineChars="200"/>
        <w:textAlignment w:val="auto"/>
        <w:rPr>
          <w:rFonts w:hint="eastAsia" w:ascii="宋体" w:hAnsi="宋体" w:eastAsia="宋体" w:cs="宋体"/>
          <w:b/>
          <w:color w:val="auto"/>
          <w:spacing w:val="-6"/>
          <w:sz w:val="24"/>
          <w:szCs w:val="24"/>
          <w:highlight w:val="none"/>
        </w:rPr>
      </w:pPr>
      <w:r>
        <w:rPr>
          <w:rFonts w:hint="eastAsia" w:ascii="宋体" w:hAnsi="宋体" w:eastAsia="宋体" w:cs="宋体"/>
          <w:color w:val="auto"/>
          <w:spacing w:val="-6"/>
          <w:sz w:val="24"/>
          <w:szCs w:val="24"/>
          <w:highlight w:val="none"/>
          <w:lang w:val="en-US" w:eastAsia="zh-CN"/>
        </w:rPr>
        <w:t>2</w:t>
      </w:r>
      <w:r>
        <w:rPr>
          <w:rFonts w:hint="eastAsia" w:ascii="宋体" w:hAnsi="宋体" w:eastAsia="宋体" w:cs="宋体"/>
          <w:color w:val="auto"/>
          <w:spacing w:val="-6"/>
          <w:sz w:val="24"/>
          <w:szCs w:val="24"/>
          <w:highlight w:val="none"/>
        </w:rPr>
        <w:t>.1.2.2对采购过程提出质疑的，质疑期限为各采购程序环节结束之日起计算。</w:t>
      </w:r>
    </w:p>
    <w:p w14:paraId="38F7F9A3">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.1.2.3对采购结果提出质疑的，质疑期限自采购结果公告期限届满之日起计算。</w:t>
      </w:r>
    </w:p>
    <w:p w14:paraId="061EB3D8">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.1.2.4对同一采购程序环节的质疑，供应商须一次性提出。</w:t>
      </w:r>
    </w:p>
    <w:p w14:paraId="6187850B">
      <w:pPr>
        <w:keepNext w:val="0"/>
        <w:keepLines w:val="0"/>
        <w:pageBreakBefore w:val="0"/>
        <w:kinsoku/>
        <w:wordWrap/>
        <w:overflowPunct/>
        <w:topLinePunct w:val="0"/>
        <w:bidi w:val="0"/>
        <w:adjustRightInd/>
        <w:spacing w:line="46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szCs w:val="24"/>
          <w:highlight w:val="none"/>
          <w:lang w:val="zh-CN"/>
        </w:rPr>
        <w:t>.</w:t>
      </w:r>
      <w:r>
        <w:rPr>
          <w:rFonts w:hint="eastAsia" w:ascii="宋体" w:hAnsi="宋体" w:eastAsia="宋体" w:cs="宋体"/>
          <w:b/>
          <w:bCs/>
          <w:color w:val="auto"/>
          <w:kern w:val="0"/>
          <w:sz w:val="24"/>
          <w:szCs w:val="24"/>
          <w:highlight w:val="none"/>
        </w:rPr>
        <w:t>2</w:t>
      </w:r>
      <w:r>
        <w:rPr>
          <w:rFonts w:hint="eastAsia" w:ascii="宋体" w:hAnsi="宋体" w:eastAsia="宋体" w:cs="宋体"/>
          <w:b/>
          <w:bCs/>
          <w:color w:val="auto"/>
          <w:kern w:val="0"/>
          <w:sz w:val="24"/>
          <w:szCs w:val="24"/>
          <w:highlight w:val="none"/>
          <w:lang w:val="zh-CN"/>
        </w:rPr>
        <w:t>质疑函</w:t>
      </w:r>
    </w:p>
    <w:p w14:paraId="1C27D4F1">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.2.1供应商提出质疑应当提交质疑函和必要的证明材料。质疑函应当包括下列内容：</w:t>
      </w:r>
    </w:p>
    <w:p w14:paraId="1F17D96C">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供应商的姓名或者名称、地址、邮编、联系人及联系电话；</w:t>
      </w:r>
    </w:p>
    <w:p w14:paraId="55BF4B8B">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质疑项目的名称、编号；</w:t>
      </w:r>
    </w:p>
    <w:p w14:paraId="7FC2B20A">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具体、明确的质疑事项和与质疑事项相关的请求；</w:t>
      </w:r>
    </w:p>
    <w:p w14:paraId="2E3F1B32">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事实依据；</w:t>
      </w:r>
    </w:p>
    <w:p w14:paraId="69C52BB9">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必要的法律依据；</w:t>
      </w:r>
    </w:p>
    <w:p w14:paraId="00FEEC38">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提出质疑的日期。</w:t>
      </w:r>
    </w:p>
    <w:p w14:paraId="1BE161B9">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2CD3B3F8">
      <w:pPr>
        <w:keepNext w:val="0"/>
        <w:keepLines w:val="0"/>
        <w:pageBreakBefore w:val="0"/>
        <w:kinsoku/>
        <w:wordWrap/>
        <w:overflowPunct/>
        <w:topLinePunct w:val="0"/>
        <w:bidi w:val="0"/>
        <w:adjustRightInd/>
        <w:spacing w:line="46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质疑函范本及制作说明详见附件。</w:t>
      </w:r>
    </w:p>
    <w:p w14:paraId="19E0A558">
      <w:pPr>
        <w:keepNext w:val="0"/>
        <w:keepLines w:val="0"/>
        <w:pageBreakBefore w:val="0"/>
        <w:kinsoku/>
        <w:wordWrap/>
        <w:overflowPunct/>
        <w:topLinePunct w:val="0"/>
        <w:bidi w:val="0"/>
        <w:adjustRightInd/>
        <w:spacing w:line="4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.供应商投诉</w:t>
      </w:r>
    </w:p>
    <w:p w14:paraId="50DCFECB">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.1质疑供应商对采购人或采购代理机构的答复不满意或者采购人、采购代理机构未在规定的时间内作出答复的，可以在答复期满后十五个工作日内向采购监督管理部门提出投诉。</w:t>
      </w:r>
    </w:p>
    <w:p w14:paraId="558417DC">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.2供应商投诉的事项不得超出已质疑事项的范围，基于质疑答复内容提出的投诉事项除外。</w:t>
      </w:r>
    </w:p>
    <w:p w14:paraId="6191ABDF">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4.3供应商投诉应当有明确的请求和必要的证明材料。</w:t>
      </w:r>
    </w:p>
    <w:p w14:paraId="2CF1D0A5">
      <w:pPr>
        <w:keepNext w:val="0"/>
        <w:keepLines w:val="0"/>
        <w:pageBreakBefore w:val="0"/>
        <w:kinsoku/>
        <w:wordWrap/>
        <w:overflowPunct/>
        <w:topLinePunct w:val="0"/>
        <w:bidi w:val="0"/>
        <w:adjustRightInd/>
        <w:spacing w:line="46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4.4以联合体形式参加采购活动的，其投诉应当由组成联合体的所有供应商共同提出。</w:t>
      </w:r>
    </w:p>
    <w:p w14:paraId="795DB37D">
      <w:pPr>
        <w:keepNext w:val="0"/>
        <w:keepLines w:val="0"/>
        <w:pageBreakBefore w:val="0"/>
        <w:kinsoku/>
        <w:wordWrap/>
        <w:overflowPunct/>
        <w:topLinePunct w:val="0"/>
        <w:bidi w:val="0"/>
        <w:adjustRightInd/>
        <w:snapToGrid w:val="0"/>
        <w:spacing w:line="440" w:lineRule="exact"/>
        <w:jc w:val="left"/>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投诉书范本及制作说明详见附件。</w:t>
      </w:r>
    </w:p>
    <w:p w14:paraId="0A406701">
      <w:pPr>
        <w:pStyle w:val="6"/>
        <w:keepNext w:val="0"/>
        <w:keepLines w:val="0"/>
        <w:pageBreakBefore w:val="0"/>
        <w:kinsoku/>
        <w:wordWrap/>
        <w:overflowPunct/>
        <w:topLinePunct w:val="0"/>
        <w:bidi w:val="0"/>
        <w:adjustRightInd/>
        <w:spacing w:after="0" w:line="440" w:lineRule="exact"/>
        <w:ind w:firstLine="480" w:firstLineChars="200"/>
        <w:textAlignment w:val="auto"/>
        <w:rPr>
          <w:rFonts w:hint="eastAsia" w:ascii="宋体" w:hAnsi="宋体" w:eastAsia="宋体" w:cs="宋体"/>
          <w:color w:val="auto"/>
          <w:sz w:val="24"/>
          <w:szCs w:val="24"/>
          <w:highlight w:val="none"/>
        </w:rPr>
        <w:sectPr>
          <w:footerReference r:id="rId4" w:type="default"/>
          <w:pgSz w:w="11906" w:h="16838"/>
          <w:pgMar w:top="1587" w:right="1587" w:bottom="1587" w:left="1587" w:header="851" w:footer="834" w:gutter="0"/>
          <w:pgNumType w:start="1"/>
          <w:cols w:space="720" w:num="1"/>
          <w:docGrid w:linePitch="312" w:charSpace="0"/>
        </w:sectPr>
      </w:pPr>
    </w:p>
    <w:p w14:paraId="4B917184">
      <w:pPr>
        <w:keepNext w:val="0"/>
        <w:keepLines w:val="0"/>
        <w:pageBreakBefore w:val="0"/>
        <w:widowControl w:val="0"/>
        <w:kinsoku/>
        <w:wordWrap/>
        <w:overflowPunct/>
        <w:topLinePunct w:val="0"/>
        <w:autoSpaceDE/>
        <w:autoSpaceDN/>
        <w:bidi w:val="0"/>
        <w:adjustRightInd/>
        <w:snapToGrid/>
        <w:spacing w:after="157" w:afterLines="50" w:line="600" w:lineRule="exact"/>
        <w:jc w:val="center"/>
        <w:textAlignment w:val="auto"/>
        <w:rPr>
          <w:rFonts w:hint="eastAsia" w:ascii="宋体" w:hAnsi="宋体" w:eastAsia="宋体" w:cs="宋体"/>
          <w:b/>
          <w:bCs/>
          <w:color w:val="auto"/>
          <w:kern w:val="0"/>
          <w:sz w:val="36"/>
          <w:highlight w:val="none"/>
        </w:rPr>
      </w:pPr>
      <w:r>
        <w:rPr>
          <w:rFonts w:hint="eastAsia" w:ascii="宋体" w:hAnsi="宋体" w:eastAsia="宋体" w:cs="宋体"/>
          <w:b/>
          <w:bCs/>
          <w:color w:val="auto"/>
          <w:kern w:val="0"/>
          <w:sz w:val="36"/>
          <w:highlight w:val="none"/>
        </w:rPr>
        <w:t>第三部分  项目招标范围及服务要求</w:t>
      </w:r>
    </w:p>
    <w:p w14:paraId="115771B1">
      <w:pPr>
        <w:pStyle w:val="16"/>
        <w:keepLines w:val="0"/>
        <w:pageBreakBefore w:val="0"/>
        <w:kinsoku/>
        <w:wordWrap/>
        <w:overflowPunct/>
        <w:topLinePunct w:val="0"/>
        <w:autoSpaceDE/>
        <w:autoSpaceDN/>
        <w:bidi w:val="0"/>
        <w:spacing w:line="490" w:lineRule="exact"/>
        <w:ind w:left="0" w:leftChars="0" w:right="0" w:rightChars="0" w:firstLine="482" w:firstLineChars="200"/>
        <w:jc w:val="both"/>
        <w:outlineLvl w:val="9"/>
        <w:rPr>
          <w:rFonts w:hint="eastAsia" w:ascii="宋体" w:hAnsi="宋体" w:eastAsia="宋体" w:cs="宋体"/>
          <w:b/>
          <w:bCs/>
          <w:color w:val="auto"/>
          <w:sz w:val="24"/>
          <w:szCs w:val="24"/>
          <w:highlight w:val="none"/>
        </w:rPr>
      </w:pPr>
      <w:bookmarkStart w:id="35" w:name="_Toc22927"/>
      <w:bookmarkStart w:id="36" w:name="_Toc449015654"/>
      <w:bookmarkStart w:id="37" w:name="_Toc439593976"/>
      <w:r>
        <w:rPr>
          <w:rFonts w:hint="eastAsia" w:ascii="宋体" w:hAnsi="宋体" w:eastAsia="宋体" w:cs="宋体"/>
          <w:b/>
          <w:bCs/>
          <w:color w:val="auto"/>
          <w:sz w:val="24"/>
          <w:szCs w:val="24"/>
          <w:highlight w:val="none"/>
        </w:rPr>
        <w:t>一、采购清单</w:t>
      </w:r>
    </w:p>
    <w:tbl>
      <w:tblPr>
        <w:tblStyle w:val="31"/>
        <w:tblpPr w:leftFromText="180" w:rightFromText="180" w:vertAnchor="text" w:horzAnchor="page" w:tblpX="1319" w:tblpY="111"/>
        <w:tblOverlap w:val="never"/>
        <w:tblW w:w="9345" w:type="dxa"/>
        <w:tblInd w:w="-5" w:type="dxa"/>
        <w:tblLayout w:type="fixed"/>
        <w:tblCellMar>
          <w:top w:w="0" w:type="dxa"/>
          <w:left w:w="0" w:type="dxa"/>
          <w:bottom w:w="0" w:type="dxa"/>
          <w:right w:w="0" w:type="dxa"/>
        </w:tblCellMar>
      </w:tblPr>
      <w:tblGrid>
        <w:gridCol w:w="918"/>
        <w:gridCol w:w="3996"/>
        <w:gridCol w:w="3245"/>
        <w:gridCol w:w="1186"/>
      </w:tblGrid>
      <w:tr w14:paraId="36B87CBA">
        <w:trPr>
          <w:trHeight w:val="23" w:hRule="atLeast"/>
        </w:trPr>
        <w:tc>
          <w:tcPr>
            <w:tcW w:w="918" w:type="dxa"/>
            <w:tcBorders>
              <w:top w:val="single" w:color="000000" w:sz="4" w:space="0"/>
              <w:left w:val="single" w:color="000000" w:sz="4" w:space="0"/>
              <w:bottom w:val="single" w:color="000000" w:sz="4" w:space="0"/>
              <w:right w:val="single" w:color="000000" w:sz="4" w:space="0"/>
            </w:tcBorders>
            <w:noWrap w:val="0"/>
            <w:vAlign w:val="center"/>
          </w:tcPr>
          <w:p w14:paraId="42F92A13">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序号</w:t>
            </w:r>
          </w:p>
        </w:tc>
        <w:tc>
          <w:tcPr>
            <w:tcW w:w="3996" w:type="dxa"/>
            <w:tcBorders>
              <w:top w:val="single" w:color="000000" w:sz="4" w:space="0"/>
              <w:left w:val="single" w:color="000000" w:sz="4" w:space="0"/>
              <w:bottom w:val="single" w:color="000000" w:sz="4" w:space="0"/>
              <w:right w:val="single" w:color="000000" w:sz="4" w:space="0"/>
            </w:tcBorders>
            <w:noWrap w:val="0"/>
            <w:vAlign w:val="center"/>
          </w:tcPr>
          <w:p w14:paraId="050037F0">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项目名称</w:t>
            </w:r>
          </w:p>
        </w:tc>
        <w:tc>
          <w:tcPr>
            <w:tcW w:w="3245" w:type="dxa"/>
            <w:tcBorders>
              <w:top w:val="single" w:color="000000" w:sz="4" w:space="0"/>
              <w:left w:val="single" w:color="000000" w:sz="4" w:space="0"/>
              <w:bottom w:val="single" w:color="000000" w:sz="4" w:space="0"/>
              <w:right w:val="single" w:color="000000" w:sz="4" w:space="0"/>
            </w:tcBorders>
            <w:noWrap w:val="0"/>
            <w:vAlign w:val="center"/>
          </w:tcPr>
          <w:p w14:paraId="2C219150">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技术参数、服务要求</w:t>
            </w:r>
          </w:p>
        </w:tc>
        <w:tc>
          <w:tcPr>
            <w:tcW w:w="1186" w:type="dxa"/>
            <w:tcBorders>
              <w:top w:val="single" w:color="000000" w:sz="4" w:space="0"/>
              <w:left w:val="single" w:color="000000" w:sz="4" w:space="0"/>
              <w:bottom w:val="single" w:color="000000" w:sz="4" w:space="0"/>
              <w:right w:val="single" w:color="000000" w:sz="4" w:space="0"/>
            </w:tcBorders>
            <w:noWrap w:val="0"/>
            <w:vAlign w:val="center"/>
          </w:tcPr>
          <w:p w14:paraId="540D13B6">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rPr>
              <w:t>数量</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辆</w:t>
            </w:r>
            <w:r>
              <w:rPr>
                <w:rFonts w:hint="eastAsia" w:ascii="宋体" w:hAnsi="宋体" w:eastAsia="宋体" w:cs="宋体"/>
                <w:b/>
                <w:bCs/>
                <w:color w:val="auto"/>
                <w:sz w:val="24"/>
                <w:szCs w:val="24"/>
                <w:highlight w:val="none"/>
                <w:lang w:eastAsia="zh-CN"/>
              </w:rPr>
              <w:t>）</w:t>
            </w:r>
          </w:p>
        </w:tc>
      </w:tr>
      <w:tr w14:paraId="52FF8278">
        <w:tblPrEx>
          <w:tblCellMar>
            <w:top w:w="0" w:type="dxa"/>
            <w:left w:w="0" w:type="dxa"/>
            <w:bottom w:w="0" w:type="dxa"/>
            <w:right w:w="0" w:type="dxa"/>
          </w:tblCellMar>
        </w:tblPrEx>
        <w:trPr>
          <w:trHeight w:val="23" w:hRule="atLeast"/>
        </w:trPr>
        <w:tc>
          <w:tcPr>
            <w:tcW w:w="918" w:type="dxa"/>
            <w:tcBorders>
              <w:top w:val="single" w:color="000000" w:sz="4" w:space="0"/>
              <w:left w:val="single" w:color="000000" w:sz="4" w:space="0"/>
              <w:bottom w:val="single" w:color="auto" w:sz="4" w:space="0"/>
              <w:right w:val="single" w:color="000000" w:sz="4" w:space="0"/>
            </w:tcBorders>
            <w:noWrap w:val="0"/>
            <w:vAlign w:val="center"/>
          </w:tcPr>
          <w:p w14:paraId="5D014B25">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w:t>
            </w:r>
          </w:p>
        </w:tc>
        <w:tc>
          <w:tcPr>
            <w:tcW w:w="3996" w:type="dxa"/>
            <w:tcBorders>
              <w:top w:val="single" w:color="000000" w:sz="4" w:space="0"/>
              <w:left w:val="single" w:color="000000" w:sz="4" w:space="0"/>
              <w:bottom w:val="single" w:color="auto" w:sz="4" w:space="0"/>
              <w:right w:val="single" w:color="000000" w:sz="4" w:space="0"/>
            </w:tcBorders>
            <w:noWrap w:val="0"/>
            <w:vAlign w:val="center"/>
          </w:tcPr>
          <w:p w14:paraId="6D4FEA7E">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7米</w:t>
            </w:r>
            <w:r>
              <w:rPr>
                <w:rFonts w:hint="eastAsia" w:ascii="宋体" w:hAnsi="宋体" w:eastAsia="宋体" w:cs="宋体"/>
                <w:b/>
                <w:bCs/>
                <w:color w:val="auto"/>
                <w:sz w:val="24"/>
                <w:szCs w:val="24"/>
                <w:highlight w:val="none"/>
                <w:lang w:eastAsia="zh-CN"/>
              </w:rPr>
              <w:t>纯电动无站立公交车</w:t>
            </w:r>
            <w:r>
              <w:rPr>
                <w:rFonts w:hint="eastAsia" w:ascii="宋体" w:hAnsi="宋体" w:eastAsia="宋体" w:cs="宋体"/>
                <w:b/>
                <w:bCs/>
                <w:color w:val="auto"/>
                <w:sz w:val="24"/>
                <w:szCs w:val="24"/>
                <w:highlight w:val="none"/>
                <w:lang w:val="en-US" w:eastAsia="zh-CN"/>
              </w:rPr>
              <w:t>辆</w:t>
            </w:r>
          </w:p>
        </w:tc>
        <w:tc>
          <w:tcPr>
            <w:tcW w:w="3245" w:type="dxa"/>
            <w:tcBorders>
              <w:top w:val="single" w:color="000000" w:sz="4" w:space="0"/>
              <w:left w:val="single" w:color="000000" w:sz="4" w:space="0"/>
              <w:bottom w:val="single" w:color="auto" w:sz="4" w:space="0"/>
              <w:right w:val="single" w:color="000000" w:sz="4" w:space="0"/>
            </w:tcBorders>
            <w:noWrap w:val="0"/>
            <w:vAlign w:val="center"/>
          </w:tcPr>
          <w:p w14:paraId="1B4582F4">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详见技术参数和服务需求</w:t>
            </w:r>
          </w:p>
        </w:tc>
        <w:tc>
          <w:tcPr>
            <w:tcW w:w="1186" w:type="dxa"/>
            <w:tcBorders>
              <w:top w:val="single" w:color="000000" w:sz="4" w:space="0"/>
              <w:left w:val="single" w:color="000000" w:sz="4" w:space="0"/>
              <w:bottom w:val="single" w:color="auto" w:sz="4" w:space="0"/>
              <w:right w:val="single" w:color="000000" w:sz="4" w:space="0"/>
            </w:tcBorders>
            <w:noWrap w:val="0"/>
            <w:vAlign w:val="center"/>
          </w:tcPr>
          <w:p w14:paraId="6ABAE233">
            <w:pPr>
              <w:pStyle w:val="99"/>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12</w:t>
            </w:r>
          </w:p>
        </w:tc>
      </w:tr>
      <w:tr w14:paraId="08513AC8">
        <w:tblPrEx>
          <w:tblCellMar>
            <w:top w:w="0" w:type="dxa"/>
            <w:left w:w="0" w:type="dxa"/>
            <w:bottom w:w="0" w:type="dxa"/>
            <w:right w:w="0" w:type="dxa"/>
          </w:tblCellMar>
        </w:tblPrEx>
        <w:trPr>
          <w:trHeight w:val="23" w:hRule="atLeast"/>
        </w:trPr>
        <w:tc>
          <w:tcPr>
            <w:tcW w:w="9345" w:type="dxa"/>
            <w:gridSpan w:val="4"/>
            <w:tcBorders>
              <w:top w:val="single" w:color="auto" w:sz="4" w:space="0"/>
              <w:left w:val="single" w:color="000000" w:sz="4" w:space="0"/>
              <w:bottom w:val="single" w:color="000000" w:sz="4" w:space="0"/>
              <w:right w:val="single" w:color="000000" w:sz="4" w:space="0"/>
            </w:tcBorders>
            <w:noWrap w:val="0"/>
            <w:vAlign w:val="top"/>
          </w:tcPr>
          <w:p w14:paraId="790F7E02">
            <w:pPr>
              <w:keepLines w:val="0"/>
              <w:pageBreakBefore w:val="0"/>
              <w:kinsoku/>
              <w:wordWrap/>
              <w:overflowPunct/>
              <w:topLinePunct w:val="0"/>
              <w:autoSpaceDE/>
              <w:autoSpaceDN/>
              <w:bidi w:val="0"/>
              <w:snapToGrid w:val="0"/>
              <w:spacing w:line="490" w:lineRule="exact"/>
              <w:ind w:left="0" w:leftChars="0" w:right="0" w:rightChars="0" w:firstLine="426" w:firstLineChars="200"/>
              <w:jc w:val="left"/>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pacing w:val="-14"/>
                <w:sz w:val="24"/>
                <w:szCs w:val="24"/>
                <w:highlight w:val="none"/>
                <w:lang w:eastAsia="zh-CN"/>
              </w:rPr>
              <w:t>★</w:t>
            </w:r>
            <w:r>
              <w:rPr>
                <w:rFonts w:hint="eastAsia" w:ascii="宋体" w:hAnsi="宋体" w:eastAsia="宋体" w:cs="宋体"/>
                <w:b/>
                <w:bCs/>
                <w:color w:val="auto"/>
                <w:sz w:val="24"/>
                <w:szCs w:val="24"/>
                <w:highlight w:val="none"/>
              </w:rPr>
              <w:t>投标车辆必须已列入国家工信部上牌目录</w:t>
            </w:r>
            <w:r>
              <w:rPr>
                <w:rFonts w:hint="eastAsia" w:ascii="宋体" w:hAnsi="宋体" w:eastAsia="宋体" w:cs="宋体"/>
                <w:b/>
                <w:bCs/>
                <w:color w:val="auto"/>
                <w:sz w:val="24"/>
                <w:szCs w:val="24"/>
                <w:highlight w:val="none"/>
                <w:lang w:val="en-US" w:eastAsia="zh-CN"/>
              </w:rPr>
              <w:t>和</w:t>
            </w:r>
            <w:r>
              <w:rPr>
                <w:rFonts w:hint="eastAsia" w:ascii="宋体" w:hAnsi="宋体" w:eastAsia="宋体" w:cs="宋体"/>
                <w:b/>
                <w:bCs/>
                <w:color w:val="auto"/>
                <w:sz w:val="24"/>
                <w:szCs w:val="24"/>
                <w:highlight w:val="none"/>
              </w:rPr>
              <w:t>《免征车辆购置税的新能源汽车车型目录》的车型</w:t>
            </w:r>
            <w:r>
              <w:rPr>
                <w:rFonts w:hint="eastAsia" w:ascii="宋体" w:hAnsi="宋体" w:eastAsia="宋体" w:cs="宋体"/>
                <w:b/>
                <w:bCs/>
                <w:color w:val="auto"/>
                <w:sz w:val="24"/>
                <w:szCs w:val="24"/>
                <w:highlight w:val="none"/>
                <w:lang w:val="en-US" w:eastAsia="zh-CN"/>
              </w:rPr>
              <w:t>并满足</w:t>
            </w:r>
            <w:r>
              <w:rPr>
                <w:rFonts w:hint="eastAsia" w:ascii="宋体" w:hAnsi="宋体" w:eastAsia="宋体" w:cs="宋体"/>
                <w:b/>
                <w:bCs/>
                <w:color w:val="auto"/>
                <w:sz w:val="24"/>
                <w:szCs w:val="24"/>
                <w:highlight w:val="none"/>
              </w:rPr>
              <w:t>其它相关国家标准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行业标准和要求。 本项目预算资金为扣除国家新能源公交车补贴金额后的金额。本次投标报价不含国家新能源公交车补贴金额。投标车型符合国家新能源汽车推广应用补助政策。国家补助金额由</w:t>
            </w:r>
            <w:r>
              <w:rPr>
                <w:rFonts w:hint="eastAsia" w:ascii="宋体" w:hAnsi="宋体" w:eastAsia="宋体" w:cs="宋体"/>
                <w:b/>
                <w:bCs/>
                <w:color w:val="auto"/>
                <w:sz w:val="24"/>
                <w:szCs w:val="24"/>
                <w:highlight w:val="none"/>
                <w:lang w:eastAsia="zh-CN"/>
              </w:rPr>
              <w:t>中标单位</w:t>
            </w:r>
            <w:r>
              <w:rPr>
                <w:rFonts w:hint="eastAsia" w:ascii="宋体" w:hAnsi="宋体" w:eastAsia="宋体" w:cs="宋体"/>
                <w:b/>
                <w:bCs/>
                <w:color w:val="auto"/>
                <w:sz w:val="24"/>
                <w:szCs w:val="24"/>
                <w:highlight w:val="none"/>
              </w:rPr>
              <w:t>自行向国家领取，采购人提供相关资料。后期车辆不能在国家规定时间内完成上户工作导致的国家补贴金额损失，由</w:t>
            </w:r>
            <w:r>
              <w:rPr>
                <w:rFonts w:hint="eastAsia" w:ascii="宋体" w:hAnsi="宋体" w:eastAsia="宋体" w:cs="宋体"/>
                <w:b/>
                <w:bCs/>
                <w:color w:val="auto"/>
                <w:sz w:val="24"/>
                <w:szCs w:val="24"/>
                <w:highlight w:val="none"/>
                <w:lang w:eastAsia="zh-CN"/>
              </w:rPr>
              <w:t>中标单位</w:t>
            </w:r>
            <w:r>
              <w:rPr>
                <w:rFonts w:hint="eastAsia" w:ascii="宋体" w:hAnsi="宋体" w:eastAsia="宋体" w:cs="宋体"/>
                <w:b/>
                <w:bCs/>
                <w:color w:val="auto"/>
                <w:sz w:val="24"/>
                <w:szCs w:val="24"/>
                <w:highlight w:val="none"/>
              </w:rPr>
              <w:t>自行承担。（提供相关证明材料复印件加盖公章，否则作无效投标处理）。</w:t>
            </w:r>
          </w:p>
          <w:p w14:paraId="5A9698A3">
            <w:pPr>
              <w:keepLines w:val="0"/>
              <w:pageBreakBefore w:val="0"/>
              <w:kinsoku/>
              <w:wordWrap/>
              <w:overflowPunct/>
              <w:topLinePunct w:val="0"/>
              <w:autoSpaceDE/>
              <w:autoSpaceDN/>
              <w:bidi w:val="0"/>
              <w:snapToGrid w:val="0"/>
              <w:spacing w:line="490" w:lineRule="exact"/>
              <w:ind w:left="0" w:leftChars="0" w:right="0" w:rightChars="0" w:firstLine="482" w:firstLineChars="200"/>
              <w:jc w:val="left"/>
              <w:outlineLvl w:val="9"/>
              <w:rPr>
                <w:rFonts w:hint="eastAsia" w:ascii="宋体" w:hAnsi="宋体" w:eastAsia="宋体" w:cs="宋体"/>
                <w:color w:val="auto"/>
                <w:spacing w:val="-14"/>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整车必须满足上牌要求</w:t>
            </w:r>
            <w:r>
              <w:rPr>
                <w:rFonts w:hint="eastAsia" w:ascii="宋体" w:hAnsi="宋体" w:eastAsia="宋体" w:cs="宋体"/>
                <w:b/>
                <w:bCs/>
                <w:color w:val="auto"/>
                <w:sz w:val="24"/>
                <w:szCs w:val="24"/>
                <w:highlight w:val="none"/>
                <w:lang w:eastAsia="zh-CN"/>
              </w:rPr>
              <w:t>。</w:t>
            </w:r>
          </w:p>
        </w:tc>
      </w:tr>
    </w:tbl>
    <w:p w14:paraId="413EAA8F">
      <w:pPr>
        <w:pStyle w:val="16"/>
        <w:keepLines w:val="0"/>
        <w:pageBreakBefore w:val="0"/>
        <w:kinsoku/>
        <w:wordWrap/>
        <w:overflowPunct/>
        <w:topLinePunct w:val="0"/>
        <w:autoSpaceDE/>
        <w:autoSpaceDN/>
        <w:bidi w:val="0"/>
        <w:spacing w:line="490" w:lineRule="exact"/>
        <w:ind w:left="0" w:leftChars="0" w:right="0" w:rightChars="0" w:firstLine="482" w:firstLineChars="200"/>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rPr>
        <w:t>总体要求</w:t>
      </w:r>
      <w:bookmarkEnd w:id="35"/>
    </w:p>
    <w:p w14:paraId="07C4D209">
      <w:pPr>
        <w:keepLines w:val="0"/>
        <w:pageBreakBefore w:val="0"/>
        <w:kinsoku/>
        <w:wordWrap/>
        <w:overflowPunct/>
        <w:topLinePunct w:val="0"/>
        <w:autoSpaceDE/>
        <w:autoSpaceDN/>
        <w:bidi w:val="0"/>
        <w:snapToGrid w:val="0"/>
        <w:spacing w:line="49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1.本技术规范要求提出的是基本技术要求，并未对所有作技术细节出规定，供应商应提供符合本技术要求和国家标准、行业标准的优质产品。</w:t>
      </w:r>
    </w:p>
    <w:p w14:paraId="047E1B9F">
      <w:pPr>
        <w:keepLines w:val="0"/>
        <w:pageBreakBefore w:val="0"/>
        <w:kinsoku/>
        <w:wordWrap/>
        <w:overflowPunct/>
        <w:topLinePunct w:val="0"/>
        <w:autoSpaceDE/>
        <w:autoSpaceDN/>
        <w:bidi w:val="0"/>
        <w:snapToGrid w:val="0"/>
        <w:spacing w:line="49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2.供应商产品与本技术要求不一致时，供应商应在投标文件中予以说明，并由评标委员会鉴定供应商产品能否达到要求。如供应商没有在投标文件中提出异议，则视为供应商提供的产品完全按照本招标文件要求。</w:t>
      </w:r>
    </w:p>
    <w:p w14:paraId="6C9E8A6B">
      <w:pPr>
        <w:keepLines w:val="0"/>
        <w:pageBreakBefore w:val="0"/>
        <w:kinsoku/>
        <w:wordWrap/>
        <w:overflowPunct/>
        <w:topLinePunct w:val="0"/>
        <w:autoSpaceDE/>
        <w:autoSpaceDN/>
        <w:bidi w:val="0"/>
        <w:snapToGrid w:val="0"/>
        <w:spacing w:line="49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提供的产品应标明所执行的质量标准，投标产品在设计、制造、检验、包装运输及安装、调试、验收过程中所涉及的标准规范，如：产品标准、规范；安装标准、规范；验收标准、规范等必须完全符合相关标准及规范，并且以最新、最高的标准为执行标准。</w:t>
      </w:r>
    </w:p>
    <w:p w14:paraId="01598138">
      <w:pPr>
        <w:keepLines w:val="0"/>
        <w:pageBreakBefore w:val="0"/>
        <w:kinsoku/>
        <w:wordWrap/>
        <w:overflowPunct/>
        <w:topLinePunct w:val="0"/>
        <w:autoSpaceDE/>
        <w:autoSpaceDN/>
        <w:bidi w:val="0"/>
        <w:adjustRightInd w:val="0"/>
        <w:snapToGrid w:val="0"/>
        <w:spacing w:line="490" w:lineRule="exact"/>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采购要求中带“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”为实质性响应项，未响应的作无效标处理。</w:t>
      </w:r>
    </w:p>
    <w:p w14:paraId="492BC59C">
      <w:pPr>
        <w:keepLines w:val="0"/>
        <w:pageBreakBefore w:val="0"/>
        <w:numPr>
          <w:ilvl w:val="0"/>
          <w:numId w:val="0"/>
        </w:numPr>
        <w:kinsoku/>
        <w:wordWrap/>
        <w:overflowPunct/>
        <w:topLinePunct w:val="0"/>
        <w:bidi w:val="0"/>
        <w:spacing w:line="490" w:lineRule="exact"/>
        <w:ind w:left="0" w:leftChars="0" w:firstLine="482" w:firstLineChars="200"/>
        <w:jc w:val="left"/>
        <w:rPr>
          <w:rFonts w:hint="eastAsia" w:ascii="宋体" w:hAnsi="宋体" w:eastAsia="宋体" w:cs="宋体"/>
          <w:b/>
          <w:bCs/>
          <w:color w:val="auto"/>
          <w:sz w:val="24"/>
          <w:szCs w:val="24"/>
          <w:highlight w:val="none"/>
        </w:rPr>
      </w:pPr>
      <w:bookmarkStart w:id="38" w:name="_Toc8476"/>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、技术要求</w:t>
      </w:r>
      <w:bookmarkEnd w:id="36"/>
      <w:bookmarkEnd w:id="38"/>
    </w:p>
    <w:p w14:paraId="3CFC6210">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2" w:firstLineChars="200"/>
        <w:jc w:val="left"/>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rPr>
        <w:t>车辆及公交车运营：</w:t>
      </w:r>
    </w:p>
    <w:p w14:paraId="2611033A">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成交人供应商一次性购买的车辆质量标准须符合国家相关规定要求，符合采购人的技术参数、服务要求。本技术参数和服务需求作为交车验收标准之一。</w:t>
      </w:r>
    </w:p>
    <w:p w14:paraId="6EF97D03">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 采购技术要求中带“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”为实质性响应项，未响应的作无效标处理，其他作为评分项。</w:t>
      </w:r>
    </w:p>
    <w:p w14:paraId="527484D2">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 招标文件中提供参考品牌部分投标人须根据要求自行提供品牌，提供的参考品牌只作选配参考，无强制要求；但投标人提供其他品牌的，质量需相当于或高于参考品牌并提供权威机构出具的相应证明文件。</w:t>
      </w:r>
    </w:p>
    <w:p w14:paraId="7C1172ED">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 投标人须承诺，若中标，均须与设备提供方共同出具售后服务安全承诺函于签定合同协议前提供。</w:t>
      </w:r>
    </w:p>
    <w:p w14:paraId="33EA2605">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本技术参数和服务需求不完善之处由投标供应商选择并优化技术指标达到或优于以上要求的产品迸行优化投标报价并在配置响应表中注明所用品牌，确保车辆各项指标符合国家相关规定且满足上牌要求，否则采购人有权终止合同并没收履约保证金。</w:t>
      </w:r>
    </w:p>
    <w:p w14:paraId="36788E95">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0" w:firstLineChars="200"/>
        <w:jc w:val="left"/>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1.6投标车型必须列入道路机动车辆生产企业及产品公告目录，列入新能源汽车推广应用推荐车型目录和免征车辆购置税的新能源汽车车型目录，配套的动力蓄电池包和系统必须符合检验标准目录要求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整车性能必须符合国家GB7258《机动车运行安全条件》、GB13094《客车结构安全要求》、客车噪声达到国家GB1495《加速行使车外噪声》、GB30678《客车用安全标志和信息符号》、《电动客车安全技术条件》、车载储能装置符合GB/T31467电动汽车用锂离子动力蓄电池和系统、GB/T31485《电动汽车用动力蓄电池安全要求及试验方法》、QC/T897《电动汽车用电池管理系统技术条件》、空调暖风系统须符合《客车空调系统技术条件》、驾驶区防护隔离设施必须符合JT/T 1241-</w:t>
      </w:r>
      <w:r>
        <w:rPr>
          <w:rFonts w:hint="eastAsia" w:ascii="宋体" w:hAnsi="宋体" w:eastAsia="宋体" w:cs="宋体"/>
          <w:color w:val="auto"/>
          <w:sz w:val="24"/>
          <w:szCs w:val="24"/>
          <w:highlight w:val="none"/>
          <w:lang w:eastAsia="zh-CN"/>
        </w:rPr>
        <w:t>2020</w:t>
      </w:r>
      <w:r>
        <w:rPr>
          <w:rFonts w:hint="eastAsia" w:ascii="宋体" w:hAnsi="宋体" w:eastAsia="宋体" w:cs="宋体"/>
          <w:color w:val="auto"/>
          <w:sz w:val="24"/>
          <w:szCs w:val="24"/>
          <w:highlight w:val="none"/>
        </w:rPr>
        <w:t>等相关城市公交车标准要求，并符合财</w:t>
      </w:r>
      <w:r>
        <w:rPr>
          <w:rFonts w:hint="eastAsia" w:ascii="宋体" w:hAnsi="宋体" w:eastAsia="宋体" w:cs="宋体"/>
          <w:b w:val="0"/>
          <w:bCs w:val="0"/>
          <w:color w:val="auto"/>
          <w:sz w:val="24"/>
          <w:szCs w:val="24"/>
          <w:highlight w:val="none"/>
        </w:rPr>
        <w:t>政部、科技部、工业和信息化部、发展改革委联合下发的财建[</w:t>
      </w:r>
      <w:r>
        <w:rPr>
          <w:rFonts w:hint="eastAsia" w:ascii="宋体" w:hAnsi="宋体" w:eastAsia="宋体" w:cs="宋体"/>
          <w:b w:val="0"/>
          <w:bCs w:val="0"/>
          <w:color w:val="auto"/>
          <w:sz w:val="24"/>
          <w:szCs w:val="24"/>
          <w:highlight w:val="none"/>
          <w:lang w:eastAsia="zh-CN"/>
        </w:rPr>
        <w:t>2020</w:t>
      </w:r>
      <w:r>
        <w:rPr>
          <w:rFonts w:hint="eastAsia" w:ascii="宋体" w:hAnsi="宋体" w:eastAsia="宋体" w:cs="宋体"/>
          <w:b w:val="0"/>
          <w:bCs w:val="0"/>
          <w:color w:val="auto"/>
          <w:sz w:val="24"/>
          <w:szCs w:val="24"/>
          <w:highlight w:val="none"/>
        </w:rPr>
        <w:t>]138号文件的新能源汽车产品技术要求，以及投标人在投标书所明示达到的各项技术指标要求。</w:t>
      </w:r>
    </w:p>
    <w:p w14:paraId="2C965E6A">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482" w:firstLineChars="200"/>
        <w:jc w:val="left"/>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rPr>
        <w:t>采购技术要求：</w:t>
      </w:r>
    </w:p>
    <w:tbl>
      <w:tblPr>
        <w:tblStyle w:val="31"/>
        <w:tblW w:w="9361" w:type="dxa"/>
        <w:tblInd w:w="-176" w:type="dxa"/>
        <w:tblLayout w:type="fixed"/>
        <w:tblCellMar>
          <w:top w:w="0" w:type="dxa"/>
          <w:left w:w="0" w:type="dxa"/>
          <w:bottom w:w="0" w:type="dxa"/>
          <w:right w:w="0" w:type="dxa"/>
        </w:tblCellMar>
      </w:tblPr>
      <w:tblGrid>
        <w:gridCol w:w="601"/>
        <w:gridCol w:w="1387"/>
        <w:gridCol w:w="6664"/>
        <w:gridCol w:w="709"/>
      </w:tblGrid>
      <w:tr w14:paraId="10FBBF5B">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2A07034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0FF81D4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p>
        </w:tc>
        <w:tc>
          <w:tcPr>
            <w:tcW w:w="6664" w:type="dxa"/>
            <w:tcBorders>
              <w:top w:val="single" w:color="000000" w:sz="4" w:space="0"/>
              <w:left w:val="single" w:color="000000" w:sz="4" w:space="0"/>
              <w:bottom w:val="single" w:color="000000" w:sz="4" w:space="0"/>
              <w:right w:val="single" w:color="000000" w:sz="4" w:space="0"/>
            </w:tcBorders>
            <w:noWrap w:val="0"/>
            <w:vAlign w:val="center"/>
          </w:tcPr>
          <w:p w14:paraId="3066737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技术要求</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B22105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203A5345">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970DD3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8760" w:type="dxa"/>
            <w:gridSpan w:val="3"/>
            <w:tcBorders>
              <w:top w:val="single" w:color="000000" w:sz="4" w:space="0"/>
              <w:left w:val="single" w:color="000000" w:sz="4" w:space="0"/>
              <w:bottom w:val="single" w:color="000000" w:sz="4" w:space="0"/>
              <w:right w:val="single" w:color="000000" w:sz="4" w:space="0"/>
            </w:tcBorders>
            <w:noWrap w:val="0"/>
            <w:vAlign w:val="center"/>
          </w:tcPr>
          <w:p w14:paraId="7295F07A">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整车要求</w:t>
            </w:r>
          </w:p>
        </w:tc>
      </w:tr>
      <w:tr w14:paraId="4E0D3754">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A2E657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50FDF5A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整体要求</w:t>
            </w:r>
          </w:p>
        </w:tc>
        <w:tc>
          <w:tcPr>
            <w:tcW w:w="6664" w:type="dxa"/>
            <w:tcBorders>
              <w:top w:val="single" w:color="000000" w:sz="4" w:space="0"/>
              <w:left w:val="single" w:color="000000" w:sz="4" w:space="0"/>
              <w:bottom w:val="single" w:color="000000" w:sz="4" w:space="0"/>
              <w:right w:val="single" w:color="000000" w:sz="4" w:space="0"/>
            </w:tcBorders>
            <w:noWrap w:val="0"/>
            <w:vAlign w:val="center"/>
          </w:tcPr>
          <w:p w14:paraId="5F1B584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pacing w:val="-3"/>
                <w:sz w:val="24"/>
                <w:szCs w:val="24"/>
                <w:highlight w:val="none"/>
              </w:rPr>
              <w:t>所有车辆在交车检验时必须完好，车辆配置应与投标文件相符</w:t>
            </w: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2"/>
                <w:sz w:val="24"/>
                <w:szCs w:val="24"/>
                <w:highlight w:val="none"/>
              </w:rPr>
              <w:t>供应方根据技术协议内容做出全面响应，对响应有差异必须</w:t>
            </w:r>
            <w:r>
              <w:rPr>
                <w:rFonts w:hint="eastAsia" w:ascii="宋体" w:hAnsi="宋体" w:eastAsia="宋体" w:cs="宋体"/>
                <w:color w:val="auto"/>
                <w:sz w:val="24"/>
                <w:szCs w:val="24"/>
                <w:highlight w:val="none"/>
              </w:rPr>
              <w:t>经确认，否则按违约处理。</w:t>
            </w:r>
          </w:p>
          <w:p w14:paraId="4935D07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1.1.2在交车时，如发现配置有属国家规定应报废部件或不合格的，或未能按投标文件要求配置的，均按违约处理。</w:t>
            </w:r>
          </w:p>
          <w:p w14:paraId="52CD567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1.1.3投标时针对上述技术要求有采购人认可的技术方案和售后服务承诺书。</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3DFD505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10D9E1D">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D7B3F6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401B539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外形尺寸</w:t>
            </w:r>
          </w:p>
        </w:tc>
        <w:tc>
          <w:tcPr>
            <w:tcW w:w="6664" w:type="dxa"/>
            <w:tcBorders>
              <w:top w:val="single" w:color="000000" w:sz="4" w:space="0"/>
              <w:left w:val="single" w:color="000000" w:sz="4" w:space="0"/>
              <w:bottom w:val="single" w:color="000000" w:sz="4" w:space="0"/>
              <w:right w:val="single" w:color="000000" w:sz="4" w:space="0"/>
            </w:tcBorders>
            <w:noWrap w:val="0"/>
            <w:vAlign w:val="center"/>
          </w:tcPr>
          <w:p w14:paraId="4382B33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 长6</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00mm</w:t>
            </w:r>
            <w:r>
              <w:rPr>
                <w:rFonts w:hint="eastAsia" w:ascii="宋体" w:hAnsi="宋体" w:cs="宋体"/>
                <w:color w:val="auto"/>
                <w:sz w:val="24"/>
                <w:szCs w:val="24"/>
                <w:highlight w:val="none"/>
                <w:lang w:val="en-US" w:eastAsia="zh-CN"/>
              </w:rPr>
              <w:t>-7000</w:t>
            </w:r>
            <w:r>
              <w:rPr>
                <w:rFonts w:hint="eastAsia" w:ascii="宋体" w:hAnsi="宋体" w:eastAsia="宋体" w:cs="宋体"/>
                <w:color w:val="auto"/>
                <w:sz w:val="24"/>
                <w:szCs w:val="24"/>
                <w:highlight w:val="none"/>
                <w:lang w:val="en-US" w:eastAsia="zh-CN"/>
              </w:rPr>
              <w:t>mm、宽：2200mm-2400mm、高：3000mm-3200mm（含空调）</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580F2D8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lang w:val="en-US" w:eastAsia="zh-CN"/>
              </w:rPr>
            </w:pPr>
          </w:p>
        </w:tc>
      </w:tr>
      <w:tr w14:paraId="40237DB4">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1B93B84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0AECDC4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质量参数</w:t>
            </w:r>
          </w:p>
        </w:tc>
        <w:tc>
          <w:tcPr>
            <w:tcW w:w="6664" w:type="dxa"/>
            <w:tcBorders>
              <w:top w:val="single" w:color="000000" w:sz="4" w:space="0"/>
              <w:left w:val="single" w:color="000000" w:sz="4" w:space="0"/>
              <w:bottom w:val="single" w:color="000000" w:sz="4" w:space="0"/>
              <w:right w:val="single" w:color="000000" w:sz="4" w:space="0"/>
            </w:tcBorders>
            <w:noWrap w:val="0"/>
            <w:vAlign w:val="center"/>
          </w:tcPr>
          <w:p w14:paraId="3D56249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pacing w:val="-3"/>
                <w:sz w:val="24"/>
                <w:szCs w:val="24"/>
                <w:highlight w:val="none"/>
              </w:rPr>
              <w:t>符合国家规定和车辆公告目录。</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3EA18E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15"/>
                <w:sz w:val="24"/>
                <w:szCs w:val="24"/>
                <w:highlight w:val="none"/>
              </w:rPr>
            </w:pPr>
          </w:p>
        </w:tc>
      </w:tr>
      <w:tr w14:paraId="621790DF">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AB9F9C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2ADBA13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外形形状</w:t>
            </w:r>
          </w:p>
        </w:tc>
        <w:tc>
          <w:tcPr>
            <w:tcW w:w="6664" w:type="dxa"/>
            <w:tcBorders>
              <w:top w:val="single" w:color="000000" w:sz="4" w:space="0"/>
              <w:left w:val="single" w:color="000000" w:sz="4" w:space="0"/>
              <w:bottom w:val="single" w:color="000000" w:sz="4" w:space="0"/>
              <w:right w:val="single" w:color="000000" w:sz="4" w:space="0"/>
            </w:tcBorders>
            <w:noWrap w:val="0"/>
            <w:vAlign w:val="center"/>
          </w:tcPr>
          <w:p w14:paraId="68F42F4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3"/>
                <w:sz w:val="24"/>
                <w:szCs w:val="24"/>
                <w:highlight w:val="none"/>
              </w:rPr>
            </w:pPr>
            <w:r>
              <w:rPr>
                <w:rFonts w:hint="eastAsia" w:ascii="宋体" w:hAnsi="宋体" w:eastAsia="宋体" w:cs="宋体"/>
                <w:color w:val="auto"/>
                <w:sz w:val="24"/>
                <w:szCs w:val="24"/>
                <w:highlight w:val="none"/>
              </w:rPr>
              <w:t>1.4.1车身设计美观大方，布局合理，空间最大化，符合</w:t>
            </w:r>
            <w:r>
              <w:rPr>
                <w:rFonts w:hint="eastAsia" w:ascii="宋体" w:hAnsi="宋体" w:eastAsia="宋体" w:cs="宋体"/>
                <w:color w:val="auto"/>
                <w:sz w:val="24"/>
                <w:szCs w:val="24"/>
                <w:highlight w:val="none"/>
                <w:lang w:val="en-US" w:eastAsia="zh-CN"/>
              </w:rPr>
              <w:t>城市</w:t>
            </w:r>
            <w:r>
              <w:rPr>
                <w:rFonts w:hint="eastAsia" w:ascii="宋体" w:hAnsi="宋体" w:eastAsia="宋体" w:cs="宋体"/>
                <w:color w:val="auto"/>
                <w:sz w:val="24"/>
                <w:szCs w:val="24"/>
                <w:highlight w:val="none"/>
              </w:rPr>
              <w:t>公交特点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以投标车型整车公告页技术参数数据</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中国汽车网查询且</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提供整车真实图片为准，提供车辆外型图片、内部图片，底盘前后区域、电机仓、各电气设备箱、检修工艺门等彩色图片。</w:t>
            </w:r>
          </w:p>
          <w:p w14:paraId="5733696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3"/>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1.4.2</w:t>
            </w:r>
            <w:r>
              <w:rPr>
                <w:rFonts w:hint="eastAsia" w:ascii="宋体" w:hAnsi="宋体" w:eastAsia="宋体" w:cs="宋体"/>
                <w:color w:val="auto"/>
                <w:spacing w:val="-2"/>
                <w:sz w:val="24"/>
                <w:szCs w:val="24"/>
                <w:highlight w:val="none"/>
              </w:rPr>
              <w:t>提供书面防腐质保承诺书，注明如在质保期内出现腐烂穿孔和车顶、边窗漏水将负责全部后续车身维修费用。</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7794B9E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textAlignment w:val="auto"/>
              <w:outlineLvl w:val="9"/>
              <w:rPr>
                <w:rFonts w:hint="eastAsia" w:ascii="宋体" w:hAnsi="宋体" w:eastAsia="宋体" w:cs="宋体"/>
                <w:color w:val="auto"/>
                <w:sz w:val="24"/>
                <w:szCs w:val="24"/>
                <w:highlight w:val="none"/>
              </w:rPr>
            </w:pPr>
          </w:p>
        </w:tc>
      </w:tr>
      <w:tr w14:paraId="1857B37A">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C91222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6E6C179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性能参数</w:t>
            </w:r>
          </w:p>
        </w:tc>
        <w:tc>
          <w:tcPr>
            <w:tcW w:w="6664" w:type="dxa"/>
            <w:tcBorders>
              <w:top w:val="single" w:color="000000" w:sz="4" w:space="0"/>
              <w:left w:val="single" w:color="000000" w:sz="4" w:space="0"/>
              <w:bottom w:val="single" w:color="000000" w:sz="4" w:space="0"/>
              <w:right w:val="single" w:color="000000" w:sz="4" w:space="0"/>
            </w:tcBorders>
            <w:noWrap w:val="0"/>
            <w:vAlign w:val="center"/>
          </w:tcPr>
          <w:p w14:paraId="25B53C0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z w:val="24"/>
                <w:szCs w:val="24"/>
                <w:highlight w:val="none"/>
              </w:rPr>
              <w:t>1.5.1</w:t>
            </w:r>
            <w:r>
              <w:rPr>
                <w:rFonts w:hint="eastAsia" w:ascii="宋体" w:hAnsi="宋体" w:eastAsia="宋体" w:cs="宋体"/>
                <w:color w:val="auto"/>
                <w:spacing w:val="-3"/>
                <w:sz w:val="24"/>
                <w:szCs w:val="24"/>
                <w:highlight w:val="none"/>
              </w:rPr>
              <w:t>最高限速≤69km/h。</w:t>
            </w:r>
          </w:p>
          <w:p w14:paraId="5DBAD23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3"/>
                <w:sz w:val="24"/>
                <w:szCs w:val="24"/>
                <w:highlight w:val="none"/>
              </w:rPr>
            </w:pPr>
            <w:r>
              <w:rPr>
                <w:rFonts w:hint="eastAsia" w:ascii="宋体" w:hAnsi="宋体" w:eastAsia="宋体" w:cs="宋体"/>
                <w:color w:val="auto"/>
                <w:sz w:val="24"/>
                <w:szCs w:val="24"/>
                <w:highlight w:val="none"/>
              </w:rPr>
              <w:t>1.5.2</w:t>
            </w:r>
            <w:r>
              <w:rPr>
                <w:rFonts w:hint="eastAsia" w:ascii="宋体" w:hAnsi="宋体" w:eastAsia="宋体" w:cs="宋体"/>
                <w:color w:val="auto"/>
                <w:spacing w:val="-3"/>
                <w:sz w:val="24"/>
                <w:szCs w:val="24"/>
                <w:highlight w:val="none"/>
              </w:rPr>
              <w:t>最大爬坡度≥15%。</w:t>
            </w:r>
          </w:p>
        </w:tc>
        <w:tc>
          <w:tcPr>
            <w:tcW w:w="709" w:type="dxa"/>
            <w:tcBorders>
              <w:top w:val="single" w:color="000000" w:sz="4" w:space="0"/>
              <w:left w:val="single" w:color="000000" w:sz="4" w:space="0"/>
              <w:bottom w:val="single" w:color="000000" w:sz="4" w:space="0"/>
              <w:right w:val="single" w:color="000000" w:sz="4" w:space="0"/>
            </w:tcBorders>
            <w:noWrap w:val="0"/>
            <w:vAlign w:val="center"/>
          </w:tcPr>
          <w:p w14:paraId="49E5624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7C52131D">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578D99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1387" w:type="dxa"/>
            <w:tcBorders>
              <w:top w:val="single" w:color="000000" w:sz="4" w:space="0"/>
              <w:left w:val="single" w:color="000000" w:sz="4" w:space="0"/>
              <w:bottom w:val="single" w:color="000000" w:sz="4" w:space="0"/>
              <w:right w:val="single" w:color="000000" w:sz="4" w:space="0"/>
            </w:tcBorders>
            <w:noWrap w:val="0"/>
            <w:vAlign w:val="center"/>
          </w:tcPr>
          <w:p w14:paraId="63ECF77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车内装饰</w:t>
            </w:r>
          </w:p>
        </w:tc>
        <w:tc>
          <w:tcPr>
            <w:tcW w:w="6664" w:type="dxa"/>
            <w:tcBorders>
              <w:top w:val="single" w:color="000000" w:sz="4" w:space="0"/>
              <w:left w:val="single" w:color="000000" w:sz="4" w:space="0"/>
              <w:bottom w:val="single" w:color="000000" w:sz="4" w:space="0"/>
              <w:right w:val="single" w:color="auto" w:sz="4" w:space="0"/>
            </w:tcBorders>
            <w:noWrap w:val="0"/>
            <w:vAlign w:val="center"/>
          </w:tcPr>
          <w:p w14:paraId="5DA2D3E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3"/>
                <w:sz w:val="24"/>
                <w:szCs w:val="24"/>
                <w:highlight w:val="none"/>
              </w:rPr>
            </w:pPr>
            <w:r>
              <w:rPr>
                <w:rFonts w:hint="eastAsia" w:ascii="宋体" w:hAnsi="宋体" w:eastAsia="宋体" w:cs="宋体"/>
                <w:color w:val="auto"/>
                <w:sz w:val="24"/>
                <w:szCs w:val="24"/>
                <w:highlight w:val="none"/>
              </w:rPr>
              <w:t>1.6</w:t>
            </w:r>
            <w:r>
              <w:rPr>
                <w:rFonts w:hint="eastAsia" w:ascii="宋体" w:hAnsi="宋体" w:eastAsia="宋体" w:cs="宋体"/>
                <w:color w:val="auto"/>
                <w:spacing w:val="-3"/>
                <w:sz w:val="24"/>
                <w:szCs w:val="24"/>
                <w:highlight w:val="none"/>
              </w:rPr>
              <w:t>饰料美观易清理、整体协调要一致、品质高档要耐用、环保阻燃要安全，保证使用期内不变形、不开裂、不老化变色。</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15E3EA8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2A2B1442">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2C6D69B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051" w:type="dxa"/>
            <w:gridSpan w:val="2"/>
            <w:tcBorders>
              <w:top w:val="single" w:color="000000" w:sz="4" w:space="0"/>
              <w:left w:val="single" w:color="000000" w:sz="4" w:space="0"/>
              <w:bottom w:val="single" w:color="000000" w:sz="4" w:space="0"/>
              <w:right w:val="single" w:color="auto" w:sz="4" w:space="0"/>
            </w:tcBorders>
            <w:noWrap w:val="0"/>
            <w:vAlign w:val="center"/>
          </w:tcPr>
          <w:p w14:paraId="02BD239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动力电池及驱动系统</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172C8F9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1881A018">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17A3E9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2B28B0F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涉水深度</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095DFD8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2.1涉水深度安全性及通过性须达到国家标准。</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13BFD98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E585B41">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2EF0204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15FB702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z w:val="24"/>
                <w:szCs w:val="24"/>
                <w:highlight w:val="none"/>
              </w:rPr>
              <w:t>整车电气</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E82730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2.2</w:t>
            </w:r>
            <w:r>
              <w:rPr>
                <w:rFonts w:hint="eastAsia" w:ascii="宋体" w:hAnsi="宋体" w:eastAsia="宋体" w:cs="宋体"/>
                <w:color w:val="auto"/>
                <w:spacing w:val="-2"/>
                <w:sz w:val="24"/>
                <w:szCs w:val="24"/>
                <w:highlight w:val="none"/>
              </w:rPr>
              <w:t>高压电缆，耐压≥700v，涉水深度≥0.3</w:t>
            </w:r>
            <w:r>
              <w:rPr>
                <w:rFonts w:hint="eastAsia" w:ascii="宋体" w:hAnsi="宋体" w:eastAsia="宋体" w:cs="宋体"/>
                <w:color w:val="auto"/>
                <w:spacing w:val="-2"/>
                <w:sz w:val="24"/>
                <w:szCs w:val="24"/>
                <w:highlight w:val="none"/>
                <w:lang w:val="en-US" w:eastAsia="zh-CN"/>
              </w:rPr>
              <w:t>m</w:t>
            </w:r>
            <w:r>
              <w:rPr>
                <w:rFonts w:hint="eastAsia" w:ascii="宋体" w:hAnsi="宋体" w:eastAsia="宋体" w:cs="宋体"/>
                <w:color w:val="auto"/>
                <w:spacing w:val="-2"/>
                <w:sz w:val="24"/>
                <w:szCs w:val="24"/>
                <w:highlight w:val="none"/>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F16DC3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E148320">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1EE7C6A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A6D59D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z w:val="24"/>
                <w:szCs w:val="24"/>
                <w:highlight w:val="none"/>
              </w:rPr>
              <w:t>驱动电机</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7B5CE65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2.3.1采用永磁同步电机。</w:t>
            </w:r>
          </w:p>
          <w:p w14:paraId="6AFF0F9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2.3.2电机直驱，无级变速，驱动电机具备辅助制动功能，同时具有能量回收功能，具备抗凝露、泥沙防护结构。</w:t>
            </w:r>
          </w:p>
          <w:p w14:paraId="446C666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2.3.3驱动电机功率须满足公交服务要求，并具有低速大转矩特性及较宽范围内的恒功率特性，能够在车辆满载、爬坡等工况下提供充足动力，具备多级安全保护及异常故障报警。</w:t>
            </w:r>
          </w:p>
          <w:p w14:paraId="67DB137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2.3.4电机冷却系统采用电子智能冷却系统。</w:t>
            </w:r>
          </w:p>
          <w:p w14:paraId="212D83B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b/>
                <w:bCs/>
                <w:color w:val="auto"/>
                <w:spacing w:val="-2"/>
                <w:sz w:val="24"/>
                <w:szCs w:val="24"/>
                <w:highlight w:val="none"/>
              </w:rPr>
            </w:pPr>
            <w:r>
              <w:rPr>
                <w:rFonts w:hint="eastAsia" w:ascii="宋体" w:hAnsi="宋体" w:eastAsia="宋体" w:cs="宋体"/>
                <w:b/>
                <w:bCs/>
                <w:color w:val="auto"/>
                <w:spacing w:val="-2"/>
                <w:sz w:val="24"/>
                <w:szCs w:val="24"/>
                <w:highlight w:val="none"/>
              </w:rPr>
              <w:t>防护等级≥IP67                        作为单独考核项目</w:t>
            </w:r>
          </w:p>
          <w:p w14:paraId="49B60FE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b/>
                <w:bCs/>
                <w:color w:val="auto"/>
                <w:spacing w:val="-2"/>
                <w:sz w:val="24"/>
                <w:szCs w:val="24"/>
                <w:highlight w:val="none"/>
              </w:rPr>
            </w:pPr>
            <w:r>
              <w:rPr>
                <w:rFonts w:hint="eastAsia" w:ascii="宋体" w:hAnsi="宋体" w:eastAsia="宋体" w:cs="宋体"/>
                <w:b/>
                <w:bCs/>
                <w:color w:val="auto"/>
                <w:spacing w:val="-2"/>
                <w:sz w:val="24"/>
                <w:szCs w:val="24"/>
                <w:highlight w:val="none"/>
              </w:rPr>
              <w:t>电机峰值功率≥1</w:t>
            </w:r>
            <w:r>
              <w:rPr>
                <w:rFonts w:hint="eastAsia" w:ascii="宋体" w:hAnsi="宋体" w:eastAsia="宋体" w:cs="宋体"/>
                <w:b/>
                <w:bCs/>
                <w:color w:val="auto"/>
                <w:spacing w:val="-2"/>
                <w:sz w:val="24"/>
                <w:szCs w:val="24"/>
                <w:highlight w:val="none"/>
                <w:lang w:val="en-US" w:eastAsia="zh-CN"/>
              </w:rPr>
              <w:t>20</w:t>
            </w:r>
            <w:r>
              <w:rPr>
                <w:rFonts w:hint="eastAsia" w:ascii="宋体" w:hAnsi="宋体" w:eastAsia="宋体" w:cs="宋体"/>
                <w:b/>
                <w:bCs/>
                <w:color w:val="auto"/>
                <w:spacing w:val="-2"/>
                <w:sz w:val="24"/>
                <w:szCs w:val="24"/>
                <w:highlight w:val="none"/>
              </w:rPr>
              <w:t>KW                   作为单独考核项目</w:t>
            </w:r>
          </w:p>
          <w:p w14:paraId="3A1CDE2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val="en-US" w:eastAsia="zh-CN"/>
              </w:rPr>
              <w:t>2.3.5</w:t>
            </w:r>
            <w:r>
              <w:rPr>
                <w:rFonts w:hint="eastAsia" w:ascii="宋体" w:hAnsi="宋体" w:eastAsia="宋体" w:cs="宋体"/>
                <w:color w:val="auto"/>
                <w:spacing w:val="-2"/>
                <w:sz w:val="24"/>
                <w:szCs w:val="24"/>
                <w:highlight w:val="none"/>
              </w:rPr>
              <w:t>质保期8年。质保期内由整车厂家负责定期维护保养</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1E719AA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3FEA096A">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03EFBCE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5C68052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z w:val="24"/>
                <w:szCs w:val="24"/>
                <w:highlight w:val="none"/>
              </w:rPr>
              <w:t>电控系统</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27117FC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2.4.1具备远程智能监控功能，能实时监控车辆运营状态并在后台发布安全预警信息。整车应具备远程监控管理系统，能够按照GBT 32960法规对电池电压</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电流</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SOC等信息实现监控。</w:t>
            </w:r>
          </w:p>
          <w:p w14:paraId="70CEE81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2.4.2高压配电箱：BMS高压箱内集成MSD开关、绝缘监测电路、充电保护电路、高压互锁功能、漏电保护功能。防护等级符合国标标准。</w:t>
            </w:r>
          </w:p>
          <w:p w14:paraId="5FBA186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2.4.3高压电缆：采用耐高温的辐射阻燃且</w:t>
            </w:r>
            <w:r>
              <w:rPr>
                <w:rFonts w:hint="eastAsia" w:ascii="宋体" w:hAnsi="宋体" w:eastAsia="宋体" w:cs="宋体"/>
                <w:color w:val="auto"/>
                <w:spacing w:val="-2"/>
                <w:sz w:val="24"/>
                <w:szCs w:val="24"/>
                <w:highlight w:val="none"/>
                <w:lang w:val="en-US" w:eastAsia="zh-CN"/>
              </w:rPr>
              <w:t>公交</w:t>
            </w:r>
            <w:r>
              <w:rPr>
                <w:rFonts w:hint="eastAsia" w:ascii="宋体" w:hAnsi="宋体" w:eastAsia="宋体" w:cs="宋体"/>
                <w:color w:val="auto"/>
                <w:spacing w:val="-2"/>
                <w:sz w:val="24"/>
                <w:szCs w:val="24"/>
                <w:highlight w:val="none"/>
              </w:rPr>
              <w:t>电动</w:t>
            </w:r>
            <w:r>
              <w:rPr>
                <w:rFonts w:hint="eastAsia" w:ascii="宋体" w:hAnsi="宋体" w:eastAsia="宋体" w:cs="宋体"/>
                <w:color w:val="auto"/>
                <w:spacing w:val="-2"/>
                <w:sz w:val="24"/>
                <w:szCs w:val="24"/>
                <w:highlight w:val="none"/>
                <w:lang w:val="en-US" w:eastAsia="zh-CN"/>
              </w:rPr>
              <w:t>客运</w:t>
            </w:r>
            <w:r>
              <w:rPr>
                <w:rFonts w:hint="eastAsia" w:ascii="宋体" w:hAnsi="宋体" w:eastAsia="宋体" w:cs="宋体"/>
                <w:color w:val="auto"/>
                <w:spacing w:val="-2"/>
                <w:sz w:val="24"/>
                <w:szCs w:val="24"/>
                <w:highlight w:val="none"/>
              </w:rPr>
              <w:t>车辆专用电缆，具有屏蔽层。</w:t>
            </w:r>
          </w:p>
          <w:p w14:paraId="744DA63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2.4.4质保期8年。</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1CAB6F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1C65A2C9">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753F05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5B4E72A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z w:val="24"/>
                <w:szCs w:val="24"/>
                <w:highlight w:val="none"/>
              </w:rPr>
              <w:t>动力电池</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1D7ADD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2.5.1选用国内优质品牌电池，电池冷却方式选用液冷。配置的电池及其容量满足</w:t>
            </w:r>
            <w:r>
              <w:rPr>
                <w:rFonts w:hint="eastAsia" w:ascii="宋体" w:hAnsi="宋体" w:eastAsia="宋体" w:cs="宋体"/>
                <w:color w:val="auto"/>
                <w:spacing w:val="-2"/>
                <w:sz w:val="24"/>
                <w:szCs w:val="24"/>
                <w:highlight w:val="none"/>
                <w:lang w:eastAsia="zh-CN"/>
              </w:rPr>
              <w:t>采购人</w:t>
            </w:r>
            <w:r>
              <w:rPr>
                <w:rFonts w:hint="eastAsia" w:ascii="宋体" w:hAnsi="宋体" w:eastAsia="宋体" w:cs="宋体"/>
                <w:color w:val="auto"/>
                <w:spacing w:val="-2"/>
                <w:sz w:val="24"/>
                <w:szCs w:val="24"/>
                <w:highlight w:val="none"/>
              </w:rPr>
              <w:t>线路运营需求；整个电池系统及每个电池箱体内部装有快断器，确保任何一个电池箱体出现故障问题及时断开，并设有故障报警装置。</w:t>
            </w:r>
          </w:p>
          <w:p w14:paraId="2B1A858A">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2.5.2电池厂家在终端客户所在地区有完备的售后服务体系，包括人员、工具，配件仓库，服务商等。</w:t>
            </w:r>
          </w:p>
          <w:p w14:paraId="6962EA8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2.5.3 电池箱采用ATS智能温控系统，温控设计能充分满足本地冬、夏季及多对电池电压、电量，温度、车辆位置等有远程监控及报警功能。</w:t>
            </w:r>
          </w:p>
          <w:p w14:paraId="5F730ED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2.5.4电池管理系统应能检测动力电池工作状态并在发生异常情况时报警，专用灭火装置应能在报警后5分钟内确保电池箱不会起火</w:t>
            </w:r>
            <w:r>
              <w:rPr>
                <w:rFonts w:hint="eastAsia" w:ascii="宋体" w:hAnsi="宋体" w:eastAsia="宋体" w:cs="宋体"/>
                <w:color w:val="auto"/>
                <w:spacing w:val="-2"/>
                <w:sz w:val="24"/>
                <w:szCs w:val="24"/>
                <w:highlight w:val="none"/>
                <w:lang w:val="en-US" w:eastAsia="zh-CN"/>
              </w:rPr>
              <w:t>或</w:t>
            </w:r>
            <w:r>
              <w:rPr>
                <w:rFonts w:hint="eastAsia" w:ascii="宋体" w:hAnsi="宋体" w:eastAsia="宋体" w:cs="宋体"/>
                <w:color w:val="auto"/>
                <w:spacing w:val="-2"/>
                <w:sz w:val="24"/>
                <w:szCs w:val="24"/>
                <w:highlight w:val="none"/>
              </w:rPr>
              <w:t>爆炸。</w:t>
            </w:r>
          </w:p>
          <w:p w14:paraId="22A5193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2.5.5动力电池必须经过国家公交车质量监督检测中心检测合格并出具通过齐压，跌落、过充、过放、过温等安全试验检测合格报告，安全性满足国家相关标准和通过第三方服务标准的认证（提供相关证明材料）。</w:t>
            </w:r>
          </w:p>
          <w:p w14:paraId="64A4565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2.5.6为保障营运类电动车辆的安全、规范运营，落实工信部装(2016)377号文件，根据中国交通部全国城市客运标准化技术会的规定，电池厂家对中标车辆至少</w:t>
            </w:r>
            <w:r>
              <w:rPr>
                <w:rFonts w:hint="eastAsia" w:ascii="宋体" w:hAnsi="宋体" w:cs="宋体"/>
                <w:color w:val="auto"/>
                <w:spacing w:val="-2"/>
                <w:sz w:val="24"/>
                <w:szCs w:val="24"/>
                <w:highlight w:val="none"/>
                <w:lang w:val="en-US" w:eastAsia="zh-CN"/>
              </w:rPr>
              <w:t>10</w:t>
            </w:r>
            <w:r>
              <w:rPr>
                <w:rFonts w:hint="eastAsia" w:ascii="宋体" w:hAnsi="宋体" w:eastAsia="宋体" w:cs="宋体"/>
                <w:color w:val="auto"/>
                <w:spacing w:val="-2"/>
                <w:sz w:val="24"/>
                <w:szCs w:val="24"/>
                <w:highlight w:val="none"/>
              </w:rPr>
              <w:t>年内，每6个月一次进行电池定期维保作业，特别是充电接口，如有熔融，接触不良等非外力撞击的损坏，由厂家免费更换</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每次维保作业后，在维保作业本（</w:t>
            </w:r>
            <w:r>
              <w:rPr>
                <w:rFonts w:hint="eastAsia" w:ascii="宋体" w:hAnsi="宋体" w:eastAsia="宋体" w:cs="宋体"/>
                <w:color w:val="auto"/>
                <w:spacing w:val="-2"/>
                <w:sz w:val="24"/>
                <w:szCs w:val="24"/>
                <w:highlight w:val="none"/>
                <w:lang w:val="en-US" w:eastAsia="zh-CN"/>
              </w:rPr>
              <w:t>由</w:t>
            </w:r>
            <w:r>
              <w:rPr>
                <w:rFonts w:hint="eastAsia" w:ascii="宋体" w:hAnsi="宋体" w:eastAsia="宋体" w:cs="宋体"/>
                <w:color w:val="auto"/>
                <w:spacing w:val="-2"/>
                <w:sz w:val="24"/>
                <w:szCs w:val="24"/>
                <w:highlight w:val="none"/>
              </w:rPr>
              <w:t>中标单位提供）上签字并交使用单位存档。</w:t>
            </w:r>
          </w:p>
          <w:p w14:paraId="23D6567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rPr>
            </w:pPr>
            <w:r>
              <w:rPr>
                <w:rFonts w:hint="eastAsia" w:ascii="宋体" w:hAnsi="宋体" w:eastAsia="宋体" w:cs="宋体"/>
                <w:color w:val="auto"/>
                <w:spacing w:val="-2"/>
                <w:sz w:val="24"/>
                <w:szCs w:val="24"/>
                <w:highlight w:val="none"/>
              </w:rPr>
              <w:t>2.5.</w:t>
            </w:r>
            <w:r>
              <w:rPr>
                <w:rFonts w:hint="eastAsia" w:ascii="宋体" w:hAnsi="宋体" w:eastAsia="宋体" w:cs="宋体"/>
                <w:color w:val="auto"/>
                <w:spacing w:val="-2"/>
                <w:sz w:val="24"/>
                <w:szCs w:val="24"/>
                <w:highlight w:val="none"/>
                <w:lang w:val="en-US" w:eastAsia="zh-CN"/>
              </w:rPr>
              <w:t>7电池、电芯和电池管理系统须同一动力电池生产企业。</w:t>
            </w:r>
          </w:p>
          <w:p w14:paraId="5A48BDF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2.5.</w:t>
            </w:r>
            <w:r>
              <w:rPr>
                <w:rFonts w:hint="eastAsia" w:ascii="宋体" w:hAnsi="宋体" w:eastAsia="宋体" w:cs="宋体"/>
                <w:color w:val="auto"/>
                <w:spacing w:val="-2"/>
                <w:sz w:val="24"/>
                <w:szCs w:val="24"/>
                <w:highlight w:val="none"/>
                <w:lang w:val="en-US" w:eastAsia="zh-CN"/>
              </w:rPr>
              <w:t>8</w:t>
            </w:r>
            <w:r>
              <w:rPr>
                <w:rFonts w:hint="eastAsia" w:ascii="宋体" w:hAnsi="宋体" w:eastAsia="宋体" w:cs="宋体"/>
                <w:color w:val="auto"/>
                <w:spacing w:val="-2"/>
                <w:sz w:val="24"/>
                <w:szCs w:val="24"/>
                <w:highlight w:val="none"/>
              </w:rPr>
              <w:t>质保期</w:t>
            </w:r>
            <w:r>
              <w:rPr>
                <w:rFonts w:hint="eastAsia" w:ascii="宋体" w:hAnsi="宋体" w:cs="宋体"/>
                <w:color w:val="auto"/>
                <w:spacing w:val="-2"/>
                <w:sz w:val="24"/>
                <w:szCs w:val="24"/>
                <w:highlight w:val="none"/>
                <w:lang w:val="en-US" w:eastAsia="zh-CN"/>
              </w:rPr>
              <w:t>10</w:t>
            </w:r>
            <w:r>
              <w:rPr>
                <w:rFonts w:hint="eastAsia" w:ascii="宋体" w:hAnsi="宋体" w:eastAsia="宋体" w:cs="宋体"/>
                <w:color w:val="auto"/>
                <w:spacing w:val="-2"/>
                <w:sz w:val="24"/>
                <w:szCs w:val="24"/>
                <w:highlight w:val="none"/>
              </w:rPr>
              <w:t>年。</w:t>
            </w:r>
          </w:p>
          <w:p w14:paraId="1F4A7B0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电量≥</w:t>
            </w:r>
            <w:r>
              <w:rPr>
                <w:rFonts w:hint="eastAsia" w:ascii="宋体" w:hAnsi="宋体" w:eastAsia="宋体" w:cs="宋体"/>
                <w:b/>
                <w:bCs/>
                <w:color w:val="auto"/>
                <w:spacing w:val="-2"/>
                <w:sz w:val="24"/>
                <w:szCs w:val="24"/>
                <w:highlight w:val="none"/>
                <w:lang w:val="en-US" w:eastAsia="zh-CN"/>
              </w:rPr>
              <w:t>1</w:t>
            </w:r>
            <w:r>
              <w:rPr>
                <w:rFonts w:hint="eastAsia" w:ascii="宋体" w:hAnsi="宋体" w:cs="宋体"/>
                <w:b/>
                <w:bCs/>
                <w:color w:val="auto"/>
                <w:spacing w:val="-2"/>
                <w:sz w:val="24"/>
                <w:szCs w:val="24"/>
                <w:highlight w:val="none"/>
                <w:lang w:val="en-US" w:eastAsia="zh-CN"/>
              </w:rPr>
              <w:t>3</w:t>
            </w:r>
            <w:r>
              <w:rPr>
                <w:rFonts w:hint="eastAsia" w:ascii="宋体" w:hAnsi="宋体" w:eastAsia="宋体" w:cs="宋体"/>
                <w:b/>
                <w:bCs/>
                <w:color w:val="auto"/>
                <w:spacing w:val="-2"/>
                <w:sz w:val="24"/>
                <w:szCs w:val="24"/>
                <w:highlight w:val="none"/>
                <w:lang w:val="en-US" w:eastAsia="zh-CN"/>
              </w:rPr>
              <w:t>0</w:t>
            </w:r>
            <w:r>
              <w:rPr>
                <w:rFonts w:hint="eastAsia" w:ascii="宋体" w:hAnsi="宋体" w:eastAsia="宋体" w:cs="宋体"/>
                <w:b/>
                <w:bCs/>
                <w:color w:val="auto"/>
                <w:spacing w:val="-2"/>
                <w:sz w:val="24"/>
                <w:szCs w:val="24"/>
                <w:highlight w:val="none"/>
              </w:rPr>
              <w:t>kWh</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2"/>
                <w:sz w:val="24"/>
                <w:szCs w:val="24"/>
                <w:highlight w:val="none"/>
                <w:lang w:val="en-US" w:eastAsia="zh-CN"/>
              </w:rPr>
              <w:t xml:space="preserve"> </w:t>
            </w:r>
            <w:r>
              <w:rPr>
                <w:rFonts w:hint="eastAsia" w:ascii="宋体" w:hAnsi="宋体" w:eastAsia="宋体" w:cs="宋体"/>
                <w:color w:val="auto"/>
                <w:spacing w:val="-2"/>
                <w:sz w:val="24"/>
                <w:szCs w:val="24"/>
                <w:highlight w:val="none"/>
              </w:rPr>
              <w:t xml:space="preserve">作为单独考核项目                  </w:t>
            </w:r>
          </w:p>
          <w:p w14:paraId="7127791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电池成组能量密度≥1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wh/</w:t>
            </w:r>
            <w:r>
              <w:rPr>
                <w:rFonts w:hint="eastAsia" w:ascii="宋体" w:hAnsi="宋体" w:eastAsia="宋体" w:cs="宋体"/>
                <w:color w:val="auto"/>
                <w:sz w:val="24"/>
                <w:szCs w:val="24"/>
                <w:highlight w:val="none"/>
                <w:lang w:val="en-US" w:eastAsia="zh-CN"/>
              </w:rPr>
              <w:t>k</w:t>
            </w:r>
            <w:r>
              <w:rPr>
                <w:rFonts w:hint="eastAsia" w:ascii="宋体" w:hAnsi="宋体" w:eastAsia="宋体" w:cs="宋体"/>
                <w:color w:val="auto"/>
                <w:sz w:val="24"/>
                <w:szCs w:val="24"/>
                <w:highlight w:val="none"/>
              </w:rPr>
              <w:t>g</w:t>
            </w:r>
            <w:r>
              <w:rPr>
                <w:rFonts w:hint="eastAsia" w:ascii="宋体" w:hAnsi="宋体" w:eastAsia="宋体" w:cs="宋体"/>
                <w:color w:val="auto"/>
                <w:spacing w:val="-2"/>
                <w:sz w:val="24"/>
                <w:szCs w:val="24"/>
                <w:highlight w:val="none"/>
              </w:rPr>
              <w:t xml:space="preserve">，        </w:t>
            </w:r>
            <w:r>
              <w:rPr>
                <w:rFonts w:hint="eastAsia" w:ascii="宋体" w:hAnsi="宋体" w:eastAsia="宋体" w:cs="宋体"/>
                <w:color w:val="auto"/>
                <w:spacing w:val="-2"/>
                <w:sz w:val="24"/>
                <w:szCs w:val="24"/>
                <w:highlight w:val="none"/>
                <w:lang w:val="en-US" w:eastAsia="zh-CN"/>
              </w:rPr>
              <w:t xml:space="preserve"> </w:t>
            </w:r>
            <w:r>
              <w:rPr>
                <w:rFonts w:hint="eastAsia" w:ascii="宋体" w:hAnsi="宋体" w:eastAsia="宋体" w:cs="宋体"/>
                <w:color w:val="auto"/>
                <w:spacing w:val="-2"/>
                <w:sz w:val="24"/>
                <w:szCs w:val="24"/>
                <w:highlight w:val="none"/>
              </w:rPr>
              <w:t xml:space="preserve">作为单独考核项目   </w:t>
            </w:r>
          </w:p>
          <w:p w14:paraId="10D457A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电池防护等级≥IP67，                  作为单独考核项目</w:t>
            </w:r>
          </w:p>
          <w:p w14:paraId="0785463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2"/>
                <w:sz w:val="24"/>
                <w:szCs w:val="24"/>
                <w:highlight w:val="none"/>
              </w:rPr>
              <w:t>推荐品牌：宁德时代、比亚迪、亿鹏</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7E34FBE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0E1018B8">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44C0C43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2FB30C4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z w:val="24"/>
                <w:szCs w:val="24"/>
                <w:highlight w:val="none"/>
              </w:rPr>
              <w:t>能量衰减</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C280B2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2.6具有专业电池热管理系统，动力电池能量衰减要求:电池免费质保期</w:t>
            </w:r>
            <w:r>
              <w:rPr>
                <w:rFonts w:hint="eastAsia" w:ascii="宋体" w:hAnsi="宋体" w:cs="宋体"/>
                <w:color w:val="auto"/>
                <w:spacing w:val="-2"/>
                <w:sz w:val="24"/>
                <w:szCs w:val="24"/>
                <w:highlight w:val="none"/>
                <w:lang w:val="en-US" w:eastAsia="zh-CN"/>
              </w:rPr>
              <w:t>10</w:t>
            </w:r>
            <w:r>
              <w:rPr>
                <w:rFonts w:hint="eastAsia" w:ascii="宋体" w:hAnsi="宋体" w:eastAsia="宋体" w:cs="宋体"/>
                <w:color w:val="auto"/>
                <w:spacing w:val="-2"/>
                <w:sz w:val="24"/>
                <w:szCs w:val="24"/>
                <w:highlight w:val="none"/>
              </w:rPr>
              <w:t>年(含易损、易耗件)，在质保期内无偿每年定期质量检测，并对有问题的电池进行临时检测，前</w:t>
            </w:r>
            <w:r>
              <w:rPr>
                <w:rFonts w:hint="eastAsia" w:ascii="宋体" w:hAnsi="宋体" w:cs="宋体"/>
                <w:color w:val="auto"/>
                <w:spacing w:val="-2"/>
                <w:sz w:val="24"/>
                <w:szCs w:val="24"/>
                <w:highlight w:val="none"/>
                <w:lang w:val="en-US" w:eastAsia="zh-CN"/>
              </w:rPr>
              <w:t>8</w:t>
            </w:r>
            <w:r>
              <w:rPr>
                <w:rFonts w:hint="eastAsia" w:ascii="宋体" w:hAnsi="宋体" w:eastAsia="宋体" w:cs="宋体"/>
                <w:color w:val="auto"/>
                <w:spacing w:val="-2"/>
                <w:sz w:val="24"/>
                <w:szCs w:val="24"/>
                <w:highlight w:val="none"/>
              </w:rPr>
              <w:t>年内电池组容量衰减不得超过20%，之后</w:t>
            </w:r>
            <w:r>
              <w:rPr>
                <w:rFonts w:hint="eastAsia" w:ascii="宋体" w:hAnsi="宋体" w:cs="宋体"/>
                <w:color w:val="auto"/>
                <w:spacing w:val="-2"/>
                <w:sz w:val="24"/>
                <w:szCs w:val="24"/>
                <w:highlight w:val="none"/>
                <w:lang w:val="en-US" w:eastAsia="zh-CN"/>
              </w:rPr>
              <w:t>2</w:t>
            </w:r>
            <w:r>
              <w:rPr>
                <w:rFonts w:hint="eastAsia" w:ascii="宋体" w:hAnsi="宋体" w:eastAsia="宋体" w:cs="宋体"/>
                <w:color w:val="auto"/>
                <w:spacing w:val="-2"/>
                <w:sz w:val="24"/>
                <w:szCs w:val="24"/>
                <w:highlight w:val="none"/>
              </w:rPr>
              <w:t>年电池组容量衰减不得超过30%，否则须无条件免费更换新电池。</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54510D2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p>
        </w:tc>
      </w:tr>
      <w:tr w14:paraId="36217297">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595F65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599C9830">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高压舱</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1FAE4A74">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2.7.1电池仓有防撞钢梁，与整车隔离、绝缘、防火隔热设计。动力电池舱与乘客舱完全隔离，电池舱与乘客舱之间加装防火隔热的材料，并安装火灾报警及灭火装置，在线路切断或者断电的情况下依然具有灭火能力。</w:t>
            </w:r>
          </w:p>
          <w:p w14:paraId="1FA2DE2E">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rPr>
              <w:t>2.7.2电池仓结构性能、安全性能、防护等级、绝缘等级、漏电触电防护、工作安全程序性能等必须达到国家和行业相关标准并符合产品技术规范要求，安装规范、固定可靠。</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1187540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p>
        </w:tc>
      </w:tr>
      <w:tr w14:paraId="3FD4E659">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EBD37E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51D5F37A">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三电系统</w:t>
            </w:r>
          </w:p>
          <w:p w14:paraId="49AE0947">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消防设施</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8B524F1">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2.8.1具有热失控预警、火灾报警及火灾抑制功能的电池箱灭火装置。三电系统消防装置工作情况须在仪表盘上显示。</w:t>
            </w:r>
          </w:p>
          <w:p w14:paraId="08686D6D">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2.8.2电池箱灭火装置的火灾探测报警器应在检测到储能装置热失控和火情状况时，以声或光报警信号向驾驶员报警。</w:t>
            </w:r>
          </w:p>
          <w:p w14:paraId="494CC4D8">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2.8.3当发生热失控时，电池箱灭火装置应确保热事故信号发生后 5min内电池箱不会起火</w:t>
            </w:r>
            <w:r>
              <w:rPr>
                <w:rFonts w:hint="eastAsia" w:ascii="宋体" w:hAnsi="宋体" w:eastAsia="宋体" w:cs="宋体"/>
                <w:color w:val="auto"/>
                <w:spacing w:val="-2"/>
                <w:sz w:val="24"/>
                <w:szCs w:val="24"/>
                <w:highlight w:val="none"/>
                <w:lang w:val="en-US" w:eastAsia="zh-CN"/>
              </w:rPr>
              <w:t>或</w:t>
            </w:r>
            <w:r>
              <w:rPr>
                <w:rFonts w:hint="eastAsia" w:ascii="宋体" w:hAnsi="宋体" w:eastAsia="宋体" w:cs="宋体"/>
                <w:color w:val="auto"/>
                <w:spacing w:val="-2"/>
                <w:sz w:val="24"/>
                <w:szCs w:val="24"/>
                <w:highlight w:val="none"/>
              </w:rPr>
              <w:t>爆炸。</w:t>
            </w:r>
          </w:p>
          <w:p w14:paraId="062F09EE">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2.8.4电池箱灭火装置的安装不应影响电池箱箱体防护等级要求。</w:t>
            </w:r>
          </w:p>
          <w:p w14:paraId="65C938C8">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2.8.5当出现险情时，整车电源断开或非断开，自动灭火装置均应能实现自动启动功能。</w:t>
            </w:r>
          </w:p>
          <w:p w14:paraId="284706A9">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2.8.6自动灭火装置如使用储压式防护装置，宜选用低压或中压方式</w:t>
            </w:r>
            <w:r>
              <w:rPr>
                <w:rFonts w:hint="eastAsia" w:ascii="宋体" w:hAnsi="宋体" w:eastAsia="宋体" w:cs="宋体"/>
                <w:color w:val="auto"/>
                <w:spacing w:val="-2"/>
                <w:sz w:val="24"/>
                <w:szCs w:val="24"/>
                <w:highlight w:val="none"/>
                <w:lang w:eastAsia="zh-CN"/>
              </w:rPr>
              <w:t>。</w:t>
            </w:r>
          </w:p>
          <w:p w14:paraId="4C94A1F5">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2.8.7</w:t>
            </w:r>
            <w:r>
              <w:rPr>
                <w:rFonts w:hint="eastAsia" w:ascii="宋体" w:hAnsi="宋体" w:eastAsia="宋体" w:cs="宋体"/>
                <w:color w:val="auto"/>
                <w:spacing w:val="-2"/>
                <w:sz w:val="24"/>
                <w:szCs w:val="24"/>
                <w:highlight w:val="none"/>
                <w:lang w:val="en-US" w:eastAsia="zh-CN"/>
              </w:rPr>
              <w:t>一氧化碳和感温复合型火灾探测装置，火灾抑制装置需同时获得消防产品技术鉴定证书，并对该</w:t>
            </w:r>
            <w:r>
              <w:rPr>
                <w:rFonts w:hint="eastAsia" w:ascii="宋体" w:hAnsi="宋体" w:eastAsia="宋体" w:cs="宋体"/>
                <w:color w:val="auto"/>
                <w:spacing w:val="-2"/>
                <w:sz w:val="24"/>
                <w:szCs w:val="24"/>
                <w:highlight w:val="none"/>
              </w:rPr>
              <w:t>电池箱灭火装置</w:t>
            </w:r>
            <w:r>
              <w:rPr>
                <w:rFonts w:hint="eastAsia" w:ascii="宋体" w:hAnsi="宋体" w:eastAsia="宋体" w:cs="宋体"/>
                <w:color w:val="auto"/>
                <w:spacing w:val="-2"/>
                <w:sz w:val="24"/>
                <w:szCs w:val="24"/>
                <w:highlight w:val="none"/>
                <w:lang w:val="en-US" w:eastAsia="zh-CN"/>
              </w:rPr>
              <w:t>进行人身和财产投保。</w:t>
            </w:r>
          </w:p>
          <w:p w14:paraId="0FA9270A">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2.8.8灭火材质的剂量不小于3.4kg。如灭火材质选用气体，则灭火材质需四年一换。</w:t>
            </w:r>
          </w:p>
          <w:p w14:paraId="1C173C04">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2.8.9中标单位在对中标车辆进行电池定期维保作业</w:t>
            </w:r>
            <w:r>
              <w:rPr>
                <w:rFonts w:hint="eastAsia" w:ascii="宋体" w:hAnsi="宋体" w:eastAsia="宋体" w:cs="宋体"/>
                <w:color w:val="auto"/>
                <w:spacing w:val="-2"/>
                <w:sz w:val="24"/>
                <w:szCs w:val="24"/>
                <w:highlight w:val="none"/>
                <w:lang w:val="en-US" w:eastAsia="zh-CN"/>
              </w:rPr>
              <w:t>时</w:t>
            </w:r>
            <w:r>
              <w:rPr>
                <w:rFonts w:hint="eastAsia"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val="en-US" w:eastAsia="zh-CN"/>
              </w:rPr>
              <w:t>须同时</w:t>
            </w:r>
            <w:r>
              <w:rPr>
                <w:rFonts w:hint="eastAsia" w:ascii="宋体" w:hAnsi="宋体" w:eastAsia="宋体" w:cs="宋体"/>
                <w:color w:val="auto"/>
                <w:spacing w:val="-2"/>
                <w:sz w:val="24"/>
                <w:szCs w:val="24"/>
                <w:highlight w:val="none"/>
              </w:rPr>
              <w:t>检查灭火装置的性能和灭火材质的剂量，确保消防设施有</w:t>
            </w:r>
            <w:r>
              <w:rPr>
                <w:rFonts w:hint="eastAsia" w:ascii="宋体" w:hAnsi="宋体" w:cs="宋体"/>
                <w:color w:val="auto"/>
                <w:spacing w:val="-2"/>
                <w:sz w:val="24"/>
                <w:szCs w:val="24"/>
                <w:highlight w:val="none"/>
                <w:lang w:val="en-US" w:eastAsia="zh-CN"/>
              </w:rPr>
              <w:t>效</w:t>
            </w:r>
            <w:r>
              <w:rPr>
                <w:rFonts w:hint="eastAsia" w:ascii="宋体" w:hAnsi="宋体" w:eastAsia="宋体" w:cs="宋体"/>
                <w:color w:val="auto"/>
                <w:spacing w:val="-2"/>
                <w:sz w:val="24"/>
                <w:szCs w:val="24"/>
                <w:highlight w:val="none"/>
              </w:rPr>
              <w:t>。每次维保作业后，在维保作业本（</w:t>
            </w:r>
            <w:r>
              <w:rPr>
                <w:rFonts w:hint="eastAsia" w:ascii="宋体" w:hAnsi="宋体" w:eastAsia="宋体" w:cs="宋体"/>
                <w:color w:val="auto"/>
                <w:spacing w:val="-2"/>
                <w:sz w:val="24"/>
                <w:szCs w:val="24"/>
                <w:highlight w:val="none"/>
                <w:lang w:val="en-US" w:eastAsia="zh-CN"/>
              </w:rPr>
              <w:t>由</w:t>
            </w:r>
            <w:r>
              <w:rPr>
                <w:rFonts w:hint="eastAsia" w:ascii="宋体" w:hAnsi="宋体" w:eastAsia="宋体" w:cs="宋体"/>
                <w:color w:val="auto"/>
                <w:spacing w:val="-2"/>
                <w:sz w:val="24"/>
                <w:szCs w:val="24"/>
                <w:highlight w:val="none"/>
              </w:rPr>
              <w:t>中标单位提供）上</w:t>
            </w:r>
            <w:r>
              <w:rPr>
                <w:rFonts w:hint="eastAsia" w:ascii="宋体" w:hAnsi="宋体" w:eastAsia="宋体" w:cs="宋体"/>
                <w:color w:val="auto"/>
                <w:spacing w:val="-2"/>
                <w:sz w:val="24"/>
                <w:szCs w:val="24"/>
                <w:highlight w:val="none"/>
                <w:lang w:val="en-US" w:eastAsia="zh-CN"/>
              </w:rPr>
              <w:t>指明</w:t>
            </w:r>
            <w:r>
              <w:rPr>
                <w:rFonts w:hint="eastAsia" w:ascii="宋体" w:hAnsi="宋体" w:eastAsia="宋体" w:cs="宋体"/>
                <w:color w:val="auto"/>
                <w:spacing w:val="-2"/>
                <w:sz w:val="24"/>
                <w:szCs w:val="24"/>
                <w:highlight w:val="none"/>
              </w:rPr>
              <w:t>灭火装置的性能和灭火材质的剂量签字并交使用单位存档。</w:t>
            </w:r>
          </w:p>
          <w:p w14:paraId="33EF33B5">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2.8.10灭火装置（含灭火材质）等核心部件质保期8年。</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074BC5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1C99AB28">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028F4AC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82285A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电子水泵</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7D96B49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rPr>
              <w:t>2.9额定功率在不低</w:t>
            </w:r>
            <w:r>
              <w:rPr>
                <w:rFonts w:hint="eastAsia" w:ascii="宋体" w:hAnsi="宋体" w:eastAsia="宋体" w:cs="宋体"/>
                <w:color w:val="auto"/>
                <w:spacing w:val="-2"/>
                <w:sz w:val="24"/>
                <w:szCs w:val="24"/>
                <w:highlight w:val="none"/>
                <w:lang w:val="en-US" w:eastAsia="zh-CN"/>
              </w:rPr>
              <w:t>于</w:t>
            </w:r>
            <w:r>
              <w:rPr>
                <w:rFonts w:hint="eastAsia" w:ascii="宋体" w:hAnsi="宋体" w:eastAsia="宋体" w:cs="宋体"/>
                <w:color w:val="auto"/>
                <w:spacing w:val="-2"/>
                <w:sz w:val="24"/>
                <w:szCs w:val="24"/>
                <w:highlight w:val="none"/>
              </w:rPr>
              <w:t>180</w:t>
            </w:r>
            <w:r>
              <w:rPr>
                <w:rFonts w:hint="eastAsia" w:ascii="宋体" w:hAnsi="宋体" w:eastAsia="宋体" w:cs="宋体"/>
                <w:color w:val="auto"/>
                <w:spacing w:val="-2"/>
                <w:sz w:val="24"/>
                <w:szCs w:val="24"/>
                <w:highlight w:val="none"/>
                <w:lang w:val="en-US" w:eastAsia="zh-CN"/>
              </w:rPr>
              <w:t>w</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186705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0EF6733A">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A59F8C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2.10</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5768902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电驱空气</w:t>
            </w:r>
          </w:p>
          <w:p w14:paraId="4304DB8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压缩机</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2B114BA5">
            <w:pPr>
              <w:keepNext w:val="0"/>
              <w:keepLines w:val="0"/>
              <w:pageBreakBefore w:val="0"/>
              <w:widowControl w:val="0"/>
              <w:kinsoku/>
              <w:wordWrap/>
              <w:overflowPunct/>
              <w:topLinePunct w:val="0"/>
              <w:autoSpaceDE/>
              <w:autoSpaceDN/>
              <w:bidi w:val="0"/>
              <w:adjustRightInd/>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2.10</w:t>
            </w:r>
            <w:r>
              <w:rPr>
                <w:rFonts w:hint="eastAsia" w:ascii="宋体" w:hAnsi="宋体" w:eastAsia="宋体"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rPr>
              <w:t>无油活塞式空压机、轻量、环保</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静音，频定功率满足整车使用</w:t>
            </w:r>
            <w:r>
              <w:rPr>
                <w:rFonts w:hint="eastAsia" w:ascii="宋体" w:hAnsi="宋体" w:eastAsia="宋体" w:cs="宋体"/>
                <w:color w:val="auto"/>
                <w:spacing w:val="-2"/>
                <w:sz w:val="24"/>
                <w:szCs w:val="24"/>
                <w:highlight w:val="none"/>
                <w:lang w:eastAsia="zh-CN"/>
              </w:rPr>
              <w:t>；</w:t>
            </w:r>
          </w:p>
          <w:p w14:paraId="4F83D99D">
            <w:pPr>
              <w:keepNext w:val="0"/>
              <w:keepLines w:val="0"/>
              <w:pageBreakBefore w:val="0"/>
              <w:widowControl w:val="0"/>
              <w:kinsoku/>
              <w:wordWrap/>
              <w:overflowPunct/>
              <w:topLinePunct w:val="0"/>
              <w:autoSpaceDE/>
              <w:autoSpaceDN/>
              <w:bidi w:val="0"/>
              <w:adjustRightInd/>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2"/>
                <w:sz w:val="24"/>
                <w:szCs w:val="24"/>
                <w:highlight w:val="none"/>
              </w:rPr>
              <w:t>2.10.2电驱空气压缩机质保期</w:t>
            </w: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年(包括空压机的保养材料、工时费用)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 xml:space="preserve">         </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17F8F0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33CF09E2">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top"/>
          </w:tcPr>
          <w:p w14:paraId="44ABC00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8760" w:type="dxa"/>
            <w:gridSpan w:val="3"/>
            <w:tcBorders>
              <w:top w:val="single" w:color="000000" w:sz="4" w:space="0"/>
              <w:left w:val="single" w:color="000000" w:sz="4" w:space="0"/>
              <w:bottom w:val="single" w:color="000000" w:sz="4" w:space="0"/>
              <w:right w:val="single" w:color="000000" w:sz="4" w:space="0"/>
            </w:tcBorders>
            <w:noWrap w:val="0"/>
            <w:vAlign w:val="top"/>
          </w:tcPr>
          <w:p w14:paraId="7AA3DC8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底盘</w:t>
            </w:r>
          </w:p>
        </w:tc>
      </w:tr>
      <w:tr w14:paraId="727EE54D">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auto" w:sz="4" w:space="0"/>
              <w:right w:val="single" w:color="000000" w:sz="4" w:space="0"/>
            </w:tcBorders>
            <w:noWrap w:val="0"/>
            <w:vAlign w:val="center"/>
          </w:tcPr>
          <w:p w14:paraId="0E2D5DA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3.1</w:t>
            </w:r>
          </w:p>
        </w:tc>
        <w:tc>
          <w:tcPr>
            <w:tcW w:w="1387" w:type="dxa"/>
            <w:tcBorders>
              <w:top w:val="single" w:color="000000" w:sz="4" w:space="0"/>
              <w:left w:val="single" w:color="000000" w:sz="4" w:space="0"/>
              <w:bottom w:val="single" w:color="auto" w:sz="4" w:space="0"/>
              <w:right w:val="single" w:color="auto" w:sz="4" w:space="0"/>
            </w:tcBorders>
            <w:noWrap w:val="0"/>
            <w:vAlign w:val="center"/>
          </w:tcPr>
          <w:p w14:paraId="396E46A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pacing w:val="-2"/>
                <w:sz w:val="24"/>
                <w:szCs w:val="24"/>
                <w:highlight w:val="none"/>
              </w:rPr>
              <w:t>整体要求</w:t>
            </w:r>
          </w:p>
        </w:tc>
        <w:tc>
          <w:tcPr>
            <w:tcW w:w="6664" w:type="dxa"/>
            <w:tcBorders>
              <w:top w:val="single" w:color="000000" w:sz="4" w:space="0"/>
              <w:left w:val="single" w:color="auto" w:sz="4" w:space="0"/>
              <w:bottom w:val="single" w:color="auto" w:sz="4" w:space="0"/>
              <w:right w:val="single" w:color="auto" w:sz="4" w:space="0"/>
            </w:tcBorders>
            <w:noWrap w:val="0"/>
            <w:vAlign w:val="center"/>
          </w:tcPr>
          <w:p w14:paraId="5156792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b/>
                <w:bCs/>
                <w:color w:val="auto"/>
                <w:spacing w:val="-2"/>
                <w:sz w:val="24"/>
                <w:szCs w:val="24"/>
                <w:highlight w:val="none"/>
                <w:lang w:val="en-US" w:eastAsia="zh-CN"/>
              </w:rPr>
              <w:t>3.1</w:t>
            </w:r>
            <w:r>
              <w:rPr>
                <w:rFonts w:hint="eastAsia" w:ascii="宋体" w:hAnsi="宋体" w:eastAsia="宋体" w:cs="宋体"/>
                <w:b/>
                <w:bCs/>
                <w:color w:val="auto"/>
                <w:spacing w:val="-2"/>
                <w:sz w:val="24"/>
                <w:szCs w:val="24"/>
                <w:highlight w:val="none"/>
              </w:rPr>
              <w:t>底盘免费质保期三年（不含指定件质保期）。</w:t>
            </w:r>
            <w:r>
              <w:rPr>
                <w:rFonts w:hint="eastAsia" w:ascii="宋体" w:hAnsi="宋体" w:eastAsia="宋体" w:cs="宋体"/>
                <w:color w:val="auto"/>
                <w:spacing w:val="-2"/>
                <w:sz w:val="24"/>
                <w:szCs w:val="24"/>
                <w:highlight w:val="none"/>
              </w:rPr>
              <w:t>要加强纵梁、横梁防锈工作。出现骨架、大梁、前后桥断</w:t>
            </w:r>
            <w:r>
              <w:rPr>
                <w:rFonts w:hint="eastAsia" w:ascii="宋体" w:hAnsi="宋体" w:eastAsia="宋体" w:cs="宋体"/>
                <w:color w:val="auto"/>
                <w:spacing w:val="-2"/>
                <w:sz w:val="24"/>
                <w:szCs w:val="24"/>
                <w:highlight w:val="none"/>
                <w:lang w:val="en-US" w:eastAsia="zh-CN"/>
              </w:rPr>
              <w:t>或</w:t>
            </w:r>
            <w:r>
              <w:rPr>
                <w:rFonts w:hint="eastAsia" w:ascii="宋体" w:hAnsi="宋体" w:eastAsia="宋体" w:cs="宋体"/>
                <w:color w:val="auto"/>
                <w:spacing w:val="-2"/>
                <w:sz w:val="24"/>
                <w:szCs w:val="24"/>
                <w:highlight w:val="none"/>
              </w:rPr>
              <w:t>裂，厂家应予“召回终生保修”。车架号必须保证使用期内清晰不锈蚀，出现锈蚀不清，生产厂负责免费办理。</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C0BA5D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235BCCC">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60AB012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p>
          <w:p w14:paraId="53D271F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3.2</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4D8B599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前、后桥</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744884A0">
            <w:pPr>
              <w:keepNext w:val="0"/>
              <w:keepLines w:val="0"/>
              <w:pageBreakBefore w:val="0"/>
              <w:widowControl w:val="0"/>
              <w:kinsoku/>
              <w:wordWrap/>
              <w:overflowPunct/>
              <w:topLinePunct w:val="0"/>
              <w:autoSpaceDE/>
              <w:autoSpaceDN/>
              <w:bidi w:val="0"/>
              <w:adjustRightInd/>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3.2.1前桥额定载荷≥</w:t>
            </w:r>
            <w:r>
              <w:rPr>
                <w:rFonts w:hint="eastAsia" w:ascii="宋体" w:hAnsi="宋体" w:eastAsia="宋体" w:cs="宋体"/>
                <w:b/>
                <w:bCs/>
                <w:color w:val="auto"/>
                <w:spacing w:val="-2"/>
                <w:sz w:val="24"/>
                <w:szCs w:val="24"/>
                <w:highlight w:val="none"/>
                <w:lang w:val="en-US" w:eastAsia="zh-CN"/>
              </w:rPr>
              <w:t>3.5T</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整体锻钢件、盘式制动器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免维护</w:t>
            </w:r>
            <w:r>
              <w:rPr>
                <w:rFonts w:hint="eastAsia" w:ascii="宋体" w:hAnsi="宋体" w:eastAsia="宋体" w:cs="宋体"/>
                <w:color w:val="auto"/>
                <w:spacing w:val="-2"/>
                <w:sz w:val="24"/>
                <w:szCs w:val="24"/>
                <w:highlight w:val="none"/>
                <w:lang w:val="en-US" w:eastAsia="zh-CN"/>
              </w:rPr>
              <w:t>加强型</w:t>
            </w:r>
            <w:r>
              <w:rPr>
                <w:rFonts w:hint="eastAsia" w:ascii="宋体" w:hAnsi="宋体" w:eastAsia="宋体" w:cs="宋体"/>
                <w:color w:val="auto"/>
                <w:spacing w:val="-2"/>
                <w:sz w:val="24"/>
                <w:szCs w:val="24"/>
                <w:highlight w:val="none"/>
              </w:rPr>
              <w:t>专用车桥</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车桥必须与一体式轴承单元脂润滑免维护结构轮毂总成相匹配</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便于制动盘、制动蹄铁总成的拆卸和安装。</w:t>
            </w:r>
          </w:p>
          <w:p w14:paraId="4BE9E8B9">
            <w:pPr>
              <w:keepNext w:val="0"/>
              <w:keepLines w:val="0"/>
              <w:pageBreakBefore w:val="0"/>
              <w:widowControl w:val="0"/>
              <w:kinsoku/>
              <w:wordWrap/>
              <w:overflowPunct/>
              <w:topLinePunct w:val="0"/>
              <w:autoSpaceDE/>
              <w:autoSpaceDN/>
              <w:bidi w:val="0"/>
              <w:adjustRightInd/>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3.2.2后桥额定载荷≥</w:t>
            </w:r>
            <w:r>
              <w:rPr>
                <w:rFonts w:hint="eastAsia" w:ascii="宋体" w:hAnsi="宋体" w:eastAsia="宋体" w:cs="宋体"/>
                <w:b/>
                <w:bCs/>
                <w:color w:val="auto"/>
                <w:spacing w:val="-2"/>
                <w:sz w:val="24"/>
                <w:szCs w:val="24"/>
                <w:highlight w:val="none"/>
                <w:lang w:val="en-US" w:eastAsia="zh-CN"/>
              </w:rPr>
              <w:t>5</w:t>
            </w:r>
            <w:r>
              <w:rPr>
                <w:rFonts w:hint="eastAsia" w:ascii="宋体" w:hAnsi="宋体" w:eastAsia="宋体" w:cs="宋体"/>
                <w:b/>
                <w:bCs/>
                <w:color w:val="auto"/>
                <w:spacing w:val="-2"/>
                <w:sz w:val="24"/>
                <w:szCs w:val="24"/>
                <w:highlight w:val="none"/>
              </w:rPr>
              <w:t>T</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新能源专用精磨齿主减</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盘式制动器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免维护</w:t>
            </w:r>
            <w:r>
              <w:rPr>
                <w:rFonts w:hint="eastAsia" w:ascii="宋体" w:hAnsi="宋体" w:eastAsia="宋体" w:cs="宋体"/>
                <w:color w:val="auto"/>
                <w:spacing w:val="-2"/>
                <w:sz w:val="24"/>
                <w:szCs w:val="24"/>
                <w:highlight w:val="none"/>
                <w:lang w:val="en-US" w:eastAsia="zh-CN"/>
              </w:rPr>
              <w:t>加强型</w:t>
            </w:r>
            <w:r>
              <w:rPr>
                <w:rFonts w:hint="eastAsia" w:ascii="宋体" w:hAnsi="宋体" w:eastAsia="宋体" w:cs="宋体"/>
                <w:color w:val="auto"/>
                <w:spacing w:val="-2"/>
                <w:sz w:val="24"/>
                <w:szCs w:val="24"/>
                <w:highlight w:val="none"/>
              </w:rPr>
              <w:t>专用车桥</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车桥</w:t>
            </w:r>
            <w:r>
              <w:rPr>
                <w:rFonts w:hint="eastAsia" w:ascii="宋体" w:hAnsi="宋体" w:eastAsia="宋体" w:cs="宋体"/>
                <w:color w:val="auto"/>
                <w:spacing w:val="-2"/>
                <w:sz w:val="24"/>
                <w:szCs w:val="24"/>
                <w:highlight w:val="none"/>
              </w:rPr>
              <w:t>必须与一体式轴承单元脂润滑免维护结构轮毂总成相匹配</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便于制动盘、制动蹄铁总成的拆卸和安装。</w:t>
            </w:r>
          </w:p>
          <w:p w14:paraId="7084DB2B">
            <w:pPr>
              <w:keepNext w:val="0"/>
              <w:keepLines w:val="0"/>
              <w:pageBreakBefore w:val="0"/>
              <w:widowControl w:val="0"/>
              <w:kinsoku/>
              <w:wordWrap/>
              <w:overflowPunct/>
              <w:topLinePunct w:val="0"/>
              <w:autoSpaceDE/>
              <w:autoSpaceDN/>
              <w:bidi w:val="0"/>
              <w:adjustRightInd/>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3.2.3后桥主减速比充分满足当地公交营运路况需求。</w:t>
            </w:r>
          </w:p>
          <w:p w14:paraId="7A910768">
            <w:pPr>
              <w:pStyle w:val="128"/>
              <w:keepNext w:val="0"/>
              <w:keepLines w:val="0"/>
              <w:pageBreakBefore w:val="0"/>
              <w:widowControl w:val="0"/>
              <w:kinsoku/>
              <w:wordWrap/>
              <w:overflowPunct/>
              <w:topLinePunct w:val="0"/>
              <w:autoSpaceDE/>
              <w:autoSpaceDN/>
              <w:bidi w:val="0"/>
              <w:adjustRightInd/>
              <w:snapToGrid/>
              <w:spacing w:beforeLines="0" w:after="0" w:line="490" w:lineRule="exact"/>
              <w:ind w:left="0" w:leftChars="0" w:right="0" w:rightChars="0" w:firstLine="0" w:firstLine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pacing w:val="-2"/>
                <w:kern w:val="2"/>
                <w:sz w:val="24"/>
                <w:szCs w:val="24"/>
                <w:highlight w:val="none"/>
              </w:rPr>
              <w:t>推荐品牌：方盛、美驰、陕西汉德</w:t>
            </w:r>
          </w:p>
        </w:tc>
        <w:tc>
          <w:tcPr>
            <w:tcW w:w="709" w:type="dxa"/>
            <w:vMerge w:val="restart"/>
            <w:tcBorders>
              <w:top w:val="single" w:color="000000" w:sz="4" w:space="0"/>
              <w:left w:val="single" w:color="auto" w:sz="4" w:space="0"/>
              <w:right w:val="single" w:color="000000" w:sz="4" w:space="0"/>
            </w:tcBorders>
            <w:noWrap w:val="0"/>
            <w:vAlign w:val="center"/>
          </w:tcPr>
          <w:p w14:paraId="00A27CB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531A3EE0">
        <w:tblPrEx>
          <w:tblCellMar>
            <w:top w:w="0" w:type="dxa"/>
            <w:left w:w="0" w:type="dxa"/>
            <w:bottom w:w="0" w:type="dxa"/>
            <w:right w:w="0" w:type="dxa"/>
          </w:tblCellMar>
        </w:tblPrEx>
        <w:trPr>
          <w:trHeight w:val="23" w:hRule="atLeast"/>
        </w:trPr>
        <w:tc>
          <w:tcPr>
            <w:tcW w:w="601" w:type="dxa"/>
            <w:tcBorders>
              <w:top w:val="single" w:color="auto" w:sz="4" w:space="0"/>
              <w:left w:val="single" w:color="000000" w:sz="4" w:space="0"/>
              <w:bottom w:val="single" w:color="000000" w:sz="4" w:space="0"/>
              <w:right w:val="single" w:color="000000" w:sz="4" w:space="0"/>
            </w:tcBorders>
            <w:noWrap w:val="0"/>
            <w:vAlign w:val="center"/>
          </w:tcPr>
          <w:p w14:paraId="5DC84BE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w:t>
            </w:r>
          </w:p>
        </w:tc>
        <w:tc>
          <w:tcPr>
            <w:tcW w:w="1387" w:type="dxa"/>
            <w:tcBorders>
              <w:top w:val="single" w:color="auto" w:sz="4" w:space="0"/>
              <w:left w:val="single" w:color="000000" w:sz="4" w:space="0"/>
              <w:bottom w:val="single" w:color="000000" w:sz="4" w:space="0"/>
              <w:right w:val="single" w:color="auto" w:sz="4" w:space="0"/>
            </w:tcBorders>
            <w:noWrap w:val="0"/>
            <w:vAlign w:val="center"/>
          </w:tcPr>
          <w:p w14:paraId="245C7FE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悬挂系统</w:t>
            </w:r>
          </w:p>
        </w:tc>
        <w:tc>
          <w:tcPr>
            <w:tcW w:w="6664" w:type="dxa"/>
            <w:tcBorders>
              <w:top w:val="single" w:color="auto" w:sz="4" w:space="0"/>
              <w:left w:val="single" w:color="auto" w:sz="4" w:space="0"/>
              <w:bottom w:val="single" w:color="000000" w:sz="4" w:space="0"/>
              <w:right w:val="single" w:color="auto" w:sz="4" w:space="0"/>
            </w:tcBorders>
            <w:noWrap w:val="0"/>
            <w:vAlign w:val="center"/>
          </w:tcPr>
          <w:p w14:paraId="1351C61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3.3采用气囊</w:t>
            </w:r>
            <w:r>
              <w:rPr>
                <w:rFonts w:hint="eastAsia" w:ascii="宋体" w:hAnsi="宋体" w:eastAsia="宋体" w:cs="宋体"/>
                <w:color w:val="auto"/>
                <w:sz w:val="24"/>
                <w:szCs w:val="24"/>
                <w:highlight w:val="none"/>
              </w:rPr>
              <w:t>悬挂</w:t>
            </w:r>
            <w:r>
              <w:rPr>
                <w:rFonts w:hint="eastAsia" w:ascii="宋体" w:hAnsi="宋体" w:eastAsia="宋体" w:cs="宋体"/>
                <w:color w:val="auto"/>
                <w:spacing w:val="-2"/>
                <w:sz w:val="24"/>
                <w:szCs w:val="24"/>
                <w:highlight w:val="none"/>
              </w:rPr>
              <w:t>系统，前后桥均设有横向稳定杆平衡机构</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悬挂承载能力必须满足公交运行高峰载荷特殊要求</w:t>
            </w:r>
            <w:r>
              <w:rPr>
                <w:rFonts w:hint="eastAsia" w:ascii="宋体" w:hAnsi="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质保期8年</w:t>
            </w:r>
            <w:r>
              <w:rPr>
                <w:rFonts w:hint="eastAsia" w:ascii="宋体" w:hAnsi="宋体" w:eastAsia="宋体" w:cs="宋体"/>
                <w:color w:val="auto"/>
                <w:spacing w:val="-2"/>
                <w:sz w:val="24"/>
                <w:szCs w:val="24"/>
                <w:highlight w:val="none"/>
                <w:lang w:eastAsia="zh-CN"/>
              </w:rPr>
              <w:t>。</w:t>
            </w:r>
          </w:p>
        </w:tc>
        <w:tc>
          <w:tcPr>
            <w:tcW w:w="709" w:type="dxa"/>
            <w:vMerge w:val="continue"/>
            <w:tcBorders>
              <w:left w:val="single" w:color="auto" w:sz="4" w:space="0"/>
              <w:bottom w:val="single" w:color="000000" w:sz="4" w:space="0"/>
              <w:right w:val="single" w:color="000000" w:sz="4" w:space="0"/>
            </w:tcBorders>
            <w:noWrap w:val="0"/>
            <w:vAlign w:val="center"/>
          </w:tcPr>
          <w:p w14:paraId="4445B56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493A852">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6B67C0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08D82D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转向系统</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EF2BF3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3.4.1转向系采用电动液压转向助力系统，转向器系统具有自动回正功能，转向助力泵贮油罐进、出输油管采用螺纹接口的空型管连接，确保不漏不渗。</w:t>
            </w:r>
          </w:p>
          <w:p w14:paraId="18DABCE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3.4.2方向盘采用上、下和前、后调节功能。转向器匹配，可上下、前后调整，坚固耐用，并正对座椅，正常驾驶不可遮挡仪表盘，保证驾驶舒适性。</w:t>
            </w:r>
          </w:p>
          <w:p w14:paraId="0493DEE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3.</w:t>
            </w:r>
            <w:r>
              <w:rPr>
                <w:rFonts w:hint="eastAsia" w:ascii="宋体" w:hAnsi="宋体" w:eastAsia="宋体"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rPr>
              <w:t>.3电动液压转向系统（方向机、助力泵、电机、</w:t>
            </w:r>
            <w:r>
              <w:rPr>
                <w:rFonts w:hint="eastAsia" w:ascii="宋体" w:hAnsi="宋体" w:eastAsia="宋体" w:cs="宋体"/>
                <w:color w:val="auto"/>
                <w:spacing w:val="-2"/>
                <w:sz w:val="24"/>
                <w:szCs w:val="24"/>
                <w:highlight w:val="none"/>
                <w:lang w:val="en-US" w:eastAsia="zh-CN"/>
              </w:rPr>
              <w:t>控制</w:t>
            </w:r>
            <w:r>
              <w:rPr>
                <w:rFonts w:hint="eastAsia" w:ascii="宋体" w:hAnsi="宋体" w:eastAsia="宋体" w:cs="宋体"/>
                <w:color w:val="auto"/>
                <w:spacing w:val="-2"/>
                <w:sz w:val="24"/>
                <w:szCs w:val="24"/>
                <w:highlight w:val="none"/>
              </w:rPr>
              <w:t>器）质保期8年</w:t>
            </w:r>
            <w:r>
              <w:rPr>
                <w:rFonts w:hint="eastAsia" w:ascii="宋体" w:hAnsi="宋体" w:eastAsia="宋体" w:cs="宋体"/>
                <w:color w:val="auto"/>
                <w:spacing w:val="-2"/>
                <w:sz w:val="24"/>
                <w:szCs w:val="24"/>
                <w:highlight w:val="none"/>
                <w:lang w:val="en-US" w:eastAsia="zh-CN"/>
              </w:rPr>
              <w:t xml:space="preserve">。 </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F394A8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259C17D2">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0026B8D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p>
          <w:p w14:paraId="74609B4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6BFD01F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制动系统</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BBA194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3.5.1采用双管路气制动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 xml:space="preserve"> 驻车制动采用手控操纵储能弹簧制动。</w:t>
            </w:r>
          </w:p>
          <w:p w14:paraId="2618FA3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3.5.2应有干燥冷却功能</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并能自动排气净化油水</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 xml:space="preserve"> 制动总阀的制动灯应安装继电器保护开关</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带ABS防抱死制动系统，配低气压报警装置。整车制动管路采用亚太管。</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CDA2FF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380BA7A5">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651477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22782B9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传动轴</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9CBB91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pacing w:val="-2"/>
                <w:sz w:val="24"/>
                <w:szCs w:val="24"/>
                <w:highlight w:val="none"/>
              </w:rPr>
              <w:t>采用单节、开式传动轴，最大承载扭矩必须满足</w:t>
            </w:r>
            <w:r>
              <w:rPr>
                <w:rFonts w:hint="eastAsia" w:ascii="宋体" w:hAnsi="宋体" w:eastAsia="宋体" w:cs="宋体"/>
                <w:color w:val="auto"/>
                <w:spacing w:val="-2"/>
                <w:sz w:val="24"/>
                <w:szCs w:val="24"/>
                <w:highlight w:val="none"/>
                <w:lang w:val="en-US" w:eastAsia="zh-CN"/>
              </w:rPr>
              <w:t>城市</w:t>
            </w:r>
            <w:r>
              <w:rPr>
                <w:rFonts w:hint="eastAsia" w:ascii="宋体" w:hAnsi="宋体" w:eastAsia="宋体" w:cs="宋体"/>
                <w:color w:val="auto"/>
                <w:spacing w:val="-2"/>
                <w:sz w:val="24"/>
                <w:szCs w:val="24"/>
                <w:highlight w:val="none"/>
              </w:rPr>
              <w:t>公交运营线路实际高峰载荷运行的特殊要求。</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200C9E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0C27A1F">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041E4E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0C149C0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集中润滑</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DE6CDA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3.7.1</w:t>
            </w:r>
            <w:r>
              <w:rPr>
                <w:rFonts w:hint="eastAsia" w:ascii="宋体" w:hAnsi="宋体" w:eastAsia="宋体" w:cs="宋体"/>
                <w:color w:val="auto"/>
                <w:spacing w:val="-2"/>
                <w:sz w:val="24"/>
                <w:szCs w:val="24"/>
                <w:highlight w:val="none"/>
              </w:rPr>
              <w:t>汽车底盘集中润滑系统，适用油脂：0#、00#、000#，适用温度-15摄氏度-70摄氏度</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具备计数油压故障报警诊断功能</w:t>
            </w:r>
            <w:r>
              <w:rPr>
                <w:rFonts w:hint="eastAsia" w:ascii="宋体" w:hAnsi="宋体" w:eastAsia="宋体" w:cs="宋体"/>
                <w:color w:val="auto"/>
                <w:spacing w:val="-2"/>
                <w:sz w:val="24"/>
                <w:szCs w:val="24"/>
                <w:highlight w:val="none"/>
              </w:rPr>
              <w:t>。</w:t>
            </w:r>
          </w:p>
          <w:p w14:paraId="134D8D8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pacing w:val="-2"/>
                <w:sz w:val="24"/>
                <w:szCs w:val="24"/>
                <w:highlight w:val="none"/>
              </w:rPr>
              <w:t>集中润滑质保期8年(含易损件</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不包括油脂)</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02EA4DA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29DC2BCA">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6AEEA6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3.8</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49A63D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轮胎</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7B0578D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3.8.1</w:t>
            </w:r>
            <w:r>
              <w:rPr>
                <w:rFonts w:hint="eastAsia" w:ascii="宋体" w:hAnsi="宋体" w:eastAsia="宋体" w:cs="宋体"/>
                <w:color w:val="auto"/>
                <w:spacing w:val="-2"/>
                <w:sz w:val="24"/>
                <w:szCs w:val="24"/>
                <w:highlight w:val="none"/>
              </w:rPr>
              <w:t>子午线真空</w:t>
            </w:r>
            <w:r>
              <w:rPr>
                <w:rFonts w:hint="eastAsia" w:ascii="宋体" w:hAnsi="宋体" w:eastAsia="宋体" w:cs="宋体"/>
                <w:color w:val="auto"/>
                <w:spacing w:val="-2"/>
                <w:sz w:val="24"/>
                <w:szCs w:val="24"/>
                <w:highlight w:val="none"/>
                <w:lang w:val="en-US" w:eastAsia="zh-CN"/>
              </w:rPr>
              <w:t>非</w:t>
            </w:r>
            <w:r>
              <w:rPr>
                <w:rFonts w:hint="eastAsia" w:ascii="宋体" w:hAnsi="宋体" w:eastAsia="宋体" w:cs="宋体"/>
                <w:color w:val="auto"/>
                <w:spacing w:val="-2"/>
                <w:sz w:val="24"/>
                <w:szCs w:val="24"/>
                <w:highlight w:val="none"/>
              </w:rPr>
              <w:t>城市公交专用</w:t>
            </w:r>
            <w:r>
              <w:rPr>
                <w:rFonts w:hint="eastAsia" w:ascii="宋体" w:hAnsi="宋体" w:eastAsia="宋体" w:cs="宋体"/>
                <w:color w:val="auto"/>
                <w:spacing w:val="-2"/>
                <w:sz w:val="24"/>
                <w:szCs w:val="24"/>
                <w:highlight w:val="none"/>
                <w:lang w:val="en-US" w:eastAsia="zh-CN"/>
              </w:rPr>
              <w:t>轮</w:t>
            </w:r>
            <w:r>
              <w:rPr>
                <w:rFonts w:hint="eastAsia" w:ascii="宋体" w:hAnsi="宋体" w:eastAsia="宋体" w:cs="宋体"/>
                <w:color w:val="auto"/>
                <w:spacing w:val="-2"/>
                <w:sz w:val="24"/>
                <w:szCs w:val="24"/>
                <w:highlight w:val="none"/>
              </w:rPr>
              <w:t>胎，</w:t>
            </w:r>
            <w:r>
              <w:rPr>
                <w:rFonts w:hint="eastAsia" w:ascii="宋体" w:hAnsi="宋体" w:eastAsia="宋体" w:cs="宋体"/>
                <w:color w:val="auto"/>
                <w:spacing w:val="-2"/>
                <w:sz w:val="24"/>
                <w:szCs w:val="24"/>
                <w:highlight w:val="none"/>
                <w:lang w:val="en-US" w:eastAsia="zh-CN"/>
              </w:rPr>
              <w:t>适用于乡镇间路面行驶，</w:t>
            </w:r>
            <w:r>
              <w:rPr>
                <w:rFonts w:hint="eastAsia" w:ascii="宋体" w:hAnsi="宋体" w:eastAsia="宋体" w:cs="宋体"/>
                <w:color w:val="auto"/>
                <w:spacing w:val="-2"/>
                <w:sz w:val="24"/>
                <w:szCs w:val="24"/>
                <w:highlight w:val="none"/>
              </w:rPr>
              <w:t>每车配带一条同规格备胎(含轮辋)。</w:t>
            </w:r>
          </w:p>
          <w:p w14:paraId="0269A90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3.</w:t>
            </w:r>
            <w:r>
              <w:rPr>
                <w:rFonts w:hint="eastAsia" w:ascii="宋体" w:hAnsi="宋体" w:eastAsia="宋体" w:cs="宋体"/>
                <w:color w:val="auto"/>
                <w:spacing w:val="-2"/>
                <w:sz w:val="24"/>
                <w:szCs w:val="24"/>
                <w:highlight w:val="none"/>
                <w:lang w:val="en-US" w:eastAsia="zh-CN"/>
              </w:rPr>
              <w:t>8</w:t>
            </w:r>
            <w:r>
              <w:rPr>
                <w:rFonts w:hint="eastAsia" w:ascii="宋体" w:hAnsi="宋体" w:eastAsia="宋体" w:cs="宋体"/>
                <w:color w:val="auto"/>
                <w:spacing w:val="-2"/>
                <w:sz w:val="24"/>
                <w:szCs w:val="24"/>
                <w:highlight w:val="none"/>
              </w:rPr>
              <w:t>.</w:t>
            </w:r>
            <w:r>
              <w:rPr>
                <w:rFonts w:hint="eastAsia" w:ascii="宋体" w:hAnsi="宋体" w:eastAsia="宋体" w:cs="宋体"/>
                <w:color w:val="auto"/>
                <w:spacing w:val="-2"/>
                <w:sz w:val="24"/>
                <w:szCs w:val="24"/>
                <w:highlight w:val="none"/>
                <w:lang w:val="en-US" w:eastAsia="zh-CN"/>
              </w:rPr>
              <w:t>2轮</w:t>
            </w:r>
            <w:r>
              <w:rPr>
                <w:rFonts w:hint="eastAsia" w:ascii="宋体" w:hAnsi="宋体" w:eastAsia="宋体" w:cs="宋体"/>
                <w:color w:val="auto"/>
                <w:spacing w:val="-2"/>
                <w:sz w:val="24"/>
                <w:szCs w:val="24"/>
                <w:highlight w:val="none"/>
              </w:rPr>
              <w:t>胎</w:t>
            </w:r>
            <w:r>
              <w:rPr>
                <w:rFonts w:hint="eastAsia" w:ascii="宋体" w:hAnsi="宋体" w:eastAsia="宋体" w:cs="宋体"/>
                <w:color w:val="auto"/>
                <w:spacing w:val="-2"/>
                <w:sz w:val="24"/>
                <w:szCs w:val="24"/>
                <w:highlight w:val="none"/>
                <w:lang w:val="en-US" w:eastAsia="zh-CN"/>
              </w:rPr>
              <w:t>质</w:t>
            </w:r>
            <w:r>
              <w:rPr>
                <w:rFonts w:hint="eastAsia" w:ascii="宋体" w:hAnsi="宋体" w:eastAsia="宋体" w:cs="宋体"/>
                <w:color w:val="auto"/>
                <w:spacing w:val="-2"/>
                <w:sz w:val="24"/>
                <w:szCs w:val="24"/>
                <w:highlight w:val="none"/>
              </w:rPr>
              <w:t>保期</w:t>
            </w:r>
            <w:r>
              <w:rPr>
                <w:rFonts w:hint="eastAsia" w:ascii="宋体" w:hAnsi="宋体" w:eastAsia="宋体"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rPr>
              <w:t>年</w:t>
            </w:r>
            <w:r>
              <w:rPr>
                <w:rFonts w:hint="eastAsia" w:ascii="宋体" w:hAnsi="宋体" w:eastAsia="宋体" w:cs="宋体"/>
                <w:color w:val="auto"/>
                <w:spacing w:val="-2"/>
                <w:sz w:val="24"/>
                <w:szCs w:val="24"/>
                <w:highlight w:val="none"/>
                <w:lang w:val="en-US" w:eastAsia="zh-CN"/>
              </w:rPr>
              <w:t>（除撞击损伤外，轮胎胎冠花纹深度小于1.6mm须更换）。</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E461DF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18503893">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CAD309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3.9</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091B14C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轮辋</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2C06FF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3.9</w:t>
            </w:r>
            <w:r>
              <w:rPr>
                <w:rFonts w:hint="eastAsia" w:ascii="宋体" w:hAnsi="宋体" w:eastAsia="宋体" w:cs="宋体"/>
                <w:color w:val="auto"/>
                <w:spacing w:val="-2"/>
                <w:sz w:val="24"/>
                <w:szCs w:val="24"/>
                <w:highlight w:val="none"/>
                <w:lang w:val="en-US" w:eastAsia="zh-CN"/>
              </w:rPr>
              <w:t>优质铝合金轮辋</w:t>
            </w:r>
            <w:r>
              <w:rPr>
                <w:rFonts w:hint="eastAsia" w:ascii="宋体" w:hAnsi="宋体" w:eastAsia="宋体" w:cs="宋体"/>
                <w:color w:val="auto"/>
                <w:spacing w:val="-2"/>
                <w:sz w:val="24"/>
                <w:szCs w:val="24"/>
                <w:highlight w:val="none"/>
              </w:rPr>
              <w:t>，国内知名品牌。</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237D3E2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1A0BE448">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89C465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rPr>
              <w:t>3.</w:t>
            </w:r>
            <w:r>
              <w:rPr>
                <w:rFonts w:hint="eastAsia" w:ascii="宋体" w:hAnsi="宋体" w:eastAsia="宋体" w:cs="宋体"/>
                <w:color w:val="auto"/>
                <w:spacing w:val="-2"/>
                <w:sz w:val="24"/>
                <w:szCs w:val="24"/>
                <w:highlight w:val="none"/>
                <w:lang w:val="en-US" w:eastAsia="zh-CN"/>
              </w:rPr>
              <w:t>10</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7F17AA82">
            <w:pPr>
              <w:keepNext w:val="0"/>
              <w:keepLines w:val="0"/>
              <w:pageBreakBefore w:val="0"/>
              <w:widowControl w:val="0"/>
              <w:kinsoku/>
              <w:wordWrap/>
              <w:overflowPunct/>
              <w:topLinePunct w:val="0"/>
              <w:autoSpaceDE/>
              <w:autoSpaceDN/>
              <w:bidi w:val="0"/>
              <w:adjustRightInd/>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各类管路、线束（包据各类滤清器）</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506DCE2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3.10.1各类管路不得布置在发动机、发电机、起动机、进排气岐管、排气管，消声器和空压机出气管等上部，不得与电器和电线、以及客车其它运动部件发生干涉和碰擦，所有管路线束等不得布置在底架下方（不得低于底架平面）。</w:t>
            </w:r>
          </w:p>
          <w:p w14:paraId="1D46FF7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3.10.2管路各接口连接可靠，不凹瘪、不扭曲、不坠挂，在车辆运动中不碰擦其它零部件或因抖动出现断裂。</w:t>
            </w:r>
          </w:p>
          <w:p w14:paraId="5D3DA4B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3.10.3高压电线束、低压电线束、变速器软轴、水管、油管和气管必须分列敷设，不得混扎一起。</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723B3DB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7A704F2">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EEE9E0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w:t>
            </w:r>
          </w:p>
        </w:tc>
        <w:tc>
          <w:tcPr>
            <w:tcW w:w="8760" w:type="dxa"/>
            <w:gridSpan w:val="3"/>
            <w:tcBorders>
              <w:top w:val="single" w:color="000000" w:sz="4" w:space="0"/>
              <w:left w:val="single" w:color="000000" w:sz="4" w:space="0"/>
              <w:bottom w:val="single" w:color="000000" w:sz="4" w:space="0"/>
              <w:right w:val="single" w:color="000000" w:sz="4" w:space="0"/>
            </w:tcBorders>
            <w:noWrap w:val="0"/>
            <w:vAlign w:val="center"/>
          </w:tcPr>
          <w:p w14:paraId="37652AA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车身</w:t>
            </w:r>
          </w:p>
        </w:tc>
      </w:tr>
      <w:tr w14:paraId="6EEC8AEE">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65BD8A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4.1</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E48FDB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车身结构</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7A2006F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4.1.1车身造型采用</w:t>
            </w:r>
            <w:r>
              <w:rPr>
                <w:rFonts w:hint="eastAsia" w:ascii="宋体" w:hAnsi="宋体" w:eastAsia="宋体" w:cs="宋体"/>
                <w:color w:val="auto"/>
                <w:spacing w:val="-2"/>
                <w:sz w:val="24"/>
                <w:szCs w:val="24"/>
                <w:highlight w:val="none"/>
                <w:lang w:val="en-US" w:eastAsia="zh-CN"/>
              </w:rPr>
              <w:t>一</w:t>
            </w:r>
            <w:r>
              <w:rPr>
                <w:rFonts w:hint="eastAsia" w:ascii="宋体" w:hAnsi="宋体" w:eastAsia="宋体" w:cs="宋体"/>
                <w:color w:val="auto"/>
                <w:spacing w:val="-2"/>
                <w:sz w:val="24"/>
                <w:szCs w:val="24"/>
                <w:highlight w:val="none"/>
              </w:rPr>
              <w:t>级踏步</w:t>
            </w:r>
            <w:r>
              <w:rPr>
                <w:rFonts w:hint="eastAsia" w:ascii="宋体" w:hAnsi="宋体" w:eastAsia="宋体" w:cs="宋体"/>
                <w:color w:val="auto"/>
                <w:spacing w:val="-2"/>
                <w:sz w:val="24"/>
                <w:szCs w:val="24"/>
                <w:highlight w:val="none"/>
                <w:lang w:val="en-US" w:eastAsia="zh-CN"/>
              </w:rPr>
              <w:t>或</w:t>
            </w:r>
            <w:r>
              <w:rPr>
                <w:rFonts w:hint="eastAsia" w:ascii="宋体" w:hAnsi="宋体" w:eastAsia="宋体" w:cs="宋体"/>
                <w:color w:val="auto"/>
                <w:spacing w:val="-2"/>
                <w:sz w:val="24"/>
                <w:szCs w:val="24"/>
                <w:highlight w:val="none"/>
              </w:rPr>
              <w:t>二级踏步</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乘客门右侧</w:t>
            </w:r>
            <w:r>
              <w:rPr>
                <w:rFonts w:hint="eastAsia" w:ascii="宋体" w:hAnsi="宋体" w:cs="宋体"/>
                <w:color w:val="auto"/>
                <w:spacing w:val="-2"/>
                <w:sz w:val="24"/>
                <w:szCs w:val="24"/>
                <w:highlight w:val="none"/>
                <w:lang w:val="en-US" w:eastAsia="zh-CN"/>
              </w:rPr>
              <w:t>前中双</w:t>
            </w:r>
            <w:r>
              <w:rPr>
                <w:rFonts w:hint="eastAsia" w:ascii="宋体" w:hAnsi="宋体" w:eastAsia="宋体" w:cs="宋体"/>
                <w:color w:val="auto"/>
                <w:spacing w:val="-2"/>
                <w:sz w:val="24"/>
                <w:szCs w:val="24"/>
                <w:highlight w:val="none"/>
                <w:lang w:val="en-US" w:eastAsia="zh-CN"/>
              </w:rPr>
              <w:t>开门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无站立式</w:t>
            </w:r>
            <w:r>
              <w:rPr>
                <w:rFonts w:hint="eastAsia" w:ascii="宋体" w:hAnsi="宋体" w:eastAsia="宋体" w:cs="宋体"/>
                <w:color w:val="auto"/>
                <w:spacing w:val="-2"/>
                <w:sz w:val="24"/>
                <w:szCs w:val="24"/>
                <w:highlight w:val="none"/>
              </w:rPr>
              <w:t>公交车辆造型</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高强度钢质车身</w:t>
            </w:r>
            <w:r>
              <w:rPr>
                <w:rFonts w:hint="eastAsia" w:ascii="宋体" w:hAnsi="宋体" w:eastAsia="宋体" w:cs="宋体"/>
                <w:color w:val="auto"/>
                <w:sz w:val="24"/>
                <w:szCs w:val="24"/>
                <w:highlight w:val="none"/>
              </w:rPr>
              <w:t>结构</w:t>
            </w:r>
            <w:r>
              <w:rPr>
                <w:rFonts w:hint="eastAsia" w:ascii="宋体" w:hAnsi="宋体" w:eastAsia="宋体" w:cs="宋体"/>
                <w:color w:val="auto"/>
                <w:spacing w:val="-2"/>
                <w:sz w:val="24"/>
                <w:szCs w:val="24"/>
                <w:highlight w:val="none"/>
              </w:rPr>
              <w:t>。钢质车身</w:t>
            </w:r>
            <w:r>
              <w:rPr>
                <w:rFonts w:hint="eastAsia" w:ascii="宋体" w:hAnsi="宋体" w:eastAsia="宋体" w:cs="宋体"/>
                <w:color w:val="auto"/>
                <w:spacing w:val="-2"/>
                <w:sz w:val="24"/>
                <w:szCs w:val="24"/>
                <w:highlight w:val="none"/>
                <w:lang w:val="en-US" w:eastAsia="zh-CN"/>
              </w:rPr>
              <w:t>须</w:t>
            </w:r>
            <w:r>
              <w:rPr>
                <w:rFonts w:hint="eastAsia" w:ascii="宋体" w:hAnsi="宋体" w:eastAsia="宋体" w:cs="宋体"/>
                <w:color w:val="auto"/>
                <w:spacing w:val="-2"/>
                <w:sz w:val="24"/>
                <w:szCs w:val="24"/>
                <w:highlight w:val="none"/>
              </w:rPr>
              <w:t>采用承载车身结构，整车车身结构</w:t>
            </w:r>
            <w:r>
              <w:rPr>
                <w:rFonts w:hint="eastAsia" w:ascii="宋体" w:hAnsi="宋体" w:eastAsia="宋体" w:cs="宋体"/>
                <w:color w:val="auto"/>
                <w:spacing w:val="-2"/>
                <w:sz w:val="24"/>
                <w:szCs w:val="24"/>
                <w:highlight w:val="none"/>
                <w:lang w:val="en-US" w:eastAsia="zh-CN"/>
              </w:rPr>
              <w:t>须</w:t>
            </w:r>
            <w:r>
              <w:rPr>
                <w:rFonts w:hint="eastAsia" w:ascii="宋体" w:hAnsi="宋体" w:eastAsia="宋体" w:cs="宋体"/>
                <w:color w:val="auto"/>
                <w:spacing w:val="-2"/>
                <w:sz w:val="24"/>
                <w:szCs w:val="24"/>
                <w:highlight w:val="none"/>
              </w:rPr>
              <w:t>阴极电泳</w:t>
            </w:r>
            <w:r>
              <w:rPr>
                <w:rFonts w:hint="eastAsia" w:ascii="宋体" w:hAnsi="宋体" w:eastAsia="宋体" w:cs="宋体"/>
                <w:color w:val="auto"/>
                <w:spacing w:val="-2"/>
                <w:sz w:val="24"/>
                <w:szCs w:val="24"/>
                <w:highlight w:val="none"/>
                <w:lang w:val="en-US" w:eastAsia="zh-CN"/>
              </w:rPr>
              <w:t>或优于</w:t>
            </w:r>
            <w:r>
              <w:rPr>
                <w:rFonts w:hint="eastAsia" w:ascii="宋体" w:hAnsi="宋体" w:eastAsia="宋体" w:cs="宋体"/>
                <w:color w:val="auto"/>
                <w:spacing w:val="-2"/>
                <w:sz w:val="24"/>
                <w:szCs w:val="24"/>
                <w:highlight w:val="none"/>
              </w:rPr>
              <w:t>阴极电泳（提供设备采购合同复印件和图片的文本说明，并加盖公章）防腐处理</w:t>
            </w:r>
            <w:r>
              <w:rPr>
                <w:rFonts w:hint="eastAsia" w:ascii="宋体" w:hAnsi="宋体" w:eastAsia="宋体" w:cs="宋体"/>
                <w:color w:val="auto"/>
                <w:spacing w:val="-2"/>
                <w:sz w:val="24"/>
                <w:szCs w:val="24"/>
                <w:highlight w:val="none"/>
                <w:lang w:eastAsia="zh-CN"/>
              </w:rPr>
              <w:t>。</w:t>
            </w:r>
          </w:p>
          <w:p w14:paraId="7AB5C99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4.1.2骨架与蒙皮、骨架与地板等接合缝处采用聚氨酯密封胶进行密封防水防锈处理</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 xml:space="preserve"> </w:t>
            </w:r>
          </w:p>
          <w:p w14:paraId="3582D28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4.1.3整车防腐效果达到8年以上，车辆顶棚及边窗漏水</w:t>
            </w:r>
            <w:r>
              <w:rPr>
                <w:rFonts w:hint="eastAsia" w:ascii="宋体" w:hAnsi="宋体" w:eastAsia="宋体" w:cs="宋体"/>
                <w:color w:val="auto"/>
                <w:spacing w:val="-2"/>
                <w:sz w:val="24"/>
                <w:szCs w:val="24"/>
                <w:highlight w:val="none"/>
                <w:lang w:val="en-US" w:eastAsia="zh-CN"/>
              </w:rPr>
              <w:t>质</w:t>
            </w:r>
            <w:r>
              <w:rPr>
                <w:rFonts w:hint="eastAsia" w:ascii="宋体" w:hAnsi="宋体" w:eastAsia="宋体" w:cs="宋体"/>
                <w:color w:val="auto"/>
                <w:spacing w:val="-2"/>
                <w:sz w:val="24"/>
                <w:szCs w:val="24"/>
                <w:highlight w:val="none"/>
              </w:rPr>
              <w:t>保8年。</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03B99F1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AFB12CF">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47B5537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4.2</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C1074D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骨架</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8F5396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4.2.1车身蒙皮采用涨拉应力生产工艺，充分考虑沿海地区海洋性气候的特点。整车防漏水、防腐、漏灰及密封性能良好。</w:t>
            </w:r>
          </w:p>
          <w:p w14:paraId="4DCE556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4.2.2必须要保证使用期内不断裂、不变形不锈蚀。</w:t>
            </w:r>
          </w:p>
          <w:p w14:paraId="0D64E4D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4.2.3投标车型必须在城市公交生产基地原产地生产。</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FDC3B3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D31208D">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8CA0BD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4.3</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7BF6E08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车身舱门</w:t>
            </w:r>
          </w:p>
          <w:p w14:paraId="7387646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前后轮拱</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ABCFBE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both"/>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4.3.1车身左右侧边门采用铝合金材料、翻开式</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机械锁和气液压支撑杆检修门结构</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并装有胶垫防震、检修门铰链。要求舱门美观牢固</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开启方便</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锁止可靠</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门与车身蒙皮缝隙均匀</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气液压撑杆支撑力要满足支撑检修门要求</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确保安全稳定</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在侧围检修门和客车骨架之间增装保险绳(挂钩或钢丝绳或链)。为方便雨刷器等部件的检修与拆装</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在客车前围处设置有专用检修门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凡需检修的部位都应开设工作门或检修窗。前后轮拱区域应有两层密封防腐处理</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保证骨架不外露、不藏水</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轮罩和挡泥板均喷阻尼胶。</w:t>
            </w:r>
          </w:p>
          <w:p w14:paraId="4F8DFC6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both"/>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rPr>
              <w:t>4.3.2前保险杠应设计便于拖车</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70E2AF6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061765B5">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5A3B0A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4.4</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05B70FF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前、后挡</w:t>
            </w:r>
          </w:p>
          <w:p w14:paraId="37B0A4F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及侧窗玻璃</w:t>
            </w:r>
          </w:p>
        </w:tc>
        <w:tc>
          <w:tcPr>
            <w:tcW w:w="6664" w:type="dxa"/>
            <w:tcBorders>
              <w:top w:val="single" w:color="000000" w:sz="4" w:space="0"/>
              <w:left w:val="single" w:color="auto" w:sz="4" w:space="0"/>
              <w:bottom w:val="single" w:color="000000" w:sz="4" w:space="0"/>
              <w:right w:val="single" w:color="auto" w:sz="4" w:space="0"/>
            </w:tcBorders>
            <w:noWrap w:val="0"/>
            <w:vAlign w:val="top"/>
          </w:tcPr>
          <w:p w14:paraId="54337BEA">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4.4.1前档为双层夹胶全景玻璃，透光率70%以上</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后挡为钢化玻璃</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均采用粘接式结构。</w:t>
            </w:r>
          </w:p>
          <w:p w14:paraId="2D65BF9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4.4.2边窗玻璃（含驾驶员窗）为内嵌式推拉窗，边窗玻璃颜色为牡丹绿玻璃，满足上牌要求</w:t>
            </w:r>
            <w:r>
              <w:rPr>
                <w:rFonts w:hint="eastAsia" w:ascii="宋体" w:hAnsi="宋体" w:eastAsia="宋体" w:cs="宋体"/>
                <w:color w:val="auto"/>
                <w:spacing w:val="-2"/>
                <w:sz w:val="24"/>
                <w:szCs w:val="24"/>
                <w:highlight w:val="none"/>
                <w:lang w:eastAsia="zh-CN"/>
              </w:rPr>
              <w:t>。</w:t>
            </w:r>
          </w:p>
          <w:p w14:paraId="30C53BF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4.4.3前风档单幅手动遮阳帘，驾驶员遮阳帘下拉自锁式。</w:t>
            </w:r>
          </w:p>
          <w:p w14:paraId="7686F65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4.4.4边窗（含驾驶员窗）安装窗帘，窗帘为蓝色尼龙折叠窗帘</w:t>
            </w:r>
            <w:r>
              <w:rPr>
                <w:rFonts w:hint="eastAsia" w:ascii="宋体" w:hAnsi="宋体" w:eastAsia="宋体" w:cs="宋体"/>
                <w:color w:val="auto"/>
                <w:sz w:val="24"/>
                <w:szCs w:val="24"/>
                <w:highlight w:val="none"/>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9E9027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705AA4BE">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1AF7033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4.5</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1273AC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kern w:val="0"/>
                <w:sz w:val="24"/>
                <w:szCs w:val="24"/>
                <w:highlight w:val="none"/>
              </w:rPr>
              <w:t>蒙皮</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721CF2E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4.5全车蒙皮双面镀锌，蒙皮夹层、车顶、车侧，蒙皮内夹层均需用软质阻燃发泡材料填充</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46020A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3C0E9319">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2FCB2871">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4.6</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7996001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后视镜</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B9F9B9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4.6手动杆式左短右长大视野后视镜</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1369AA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1276BC80">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E29696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4.7</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0086176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安全锤</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06620EB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4.7车辆每个立柱上安装带报警装置车用安全锤，并在车窗玻璃上根据国标要求注明安全锤敲击点及逃生窗口图示，安全锤须符合标准客车应急锤产品型号目录。其中驾驶员旁安装1只，符合GB7258《机动车运行安全技术条件》要求。</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0C7BCD6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210D2473">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1CDCC10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w:t>
            </w:r>
          </w:p>
        </w:tc>
        <w:tc>
          <w:tcPr>
            <w:tcW w:w="8760" w:type="dxa"/>
            <w:gridSpan w:val="3"/>
            <w:tcBorders>
              <w:top w:val="single" w:color="000000" w:sz="4" w:space="0"/>
              <w:left w:val="single" w:color="000000" w:sz="4" w:space="0"/>
              <w:bottom w:val="single" w:color="000000" w:sz="4" w:space="0"/>
              <w:right w:val="single" w:color="000000" w:sz="4" w:space="0"/>
            </w:tcBorders>
            <w:noWrap w:val="0"/>
            <w:vAlign w:val="center"/>
          </w:tcPr>
          <w:p w14:paraId="2B037C2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车厢内饰</w:t>
            </w:r>
          </w:p>
        </w:tc>
      </w:tr>
      <w:tr w14:paraId="3E92AA16">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E43F2C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7D32A79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车内设计</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3958688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5.1.1车内顶采用冲孔铝塑顶板。内饰为灰色基调</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上浅下深。内饰板为阻燃型铝塑板等，但必须要有阻燃功能。</w:t>
            </w:r>
          </w:p>
          <w:p w14:paraId="1A6EDA7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5.1.2全景铝合金风道</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LED双条顶灯</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并经隔热处理</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全景式铝合金风道驾驶员正上方不带灯源</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空调出风口布置结构形式要考虑美观与实用关系</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采用一体化结构设计</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保证冷风有效导入</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提高制冷效益和乘坐舒适性</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保障驾驶员区和乘客区冷风充分有效均匀</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风道外观平顺美观</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接口平整固定可靠</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检修口设置合理、检修方便</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开启、锁止方便可靠。 冷风道不得与前、后路牌窗和发动机机舱贯通</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锁止方便可靠</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表面平整圆顺</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固定安装可靠。</w:t>
            </w:r>
          </w:p>
          <w:p w14:paraId="2833002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5.1.3采用铝合金拉手</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安全可靠</w:t>
            </w:r>
            <w:r>
              <w:rPr>
                <w:rFonts w:hint="eastAsia" w:ascii="宋体" w:hAnsi="宋体" w:eastAsia="宋体" w:cs="宋体"/>
                <w:color w:val="auto"/>
                <w:spacing w:val="-2"/>
                <w:sz w:val="24"/>
                <w:szCs w:val="24"/>
                <w:highlight w:val="none"/>
                <w:lang w:eastAsia="zh-CN"/>
              </w:rPr>
              <w:t>。</w:t>
            </w:r>
          </w:p>
          <w:p w14:paraId="26290A0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5.1.4车厢侧窗适当位置安装不锈钢防护栏。</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7A17D5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p>
        </w:tc>
      </w:tr>
      <w:tr w14:paraId="7E51B050">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4A51068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5.2</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23079E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地板、地板革</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78E764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5.2.1整车采用大平面环保阻燃PVC地板，厚度≥18mm。须符合公交车上牌要求。</w:t>
            </w:r>
          </w:p>
          <w:p w14:paraId="159FA11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5.2.2地板与公交车底架采用专用螺栓连接，要求紧固可靠，地板各连接缝、地板与车身的接缝处应涂密封胶。地板与地板革采用高强度防水专用地板革胶粘接，做到不脱胶、不起泡、不开裂、不拱起。铺设优质防滑耐磨地板革，地板合适位置设有地板检修孔和盖板，方便维修。</w:t>
            </w:r>
          </w:p>
          <w:p w14:paraId="030B37E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5.2.3合理设计高地板区域最后一排安装高度，保障左右两边窗乘客乘坐与饰顶有足够的安全头部空间。</w:t>
            </w:r>
          </w:p>
          <w:p w14:paraId="5B0121B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5.2.4乘客门路步区域采用黄色踏步专用地板革，并标明“禁止站立”字样。</w:t>
            </w:r>
          </w:p>
          <w:p w14:paraId="253CA5A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5.2.5地板革材料采用耐磨防滑环保防火阻燃石英沙带彩点</w:t>
            </w:r>
            <w:r>
              <w:rPr>
                <w:rFonts w:hint="eastAsia" w:ascii="宋体" w:hAnsi="宋体" w:eastAsia="宋体" w:cs="宋体"/>
                <w:color w:val="auto"/>
                <w:spacing w:val="-2"/>
                <w:sz w:val="24"/>
                <w:szCs w:val="24"/>
                <w:highlight w:val="none"/>
                <w:lang w:val="en-US" w:eastAsia="zh-CN"/>
              </w:rPr>
              <w:t>城市</w:t>
            </w:r>
            <w:r>
              <w:rPr>
                <w:rFonts w:hint="eastAsia" w:ascii="宋体" w:hAnsi="宋体" w:eastAsia="宋体" w:cs="宋体"/>
                <w:color w:val="auto"/>
                <w:spacing w:val="-2"/>
                <w:sz w:val="24"/>
                <w:szCs w:val="24"/>
                <w:highlight w:val="none"/>
              </w:rPr>
              <w:t>公交专用，颜色应与整车内饰协调。</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AC9ED4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p>
        </w:tc>
      </w:tr>
      <w:tr w14:paraId="3FE46470">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5B0F92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5.3</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70C09C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驾驶室</w:t>
            </w:r>
          </w:p>
          <w:p w14:paraId="38B411E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仪表台</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92BE3A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5.3.1精美、平整、软化处理</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仪表台可靠耐用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与整车内饰协调</w:t>
            </w:r>
            <w:r>
              <w:rPr>
                <w:rFonts w:hint="eastAsia" w:ascii="宋体" w:hAnsi="宋体" w:eastAsia="宋体" w:cs="宋体"/>
                <w:color w:val="auto"/>
                <w:spacing w:val="-2"/>
                <w:sz w:val="24"/>
                <w:szCs w:val="24"/>
                <w:highlight w:val="none"/>
                <w:lang w:eastAsia="zh-CN"/>
              </w:rPr>
              <w:t>。</w:t>
            </w:r>
          </w:p>
          <w:p w14:paraId="1986905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5.3.2驾驶员包围后设置电子设备箱</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内部可抽拉式</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 xml:space="preserve"> 设置3层以上，每层间隔不少于25</w:t>
            </w:r>
            <w:r>
              <w:rPr>
                <w:rFonts w:hint="eastAsia" w:ascii="宋体" w:hAnsi="宋体" w:eastAsia="宋体" w:cs="宋体"/>
                <w:color w:val="auto"/>
                <w:spacing w:val="-2"/>
                <w:sz w:val="24"/>
                <w:szCs w:val="24"/>
                <w:highlight w:val="none"/>
                <w:lang w:val="en-US" w:eastAsia="zh-CN"/>
              </w:rPr>
              <w:t>cm</w:t>
            </w:r>
            <w:r>
              <w:rPr>
                <w:rFonts w:hint="eastAsia" w:ascii="宋体" w:hAnsi="宋体" w:eastAsia="宋体" w:cs="宋体"/>
                <w:color w:val="auto"/>
                <w:spacing w:val="-2"/>
                <w:sz w:val="24"/>
                <w:szCs w:val="24"/>
                <w:highlight w:val="none"/>
              </w:rPr>
              <w:t>，要求采用304不锈钢材质。</w:t>
            </w:r>
          </w:p>
          <w:p w14:paraId="5E96A2C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5.3.3仪表区域应充分考虑满足配装电脑报站器、电子路牌、下客门监视器、GPS 车载机、IC卡POS机</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投币机、空调和暖风控制板、换气扇开关、数字电视等布置一体化要求。顶灯</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车厢灯</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电子路牌单独安装开关</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仪表台上安装驾驶员喊话器及插口</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前后门未关时仪表台有报警灯显示。</w:t>
            </w:r>
          </w:p>
          <w:p w14:paraId="342871E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5.3.4驾驶员座位左上方侧安装无刷小电扇</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驾驶室安装带锁证件箱</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 xml:space="preserve"> 在驾驶员座左侧副仪表台上配茶杯托架1只</w:t>
            </w:r>
            <w:r>
              <w:rPr>
                <w:rFonts w:hint="eastAsia" w:ascii="宋体" w:hAnsi="宋体" w:eastAsia="宋体" w:cs="宋体"/>
                <w:color w:val="auto"/>
                <w:spacing w:val="-2"/>
                <w:sz w:val="24"/>
                <w:szCs w:val="24"/>
                <w:highlight w:val="none"/>
                <w:lang w:eastAsia="zh-CN"/>
              </w:rPr>
              <w:t>。</w:t>
            </w:r>
          </w:p>
          <w:p w14:paraId="3D59C89A">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5.3.5采用转向柱安装豪华组合式开关</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包括大小灯、转向灯、雨括器、点火开关控制开关。车厢内灯采用铝合金全景风道内置LED灯源</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前后贯通</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厢灯采用三档分段交叉控制。</w:t>
            </w:r>
          </w:p>
          <w:p w14:paraId="71DBC10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5.3.6前后车门内“紧急开门应急阀”装在驾驶区</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前后车门内外各1只“紧急开门应急阀”应设明显使用标识</w:t>
            </w:r>
            <w:r>
              <w:rPr>
                <w:rFonts w:hint="eastAsia" w:ascii="宋体" w:hAnsi="宋体" w:eastAsia="宋体" w:cs="宋体"/>
                <w:color w:val="auto"/>
                <w:spacing w:val="-2"/>
                <w:sz w:val="24"/>
                <w:szCs w:val="24"/>
                <w:highlight w:val="none"/>
                <w:lang w:eastAsia="zh-CN"/>
              </w:rPr>
              <w:t>。</w:t>
            </w:r>
          </w:p>
          <w:p w14:paraId="6215BA7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5.3.7在仪表台前安装一盏红色门铃灯</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门铃按下时灯会亮起</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打开下客门后灯自动熄灭。</w:t>
            </w:r>
          </w:p>
          <w:p w14:paraId="64ECC60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5.3.8 车厢前方右角配置时间、温度显示器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车厢正前方中间配置后视镜1只。 安装驾驶员工作证铝合金安装框、USB充电</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具体尺寸由公交公司确定。</w:t>
            </w:r>
          </w:p>
          <w:p w14:paraId="7755F61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rPr>
              <w:t>5.3.9</w:t>
            </w:r>
            <w:r>
              <w:rPr>
                <w:rFonts w:hint="eastAsia" w:ascii="宋体" w:hAnsi="宋体" w:eastAsia="宋体" w:cs="宋体"/>
                <w:color w:val="auto"/>
                <w:spacing w:val="-2"/>
                <w:sz w:val="24"/>
                <w:szCs w:val="24"/>
                <w:highlight w:val="none"/>
              </w:rPr>
              <w:t>驾驶室底部设有驾驶员左脚搁放斜台</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950DC0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7E426ABD">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47844CF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5.4</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0AFBC2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驾驶区</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27E06CD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5.4.1符合《中华人民共和国交通运输行业标准》JT/T 1241-2019城市公共汽电车驾驶区防护隔离设施技术要求。</w:t>
            </w:r>
          </w:p>
          <w:p w14:paraId="55A9CE9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5.4.2驾驶室设计独立式并最大化体现人性化、特别是常用开关（开关门、报站器）应便于驾驶员操作。</w:t>
            </w:r>
          </w:p>
          <w:p w14:paraId="34ECC2F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5.4.3驾驶</w:t>
            </w:r>
            <w:r>
              <w:rPr>
                <w:rFonts w:hint="eastAsia" w:ascii="宋体" w:hAnsi="宋体" w:eastAsia="宋体" w:cs="宋体"/>
                <w:color w:val="auto"/>
                <w:spacing w:val="-2"/>
                <w:sz w:val="24"/>
                <w:szCs w:val="24"/>
                <w:highlight w:val="none"/>
                <w:lang w:val="en-US" w:eastAsia="zh-CN"/>
              </w:rPr>
              <w:t>区</w:t>
            </w:r>
            <w:r>
              <w:rPr>
                <w:rFonts w:hint="eastAsia" w:ascii="宋体" w:hAnsi="宋体" w:eastAsia="宋体" w:cs="宋体"/>
                <w:color w:val="auto"/>
                <w:spacing w:val="-2"/>
                <w:sz w:val="24"/>
                <w:szCs w:val="24"/>
                <w:highlight w:val="none"/>
              </w:rPr>
              <w:t>安装驾驶员安全隔离装置全包围门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铝合金全包整体式</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驾驶员屏风、驾驶员转门采用铝合金或钢化玻璃</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不影响驾驶员对前门上车乘客监管视线</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侧围上沿最低点距乘客区通道地板高度不小于160厘米(款式跟公交公司对接)</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驾驶员包围安装符合交通部标准</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电吸试双开锁</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高透玻璃(透光率百分之九十五以上）。</w:t>
            </w:r>
          </w:p>
          <w:p w14:paraId="25D35B7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5.4.</w:t>
            </w:r>
            <w:r>
              <w:rPr>
                <w:rFonts w:hint="eastAsia" w:ascii="宋体" w:hAnsi="宋体" w:eastAsia="宋体"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rPr>
              <w:t>驾驶区</w:t>
            </w:r>
            <w:r>
              <w:rPr>
                <w:rFonts w:hint="eastAsia" w:ascii="宋体" w:hAnsi="宋体" w:eastAsia="宋体" w:cs="宋体"/>
                <w:color w:val="auto"/>
                <w:spacing w:val="-2"/>
                <w:sz w:val="24"/>
                <w:szCs w:val="24"/>
                <w:highlight w:val="none"/>
                <w:lang w:val="en-US" w:eastAsia="zh-CN"/>
              </w:rPr>
              <w:t>铝合金</w:t>
            </w:r>
            <w:r>
              <w:rPr>
                <w:rFonts w:hint="eastAsia" w:ascii="宋体" w:hAnsi="宋体" w:eastAsia="宋体" w:cs="宋体"/>
                <w:color w:val="auto"/>
                <w:spacing w:val="-2"/>
                <w:sz w:val="24"/>
                <w:szCs w:val="24"/>
                <w:highlight w:val="none"/>
              </w:rPr>
              <w:t>防护隔离设施质保期8年</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1F6DF6C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23330212">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356CA9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5.5</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7874BF8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车门</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6E8460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5.5.1</w:t>
            </w:r>
            <w:r>
              <w:rPr>
                <w:rFonts w:hint="eastAsia" w:ascii="宋体" w:hAnsi="宋体" w:eastAsia="宋体" w:cs="宋体"/>
                <w:b/>
                <w:bCs/>
                <w:color w:val="auto"/>
                <w:spacing w:val="-2"/>
                <w:sz w:val="24"/>
                <w:szCs w:val="24"/>
                <w:highlight w:val="none"/>
              </w:rPr>
              <w:t>气动</w:t>
            </w:r>
            <w:r>
              <w:rPr>
                <w:rFonts w:hint="eastAsia" w:ascii="宋体" w:hAnsi="宋体" w:eastAsia="宋体" w:cs="宋体"/>
                <w:b/>
                <w:bCs/>
                <w:color w:val="auto"/>
                <w:spacing w:val="-2"/>
                <w:sz w:val="24"/>
                <w:szCs w:val="24"/>
                <w:highlight w:val="none"/>
                <w:lang w:val="en-US" w:eastAsia="zh-CN"/>
              </w:rPr>
              <w:t>门</w:t>
            </w:r>
            <w:r>
              <w:rPr>
                <w:rFonts w:hint="eastAsia" w:ascii="宋体" w:hAnsi="宋体" w:eastAsia="宋体" w:cs="宋体"/>
                <w:color w:val="auto"/>
                <w:spacing w:val="-2"/>
                <w:sz w:val="24"/>
                <w:szCs w:val="24"/>
                <w:highlight w:val="none"/>
              </w:rPr>
              <w:t>，铝合金门框，整块隔热防紫外线节能、浅灰色玻璃，透光率≥50%；车门需设置防夹装置门内侧扶手加装防滑胶套。</w:t>
            </w:r>
          </w:p>
          <w:p w14:paraId="51201FA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5.5.2在门泵室外方便操纵的位置安装车门手动机械式断气开关，以便紧急情况时驾驶员手动断气开车门。门玻璃选用钢化玻璃。要求车外、车内、驾驶室有放气开门功能，以防电路损坏时，保证门能正常开启。</w:t>
            </w:r>
          </w:p>
          <w:p w14:paraId="38FA970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5.5.3乘客门开启及关闭时带有缓冲装置，防夹采用电子延时防夹和气囊防夹双防夹装置，乘客门应有门锁装置。</w:t>
            </w:r>
          </w:p>
          <w:p w14:paraId="1331E5D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5.5.4乘客门紧急开门应急阀装在驾驶区</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乘客车门</w:t>
            </w:r>
            <w:r>
              <w:rPr>
                <w:rFonts w:hint="eastAsia" w:ascii="宋体" w:hAnsi="宋体" w:eastAsia="宋体" w:cs="宋体"/>
                <w:color w:val="auto"/>
                <w:spacing w:val="-2"/>
                <w:sz w:val="24"/>
                <w:szCs w:val="24"/>
                <w:highlight w:val="none"/>
                <w:lang w:val="en-US" w:eastAsia="zh-CN"/>
              </w:rPr>
              <w:t>附近各安装</w:t>
            </w:r>
            <w:r>
              <w:rPr>
                <w:rFonts w:hint="eastAsia" w:ascii="宋体" w:hAnsi="宋体" w:eastAsia="宋体" w:cs="宋体"/>
                <w:color w:val="auto"/>
                <w:spacing w:val="-2"/>
                <w:sz w:val="24"/>
                <w:szCs w:val="24"/>
                <w:highlight w:val="none"/>
              </w:rPr>
              <w:t>1只。紧急开门应急阀应设明显使用标识。</w:t>
            </w:r>
          </w:p>
          <w:p w14:paraId="0A77581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5.5.5车身左侧未设置驾驶人门时，在车身左侧设置应急门</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应急门应有锁止机构且锁止可靠。车辆侧面的链接式应急门铰链应位于前端，向外开启角度大于</w:t>
            </w:r>
            <w:r>
              <w:rPr>
                <w:rFonts w:hint="eastAsia" w:ascii="宋体" w:hAnsi="宋体" w:eastAsia="宋体" w:cs="宋体"/>
                <w:color w:val="auto"/>
                <w:spacing w:val="-2"/>
                <w:sz w:val="24"/>
                <w:szCs w:val="24"/>
                <w:highlight w:val="none"/>
                <w:lang w:val="en-US" w:eastAsia="zh-CN"/>
              </w:rPr>
              <w:t>90</w:t>
            </w:r>
            <w:r>
              <w:rPr>
                <w:rFonts w:hint="eastAsia" w:ascii="宋体" w:hAnsi="宋体" w:eastAsia="宋体" w:cs="宋体"/>
                <w:color w:val="auto"/>
                <w:spacing w:val="-2"/>
                <w:sz w:val="24"/>
                <w:szCs w:val="24"/>
                <w:highlight w:val="none"/>
              </w:rPr>
              <w:t>°，并能在此角度下保持开启。</w:t>
            </w:r>
          </w:p>
          <w:p w14:paraId="3AD40ED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5.5.</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门泵驱动系统采用电控气方式，采用进口气缸和电磁阀，门泵带有自动气水分离装置，质保期8年。</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11F625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29B88AFC">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0F61DF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5.6</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2026EC5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扶手、吊环</w:t>
            </w:r>
          </w:p>
          <w:p w14:paraId="0513133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（广告）</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57D3B6A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5.6.1铝合金管扶手（直径 35mm），弯弧扶手结构，表面安装橡胶扶套。两侧窗部位装扶杆</w:t>
            </w:r>
            <w:r>
              <w:rPr>
                <w:rFonts w:hint="eastAsia" w:ascii="宋体" w:hAnsi="宋体" w:eastAsia="宋体" w:cs="宋体"/>
                <w:color w:val="auto"/>
                <w:spacing w:val="-2"/>
                <w:sz w:val="24"/>
                <w:szCs w:val="24"/>
                <w:highlight w:val="none"/>
                <w:lang w:eastAsia="zh-CN"/>
              </w:rPr>
              <w:t>。</w:t>
            </w:r>
          </w:p>
          <w:p w14:paraId="0FA1472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5.6.2</w:t>
            </w:r>
            <w:r>
              <w:rPr>
                <w:rFonts w:hint="eastAsia" w:ascii="宋体" w:hAnsi="宋体" w:eastAsia="宋体" w:cs="宋体"/>
                <w:color w:val="auto"/>
                <w:spacing w:val="-2"/>
                <w:sz w:val="24"/>
                <w:szCs w:val="24"/>
                <w:highlight w:val="none"/>
                <w:lang w:val="en-US" w:eastAsia="zh-CN"/>
              </w:rPr>
              <w:t>每车车送</w:t>
            </w:r>
            <w:r>
              <w:rPr>
                <w:rFonts w:hint="eastAsia" w:ascii="宋体" w:hAnsi="宋体" w:eastAsia="宋体" w:cs="宋体"/>
                <w:color w:val="auto"/>
                <w:spacing w:val="-2"/>
                <w:sz w:val="24"/>
                <w:szCs w:val="24"/>
                <w:highlight w:val="none"/>
              </w:rPr>
              <w:t xml:space="preserve">广告吊环 </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 xml:space="preserve"> 只以上</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随车带回</w:t>
            </w:r>
            <w:r>
              <w:rPr>
                <w:rFonts w:hint="eastAsia" w:ascii="宋体" w:hAnsi="宋体" w:eastAsia="宋体" w:cs="宋体"/>
                <w:color w:val="auto"/>
                <w:spacing w:val="-2"/>
                <w:sz w:val="24"/>
                <w:szCs w:val="24"/>
                <w:highlight w:val="none"/>
                <w:lang w:eastAsia="zh-CN"/>
              </w:rPr>
              <w:t>。</w:t>
            </w:r>
          </w:p>
          <w:p w14:paraId="6017525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5.6.</w:t>
            </w: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前门立杆上 1.3 米处装儿童购票标记，所有扶手立柱底座加尼龙套， 防止产生噪音。</w:t>
            </w:r>
          </w:p>
          <w:p w14:paraId="0ACC3BC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5.6.</w:t>
            </w:r>
            <w:r>
              <w:rPr>
                <w:rFonts w:hint="eastAsia" w:ascii="宋体" w:hAnsi="宋体" w:eastAsia="宋体"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rPr>
              <w:t>扶手质保期8年</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0DD8D5F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877775C">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34B83B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5.7</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56F3E64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安全标识</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0F166C4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5.7门、爱心专座等标识按新版《城市公共交通标志》标准制作。</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71429AD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0098A078">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4B1D8F0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5.8</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40A9F7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停车门铃</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DDD5A2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b/>
                <w:bCs/>
                <w:color w:val="auto"/>
                <w:spacing w:val="-2"/>
                <w:sz w:val="24"/>
                <w:szCs w:val="24"/>
                <w:highlight w:val="none"/>
              </w:rPr>
              <w:t>5.8.1配下</w:t>
            </w:r>
            <w:r>
              <w:rPr>
                <w:rFonts w:hint="eastAsia" w:ascii="宋体" w:hAnsi="宋体" w:eastAsia="宋体" w:cs="宋体"/>
                <w:b/>
                <w:bCs/>
                <w:color w:val="auto"/>
                <w:spacing w:val="-2"/>
                <w:sz w:val="24"/>
                <w:szCs w:val="24"/>
                <w:highlight w:val="none"/>
                <w:lang w:val="en-US" w:eastAsia="zh-CN"/>
              </w:rPr>
              <w:t>客</w:t>
            </w:r>
            <w:r>
              <w:rPr>
                <w:rFonts w:hint="eastAsia" w:ascii="宋体" w:hAnsi="宋体" w:eastAsia="宋体" w:cs="宋体"/>
                <w:b/>
                <w:bCs/>
                <w:color w:val="auto"/>
                <w:spacing w:val="-2"/>
                <w:sz w:val="24"/>
                <w:szCs w:val="24"/>
                <w:highlight w:val="none"/>
              </w:rPr>
              <w:t>停车门铃按钮</w:t>
            </w:r>
            <w:r>
              <w:rPr>
                <w:rFonts w:hint="eastAsia" w:ascii="宋体" w:hAnsi="宋体" w:eastAsia="宋体" w:cs="宋体"/>
                <w:b/>
                <w:bCs/>
                <w:color w:val="auto"/>
                <w:spacing w:val="-2"/>
                <w:sz w:val="24"/>
                <w:szCs w:val="24"/>
                <w:highlight w:val="none"/>
                <w:lang w:val="en-US" w:eastAsia="zh-CN"/>
              </w:rPr>
              <w:t>5</w:t>
            </w:r>
            <w:r>
              <w:rPr>
                <w:rFonts w:hint="eastAsia" w:ascii="宋体" w:hAnsi="宋体" w:eastAsia="宋体" w:cs="宋体"/>
                <w:b/>
                <w:bCs/>
                <w:color w:val="auto"/>
                <w:spacing w:val="-2"/>
                <w:sz w:val="24"/>
                <w:szCs w:val="24"/>
                <w:highlight w:val="none"/>
              </w:rPr>
              <w:t>只，按钮安装</w:t>
            </w:r>
            <w:r>
              <w:rPr>
                <w:rFonts w:hint="eastAsia" w:ascii="宋体" w:hAnsi="宋体" w:eastAsia="宋体" w:cs="宋体"/>
                <w:b/>
                <w:bCs/>
                <w:color w:val="auto"/>
                <w:spacing w:val="-2"/>
                <w:sz w:val="24"/>
                <w:szCs w:val="24"/>
                <w:highlight w:val="none"/>
                <w:lang w:val="en-US" w:eastAsia="zh-CN"/>
              </w:rPr>
              <w:t>在</w:t>
            </w:r>
            <w:r>
              <w:rPr>
                <w:rFonts w:hint="eastAsia" w:ascii="宋体" w:hAnsi="宋体" w:eastAsia="宋体" w:cs="宋体"/>
                <w:b/>
                <w:bCs/>
                <w:color w:val="auto"/>
                <w:spacing w:val="-2"/>
                <w:sz w:val="24"/>
                <w:szCs w:val="24"/>
                <w:highlight w:val="none"/>
              </w:rPr>
              <w:t>车厢左侧一立柱及乘客门处二立柱合适位置(语音提示</w:t>
            </w:r>
            <w:r>
              <w:rPr>
                <w:rFonts w:hint="eastAsia" w:ascii="宋体" w:hAnsi="宋体" w:eastAsia="宋体" w:cs="宋体"/>
                <w:b/>
                <w:bCs/>
                <w:color w:val="auto"/>
                <w:spacing w:val="-2"/>
                <w:sz w:val="24"/>
                <w:szCs w:val="24"/>
                <w:highlight w:val="none"/>
                <w:lang w:eastAsia="zh-CN"/>
              </w:rPr>
              <w:t>“</w:t>
            </w:r>
            <w:r>
              <w:rPr>
                <w:rFonts w:hint="eastAsia" w:ascii="宋体" w:hAnsi="宋体" w:eastAsia="宋体" w:cs="宋体"/>
                <w:b/>
                <w:bCs/>
                <w:color w:val="auto"/>
                <w:spacing w:val="-2"/>
                <w:sz w:val="24"/>
                <w:szCs w:val="24"/>
                <w:highlight w:val="none"/>
              </w:rPr>
              <w:t>您好请开门”)，门铃按钮以上位置粘贴“下车请按铃</w:t>
            </w:r>
            <w:r>
              <w:rPr>
                <w:rFonts w:hint="eastAsia" w:ascii="宋体" w:hAnsi="宋体" w:eastAsia="宋体" w:cs="宋体"/>
                <w:b/>
                <w:bCs/>
                <w:color w:val="auto"/>
                <w:spacing w:val="-2"/>
                <w:sz w:val="24"/>
                <w:szCs w:val="24"/>
                <w:highlight w:val="none"/>
                <w:lang w:eastAsia="zh-CN"/>
              </w:rPr>
              <w:t>”</w:t>
            </w:r>
            <w:r>
              <w:rPr>
                <w:rFonts w:hint="eastAsia" w:ascii="宋体" w:hAnsi="宋体" w:eastAsia="宋体" w:cs="宋体"/>
                <w:b/>
                <w:bCs/>
                <w:color w:val="auto"/>
                <w:spacing w:val="-2"/>
                <w:sz w:val="24"/>
                <w:szCs w:val="24"/>
                <w:highlight w:val="none"/>
              </w:rPr>
              <w:t>标识，语音提示。</w:t>
            </w:r>
          </w:p>
          <w:p w14:paraId="084E738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5.8.2车前部安装有转换开关的电气喇叭，安装转向语音喇叭，尾部安装倒车语音喇叭。</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83FECF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579F0AE0">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AE08F5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5.9</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757F9B4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空调风道</w:t>
            </w:r>
          </w:p>
          <w:p w14:paraId="35A49F7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顶板侧围</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000EEF2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5.9.1全景铝合金风道</w:t>
            </w:r>
            <w:r>
              <w:rPr>
                <w:rFonts w:hint="eastAsia" w:ascii="宋体" w:hAnsi="宋体" w:eastAsia="宋体" w:cs="宋体"/>
                <w:color w:val="auto"/>
                <w:spacing w:val="-2"/>
                <w:sz w:val="24"/>
                <w:szCs w:val="24"/>
                <w:highlight w:val="none"/>
                <w:lang w:eastAsia="zh-CN"/>
              </w:rPr>
              <w:t>。</w:t>
            </w:r>
          </w:p>
          <w:p w14:paraId="160B63E8">
            <w:pPr>
              <w:keepNext w:val="0"/>
              <w:keepLines w:val="0"/>
              <w:pageBreakBefore w:val="0"/>
              <w:widowControl/>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5.9.2车厢顶板、侧板材料应具有抗磨、耐油、阻燃、耐腐蚀，防水并且能水洗、不易断裂等性能。</w:t>
            </w:r>
          </w:p>
          <w:p w14:paraId="797A61B7">
            <w:pPr>
              <w:keepNext w:val="0"/>
              <w:keepLines w:val="0"/>
              <w:pageBreakBefore w:val="0"/>
              <w:widowControl/>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5.9.3风道质保期8年。</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00976DE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3D544821">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797324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5.10</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DBE599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车顶天窗</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2DA3988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5.10.1天窗同时又是紧急安全出口，配置换气扇。</w:t>
            </w:r>
          </w:p>
          <w:p w14:paraId="107753A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5.10.2车顶骨架要加强，防塌陷。各接口要密封和除锈处理，防漏水。</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22CE75B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ECD67B9">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1AFEC5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5.11</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6A382C6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1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13"/>
                <w:sz w:val="24"/>
                <w:szCs w:val="24"/>
                <w:highlight w:val="none"/>
              </w:rPr>
              <w:t>阻燃</w:t>
            </w:r>
            <w:r>
              <w:rPr>
                <w:rFonts w:hint="eastAsia" w:ascii="宋体" w:hAnsi="宋体" w:eastAsia="宋体" w:cs="宋体"/>
                <w:color w:val="auto"/>
                <w:spacing w:val="12"/>
                <w:sz w:val="24"/>
                <w:szCs w:val="24"/>
                <w:highlight w:val="none"/>
              </w:rPr>
              <w:t>保温</w:t>
            </w:r>
          </w:p>
          <w:p w14:paraId="7E9BE7B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降噪材料</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8EABA8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5.11.1车厢前后、顶</w:t>
            </w:r>
            <w:r>
              <w:rPr>
                <w:rFonts w:hint="eastAsia" w:ascii="宋体" w:hAnsi="宋体" w:eastAsia="宋体" w:cs="宋体"/>
                <w:color w:val="auto"/>
                <w:spacing w:val="-2"/>
                <w:sz w:val="24"/>
                <w:szCs w:val="24"/>
                <w:highlight w:val="none"/>
                <w:lang w:val="en-US" w:eastAsia="zh-CN"/>
              </w:rPr>
              <w:t>和</w:t>
            </w:r>
            <w:r>
              <w:rPr>
                <w:rFonts w:hint="eastAsia" w:ascii="宋体" w:hAnsi="宋体" w:eastAsia="宋体" w:cs="宋体"/>
                <w:color w:val="auto"/>
                <w:spacing w:val="-2"/>
                <w:sz w:val="24"/>
                <w:szCs w:val="24"/>
                <w:highlight w:val="none"/>
              </w:rPr>
              <w:t>侧蒙皮夹层内及底部均要采用阻燃隔热材料完全填充，要保证车厢内外蒙皮和装饰板没有振动及响声发出。</w:t>
            </w:r>
          </w:p>
          <w:p w14:paraId="706E498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5.11.2阻燃性能通过国标测试，内饰材料阻燃性能达到A级。不加任何阻燃剂，阻燃性能不能因时间延长而衰减。材料在燃烧过程中，不能产生熔滴，应无烟、无味</w:t>
            </w:r>
            <w:r>
              <w:rPr>
                <w:rFonts w:hint="eastAsia" w:ascii="宋体" w:hAnsi="宋体" w:eastAsia="宋体" w:cs="宋体"/>
                <w:color w:val="auto"/>
                <w:spacing w:val="-2"/>
                <w:sz w:val="24"/>
                <w:szCs w:val="24"/>
                <w:highlight w:val="none"/>
                <w:lang w:val="en-US" w:eastAsia="zh-CN"/>
              </w:rPr>
              <w:t>和</w:t>
            </w:r>
            <w:r>
              <w:rPr>
                <w:rFonts w:hint="eastAsia" w:ascii="宋体" w:hAnsi="宋体" w:eastAsia="宋体" w:cs="宋体"/>
                <w:color w:val="auto"/>
                <w:spacing w:val="-2"/>
                <w:sz w:val="24"/>
                <w:szCs w:val="24"/>
                <w:highlight w:val="none"/>
              </w:rPr>
              <w:t>无有毒气体产生。</w:t>
            </w:r>
          </w:p>
          <w:p w14:paraId="31B1CEE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5.11.3材料应为环保材料，无甲醛，不含石棉，阻燃材料通过国家CCC 认证。</w:t>
            </w:r>
          </w:p>
          <w:p w14:paraId="787EC4BC">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5.11.4 降噪材料厚度不小于30mm，使用的隔音材料达到GB8410规定的A 级要求，提高车厢内的舒适环境。</w:t>
            </w:r>
          </w:p>
          <w:p w14:paraId="44C8A6B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5.11.5阻燃、保温、降噪材料质保期8年。</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2584EBB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3C96134">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5AAD71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2</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B4FEBF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spacing w:val="-2"/>
                <w:kern w:val="2"/>
                <w:sz w:val="24"/>
                <w:szCs w:val="24"/>
                <w:highlight w:val="none"/>
                <w:lang w:val="en-US" w:eastAsia="zh-CN" w:bidi="ar-SA"/>
              </w:rPr>
              <w:t>乘客</w:t>
            </w:r>
            <w:r>
              <w:rPr>
                <w:rFonts w:hint="eastAsia" w:ascii="宋体" w:hAnsi="宋体" w:eastAsia="宋体" w:cs="宋体"/>
                <w:color w:val="auto"/>
                <w:spacing w:val="6"/>
                <w:sz w:val="24"/>
                <w:szCs w:val="24"/>
                <w:highlight w:val="none"/>
              </w:rPr>
              <w:t>座位</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6915126D">
            <w:pPr>
              <w:pStyle w:val="99"/>
              <w:keepNext w:val="0"/>
              <w:keepLines w:val="0"/>
              <w:pageBreakBefore w:val="0"/>
              <w:widowControl w:val="0"/>
              <w:kinsoku/>
              <w:wordWrap/>
              <w:overflowPunct/>
              <w:topLinePunct w:val="0"/>
              <w:autoSpaceDE/>
              <w:autoSpaceDN/>
              <w:bidi w:val="0"/>
              <w:adjustRightInd/>
              <w:snapToGrid/>
              <w:spacing w:line="490" w:lineRule="exact"/>
              <w:ind w:left="0" w:leftChars="0" w:right="0" w:rightChars="0" w:firstLine="0" w:firstLineChars="0"/>
              <w:textAlignment w:val="auto"/>
              <w:outlineLvl w:val="9"/>
              <w:rPr>
                <w:rFonts w:hint="eastAsia"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pacing w:val="-2"/>
                <w:kern w:val="2"/>
                <w:sz w:val="24"/>
                <w:szCs w:val="24"/>
                <w:highlight w:val="none"/>
                <w:lang w:val="en-US" w:eastAsia="zh-CN" w:bidi="ar-SA"/>
              </w:rPr>
              <w:t>5.12.1全车整体配</w:t>
            </w:r>
            <w:r>
              <w:rPr>
                <w:rFonts w:hint="eastAsia" w:ascii="宋体" w:hAnsi="宋体" w:eastAsia="宋体" w:cs="宋体"/>
                <w:b/>
                <w:bCs/>
                <w:color w:val="auto"/>
                <w:spacing w:val="-2"/>
                <w:kern w:val="2"/>
                <w:sz w:val="24"/>
                <w:szCs w:val="24"/>
                <w:highlight w:val="none"/>
                <w:lang w:val="en-US" w:eastAsia="zh-CN" w:bidi="ar-SA"/>
              </w:rPr>
              <w:t>2</w:t>
            </w:r>
            <w:r>
              <w:rPr>
                <w:rFonts w:hint="eastAsia" w:cs="宋体"/>
                <w:b/>
                <w:bCs/>
                <w:color w:val="auto"/>
                <w:spacing w:val="-2"/>
                <w:kern w:val="2"/>
                <w:sz w:val="24"/>
                <w:szCs w:val="24"/>
                <w:highlight w:val="none"/>
                <w:lang w:val="en-US" w:eastAsia="zh-CN" w:bidi="ar-SA"/>
              </w:rPr>
              <w:t>4</w:t>
            </w:r>
            <w:r>
              <w:rPr>
                <w:rFonts w:hint="eastAsia" w:ascii="宋体" w:hAnsi="宋体" w:eastAsia="宋体" w:cs="宋体"/>
                <w:b/>
                <w:bCs/>
                <w:color w:val="auto"/>
                <w:spacing w:val="-2"/>
                <w:kern w:val="2"/>
                <w:sz w:val="24"/>
                <w:szCs w:val="24"/>
                <w:highlight w:val="none"/>
                <w:lang w:val="en-US" w:eastAsia="zh-CN" w:bidi="ar-SA"/>
              </w:rPr>
              <w:t>及以上</w:t>
            </w:r>
            <w:r>
              <w:rPr>
                <w:rFonts w:hint="eastAsia" w:ascii="宋体" w:hAnsi="宋体" w:eastAsia="宋体" w:cs="宋体"/>
                <w:color w:val="auto"/>
                <w:spacing w:val="-2"/>
                <w:kern w:val="2"/>
                <w:sz w:val="24"/>
                <w:szCs w:val="24"/>
                <w:highlight w:val="none"/>
                <w:lang w:val="en-US" w:eastAsia="zh-CN" w:bidi="ar-SA"/>
              </w:rPr>
              <w:t>个座椅，乘客座椅选用高档轻量化，座椅带软垫、软靠背、扶手和安全带。</w:t>
            </w:r>
          </w:p>
          <w:p w14:paraId="3C9079E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2.2</w:t>
            </w:r>
            <w:r>
              <w:rPr>
                <w:rFonts w:hint="eastAsia" w:ascii="宋体" w:hAnsi="宋体" w:eastAsia="宋体" w:cs="宋体"/>
                <w:color w:val="auto"/>
                <w:spacing w:val="-2"/>
                <w:sz w:val="24"/>
                <w:szCs w:val="24"/>
                <w:highlight w:val="none"/>
              </w:rPr>
              <w:t>座椅合理布置，配爱心座椅及标志，配用座椅舒适，颜色和内饰协调，座椅支脚采用铝合金防腐材质。</w:t>
            </w:r>
          </w:p>
          <w:p w14:paraId="1789909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2.3</w:t>
            </w:r>
            <w:r>
              <w:rPr>
                <w:rFonts w:hint="eastAsia" w:ascii="宋体" w:hAnsi="宋体" w:eastAsia="宋体" w:cs="宋体"/>
                <w:color w:val="auto"/>
                <w:spacing w:val="-2"/>
                <w:sz w:val="24"/>
                <w:szCs w:val="24"/>
                <w:highlight w:val="none"/>
              </w:rPr>
              <w:t>座椅布置由客车厂家提供座位设计图，交公交公司选择确定。</w:t>
            </w:r>
          </w:p>
          <w:p w14:paraId="70494B73">
            <w:pPr>
              <w:pStyle w:val="6"/>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2"/>
                <w:sz w:val="24"/>
                <w:szCs w:val="24"/>
                <w:highlight w:val="none"/>
                <w:lang w:val="en-US" w:eastAsia="zh-CN"/>
              </w:rPr>
              <w:t>5.12.4配置重力感应安全带未系提醒装置（所有座位）</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428989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337CB3B6">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5E073A1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3</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559D6F4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驾驶员椅</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5C86D9B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高靠背三点式安全带（带伸缩）减震可调驾驶员椅</w:t>
            </w:r>
            <w:r>
              <w:rPr>
                <w:rFonts w:hint="eastAsia" w:ascii="宋体" w:hAnsi="宋体" w:eastAsia="宋体" w:cs="宋体"/>
                <w:color w:val="auto"/>
                <w:spacing w:val="-2"/>
                <w:sz w:val="24"/>
                <w:szCs w:val="24"/>
                <w:highlight w:val="none"/>
                <w:lang w:eastAsia="zh-CN"/>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10146B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09BEA8A">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24C0348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4</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08DCA9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13"/>
                <w:sz w:val="24"/>
                <w:szCs w:val="24"/>
                <w:highlight w:val="none"/>
              </w:rPr>
            </w:pPr>
            <w:r>
              <w:rPr>
                <w:rFonts w:hint="eastAsia" w:ascii="宋体" w:hAnsi="宋体" w:eastAsia="宋体" w:cs="宋体"/>
                <w:color w:val="auto"/>
                <w:spacing w:val="13"/>
                <w:sz w:val="24"/>
                <w:szCs w:val="24"/>
                <w:highlight w:val="none"/>
              </w:rPr>
              <w:t>拖车钩</w:t>
            </w:r>
          </w:p>
          <w:p w14:paraId="131E921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13"/>
                <w:sz w:val="24"/>
                <w:szCs w:val="24"/>
                <w:highlight w:val="none"/>
              </w:rPr>
            </w:pPr>
            <w:r>
              <w:rPr>
                <w:rFonts w:hint="eastAsia" w:ascii="宋体" w:hAnsi="宋体" w:eastAsia="宋体" w:cs="宋体"/>
                <w:color w:val="auto"/>
                <w:spacing w:val="13"/>
                <w:sz w:val="24"/>
                <w:szCs w:val="24"/>
                <w:highlight w:val="none"/>
              </w:rPr>
              <w:t>支车</w:t>
            </w:r>
            <w:r>
              <w:rPr>
                <w:rFonts w:hint="eastAsia" w:ascii="宋体" w:hAnsi="宋体" w:eastAsia="宋体" w:cs="宋体"/>
                <w:color w:val="auto"/>
                <w:sz w:val="24"/>
                <w:szCs w:val="24"/>
                <w:highlight w:val="none"/>
              </w:rPr>
              <w:t>点</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7084F9D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4.1</w:t>
            </w:r>
            <w:r>
              <w:rPr>
                <w:rFonts w:hint="eastAsia" w:ascii="宋体" w:hAnsi="宋体" w:eastAsia="宋体" w:cs="宋体"/>
                <w:color w:val="auto"/>
                <w:spacing w:val="-2"/>
                <w:sz w:val="24"/>
                <w:szCs w:val="24"/>
                <w:highlight w:val="none"/>
              </w:rPr>
              <w:t>拖车钩安装应隐蔽，拖车时拖车钩可伸出，并不与任何部位发生干涉，应满足拖车时保持车辆左右平衡。拖车钩应坚固。</w:t>
            </w:r>
          </w:p>
          <w:p w14:paraId="111D9A1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4.2</w:t>
            </w:r>
            <w:r>
              <w:rPr>
                <w:rFonts w:hint="eastAsia" w:ascii="宋体" w:hAnsi="宋体" w:eastAsia="宋体" w:cs="宋体"/>
                <w:color w:val="auto"/>
                <w:spacing w:val="-2"/>
                <w:sz w:val="24"/>
                <w:szCs w:val="24"/>
                <w:highlight w:val="none"/>
              </w:rPr>
              <w:t>车底左右两侧前、后适当位置</w:t>
            </w:r>
            <w:r>
              <w:rPr>
                <w:rFonts w:hint="eastAsia" w:ascii="宋体" w:hAnsi="宋体" w:eastAsia="宋体" w:cs="宋体"/>
                <w:color w:val="auto"/>
                <w:spacing w:val="-2"/>
                <w:sz w:val="24"/>
                <w:szCs w:val="24"/>
                <w:highlight w:val="none"/>
                <w:lang w:val="en-US" w:eastAsia="zh-CN"/>
              </w:rPr>
              <w:t>设</w:t>
            </w:r>
            <w:r>
              <w:rPr>
                <w:rFonts w:hint="eastAsia" w:ascii="宋体" w:hAnsi="宋体" w:eastAsia="宋体" w:cs="宋体"/>
                <w:color w:val="auto"/>
                <w:spacing w:val="-2"/>
                <w:sz w:val="24"/>
                <w:szCs w:val="24"/>
                <w:highlight w:val="none"/>
              </w:rPr>
              <w:t>支车点，支车点</w:t>
            </w:r>
            <w:r>
              <w:rPr>
                <w:rFonts w:hint="eastAsia" w:ascii="宋体" w:hAnsi="宋体" w:eastAsia="宋体" w:cs="宋体"/>
                <w:color w:val="auto"/>
                <w:spacing w:val="-2"/>
                <w:sz w:val="24"/>
                <w:szCs w:val="24"/>
                <w:highlight w:val="none"/>
                <w:lang w:val="en-US" w:eastAsia="zh-CN"/>
              </w:rPr>
              <w:t>须</w:t>
            </w:r>
            <w:r>
              <w:rPr>
                <w:rFonts w:hint="eastAsia" w:ascii="宋体" w:hAnsi="宋体" w:eastAsia="宋体" w:cs="宋体"/>
                <w:color w:val="auto"/>
                <w:spacing w:val="-2"/>
                <w:sz w:val="24"/>
                <w:szCs w:val="24"/>
                <w:highlight w:val="none"/>
              </w:rPr>
              <w:t>加固，支车时不发生变形。车身上有支车标记。</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124719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73654637">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189F68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5</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C85260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车身颜色</w:t>
            </w:r>
          </w:p>
          <w:p w14:paraId="61E47DE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13"/>
                <w:sz w:val="24"/>
                <w:szCs w:val="24"/>
                <w:highlight w:val="none"/>
              </w:rPr>
            </w:pPr>
            <w:r>
              <w:rPr>
                <w:rFonts w:hint="eastAsia" w:ascii="宋体" w:hAnsi="宋体" w:eastAsia="宋体" w:cs="宋体"/>
                <w:color w:val="auto"/>
                <w:sz w:val="24"/>
                <w:szCs w:val="24"/>
                <w:highlight w:val="none"/>
              </w:rPr>
              <w:t>图案</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04628B8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5</w:t>
            </w:r>
            <w:r>
              <w:rPr>
                <w:rFonts w:hint="eastAsia" w:ascii="宋体" w:hAnsi="宋体" w:eastAsia="宋体" w:cs="宋体"/>
                <w:color w:val="auto"/>
                <w:spacing w:val="-2"/>
                <w:sz w:val="24"/>
                <w:szCs w:val="24"/>
                <w:highlight w:val="none"/>
              </w:rPr>
              <w:t>.1车身颜色及画面设计由生产方根据</w:t>
            </w:r>
            <w:r>
              <w:rPr>
                <w:rFonts w:hint="eastAsia" w:ascii="宋体" w:hAnsi="宋体" w:eastAsia="宋体" w:cs="宋体"/>
                <w:color w:val="auto"/>
                <w:spacing w:val="-2"/>
                <w:sz w:val="24"/>
                <w:szCs w:val="24"/>
                <w:highlight w:val="none"/>
                <w:lang w:eastAsia="zh-CN"/>
              </w:rPr>
              <w:t>采购人</w:t>
            </w:r>
            <w:r>
              <w:rPr>
                <w:rFonts w:hint="eastAsia" w:ascii="宋体" w:hAnsi="宋体" w:eastAsia="宋体" w:cs="宋体"/>
                <w:color w:val="auto"/>
                <w:spacing w:val="-2"/>
                <w:sz w:val="24"/>
                <w:szCs w:val="24"/>
                <w:highlight w:val="none"/>
              </w:rPr>
              <w:t>要求确定，以</w:t>
            </w:r>
            <w:r>
              <w:rPr>
                <w:rFonts w:hint="eastAsia" w:ascii="宋体" w:hAnsi="宋体" w:eastAsia="宋体" w:cs="宋体"/>
                <w:color w:val="auto"/>
                <w:spacing w:val="-2"/>
                <w:sz w:val="24"/>
                <w:szCs w:val="24"/>
                <w:highlight w:val="none"/>
                <w:lang w:eastAsia="zh-CN"/>
              </w:rPr>
              <w:t>采购人</w:t>
            </w:r>
            <w:r>
              <w:rPr>
                <w:rFonts w:hint="eastAsia" w:ascii="宋体" w:hAnsi="宋体" w:eastAsia="宋体" w:cs="宋体"/>
                <w:color w:val="auto"/>
                <w:spacing w:val="-2"/>
                <w:sz w:val="24"/>
                <w:szCs w:val="24"/>
                <w:highlight w:val="none"/>
              </w:rPr>
              <w:t>签字确认方案为准。</w:t>
            </w:r>
          </w:p>
          <w:p w14:paraId="242D287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5</w:t>
            </w:r>
            <w:r>
              <w:rPr>
                <w:rFonts w:hint="eastAsia" w:ascii="宋体" w:hAnsi="宋体" w:eastAsia="宋体" w:cs="宋体"/>
                <w:color w:val="auto"/>
                <w:spacing w:val="-2"/>
                <w:sz w:val="24"/>
                <w:szCs w:val="24"/>
                <w:highlight w:val="none"/>
              </w:rPr>
              <w:t>.2车身采用机器人喷涂作业。</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0817896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ACFAB0C">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30750BC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6</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4360335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投币箱</w:t>
            </w:r>
          </w:p>
          <w:p w14:paraId="43C7F49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刷卡机</w:t>
            </w:r>
          </w:p>
        </w:tc>
        <w:tc>
          <w:tcPr>
            <w:tcW w:w="6664" w:type="dxa"/>
            <w:tcBorders>
              <w:top w:val="single" w:color="000000" w:sz="4" w:space="0"/>
              <w:left w:val="single" w:color="auto" w:sz="4" w:space="0"/>
              <w:bottom w:val="single" w:color="000000" w:sz="4" w:space="0"/>
              <w:right w:val="single" w:color="auto" w:sz="4" w:space="0"/>
            </w:tcBorders>
            <w:noWrap w:val="0"/>
            <w:vAlign w:val="top"/>
          </w:tcPr>
          <w:p w14:paraId="51C561D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.1投币箱不锈钢壳体单班（胆）一机配三个电子内胆，跟原来车辆的内胆能互换，并使用同样的电子开胆器。</w:t>
            </w:r>
          </w:p>
          <w:p w14:paraId="5B0C720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.2刷卡机支持M1.CPU卡刷卡、移动支付等功能、兼容现有公交所有卡类型刷卡功能、支付宝扫码乘车功能、数据上传回收功能及现有数据处理报表。完成和公司现有IC卡平台无缝对接。</w:t>
            </w:r>
          </w:p>
          <w:p w14:paraId="0BB3A50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.3</w:t>
            </w:r>
            <w:r>
              <w:rPr>
                <w:rFonts w:hint="eastAsia" w:ascii="宋体" w:hAnsi="宋体" w:eastAsia="宋体" w:cs="宋体"/>
                <w:color w:val="auto"/>
                <w:spacing w:val="-2"/>
                <w:sz w:val="24"/>
                <w:szCs w:val="24"/>
                <w:highlight w:val="none"/>
                <w:lang w:val="en-US" w:eastAsia="zh-CN"/>
              </w:rPr>
              <w:t>本次招标需中标方</w:t>
            </w:r>
            <w:r>
              <w:rPr>
                <w:rFonts w:hint="eastAsia" w:ascii="宋体" w:hAnsi="宋体" w:eastAsia="宋体" w:cs="宋体"/>
                <w:color w:val="auto"/>
                <w:spacing w:val="-2"/>
                <w:sz w:val="24"/>
                <w:szCs w:val="24"/>
                <w:highlight w:val="none"/>
              </w:rPr>
              <w:t>提供刷卡机备机2台。</w:t>
            </w:r>
          </w:p>
          <w:p w14:paraId="5FE1DF7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.4中标单位需承诺对中标产品与原使用的电子产品（投币箱、刷卡机）无条件对接。</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F0DE4D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8CA753E">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E949EA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7</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7CEBCBA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消防设备</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28C4204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7</w:t>
            </w:r>
            <w:r>
              <w:rPr>
                <w:rFonts w:hint="eastAsia" w:ascii="宋体" w:hAnsi="宋体" w:eastAsia="宋体" w:cs="宋体"/>
                <w:color w:val="auto"/>
                <w:spacing w:val="-2"/>
                <w:sz w:val="24"/>
                <w:szCs w:val="24"/>
                <w:highlight w:val="none"/>
              </w:rPr>
              <w:t>.1</w:t>
            </w:r>
            <w:r>
              <w:rPr>
                <w:rFonts w:hint="eastAsia" w:ascii="宋体" w:hAnsi="宋体" w:eastAsia="宋体" w:cs="宋体"/>
                <w:color w:val="auto"/>
                <w:spacing w:val="-2"/>
                <w:sz w:val="24"/>
                <w:szCs w:val="24"/>
                <w:highlight w:val="none"/>
                <w:lang w:val="en-US" w:eastAsia="zh-CN"/>
              </w:rPr>
              <w:t>每车</w:t>
            </w:r>
            <w:r>
              <w:rPr>
                <w:rFonts w:hint="eastAsia" w:ascii="宋体" w:hAnsi="宋体" w:eastAsia="宋体" w:cs="宋体"/>
                <w:color w:val="auto"/>
                <w:spacing w:val="-2"/>
                <w:sz w:val="24"/>
                <w:szCs w:val="24"/>
                <w:highlight w:val="none"/>
              </w:rPr>
              <w:t>安装 2 个4</w:t>
            </w:r>
            <w:r>
              <w:rPr>
                <w:rFonts w:hint="eastAsia" w:ascii="宋体" w:hAnsi="宋体" w:eastAsia="宋体" w:cs="宋体"/>
                <w:color w:val="auto"/>
                <w:spacing w:val="-2"/>
                <w:sz w:val="24"/>
                <w:szCs w:val="24"/>
                <w:highlight w:val="none"/>
                <w:lang w:val="en-US" w:eastAsia="zh-CN"/>
              </w:rPr>
              <w:t>kg</w:t>
            </w:r>
            <w:r>
              <w:rPr>
                <w:rFonts w:hint="eastAsia" w:ascii="宋体" w:hAnsi="宋体" w:eastAsia="宋体" w:cs="宋体"/>
                <w:color w:val="auto"/>
                <w:spacing w:val="-2"/>
                <w:sz w:val="24"/>
                <w:szCs w:val="24"/>
                <w:highlight w:val="none"/>
              </w:rPr>
              <w:t>灭火器。灭火器应立放在车厢内的灭火器存放桶内，灭火器存放桶在车厢内的安装位置应不与乘客发生干扰，并且保证至少有一只方便驾驶员取用。</w:t>
            </w:r>
          </w:p>
          <w:p w14:paraId="0C0D8FA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b/>
                <w:bCs/>
                <w:color w:val="auto"/>
                <w:spacing w:val="-2"/>
                <w:sz w:val="24"/>
                <w:szCs w:val="24"/>
                <w:highlight w:val="none"/>
              </w:rPr>
              <w:t>5.1</w:t>
            </w:r>
            <w:r>
              <w:rPr>
                <w:rFonts w:hint="eastAsia" w:ascii="宋体" w:hAnsi="宋体" w:eastAsia="宋体" w:cs="宋体"/>
                <w:b/>
                <w:bCs/>
                <w:color w:val="auto"/>
                <w:spacing w:val="-2"/>
                <w:sz w:val="24"/>
                <w:szCs w:val="24"/>
                <w:highlight w:val="none"/>
                <w:lang w:val="en-US" w:eastAsia="zh-CN"/>
              </w:rPr>
              <w:t>7</w:t>
            </w:r>
            <w:r>
              <w:rPr>
                <w:rFonts w:hint="eastAsia" w:ascii="宋体" w:hAnsi="宋体" w:eastAsia="宋体" w:cs="宋体"/>
                <w:b/>
                <w:bCs/>
                <w:color w:val="auto"/>
                <w:spacing w:val="-2"/>
                <w:sz w:val="24"/>
                <w:szCs w:val="24"/>
                <w:highlight w:val="none"/>
              </w:rPr>
              <w:t>.2生产日期和交车保持一致（生产日期最多比车辆交付日期提前3个月）</w:t>
            </w:r>
            <w:r>
              <w:rPr>
                <w:rFonts w:hint="eastAsia" w:ascii="宋体" w:hAnsi="宋体" w:eastAsia="宋体" w:cs="宋体"/>
                <w:color w:val="auto"/>
                <w:spacing w:val="-2"/>
                <w:sz w:val="24"/>
                <w:szCs w:val="24"/>
                <w:highlight w:val="none"/>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649A0CC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73ADB2DE">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BEEA90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8</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28F1D1B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z w:val="24"/>
                <w:szCs w:val="24"/>
                <w:highlight w:val="none"/>
              </w:rPr>
              <w:t>易燃挥发物监测告警装置</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56553B4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8</w:t>
            </w:r>
            <w:r>
              <w:rPr>
                <w:rFonts w:hint="eastAsia" w:ascii="宋体" w:hAnsi="宋体" w:eastAsia="宋体" w:cs="宋体"/>
                <w:color w:val="auto"/>
                <w:spacing w:val="-2"/>
                <w:sz w:val="24"/>
                <w:szCs w:val="24"/>
                <w:highlight w:val="none"/>
              </w:rPr>
              <w:t>车厢内安装易燃挥发物监测告警装置，产品具有公安部安全与警用电子产品检验报告，EMC认证报告，ITF16949体系认证具备CAN总线通讯功能(三项认证报告均需提供复印件并加盖公章)选用监测、报警一体机系统，自带故障判断，离线自</w:t>
            </w:r>
            <w:r>
              <w:rPr>
                <w:rFonts w:hint="eastAsia" w:ascii="宋体" w:hAnsi="宋体" w:eastAsia="宋体" w:cs="宋体"/>
                <w:color w:val="auto"/>
                <w:spacing w:val="-2"/>
                <w:sz w:val="24"/>
                <w:szCs w:val="24"/>
                <w:highlight w:val="none"/>
                <w:lang w:val="en-US" w:eastAsia="zh-CN"/>
              </w:rPr>
              <w:t>动</w:t>
            </w:r>
            <w:r>
              <w:rPr>
                <w:rFonts w:hint="eastAsia" w:ascii="宋体" w:hAnsi="宋体" w:eastAsia="宋体" w:cs="宋体"/>
                <w:color w:val="auto"/>
                <w:spacing w:val="-2"/>
                <w:sz w:val="24"/>
                <w:szCs w:val="24"/>
                <w:highlight w:val="none"/>
              </w:rPr>
              <w:t>报警功能，系统分三级报警，响应时间小于等于3</w:t>
            </w:r>
            <w:r>
              <w:rPr>
                <w:rFonts w:hint="eastAsia" w:ascii="宋体" w:hAnsi="宋体" w:eastAsia="宋体" w:cs="宋体"/>
                <w:color w:val="auto"/>
                <w:spacing w:val="-2"/>
                <w:sz w:val="24"/>
                <w:szCs w:val="24"/>
                <w:highlight w:val="none"/>
                <w:lang w:val="en-US" w:eastAsia="zh-CN"/>
              </w:rPr>
              <w:t>s</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高级报警小于等于32</w:t>
            </w:r>
            <w:r>
              <w:rPr>
                <w:rFonts w:hint="eastAsia" w:ascii="宋体" w:hAnsi="宋体" w:eastAsia="宋体" w:cs="宋体"/>
                <w:color w:val="auto"/>
                <w:spacing w:val="-2"/>
                <w:sz w:val="24"/>
                <w:szCs w:val="24"/>
                <w:highlight w:val="none"/>
                <w:lang w:val="en-US" w:eastAsia="zh-CN"/>
              </w:rPr>
              <w:t>mg</w:t>
            </w:r>
            <w:r>
              <w:rPr>
                <w:rFonts w:hint="eastAsia" w:ascii="宋体" w:hAnsi="宋体" w:eastAsia="宋体" w:cs="宋体"/>
                <w:color w:val="auto"/>
                <w:spacing w:val="-2"/>
                <w:sz w:val="24"/>
                <w:szCs w:val="24"/>
                <w:highlight w:val="none"/>
              </w:rPr>
              <w:t>每立方米。</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052FC2D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p>
        </w:tc>
      </w:tr>
      <w:tr w14:paraId="13B05A03">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0573DDD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9</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A25CE2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9"/>
                <w:sz w:val="24"/>
                <w:szCs w:val="24"/>
                <w:highlight w:val="none"/>
              </w:rPr>
            </w:pPr>
            <w:r>
              <w:rPr>
                <w:rFonts w:hint="eastAsia" w:ascii="宋体" w:hAnsi="宋体" w:eastAsia="宋体" w:cs="宋体"/>
                <w:color w:val="auto"/>
                <w:spacing w:val="29"/>
                <w:sz w:val="24"/>
                <w:szCs w:val="24"/>
                <w:highlight w:val="none"/>
              </w:rPr>
              <w:t>工具箱</w:t>
            </w:r>
          </w:p>
          <w:p w14:paraId="4C9635D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9"/>
                <w:sz w:val="24"/>
                <w:szCs w:val="24"/>
                <w:highlight w:val="none"/>
              </w:rPr>
              <w:t>随</w:t>
            </w:r>
            <w:r>
              <w:rPr>
                <w:rFonts w:hint="eastAsia" w:ascii="宋体" w:hAnsi="宋体" w:eastAsia="宋体" w:cs="宋体"/>
                <w:color w:val="auto"/>
                <w:spacing w:val="24"/>
                <w:sz w:val="24"/>
                <w:szCs w:val="24"/>
                <w:highlight w:val="none"/>
              </w:rPr>
              <w:t>车工具</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1C88893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9.1</w:t>
            </w:r>
            <w:r>
              <w:rPr>
                <w:rFonts w:hint="eastAsia" w:ascii="宋体" w:hAnsi="宋体" w:eastAsia="宋体" w:cs="宋体"/>
                <w:color w:val="auto"/>
                <w:spacing w:val="-2"/>
                <w:sz w:val="24"/>
                <w:szCs w:val="24"/>
                <w:highlight w:val="none"/>
              </w:rPr>
              <w:t>在前轮罩后部或乘客单人座椅下安装一个工具杂物箱，制作精致，侧开门带锁。</w:t>
            </w:r>
          </w:p>
          <w:p w14:paraId="25C49DE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rPr>
              <w:t>5.1</w:t>
            </w:r>
            <w:r>
              <w:rPr>
                <w:rFonts w:hint="eastAsia" w:ascii="宋体" w:hAnsi="宋体" w:eastAsia="宋体" w:cs="宋体"/>
                <w:color w:val="auto"/>
                <w:spacing w:val="-2"/>
                <w:sz w:val="24"/>
                <w:szCs w:val="24"/>
                <w:highlight w:val="none"/>
                <w:lang w:val="en-US" w:eastAsia="zh-CN"/>
              </w:rPr>
              <w:t>9.2</w:t>
            </w:r>
            <w:r>
              <w:rPr>
                <w:rFonts w:hint="eastAsia" w:ascii="宋体" w:hAnsi="宋体" w:eastAsia="宋体" w:cs="宋体"/>
                <w:color w:val="auto"/>
                <w:spacing w:val="-2"/>
                <w:sz w:val="24"/>
                <w:szCs w:val="24"/>
                <w:highlight w:val="none"/>
              </w:rPr>
              <w:t>每车配备符合采购车型的专用维修工具（含常用梅花开口扳手和套筒工具各一套）</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三角警示牌及</w:t>
            </w:r>
            <w:r>
              <w:rPr>
                <w:rFonts w:hint="eastAsia" w:ascii="宋体" w:hAnsi="宋体" w:eastAsia="宋体" w:cs="宋体"/>
                <w:color w:val="auto"/>
                <w:spacing w:val="-2"/>
                <w:sz w:val="24"/>
                <w:szCs w:val="24"/>
                <w:highlight w:val="none"/>
                <w:lang w:eastAsia="zh-CN"/>
              </w:rPr>
              <w:t>反光背心</w:t>
            </w:r>
            <w:r>
              <w:rPr>
                <w:rFonts w:hint="eastAsia" w:ascii="宋体" w:hAnsi="宋体" w:eastAsia="宋体" w:cs="宋体"/>
                <w:color w:val="auto"/>
                <w:spacing w:val="-2"/>
                <w:sz w:val="24"/>
                <w:szCs w:val="24"/>
                <w:highlight w:val="none"/>
              </w:rPr>
              <w:t>一件</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停车楔（类同三角木）一套</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千斤顶一只。</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463BDF2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BE865B7">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4BB0B6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w:t>
            </w:r>
          </w:p>
        </w:tc>
        <w:tc>
          <w:tcPr>
            <w:tcW w:w="8760" w:type="dxa"/>
            <w:gridSpan w:val="3"/>
            <w:tcBorders>
              <w:top w:val="single" w:color="000000" w:sz="4" w:space="0"/>
              <w:left w:val="single" w:color="000000" w:sz="4" w:space="0"/>
              <w:bottom w:val="single" w:color="000000" w:sz="4" w:space="0"/>
              <w:right w:val="single" w:color="000000" w:sz="4" w:space="0"/>
            </w:tcBorders>
            <w:noWrap w:val="0"/>
            <w:vAlign w:val="center"/>
          </w:tcPr>
          <w:p w14:paraId="5070DA8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both"/>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整车电器</w:t>
            </w:r>
          </w:p>
        </w:tc>
      </w:tr>
      <w:tr w14:paraId="0F5BF9E6">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0C843E3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6.1</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61CA9BE1">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9"/>
                <w:sz w:val="24"/>
                <w:szCs w:val="24"/>
                <w:highlight w:val="none"/>
              </w:rPr>
            </w:pPr>
            <w:r>
              <w:rPr>
                <w:rFonts w:hint="eastAsia" w:ascii="宋体" w:hAnsi="宋体" w:eastAsia="宋体" w:cs="宋体"/>
                <w:color w:val="auto"/>
                <w:spacing w:val="29"/>
                <w:sz w:val="24"/>
                <w:szCs w:val="24"/>
                <w:highlight w:val="none"/>
              </w:rPr>
              <w:t>蓄电池</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546DA6E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6.1.1免维护蓄电池安装应方便检查和维护</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容量120Ah</w:t>
            </w:r>
            <w:r>
              <w:rPr>
                <w:rFonts w:hint="eastAsia" w:ascii="宋体" w:hAnsi="宋体" w:eastAsia="宋体" w:cs="宋体"/>
                <w:color w:val="auto"/>
                <w:spacing w:val="-2"/>
                <w:sz w:val="24"/>
                <w:szCs w:val="24"/>
                <w:highlight w:val="none"/>
                <w:lang w:eastAsia="zh-CN"/>
              </w:rPr>
              <w:t>。</w:t>
            </w:r>
          </w:p>
          <w:p w14:paraId="700BE24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6.1.2蓄电池舱应与车厢隔开，并通风良好。</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7564DE9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98E0255">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09D00D2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6.2</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2AF395F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9"/>
                <w:sz w:val="24"/>
                <w:szCs w:val="24"/>
                <w:highlight w:val="none"/>
              </w:rPr>
            </w:pPr>
            <w:r>
              <w:rPr>
                <w:rFonts w:hint="eastAsia" w:ascii="宋体" w:hAnsi="宋体" w:eastAsia="宋体" w:cs="宋体"/>
                <w:color w:val="auto"/>
                <w:sz w:val="24"/>
                <w:szCs w:val="24"/>
                <w:highlight w:val="none"/>
              </w:rPr>
              <w:t>雨刮器</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2C57847A">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6.2采用间歇、不小于150</w:t>
            </w:r>
            <w:r>
              <w:rPr>
                <w:rFonts w:hint="eastAsia" w:ascii="宋体" w:hAnsi="宋体" w:eastAsia="宋体" w:cs="宋体"/>
                <w:color w:val="auto"/>
                <w:spacing w:val="-2"/>
                <w:sz w:val="24"/>
                <w:szCs w:val="24"/>
                <w:highlight w:val="none"/>
                <w:lang w:val="en-US" w:eastAsia="zh-CN"/>
              </w:rPr>
              <w:t>w</w:t>
            </w:r>
            <w:r>
              <w:rPr>
                <w:rFonts w:hint="eastAsia" w:ascii="宋体" w:hAnsi="宋体" w:eastAsia="宋体" w:cs="宋体"/>
                <w:color w:val="auto"/>
                <w:spacing w:val="-2"/>
                <w:sz w:val="24"/>
                <w:szCs w:val="24"/>
                <w:highlight w:val="none"/>
              </w:rPr>
              <w:t>双速对刮式雨刮器，带喷水装置。雨刮片长度和刮雨角度符合要求。</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28CE99D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2E2F06F0">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auto" w:sz="4" w:space="0"/>
              <w:right w:val="single" w:color="000000" w:sz="4" w:space="0"/>
            </w:tcBorders>
            <w:noWrap w:val="0"/>
            <w:vAlign w:val="center"/>
          </w:tcPr>
          <w:p w14:paraId="7AACB252">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6.3</w:t>
            </w:r>
          </w:p>
        </w:tc>
        <w:tc>
          <w:tcPr>
            <w:tcW w:w="1387" w:type="dxa"/>
            <w:tcBorders>
              <w:top w:val="single" w:color="000000" w:sz="4" w:space="0"/>
              <w:left w:val="single" w:color="000000" w:sz="4" w:space="0"/>
              <w:bottom w:val="single" w:color="auto" w:sz="4" w:space="0"/>
              <w:right w:val="single" w:color="auto" w:sz="4" w:space="0"/>
            </w:tcBorders>
            <w:noWrap w:val="0"/>
            <w:vAlign w:val="center"/>
          </w:tcPr>
          <w:p w14:paraId="2F92B4B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灯具</w:t>
            </w:r>
          </w:p>
        </w:tc>
        <w:tc>
          <w:tcPr>
            <w:tcW w:w="6664" w:type="dxa"/>
            <w:tcBorders>
              <w:top w:val="single" w:color="000000" w:sz="4" w:space="0"/>
              <w:left w:val="single" w:color="auto" w:sz="4" w:space="0"/>
              <w:bottom w:val="single" w:color="auto" w:sz="4" w:space="0"/>
              <w:right w:val="single" w:color="auto" w:sz="4" w:space="0"/>
            </w:tcBorders>
            <w:noWrap w:val="0"/>
            <w:vAlign w:val="center"/>
          </w:tcPr>
          <w:p w14:paraId="4BFCDFD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6.3设计合理，固定可靠。前大灯面罩使用期内不变色、龟裂</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大灯亮度必须符合国标及上牌要求。</w:t>
            </w:r>
          </w:p>
        </w:tc>
        <w:tc>
          <w:tcPr>
            <w:tcW w:w="709" w:type="dxa"/>
            <w:tcBorders>
              <w:top w:val="single" w:color="000000" w:sz="4" w:space="0"/>
              <w:left w:val="single" w:color="auto" w:sz="4" w:space="0"/>
              <w:bottom w:val="single" w:color="auto" w:sz="4" w:space="0"/>
              <w:right w:val="single" w:color="000000" w:sz="4" w:space="0"/>
            </w:tcBorders>
            <w:noWrap w:val="0"/>
            <w:vAlign w:val="center"/>
          </w:tcPr>
          <w:p w14:paraId="7D576E6F">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D6210F9">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5F2C136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6.4</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037931C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空调</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5A15F86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6.4.1最大制冷量：不小于</w:t>
            </w:r>
            <w:r>
              <w:rPr>
                <w:rFonts w:hint="eastAsia" w:ascii="宋体" w:hAnsi="宋体" w:eastAsia="宋体" w:cs="宋体"/>
                <w:b/>
                <w:bCs/>
                <w:color w:val="auto"/>
                <w:spacing w:val="-2"/>
                <w:sz w:val="24"/>
                <w:szCs w:val="24"/>
                <w:highlight w:val="none"/>
                <w:lang w:val="en-US" w:eastAsia="zh-CN"/>
              </w:rPr>
              <w:t>15</w:t>
            </w:r>
            <w:r>
              <w:rPr>
                <w:rFonts w:hint="eastAsia" w:ascii="宋体" w:hAnsi="宋体" w:eastAsia="宋体" w:cs="宋体"/>
                <w:b/>
                <w:bCs/>
                <w:color w:val="auto"/>
                <w:spacing w:val="-2"/>
                <w:sz w:val="24"/>
                <w:szCs w:val="24"/>
                <w:highlight w:val="none"/>
              </w:rPr>
              <w:t>000kcal/h</w:t>
            </w:r>
            <w:r>
              <w:rPr>
                <w:rFonts w:hint="eastAsia" w:ascii="宋体" w:hAnsi="宋体" w:eastAsia="宋体" w:cs="宋体"/>
                <w:color w:val="auto"/>
                <w:spacing w:val="-2"/>
                <w:sz w:val="24"/>
                <w:szCs w:val="24"/>
                <w:highlight w:val="none"/>
                <w:lang w:eastAsia="zh-CN"/>
              </w:rPr>
              <w:t>。</w:t>
            </w:r>
          </w:p>
          <w:p w14:paraId="7BEE272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6.4.2配备冷暖空调；采用变频涡旋压缩机，进口无刷风机，冷凝器、蒸发器采用铜质芯体。</w:t>
            </w:r>
          </w:p>
          <w:p w14:paraId="09D2FB4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6.4.3冷气风道内表面及风道检修门反面要张贴带塑胶表面的隔热棉防止结露。</w:t>
            </w:r>
            <w:r>
              <w:rPr>
                <w:rFonts w:hint="eastAsia" w:ascii="宋体" w:hAnsi="宋体" w:eastAsia="宋体" w:cs="宋体"/>
                <w:color w:val="auto"/>
                <w:spacing w:val="-2"/>
                <w:sz w:val="24"/>
                <w:szCs w:val="24"/>
                <w:highlight w:val="none"/>
                <w:lang w:val="en-US" w:eastAsia="zh-CN"/>
              </w:rPr>
              <w:t>系</w:t>
            </w:r>
            <w:r>
              <w:rPr>
                <w:rFonts w:hint="eastAsia" w:ascii="宋体" w:hAnsi="宋体" w:eastAsia="宋体" w:cs="宋体"/>
                <w:color w:val="auto"/>
                <w:spacing w:val="-2"/>
                <w:sz w:val="24"/>
                <w:szCs w:val="24"/>
                <w:highlight w:val="none"/>
              </w:rPr>
              <w:t>统的管路及电路同侧布</w:t>
            </w:r>
            <w:r>
              <w:rPr>
                <w:rFonts w:hint="eastAsia" w:ascii="宋体" w:hAnsi="宋体" w:eastAsia="宋体" w:cs="宋体"/>
                <w:color w:val="auto"/>
                <w:spacing w:val="-2"/>
                <w:sz w:val="24"/>
                <w:szCs w:val="24"/>
                <w:highlight w:val="none"/>
                <w:lang w:val="en-US" w:eastAsia="zh-CN"/>
              </w:rPr>
              <w:t>置</w:t>
            </w:r>
            <w:r>
              <w:rPr>
                <w:rFonts w:hint="eastAsia" w:ascii="宋体" w:hAnsi="宋体" w:eastAsia="宋体" w:cs="宋体"/>
                <w:color w:val="auto"/>
                <w:spacing w:val="-2"/>
                <w:sz w:val="24"/>
                <w:szCs w:val="24"/>
                <w:highlight w:val="none"/>
              </w:rPr>
              <w:t>安放；电气线路要与车辆的电气线路各自包扎与安装布置，电路、电器有效保护，防止冒烟着火事故。</w:t>
            </w:r>
          </w:p>
          <w:p w14:paraId="0BA5044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6.4.4空调系统 冷气管道、风道、通风槽、出风口的密封性、隔热性及可靠性等必须经空调机生产厂</w:t>
            </w:r>
            <w:r>
              <w:rPr>
                <w:rFonts w:hint="eastAsia" w:ascii="宋体" w:hAnsi="宋体" w:eastAsia="宋体" w:cs="宋体"/>
                <w:color w:val="auto"/>
                <w:spacing w:val="-2"/>
                <w:sz w:val="24"/>
                <w:szCs w:val="24"/>
                <w:highlight w:val="none"/>
                <w:lang w:val="en-US" w:eastAsia="zh-CN"/>
              </w:rPr>
              <w:t>家</w:t>
            </w:r>
            <w:r>
              <w:rPr>
                <w:rFonts w:hint="eastAsia" w:ascii="宋体" w:hAnsi="宋体" w:eastAsia="宋体" w:cs="宋体"/>
                <w:color w:val="auto"/>
                <w:spacing w:val="-2"/>
                <w:sz w:val="24"/>
                <w:szCs w:val="24"/>
                <w:highlight w:val="none"/>
              </w:rPr>
              <w:t>技术确认；管道和风道不应出现冒水及冒雾，管道和风道不应出现振响及振裂，风道不应出现冷气前后不均匀等现象。</w:t>
            </w:r>
          </w:p>
          <w:p w14:paraId="5BED9DB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6.4.5在空调系统冷气管道接口处，应留有检修门，并采用旋钮锁紧。</w:t>
            </w:r>
          </w:p>
          <w:p w14:paraId="48EA0FB6">
            <w:pPr>
              <w:keepNext w:val="0"/>
              <w:keepLines w:val="0"/>
              <w:pageBreakBefore w:val="0"/>
              <w:kinsoku/>
              <w:wordWrap/>
              <w:overflowPunct/>
              <w:topLinePunct w:val="0"/>
              <w:autoSpaceDE/>
              <w:autoSpaceDN/>
              <w:bidi w:val="0"/>
              <w:snapToGrid/>
              <w:spacing w:line="490" w:lineRule="exact"/>
              <w:ind w:left="0" w:leftChars="0" w:right="0" w:rightChars="0" w:firstLine="0" w:firstLineChars="0"/>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6.4.6车载空调整机质保期8年，并承诺快速服务4小时内到达现场，每年免费对空调系统进行1次开机前维检。</w:t>
            </w:r>
          </w:p>
          <w:p w14:paraId="3681AF1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6.4.7驾驶区域增加</w:t>
            </w:r>
            <w:r>
              <w:rPr>
                <w:rFonts w:hint="eastAsia" w:ascii="宋体" w:hAnsi="宋体" w:eastAsia="宋体" w:cs="宋体"/>
                <w:color w:val="auto"/>
                <w:spacing w:val="-2"/>
                <w:sz w:val="24"/>
                <w:szCs w:val="24"/>
                <w:highlight w:val="none"/>
                <w:lang w:val="en-US" w:eastAsia="zh-CN"/>
              </w:rPr>
              <w:t>冷风</w:t>
            </w:r>
            <w:r>
              <w:rPr>
                <w:rFonts w:hint="eastAsia" w:ascii="宋体" w:hAnsi="宋体" w:eastAsia="宋体" w:cs="宋体"/>
                <w:color w:val="auto"/>
                <w:spacing w:val="-2"/>
                <w:sz w:val="24"/>
                <w:szCs w:val="24"/>
                <w:highlight w:val="none"/>
              </w:rPr>
              <w:t>出风口数量，保证足够出风量。</w:t>
            </w:r>
          </w:p>
          <w:p w14:paraId="7A6D7E98">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6.4.8驾驶员脚部处增设一个取暖出风口。</w:t>
            </w:r>
          </w:p>
          <w:p w14:paraId="123D9E4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6.4.9前挡风玻璃处安装大功率除霜机。</w:t>
            </w:r>
          </w:p>
          <w:p w14:paraId="22F6D8AB">
            <w:pPr>
              <w:keepNext w:val="0"/>
              <w:keepLines w:val="0"/>
              <w:pageBreakBefore w:val="0"/>
              <w:kinsoku/>
              <w:wordWrap/>
              <w:overflowPunct/>
              <w:topLinePunct w:val="0"/>
              <w:autoSpaceDE/>
              <w:autoSpaceDN/>
              <w:bidi w:val="0"/>
              <w:snapToGrid/>
              <w:spacing w:line="490" w:lineRule="exact"/>
              <w:ind w:left="0" w:leftChars="0" w:right="0" w:rightChars="0" w:firstLine="0" w:firstLineChars="0"/>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6.4.10车顶防漏质保期8年，投标者为责任人</w:t>
            </w:r>
            <w:r>
              <w:rPr>
                <w:rFonts w:hint="eastAsia" w:ascii="宋体" w:hAnsi="宋体" w:eastAsia="宋体" w:cs="宋体"/>
                <w:color w:val="auto"/>
                <w:spacing w:val="-2"/>
                <w:sz w:val="24"/>
                <w:szCs w:val="24"/>
                <w:highlight w:val="none"/>
                <w:lang w:eastAsia="zh-CN"/>
              </w:rPr>
              <w:t>。</w:t>
            </w:r>
          </w:p>
          <w:p w14:paraId="6816A6D0">
            <w:pPr>
              <w:keepNext w:val="0"/>
              <w:keepLines w:val="0"/>
              <w:pageBreakBefore w:val="0"/>
              <w:kinsoku/>
              <w:wordWrap/>
              <w:overflowPunct/>
              <w:topLinePunct w:val="0"/>
              <w:autoSpaceDE/>
              <w:autoSpaceDN/>
              <w:bidi w:val="0"/>
              <w:snapToGrid/>
              <w:spacing w:line="490" w:lineRule="exact"/>
              <w:ind w:left="0" w:leftChars="0" w:right="0" w:rightChars="0" w:firstLine="0" w:firstLineChars="0"/>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推荐品牌：松芝、冷王、广州精益</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77E1DF76">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5130C0E7">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17790BC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w:t>
            </w:r>
          </w:p>
        </w:tc>
        <w:tc>
          <w:tcPr>
            <w:tcW w:w="8760" w:type="dxa"/>
            <w:gridSpan w:val="3"/>
            <w:tcBorders>
              <w:top w:val="single" w:color="auto" w:sz="4" w:space="0"/>
              <w:left w:val="single" w:color="auto" w:sz="4" w:space="0"/>
              <w:bottom w:val="single" w:color="auto" w:sz="4" w:space="0"/>
              <w:right w:val="single" w:color="auto" w:sz="4" w:space="0"/>
            </w:tcBorders>
            <w:noWrap w:val="0"/>
            <w:vAlign w:val="center"/>
          </w:tcPr>
          <w:p w14:paraId="35CE8D4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both"/>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电子设备</w:t>
            </w:r>
          </w:p>
        </w:tc>
      </w:tr>
      <w:tr w14:paraId="0EEF3E92">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24F09A2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7.1</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1C0CD949">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13"/>
                <w:sz w:val="24"/>
                <w:szCs w:val="24"/>
                <w:highlight w:val="none"/>
              </w:rPr>
              <w:t>智能调度行车记录仪</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670F041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7.1.1与现有智能调度系统匹配，监控系统需能接入采购人车辆监控后台。安装调度终端(4G全网通)实现GPS定位、自动报站功能、无线通讯，实时多任务处理、语音播报、TTS报读、外设通讯。带5个以上摄像头，有一键报警功能，配2T硬盘并与现有调度系统无缝对接。</w:t>
            </w:r>
          </w:p>
          <w:p w14:paraId="3A4759E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7.1.2一体机的液晶屏监视器安装位置</w:t>
            </w:r>
            <w:r>
              <w:rPr>
                <w:rFonts w:hint="eastAsia" w:ascii="宋体" w:hAnsi="宋体" w:eastAsia="宋体" w:cs="宋体"/>
                <w:color w:val="auto"/>
                <w:spacing w:val="-2"/>
                <w:sz w:val="24"/>
                <w:szCs w:val="24"/>
                <w:highlight w:val="none"/>
                <w:lang w:val="en-US" w:eastAsia="zh-CN"/>
              </w:rPr>
              <w:t>须</w:t>
            </w:r>
            <w:r>
              <w:rPr>
                <w:rFonts w:hint="eastAsia" w:ascii="宋体" w:hAnsi="宋体" w:eastAsia="宋体" w:cs="宋体"/>
                <w:color w:val="auto"/>
                <w:spacing w:val="-2"/>
                <w:sz w:val="24"/>
                <w:szCs w:val="24"/>
                <w:highlight w:val="none"/>
              </w:rPr>
              <w:t>方便驾驶员观察</w:t>
            </w:r>
            <w:r>
              <w:rPr>
                <w:rFonts w:hint="eastAsia" w:ascii="宋体" w:hAnsi="宋体" w:eastAsia="宋体" w:cs="宋体"/>
                <w:color w:val="auto"/>
                <w:spacing w:val="-2"/>
                <w:sz w:val="24"/>
                <w:szCs w:val="24"/>
                <w:highlight w:val="none"/>
                <w:lang w:val="en-US" w:eastAsia="zh-CN"/>
              </w:rPr>
              <w:t>和</w:t>
            </w:r>
            <w:r>
              <w:rPr>
                <w:rFonts w:hint="eastAsia" w:ascii="宋体" w:hAnsi="宋体" w:eastAsia="宋体" w:cs="宋体"/>
                <w:color w:val="auto"/>
                <w:spacing w:val="-2"/>
                <w:sz w:val="24"/>
                <w:szCs w:val="24"/>
                <w:highlight w:val="none"/>
              </w:rPr>
              <w:t>操作。</w:t>
            </w:r>
          </w:p>
          <w:p w14:paraId="4388796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7.1.3并与CAN总线相衔接，将CAN线采集相关数据信息在后台智能调度系统中予以显示并存储。</w:t>
            </w:r>
          </w:p>
          <w:p w14:paraId="62A48FA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7.1.4倒车显示屏，配7寸彩色屏带2路摄像头(下客门、倒车)，安装于仪表台上。</w:t>
            </w:r>
          </w:p>
          <w:p w14:paraId="2E3F54E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7.1.5行车记录仪安装于驾驶室。通过该设备可以把车辆的位置信息</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行驶速度、告警信息等通过无线通讯网络传送给监控中心</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使监控中心实时掌握车辆栋位置、速度、告警及各种状态</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从而有效实现对车辆的监控和管理。</w:t>
            </w:r>
          </w:p>
          <w:p w14:paraId="3CD3D48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7.1.6</w:t>
            </w:r>
            <w:r>
              <w:rPr>
                <w:rFonts w:hint="eastAsia" w:ascii="宋体" w:hAnsi="宋体" w:eastAsia="宋体" w:cs="宋体"/>
                <w:color w:val="auto"/>
                <w:spacing w:val="-2"/>
                <w:sz w:val="24"/>
                <w:szCs w:val="24"/>
                <w:highlight w:val="none"/>
                <w:lang w:val="en-US" w:eastAsia="zh-CN"/>
              </w:rPr>
              <w:t>本次招标需中标人</w:t>
            </w:r>
            <w:r>
              <w:rPr>
                <w:rFonts w:hint="eastAsia" w:ascii="宋体" w:hAnsi="宋体" w:eastAsia="宋体" w:cs="宋体"/>
                <w:color w:val="auto"/>
                <w:spacing w:val="-2"/>
                <w:sz w:val="24"/>
                <w:szCs w:val="24"/>
                <w:highlight w:val="none"/>
              </w:rPr>
              <w:t>提供备机2台。</w:t>
            </w:r>
          </w:p>
          <w:p w14:paraId="7AD92D6A">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7.1.7中标</w:t>
            </w:r>
            <w:r>
              <w:rPr>
                <w:rFonts w:hint="eastAsia" w:ascii="宋体" w:hAnsi="宋体" w:eastAsia="宋体" w:cs="宋体"/>
                <w:color w:val="auto"/>
                <w:spacing w:val="-2"/>
                <w:sz w:val="24"/>
                <w:szCs w:val="24"/>
                <w:highlight w:val="none"/>
                <w:lang w:val="en-US" w:eastAsia="zh-CN"/>
              </w:rPr>
              <w:t>人</w:t>
            </w:r>
            <w:r>
              <w:rPr>
                <w:rFonts w:hint="eastAsia" w:ascii="宋体" w:hAnsi="宋体" w:eastAsia="宋体" w:cs="宋体"/>
                <w:color w:val="auto"/>
                <w:spacing w:val="-2"/>
                <w:sz w:val="24"/>
                <w:szCs w:val="24"/>
                <w:highlight w:val="none"/>
              </w:rPr>
              <w:t>需承诺对中标产品与原使用的电子产品(智能调度、行车记录仪)</w:t>
            </w:r>
            <w:r>
              <w:rPr>
                <w:rFonts w:hint="eastAsia" w:ascii="宋体" w:hAnsi="宋体" w:eastAsia="宋体" w:cs="宋体"/>
                <w:color w:val="auto"/>
                <w:spacing w:val="-2"/>
                <w:sz w:val="24"/>
                <w:szCs w:val="24"/>
                <w:highlight w:val="none"/>
                <w:lang w:val="en-US" w:eastAsia="zh-CN"/>
              </w:rPr>
              <w:t>使用相同的软件和平台并实现无条件匹配</w:t>
            </w:r>
            <w:r>
              <w:rPr>
                <w:rFonts w:hint="eastAsia" w:ascii="宋体" w:hAnsi="宋体" w:eastAsia="宋体" w:cs="宋体"/>
                <w:color w:val="auto"/>
                <w:spacing w:val="-2"/>
                <w:sz w:val="24"/>
                <w:szCs w:val="24"/>
                <w:highlight w:val="none"/>
              </w:rPr>
              <w:t>。</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F23795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04403B05">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7A475F58">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7.2</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6F37802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驾驶安全辅助系统</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7F2288FA">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7.2.1能够与现有车载监控厂家对接通过4G 网络上传给平台。</w:t>
            </w:r>
          </w:p>
          <w:p w14:paraId="644D124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7.2.2符合道路运输车辆智能视频监控报警装置技术规范（需提供相应文件副本</w:t>
            </w:r>
            <w:r>
              <w:rPr>
                <w:rFonts w:hint="eastAsia" w:ascii="宋体" w:hAnsi="宋体" w:eastAsia="宋体" w:cs="宋体"/>
                <w:color w:val="auto"/>
                <w:spacing w:val="-2"/>
                <w:sz w:val="24"/>
                <w:szCs w:val="24"/>
                <w:highlight w:val="none"/>
                <w:lang w:val="en-US" w:eastAsia="zh-CN"/>
              </w:rPr>
              <w:t>材料</w:t>
            </w:r>
            <w:r>
              <w:rPr>
                <w:rFonts w:hint="eastAsia" w:ascii="宋体" w:hAnsi="宋体" w:eastAsia="宋体" w:cs="宋体"/>
                <w:color w:val="auto"/>
                <w:spacing w:val="-2"/>
                <w:sz w:val="24"/>
                <w:szCs w:val="24"/>
                <w:highlight w:val="none"/>
              </w:rPr>
              <w:t>）</w:t>
            </w:r>
          </w:p>
          <w:p w14:paraId="0C2CCDC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7.2.3中标单位需承诺对中标产品与原使用的电子产品(驾驶安全辅助系统)</w:t>
            </w:r>
            <w:r>
              <w:rPr>
                <w:rFonts w:hint="eastAsia" w:ascii="宋体" w:hAnsi="宋体" w:eastAsia="宋体" w:cs="宋体"/>
                <w:color w:val="auto"/>
                <w:spacing w:val="-2"/>
                <w:sz w:val="24"/>
                <w:szCs w:val="24"/>
                <w:highlight w:val="none"/>
                <w:lang w:val="en-US" w:eastAsia="zh-CN"/>
              </w:rPr>
              <w:t>使用相同的软件和平台并实现无条件匹配</w:t>
            </w:r>
            <w:r>
              <w:rPr>
                <w:rFonts w:hint="eastAsia" w:ascii="宋体" w:hAnsi="宋体" w:eastAsia="宋体" w:cs="宋体"/>
                <w:color w:val="auto"/>
                <w:spacing w:val="-2"/>
                <w:sz w:val="24"/>
                <w:szCs w:val="24"/>
                <w:highlight w:val="none"/>
              </w:rPr>
              <w:t>。</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0B6439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textAlignment w:val="auto"/>
              <w:outlineLvl w:val="9"/>
              <w:rPr>
                <w:rFonts w:hint="eastAsia" w:ascii="宋体" w:hAnsi="宋体" w:eastAsia="宋体" w:cs="宋体"/>
                <w:color w:val="auto"/>
                <w:sz w:val="24"/>
                <w:szCs w:val="24"/>
                <w:highlight w:val="none"/>
              </w:rPr>
            </w:pPr>
          </w:p>
        </w:tc>
      </w:tr>
      <w:tr w14:paraId="58FFD021">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3D0F54B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7.3</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3FE31B4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3"/>
                <w:sz w:val="24"/>
                <w:szCs w:val="24"/>
                <w:highlight w:val="none"/>
              </w:rPr>
            </w:pPr>
            <w:r>
              <w:rPr>
                <w:rFonts w:hint="eastAsia" w:ascii="宋体" w:hAnsi="宋体" w:eastAsia="宋体" w:cs="宋体"/>
                <w:color w:val="auto"/>
                <w:spacing w:val="-5"/>
                <w:sz w:val="24"/>
                <w:szCs w:val="24"/>
                <w:highlight w:val="none"/>
              </w:rPr>
              <w:t>液晶显示屏</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1367A6E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7.3广告视频确保安全可靠，电源从主配电板单独接入，并独立安装保险丝，电视机及相关设备由车厂统一安装。配19寸液晶显示屏。</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067523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B967E3D">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1C71FE0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7.4</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24C4AF4E">
            <w:pPr>
              <w:keepNext w:val="0"/>
              <w:keepLines w:val="0"/>
              <w:pageBreakBefore w:val="0"/>
              <w:widowControl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5"/>
                <w:sz w:val="24"/>
                <w:szCs w:val="24"/>
                <w:highlight w:val="none"/>
              </w:rPr>
            </w:pPr>
            <w:r>
              <w:rPr>
                <w:rFonts w:hint="eastAsia" w:ascii="宋体" w:hAnsi="宋体" w:eastAsia="宋体" w:cs="宋体"/>
                <w:color w:val="auto"/>
                <w:spacing w:val="-2"/>
                <w:sz w:val="24"/>
                <w:szCs w:val="24"/>
                <w:highlight w:val="none"/>
              </w:rPr>
              <w:t>LED流动显示路牌</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2C6181F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7.4.1</w:t>
            </w:r>
            <w:r>
              <w:rPr>
                <w:rFonts w:hint="eastAsia" w:ascii="宋体" w:hAnsi="宋体" w:eastAsia="宋体" w:cs="宋体"/>
                <w:color w:val="auto"/>
                <w:spacing w:val="-2"/>
                <w:sz w:val="24"/>
                <w:szCs w:val="24"/>
                <w:highlight w:val="none"/>
                <w:lang w:val="en-US" w:eastAsia="zh-CN"/>
              </w:rPr>
              <w:t xml:space="preserve"> 嵌入式</w:t>
            </w:r>
            <w:r>
              <w:rPr>
                <w:rFonts w:hint="eastAsia" w:ascii="宋体" w:hAnsi="宋体" w:eastAsia="宋体" w:cs="宋体"/>
                <w:color w:val="auto"/>
                <w:spacing w:val="-2"/>
                <w:sz w:val="24"/>
                <w:szCs w:val="24"/>
                <w:highlight w:val="none"/>
              </w:rPr>
              <w:t>LED 路牌，前、后、侧叁块。路牌具体要求中标后与采购人对接。</w:t>
            </w:r>
          </w:p>
          <w:p w14:paraId="452C0FD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7.4.2车内LED滚动显示屏（要求新软件）1 块，线路信号与智能调度一体机连接。尺寸标准及要求由公交车厂与厂家对接。</w:t>
            </w:r>
          </w:p>
          <w:p w14:paraId="1943F26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7.4.3车内导乘牌</w:t>
            </w:r>
          </w:p>
          <w:p w14:paraId="1FFED4E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7.4.4 LED路牌车内滚动显示屏和</w:t>
            </w:r>
            <w:r>
              <w:rPr>
                <w:rFonts w:hint="eastAsia" w:ascii="宋体" w:hAnsi="宋体" w:eastAsia="宋体" w:cs="宋体"/>
                <w:color w:val="auto"/>
                <w:spacing w:val="-2"/>
                <w:sz w:val="24"/>
                <w:szCs w:val="24"/>
                <w:highlight w:val="none"/>
              </w:rPr>
              <w:t>车内导乘牌</w:t>
            </w:r>
            <w:r>
              <w:rPr>
                <w:rFonts w:hint="eastAsia" w:ascii="宋体" w:hAnsi="宋体" w:eastAsia="宋体" w:cs="宋体"/>
                <w:color w:val="auto"/>
                <w:spacing w:val="-2"/>
                <w:sz w:val="24"/>
                <w:szCs w:val="24"/>
                <w:highlight w:val="none"/>
                <w:lang w:val="en-US" w:eastAsia="zh-CN"/>
              </w:rPr>
              <w:t>质保期8年。</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44F3FE70">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4515D9DA">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2725351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7.5</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2654749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胎压监测</w:t>
            </w:r>
          </w:p>
          <w:p w14:paraId="35547F8B">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rPr>
              <w:t>系统</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1ABAA16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w:t>
            </w:r>
            <w:r>
              <w:rPr>
                <w:rFonts w:hint="eastAsia" w:ascii="宋体" w:hAnsi="宋体" w:eastAsia="宋体" w:cs="宋体"/>
                <w:color w:val="auto"/>
                <w:spacing w:val="-2"/>
                <w:sz w:val="24"/>
                <w:szCs w:val="24"/>
                <w:highlight w:val="none"/>
                <w:lang w:val="en-US" w:eastAsia="zh-CN"/>
              </w:rPr>
              <w:t>5</w:t>
            </w:r>
            <w:r>
              <w:rPr>
                <w:rFonts w:hint="eastAsia" w:ascii="宋体" w:hAnsi="宋体" w:eastAsia="宋体" w:cs="宋体"/>
                <w:color w:val="auto"/>
                <w:spacing w:val="-2"/>
                <w:sz w:val="24"/>
                <w:szCs w:val="24"/>
                <w:highlight w:val="none"/>
              </w:rPr>
              <w:t>胎压监测系统(TPMS)配6个捆绑式传感器无线传输数据，具有低压报警，超压报警，漏气报警，以及高温报警。</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21DF6A3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E9C023A">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7A23523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7.6</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0FDFB54E">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主动安全系</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6F7E8BF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.1车载一体机支持灾备存储单元接入，智能分析设备接口，具有驾驶员行为分析功能</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与公交公司现有系统可以无缝对接；需具备以下功能:</w:t>
            </w:r>
            <w:r>
              <w:rPr>
                <w:rFonts w:hint="eastAsia" w:ascii="宋体" w:hAnsi="宋体" w:eastAsia="宋体" w:cs="宋体"/>
                <w:color w:val="auto"/>
                <w:spacing w:val="-2"/>
                <w:sz w:val="24"/>
                <w:szCs w:val="24"/>
                <w:highlight w:val="none"/>
                <w:lang w:val="en-US" w:eastAsia="zh-CN"/>
              </w:rPr>
              <w:t>向前</w:t>
            </w:r>
            <w:r>
              <w:rPr>
                <w:rFonts w:hint="eastAsia" w:ascii="宋体" w:hAnsi="宋体" w:eastAsia="宋体" w:cs="宋体"/>
                <w:color w:val="auto"/>
                <w:spacing w:val="-2"/>
                <w:sz w:val="24"/>
                <w:szCs w:val="24"/>
                <w:highlight w:val="none"/>
              </w:rPr>
              <w:t>碰撞预警、车道偏离预警、吸烟预警</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接打电话预警、分心驾驶预警、疲劳驾驶预警，并在厂家技术人员指导下安装。</w:t>
            </w:r>
          </w:p>
          <w:p w14:paraId="0CF1196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7.</w:t>
            </w:r>
            <w:r>
              <w:rPr>
                <w:rFonts w:hint="eastAsia" w:ascii="宋体" w:hAnsi="宋体" w:eastAsia="宋体"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.2中标单位需承诺对中标产品与原使用的电子产品用相同的软硬件并实现无条件对接。</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C4F8BC5">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66418EE9">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5D24B50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7.7</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3B563B4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360全景</w:t>
            </w:r>
          </w:p>
          <w:p w14:paraId="43014F8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环视系统</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2582A38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val="en-US" w:eastAsia="zh-CN"/>
              </w:rPr>
              <w:t>7.7.1</w:t>
            </w:r>
            <w:r>
              <w:rPr>
                <w:rFonts w:hint="eastAsia" w:ascii="宋体" w:hAnsi="宋体" w:eastAsia="宋体" w:cs="宋体"/>
                <w:color w:val="auto"/>
                <w:spacing w:val="-2"/>
                <w:sz w:val="24"/>
                <w:szCs w:val="24"/>
                <w:highlight w:val="none"/>
              </w:rPr>
              <w:t>开机反应时间≤2s</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系统延时小于60ms</w:t>
            </w:r>
            <w:r>
              <w:rPr>
                <w:rFonts w:hint="eastAsia" w:ascii="宋体" w:hAnsi="宋体" w:eastAsia="宋体" w:cs="宋体"/>
                <w:color w:val="auto"/>
                <w:spacing w:val="-2"/>
                <w:sz w:val="24"/>
                <w:szCs w:val="24"/>
                <w:highlight w:val="none"/>
                <w:lang w:eastAsia="zh-CN"/>
              </w:rPr>
              <w:t>。</w:t>
            </w:r>
          </w:p>
          <w:p w14:paraId="3112B61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lang w:val="en-US" w:eastAsia="zh-CN"/>
              </w:rPr>
              <w:t>7.7.2</w:t>
            </w:r>
            <w:r>
              <w:rPr>
                <w:rFonts w:hint="eastAsia" w:ascii="宋体" w:hAnsi="宋体" w:eastAsia="宋体" w:cs="宋体"/>
                <w:color w:val="auto"/>
                <w:spacing w:val="-2"/>
                <w:sz w:val="24"/>
                <w:szCs w:val="24"/>
                <w:highlight w:val="none"/>
              </w:rPr>
              <w:t>高感光数字摄像头</w:t>
            </w:r>
            <w:r>
              <w:rPr>
                <w:rFonts w:hint="eastAsia" w:ascii="宋体" w:hAnsi="宋体" w:eastAsia="宋体"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rPr>
              <w:t>颗，防</w:t>
            </w:r>
            <w:r>
              <w:rPr>
                <w:rFonts w:hint="eastAsia" w:ascii="宋体" w:hAnsi="宋体" w:eastAsia="宋体" w:cs="宋体"/>
                <w:color w:val="auto"/>
                <w:spacing w:val="-2"/>
                <w:sz w:val="24"/>
                <w:szCs w:val="24"/>
                <w:highlight w:val="none"/>
                <w:lang w:val="en-US" w:eastAsia="zh-CN"/>
              </w:rPr>
              <w:t>护</w:t>
            </w:r>
            <w:r>
              <w:rPr>
                <w:rFonts w:hint="eastAsia" w:ascii="宋体" w:hAnsi="宋体" w:eastAsia="宋体" w:cs="宋体"/>
                <w:color w:val="auto"/>
                <w:spacing w:val="-2"/>
                <w:sz w:val="24"/>
                <w:szCs w:val="24"/>
                <w:highlight w:val="none"/>
              </w:rPr>
              <w:t>等级≥IP68</w:t>
            </w:r>
            <w:r>
              <w:rPr>
                <w:rFonts w:hint="eastAsia" w:ascii="宋体" w:hAnsi="宋体" w:eastAsia="宋体" w:cs="宋体"/>
                <w:color w:val="auto"/>
                <w:spacing w:val="-2"/>
                <w:sz w:val="24"/>
                <w:szCs w:val="24"/>
                <w:highlight w:val="none"/>
                <w:lang w:eastAsia="zh-CN"/>
              </w:rPr>
              <w:t>。</w:t>
            </w:r>
          </w:p>
          <w:p w14:paraId="6C7C88A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7.7.3</w:t>
            </w:r>
            <w:r>
              <w:rPr>
                <w:rFonts w:hint="eastAsia" w:ascii="宋体" w:hAnsi="宋体" w:eastAsia="宋体" w:cs="宋体"/>
                <w:color w:val="auto"/>
                <w:spacing w:val="-2"/>
                <w:sz w:val="24"/>
                <w:szCs w:val="24"/>
                <w:highlight w:val="none"/>
              </w:rPr>
              <w:t>整套系统采用全链路数字信号传输，需自带CAN接口，支持高清影像无损记录功能，具备本地储存和PSSD固态硬盘扩展。预留外设扩展接口。</w:t>
            </w:r>
          </w:p>
          <w:p w14:paraId="2F1A50A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val="en-US" w:eastAsia="zh-CN"/>
              </w:rPr>
              <w:t xml:space="preserve">7.7.4 </w:t>
            </w:r>
            <w:r>
              <w:rPr>
                <w:rFonts w:hint="eastAsia" w:ascii="宋体" w:hAnsi="宋体" w:eastAsia="宋体" w:cs="宋体"/>
                <w:color w:val="auto"/>
                <w:spacing w:val="-2"/>
                <w:sz w:val="24"/>
                <w:szCs w:val="24"/>
                <w:highlight w:val="none"/>
              </w:rPr>
              <w:t>360°环视功能应具备3D全景环视，完成车辆前、后、左、右实时图像拼接</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并集成到彩色液晶显示屏中显示。3D全景图像车载存储</w:t>
            </w:r>
            <w:r>
              <w:rPr>
                <w:rFonts w:hint="eastAsia" w:ascii="宋体" w:hAnsi="宋体" w:eastAsia="宋体" w:cs="宋体"/>
                <w:color w:val="auto"/>
                <w:spacing w:val="-2"/>
                <w:sz w:val="24"/>
                <w:szCs w:val="24"/>
                <w:highlight w:val="none"/>
                <w:lang w:val="en-US" w:eastAsia="zh-CN"/>
              </w:rPr>
              <w:t xml:space="preserve">不少于15天。     </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009D739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7921DCA2">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09BD99D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7.8</w:t>
            </w:r>
          </w:p>
        </w:tc>
        <w:tc>
          <w:tcPr>
            <w:tcW w:w="1387" w:type="dxa"/>
            <w:tcBorders>
              <w:top w:val="single" w:color="auto" w:sz="4" w:space="0"/>
              <w:left w:val="single" w:color="auto" w:sz="4" w:space="0"/>
              <w:bottom w:val="single" w:color="auto" w:sz="4" w:space="0"/>
              <w:right w:val="single" w:color="auto" w:sz="4" w:space="0"/>
            </w:tcBorders>
            <w:noWrap w:val="0"/>
            <w:vAlign w:val="center"/>
          </w:tcPr>
          <w:p w14:paraId="7FEE1FDA">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一键破窗</w:t>
            </w:r>
          </w:p>
          <w:p w14:paraId="4099F994">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电子系统</w:t>
            </w:r>
          </w:p>
        </w:tc>
        <w:tc>
          <w:tcPr>
            <w:tcW w:w="6664" w:type="dxa"/>
            <w:tcBorders>
              <w:top w:val="single" w:color="auto" w:sz="4" w:space="0"/>
              <w:left w:val="single" w:color="auto" w:sz="4" w:space="0"/>
              <w:bottom w:val="single" w:color="auto" w:sz="4" w:space="0"/>
              <w:right w:val="single" w:color="auto" w:sz="4" w:space="0"/>
            </w:tcBorders>
            <w:noWrap w:val="0"/>
            <w:vAlign w:val="center"/>
          </w:tcPr>
          <w:p w14:paraId="6C0FA8EE">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整车侧窗左右两侧安装电动击窗器（爆破器），带翻盖报警功能，每车安装四处，左二右二，布置相关说明，以便在发生紧急情况时，可及时顺利逃生。</w:t>
            </w:r>
          </w:p>
        </w:tc>
        <w:tc>
          <w:tcPr>
            <w:tcW w:w="709" w:type="dxa"/>
            <w:tcBorders>
              <w:top w:val="single" w:color="auto" w:sz="4" w:space="0"/>
              <w:left w:val="single" w:color="auto" w:sz="4" w:space="0"/>
              <w:bottom w:val="single" w:color="auto" w:sz="4" w:space="0"/>
              <w:right w:val="single" w:color="auto" w:sz="4" w:space="0"/>
            </w:tcBorders>
            <w:noWrap w:val="0"/>
            <w:vAlign w:val="center"/>
          </w:tcPr>
          <w:p w14:paraId="6A172735">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val="en-US" w:eastAsia="zh-CN"/>
              </w:rPr>
            </w:pPr>
          </w:p>
        </w:tc>
      </w:tr>
      <w:tr w14:paraId="04B22358">
        <w:tblPrEx>
          <w:tblCellMar>
            <w:top w:w="0" w:type="dxa"/>
            <w:left w:w="0" w:type="dxa"/>
            <w:bottom w:w="0" w:type="dxa"/>
            <w:right w:w="0" w:type="dxa"/>
          </w:tblCellMar>
        </w:tblPrEx>
        <w:trPr>
          <w:trHeight w:val="23" w:hRule="atLeast"/>
        </w:trPr>
        <w:tc>
          <w:tcPr>
            <w:tcW w:w="601" w:type="dxa"/>
            <w:tcBorders>
              <w:top w:val="single" w:color="auto" w:sz="4" w:space="0"/>
              <w:left w:val="single" w:color="auto" w:sz="4" w:space="0"/>
              <w:bottom w:val="single" w:color="auto" w:sz="4" w:space="0"/>
              <w:right w:val="single" w:color="auto" w:sz="4" w:space="0"/>
            </w:tcBorders>
            <w:noWrap w:val="0"/>
            <w:vAlign w:val="center"/>
          </w:tcPr>
          <w:p w14:paraId="53EF693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w:t>
            </w:r>
          </w:p>
        </w:tc>
        <w:tc>
          <w:tcPr>
            <w:tcW w:w="8760" w:type="dxa"/>
            <w:gridSpan w:val="3"/>
            <w:tcBorders>
              <w:top w:val="single" w:color="auto" w:sz="4" w:space="0"/>
              <w:left w:val="single" w:color="auto" w:sz="4" w:space="0"/>
              <w:bottom w:val="single" w:color="auto" w:sz="4" w:space="0"/>
              <w:right w:val="single" w:color="auto" w:sz="4" w:space="0"/>
            </w:tcBorders>
            <w:noWrap w:val="0"/>
            <w:vAlign w:val="center"/>
          </w:tcPr>
          <w:p w14:paraId="3F65A291">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both"/>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其他</w:t>
            </w:r>
          </w:p>
        </w:tc>
      </w:tr>
      <w:tr w14:paraId="5C977A69">
        <w:tblPrEx>
          <w:tblCellMar>
            <w:top w:w="0" w:type="dxa"/>
            <w:left w:w="0" w:type="dxa"/>
            <w:bottom w:w="0" w:type="dxa"/>
            <w:right w:w="0" w:type="dxa"/>
          </w:tblCellMar>
        </w:tblPrEx>
        <w:trPr>
          <w:trHeight w:val="23" w:hRule="atLeast"/>
        </w:trPr>
        <w:tc>
          <w:tcPr>
            <w:tcW w:w="601" w:type="dxa"/>
            <w:tcBorders>
              <w:top w:val="single" w:color="auto" w:sz="4" w:space="0"/>
              <w:left w:val="single" w:color="000000" w:sz="4" w:space="0"/>
              <w:bottom w:val="single" w:color="000000" w:sz="4" w:space="0"/>
              <w:right w:val="single" w:color="000000" w:sz="4" w:space="0"/>
            </w:tcBorders>
            <w:noWrap w:val="0"/>
            <w:vAlign w:val="center"/>
          </w:tcPr>
          <w:p w14:paraId="23CFE433">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8.1</w:t>
            </w:r>
          </w:p>
        </w:tc>
        <w:tc>
          <w:tcPr>
            <w:tcW w:w="1387" w:type="dxa"/>
            <w:tcBorders>
              <w:top w:val="single" w:color="auto" w:sz="4" w:space="0"/>
              <w:left w:val="single" w:color="000000" w:sz="4" w:space="0"/>
              <w:bottom w:val="single" w:color="000000" w:sz="4" w:space="0"/>
              <w:right w:val="single" w:color="auto" w:sz="4" w:space="0"/>
            </w:tcBorders>
            <w:noWrap w:val="0"/>
            <w:vAlign w:val="center"/>
          </w:tcPr>
          <w:p w14:paraId="611EF2FA">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c>
          <w:tcPr>
            <w:tcW w:w="6664" w:type="dxa"/>
            <w:tcBorders>
              <w:top w:val="single" w:color="auto" w:sz="4" w:space="0"/>
              <w:left w:val="single" w:color="auto" w:sz="4" w:space="0"/>
              <w:bottom w:val="single" w:color="000000" w:sz="4" w:space="0"/>
              <w:right w:val="single" w:color="auto" w:sz="4" w:space="0"/>
            </w:tcBorders>
            <w:noWrap w:val="0"/>
            <w:vAlign w:val="center"/>
          </w:tcPr>
          <w:p w14:paraId="4E68D7D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8.1.1按车型提供齐全、完整、真实的说明书、全车线路图、汽车零部件图册、故障诊断仪等技术资料。</w:t>
            </w:r>
          </w:p>
          <w:p w14:paraId="5D523812">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8.1.2车厢内设置安装一个不锈钢</w:t>
            </w:r>
            <w:r>
              <w:rPr>
                <w:rFonts w:hint="eastAsia" w:ascii="宋体" w:hAnsi="宋体" w:eastAsia="宋体" w:cs="宋体"/>
                <w:color w:val="auto"/>
                <w:spacing w:val="-2"/>
                <w:sz w:val="24"/>
                <w:szCs w:val="24"/>
                <w:highlight w:val="none"/>
                <w:lang w:val="en-US" w:eastAsia="zh-CN"/>
              </w:rPr>
              <w:t>箱（圆弧角，对开门，上牌后安装）</w:t>
            </w:r>
            <w:r>
              <w:rPr>
                <w:rFonts w:hint="eastAsia" w:ascii="宋体" w:hAnsi="宋体" w:eastAsia="宋体" w:cs="宋体"/>
                <w:color w:val="auto"/>
                <w:spacing w:val="-2"/>
                <w:sz w:val="24"/>
                <w:szCs w:val="24"/>
                <w:highlight w:val="none"/>
              </w:rPr>
              <w:t>及支架、工具箱、拖把安放固定桶，式样位置与公交公司对接确认后实施。</w:t>
            </w:r>
          </w:p>
          <w:p w14:paraId="0DD2741D">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8.1.</w:t>
            </w: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乘</w:t>
            </w:r>
            <w:r>
              <w:rPr>
                <w:rFonts w:hint="eastAsia" w:ascii="宋体" w:hAnsi="宋体" w:eastAsia="宋体" w:cs="宋体"/>
                <w:color w:val="auto"/>
                <w:spacing w:val="-2"/>
                <w:sz w:val="24"/>
                <w:szCs w:val="24"/>
                <w:highlight w:val="none"/>
                <w:lang w:val="en-US" w:eastAsia="zh-CN"/>
              </w:rPr>
              <w:t>客门</w:t>
            </w:r>
            <w:r>
              <w:rPr>
                <w:rFonts w:hint="eastAsia" w:ascii="宋体" w:hAnsi="宋体" w:eastAsia="宋体" w:cs="宋体"/>
                <w:color w:val="auto"/>
                <w:spacing w:val="-2"/>
                <w:sz w:val="24"/>
                <w:szCs w:val="24"/>
                <w:highlight w:val="none"/>
              </w:rPr>
              <w:t>前后两侧安装冲孔铝挡板。</w:t>
            </w:r>
          </w:p>
          <w:p w14:paraId="460A9C37">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8.1.4车内LED广告内容由</w:t>
            </w:r>
            <w:r>
              <w:rPr>
                <w:rFonts w:hint="eastAsia" w:ascii="宋体" w:hAnsi="宋体" w:eastAsia="宋体" w:cs="宋体"/>
                <w:color w:val="auto"/>
                <w:spacing w:val="-2"/>
                <w:sz w:val="24"/>
                <w:szCs w:val="24"/>
                <w:highlight w:val="none"/>
                <w:lang w:eastAsia="zh-CN"/>
              </w:rPr>
              <w:t>采购人</w:t>
            </w:r>
            <w:r>
              <w:rPr>
                <w:rFonts w:hint="eastAsia" w:ascii="宋体" w:hAnsi="宋体" w:eastAsia="宋体" w:cs="宋体"/>
                <w:color w:val="auto"/>
                <w:spacing w:val="-2"/>
                <w:sz w:val="24"/>
                <w:szCs w:val="24"/>
                <w:highlight w:val="none"/>
              </w:rPr>
              <w:t>提供，厂家负责制作安装。</w:t>
            </w:r>
          </w:p>
        </w:tc>
        <w:tc>
          <w:tcPr>
            <w:tcW w:w="709" w:type="dxa"/>
            <w:tcBorders>
              <w:top w:val="single" w:color="auto" w:sz="4" w:space="0"/>
              <w:left w:val="single" w:color="auto" w:sz="4" w:space="0"/>
              <w:bottom w:val="single" w:color="000000" w:sz="4" w:space="0"/>
              <w:right w:val="single" w:color="000000" w:sz="4" w:space="0"/>
            </w:tcBorders>
            <w:noWrap w:val="0"/>
            <w:vAlign w:val="center"/>
          </w:tcPr>
          <w:p w14:paraId="1BE772E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0480A9BA">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76915FEC">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8.2</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1982B594">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305E752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8.2.1提供备品备件：整车控制器、打气泵、绝缘检测仪</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lang w:val="en-US" w:eastAsia="zh-CN"/>
              </w:rPr>
              <w:t>全车玻璃</w:t>
            </w:r>
            <w:r>
              <w:rPr>
                <w:rFonts w:hint="eastAsia" w:ascii="宋体" w:hAnsi="宋体" w:eastAsia="宋体" w:cs="宋体"/>
                <w:color w:val="auto"/>
                <w:spacing w:val="-2"/>
                <w:sz w:val="24"/>
                <w:szCs w:val="24"/>
                <w:highlight w:val="none"/>
              </w:rPr>
              <w:t>各一套</w:t>
            </w:r>
            <w:r>
              <w:rPr>
                <w:rFonts w:hint="eastAsia" w:ascii="宋体" w:hAnsi="宋体" w:eastAsia="宋体" w:cs="宋体"/>
                <w:color w:val="auto"/>
                <w:spacing w:val="-2"/>
                <w:sz w:val="24"/>
                <w:szCs w:val="24"/>
                <w:highlight w:val="none"/>
                <w:lang w:eastAsia="zh-CN"/>
              </w:rPr>
              <w:t>。</w:t>
            </w:r>
          </w:p>
          <w:p w14:paraId="4DDADB99">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8.2.2车厢内安装电子钟（带温度显示功能，需与车厢内温度相符）</w:t>
            </w:r>
            <w:r>
              <w:rPr>
                <w:rFonts w:hint="eastAsia" w:ascii="宋体" w:hAnsi="宋体" w:eastAsia="宋体" w:cs="宋体"/>
                <w:color w:val="auto"/>
                <w:spacing w:val="-2"/>
                <w:sz w:val="24"/>
                <w:szCs w:val="24"/>
                <w:highlight w:val="none"/>
                <w:lang w:eastAsia="zh-CN"/>
              </w:rPr>
              <w:t>。</w:t>
            </w:r>
          </w:p>
          <w:p w14:paraId="0E426B4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8.2.3各辅件（边门）所需锁扣统一</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整车舱门配锁芯锁</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w:t>
            </w:r>
          </w:p>
          <w:p w14:paraId="60573AFF">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8.2.4车厢内合理位置安装四个铝合金广告框。</w:t>
            </w:r>
          </w:p>
          <w:p w14:paraId="779ED65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8.2.5未尽事宜，</w:t>
            </w:r>
            <w:r>
              <w:rPr>
                <w:rFonts w:hint="eastAsia" w:ascii="宋体" w:hAnsi="宋体" w:eastAsia="宋体" w:cs="宋体"/>
                <w:color w:val="auto"/>
                <w:sz w:val="24"/>
                <w:szCs w:val="24"/>
                <w:highlight w:val="none"/>
              </w:rPr>
              <w:t>应按照国家标准和绍兴市上牌要求进行设计和制造</w:t>
            </w:r>
            <w:r>
              <w:rPr>
                <w:rFonts w:hint="eastAsia" w:ascii="宋体" w:hAnsi="宋体" w:eastAsia="宋体" w:cs="宋体"/>
                <w:color w:val="auto"/>
                <w:spacing w:val="-2"/>
                <w:sz w:val="24"/>
                <w:szCs w:val="24"/>
                <w:highlight w:val="none"/>
              </w:rPr>
              <w:t>。</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3696AF07">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r w14:paraId="1F1BF644">
        <w:tblPrEx>
          <w:tblCellMar>
            <w:top w:w="0" w:type="dxa"/>
            <w:left w:w="0" w:type="dxa"/>
            <w:bottom w:w="0" w:type="dxa"/>
            <w:right w:w="0" w:type="dxa"/>
          </w:tblCellMar>
        </w:tblPrEx>
        <w:trPr>
          <w:trHeight w:val="23" w:hRule="atLeast"/>
        </w:trPr>
        <w:tc>
          <w:tcPr>
            <w:tcW w:w="601" w:type="dxa"/>
            <w:tcBorders>
              <w:top w:val="single" w:color="000000" w:sz="4" w:space="0"/>
              <w:left w:val="single" w:color="000000" w:sz="4" w:space="0"/>
              <w:bottom w:val="single" w:color="000000" w:sz="4" w:space="0"/>
              <w:right w:val="single" w:color="000000" w:sz="4" w:space="0"/>
            </w:tcBorders>
            <w:noWrap w:val="0"/>
            <w:vAlign w:val="center"/>
          </w:tcPr>
          <w:p w14:paraId="60FD146B">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8.</w:t>
            </w:r>
            <w:r>
              <w:rPr>
                <w:rFonts w:hint="eastAsia" w:ascii="宋体" w:hAnsi="宋体" w:eastAsia="宋体" w:cs="宋体"/>
                <w:color w:val="auto"/>
                <w:spacing w:val="-2"/>
                <w:sz w:val="24"/>
                <w:szCs w:val="24"/>
                <w:highlight w:val="none"/>
                <w:lang w:val="en-US" w:eastAsia="zh-CN"/>
              </w:rPr>
              <w:t>3</w:t>
            </w:r>
          </w:p>
        </w:tc>
        <w:tc>
          <w:tcPr>
            <w:tcW w:w="1387" w:type="dxa"/>
            <w:tcBorders>
              <w:top w:val="single" w:color="000000" w:sz="4" w:space="0"/>
              <w:left w:val="single" w:color="000000" w:sz="4" w:space="0"/>
              <w:bottom w:val="single" w:color="000000" w:sz="4" w:space="0"/>
              <w:right w:val="single" w:color="auto" w:sz="4" w:space="0"/>
            </w:tcBorders>
            <w:noWrap w:val="0"/>
            <w:vAlign w:val="center"/>
          </w:tcPr>
          <w:p w14:paraId="340AAF46">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c>
          <w:tcPr>
            <w:tcW w:w="6664" w:type="dxa"/>
            <w:tcBorders>
              <w:top w:val="single" w:color="000000" w:sz="4" w:space="0"/>
              <w:left w:val="single" w:color="auto" w:sz="4" w:space="0"/>
              <w:bottom w:val="single" w:color="000000" w:sz="4" w:space="0"/>
              <w:right w:val="single" w:color="auto" w:sz="4" w:space="0"/>
            </w:tcBorders>
            <w:noWrap w:val="0"/>
            <w:vAlign w:val="center"/>
          </w:tcPr>
          <w:p w14:paraId="4F987320">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8.</w:t>
            </w: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.1提供整车合格证、按合同规定开具的销售发票、其他相关证件资料</w:t>
            </w:r>
            <w:r>
              <w:rPr>
                <w:rFonts w:hint="eastAsia" w:ascii="宋体" w:hAnsi="宋体" w:eastAsia="宋体" w:cs="宋体"/>
                <w:color w:val="auto"/>
                <w:spacing w:val="-2"/>
                <w:sz w:val="24"/>
                <w:szCs w:val="24"/>
                <w:highlight w:val="none"/>
                <w:lang w:eastAsia="zh-CN"/>
              </w:rPr>
              <w:t>。</w:t>
            </w:r>
          </w:p>
          <w:p w14:paraId="7F19620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8.</w:t>
            </w: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.2本表未注明的配置和质量必须符合国家级行业相关标准，确保上牌。</w:t>
            </w:r>
          </w:p>
          <w:p w14:paraId="336CB0C3">
            <w:pPr>
              <w:keepNext w:val="0"/>
              <w:keepLines w:val="0"/>
              <w:pageBreakBefore w:val="0"/>
              <w:kinsoku/>
              <w:wordWrap/>
              <w:overflowPunct/>
              <w:topLinePunct w:val="0"/>
              <w:autoSpaceDE/>
              <w:autoSpaceDN/>
              <w:bidi w:val="0"/>
              <w:snapToGrid/>
              <w:spacing w:line="490" w:lineRule="exact"/>
              <w:ind w:left="0" w:leftChars="0" w:right="0" w:rightChars="0" w:firstLine="0" w:firstLineChars="0"/>
              <w:jc w:val="left"/>
              <w:textAlignment w:val="auto"/>
              <w:outlineLvl w:val="9"/>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8.</w:t>
            </w: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.3如果国家补贴政策在车辆交付期间发生变化，导致中标</w:t>
            </w:r>
            <w:r>
              <w:rPr>
                <w:rFonts w:hint="eastAsia" w:ascii="宋体" w:hAnsi="宋体" w:eastAsia="宋体" w:cs="宋体"/>
                <w:color w:val="auto"/>
                <w:spacing w:val="-2"/>
                <w:sz w:val="24"/>
                <w:szCs w:val="24"/>
                <w:highlight w:val="none"/>
                <w:lang w:val="en-US" w:eastAsia="zh-CN"/>
              </w:rPr>
              <w:t>人</w:t>
            </w:r>
            <w:r>
              <w:rPr>
                <w:rFonts w:hint="eastAsia" w:ascii="宋体" w:hAnsi="宋体" w:eastAsia="宋体" w:cs="宋体"/>
                <w:color w:val="auto"/>
                <w:spacing w:val="-2"/>
                <w:sz w:val="24"/>
                <w:szCs w:val="24"/>
                <w:highlight w:val="none"/>
              </w:rPr>
              <w:t>所提供的产品不满足上户需求，须</w:t>
            </w:r>
            <w:r>
              <w:rPr>
                <w:rFonts w:hint="eastAsia" w:ascii="宋体" w:hAnsi="宋体" w:eastAsia="宋体" w:cs="宋体"/>
                <w:color w:val="auto"/>
                <w:spacing w:val="-2"/>
                <w:sz w:val="24"/>
                <w:szCs w:val="24"/>
                <w:highlight w:val="none"/>
                <w:lang w:eastAsia="zh-CN"/>
              </w:rPr>
              <w:t>中标</w:t>
            </w:r>
            <w:r>
              <w:rPr>
                <w:rFonts w:hint="eastAsia" w:ascii="宋体" w:hAnsi="宋体" w:eastAsia="宋体" w:cs="宋体"/>
                <w:color w:val="auto"/>
                <w:spacing w:val="-2"/>
                <w:sz w:val="24"/>
                <w:szCs w:val="24"/>
                <w:highlight w:val="none"/>
                <w:lang w:val="en-US" w:eastAsia="zh-CN"/>
              </w:rPr>
              <w:t>人</w:t>
            </w:r>
            <w:r>
              <w:rPr>
                <w:rFonts w:hint="eastAsia" w:ascii="宋体" w:hAnsi="宋体" w:eastAsia="宋体" w:cs="宋体"/>
                <w:color w:val="auto"/>
                <w:spacing w:val="-2"/>
                <w:sz w:val="24"/>
                <w:szCs w:val="24"/>
                <w:highlight w:val="none"/>
              </w:rPr>
              <w:t>提供满足国家新补贴政策且可以上户的产品，车辆配置不得低于招标要求。车价变更由</w:t>
            </w:r>
            <w:r>
              <w:rPr>
                <w:rFonts w:hint="eastAsia" w:ascii="宋体" w:hAnsi="宋体" w:eastAsia="宋体" w:cs="宋体"/>
                <w:color w:val="auto"/>
                <w:spacing w:val="-2"/>
                <w:sz w:val="24"/>
                <w:szCs w:val="24"/>
                <w:highlight w:val="none"/>
                <w:lang w:eastAsia="zh-CN"/>
              </w:rPr>
              <w:t>中标</w:t>
            </w:r>
            <w:r>
              <w:rPr>
                <w:rFonts w:hint="eastAsia" w:ascii="宋体" w:hAnsi="宋体" w:eastAsia="宋体" w:cs="宋体"/>
                <w:color w:val="auto"/>
                <w:spacing w:val="-2"/>
                <w:sz w:val="24"/>
                <w:szCs w:val="24"/>
                <w:highlight w:val="none"/>
                <w:lang w:val="en-US" w:eastAsia="zh-CN"/>
              </w:rPr>
              <w:t>人</w:t>
            </w:r>
            <w:r>
              <w:rPr>
                <w:rFonts w:hint="eastAsia" w:ascii="宋体" w:hAnsi="宋体" w:eastAsia="宋体" w:cs="宋体"/>
                <w:color w:val="auto"/>
                <w:spacing w:val="-2"/>
                <w:sz w:val="24"/>
                <w:szCs w:val="24"/>
                <w:highlight w:val="none"/>
              </w:rPr>
              <w:t>承担，投标</w:t>
            </w:r>
            <w:r>
              <w:rPr>
                <w:rFonts w:hint="eastAsia" w:ascii="宋体" w:hAnsi="宋体" w:eastAsia="宋体" w:cs="宋体"/>
                <w:color w:val="auto"/>
                <w:spacing w:val="-2"/>
                <w:sz w:val="24"/>
                <w:szCs w:val="24"/>
                <w:highlight w:val="none"/>
                <w:lang w:val="en-US" w:eastAsia="zh-CN"/>
              </w:rPr>
              <w:t>人</w:t>
            </w:r>
            <w:r>
              <w:rPr>
                <w:rFonts w:hint="eastAsia" w:ascii="宋体" w:hAnsi="宋体" w:eastAsia="宋体" w:cs="宋体"/>
                <w:color w:val="auto"/>
                <w:spacing w:val="-2"/>
                <w:sz w:val="24"/>
                <w:szCs w:val="24"/>
                <w:highlight w:val="none"/>
              </w:rPr>
              <w:t>必须出具承诺函并加盖单位公章。</w:t>
            </w:r>
          </w:p>
        </w:tc>
        <w:tc>
          <w:tcPr>
            <w:tcW w:w="709" w:type="dxa"/>
            <w:tcBorders>
              <w:top w:val="single" w:color="000000" w:sz="4" w:space="0"/>
              <w:left w:val="single" w:color="auto" w:sz="4" w:space="0"/>
              <w:bottom w:val="single" w:color="000000" w:sz="4" w:space="0"/>
              <w:right w:val="single" w:color="000000" w:sz="4" w:space="0"/>
            </w:tcBorders>
            <w:noWrap w:val="0"/>
            <w:vAlign w:val="center"/>
          </w:tcPr>
          <w:p w14:paraId="78ADA18D">
            <w:pPr>
              <w:keepNext w:val="0"/>
              <w:keepLines w:val="0"/>
              <w:pageBreakBefore w:val="0"/>
              <w:kinsoku/>
              <w:wordWrap/>
              <w:overflowPunct/>
              <w:topLinePunct w:val="0"/>
              <w:autoSpaceDE/>
              <w:autoSpaceDN/>
              <w:bidi w:val="0"/>
              <w:adjustRightInd w:val="0"/>
              <w:snapToGrid/>
              <w:spacing w:line="490" w:lineRule="exact"/>
              <w:ind w:left="0" w:leftChars="0" w:right="0" w:rightChars="0" w:firstLine="0" w:firstLineChars="0"/>
              <w:jc w:val="center"/>
              <w:textAlignment w:val="auto"/>
              <w:outlineLvl w:val="9"/>
              <w:rPr>
                <w:rFonts w:hint="eastAsia" w:ascii="宋体" w:hAnsi="宋体" w:eastAsia="宋体" w:cs="宋体"/>
                <w:color w:val="auto"/>
                <w:sz w:val="24"/>
                <w:szCs w:val="24"/>
                <w:highlight w:val="none"/>
              </w:rPr>
            </w:pPr>
          </w:p>
        </w:tc>
      </w:tr>
    </w:tbl>
    <w:p w14:paraId="5828AF8C">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注：1.质保期限须</w:t>
      </w: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出具售后</w:t>
      </w:r>
      <w:r>
        <w:rPr>
          <w:rFonts w:hint="eastAsia" w:ascii="宋体" w:hAnsi="宋体" w:eastAsia="宋体" w:cs="宋体"/>
          <w:b/>
          <w:bCs/>
          <w:color w:val="auto"/>
          <w:spacing w:val="-3"/>
          <w:sz w:val="24"/>
          <w:szCs w:val="24"/>
          <w:highlight w:val="none"/>
        </w:rPr>
        <w:t>服</w:t>
      </w:r>
      <w:r>
        <w:rPr>
          <w:rFonts w:hint="eastAsia" w:ascii="宋体" w:hAnsi="宋体" w:eastAsia="宋体" w:cs="宋体"/>
          <w:b/>
          <w:bCs/>
          <w:color w:val="auto"/>
          <w:sz w:val="24"/>
          <w:szCs w:val="24"/>
          <w:highlight w:val="none"/>
        </w:rPr>
        <w:t>务</w:t>
      </w:r>
      <w:r>
        <w:rPr>
          <w:rFonts w:hint="eastAsia" w:ascii="宋体" w:hAnsi="宋体" w:eastAsia="宋体" w:cs="宋体"/>
          <w:b/>
          <w:bCs/>
          <w:color w:val="auto"/>
          <w:spacing w:val="-3"/>
          <w:sz w:val="24"/>
          <w:szCs w:val="24"/>
          <w:highlight w:val="none"/>
        </w:rPr>
        <w:t>承</w:t>
      </w:r>
      <w:r>
        <w:rPr>
          <w:rFonts w:hint="eastAsia" w:ascii="宋体" w:hAnsi="宋体" w:eastAsia="宋体" w:cs="宋体"/>
          <w:b/>
          <w:bCs/>
          <w:color w:val="auto"/>
          <w:sz w:val="24"/>
          <w:szCs w:val="24"/>
          <w:highlight w:val="none"/>
        </w:rPr>
        <w:t>诺函，并附</w:t>
      </w:r>
      <w:r>
        <w:rPr>
          <w:rFonts w:hint="eastAsia" w:ascii="宋体" w:hAnsi="宋体" w:eastAsia="宋体" w:cs="宋体"/>
          <w:b/>
          <w:bCs/>
          <w:color w:val="auto"/>
          <w:spacing w:val="-3"/>
          <w:sz w:val="24"/>
          <w:szCs w:val="24"/>
          <w:highlight w:val="none"/>
        </w:rPr>
        <w:t>承</w:t>
      </w:r>
      <w:r>
        <w:rPr>
          <w:rFonts w:hint="eastAsia" w:ascii="宋体" w:hAnsi="宋体" w:eastAsia="宋体" w:cs="宋体"/>
          <w:b/>
          <w:bCs/>
          <w:color w:val="auto"/>
          <w:sz w:val="24"/>
          <w:szCs w:val="24"/>
          <w:highlight w:val="none"/>
        </w:rPr>
        <w:t>诺函原件</w:t>
      </w:r>
      <w:r>
        <w:rPr>
          <w:rFonts w:hint="eastAsia" w:ascii="宋体" w:hAnsi="宋体" w:eastAsia="宋体" w:cs="宋体"/>
          <w:b/>
          <w:bCs/>
          <w:color w:val="auto"/>
          <w:sz w:val="24"/>
          <w:szCs w:val="24"/>
          <w:highlight w:val="none"/>
          <w:lang w:val="en-US" w:eastAsia="zh-CN"/>
        </w:rPr>
        <w:t>扫描件</w:t>
      </w:r>
      <w:r>
        <w:rPr>
          <w:rFonts w:hint="eastAsia" w:ascii="宋体" w:hAnsi="宋体" w:eastAsia="宋体" w:cs="宋体"/>
          <w:b/>
          <w:bCs/>
          <w:color w:val="auto"/>
          <w:sz w:val="24"/>
          <w:szCs w:val="24"/>
          <w:highlight w:val="none"/>
        </w:rPr>
        <w:t>。</w:t>
      </w:r>
    </w:p>
    <w:p w14:paraId="50156A52">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964" w:firstLineChars="4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2.车窗玻璃和车门玻璃暂定为白玻璃，中标后应经采购人确认后方可生产。</w:t>
      </w:r>
    </w:p>
    <w:p w14:paraId="0D39CC28">
      <w:pPr>
        <w:keepNext w:val="0"/>
        <w:keepLines w:val="0"/>
        <w:pageBreakBefore w:val="0"/>
        <w:widowControl w:val="0"/>
        <w:numPr>
          <w:ilvl w:val="0"/>
          <w:numId w:val="0"/>
        </w:numPr>
        <w:kinsoku/>
        <w:wordWrap/>
        <w:overflowPunct/>
        <w:topLinePunct w:val="0"/>
        <w:autoSpaceDE/>
        <w:autoSpaceDN/>
        <w:bidi w:val="0"/>
        <w:snapToGrid w:val="0"/>
        <w:spacing w:line="490" w:lineRule="exact"/>
        <w:ind w:left="0" w:leftChars="0" w:right="0" w:rightChars="0"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四、其他要求</w:t>
      </w:r>
    </w:p>
    <w:p w14:paraId="4174E81C">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1、质保要求</w:t>
      </w:r>
    </w:p>
    <w:p w14:paraId="585FB36C">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▲1.1、本次采购，除特殊说明外整车（不含易损件（包括皮带、刹车片、减震器胶垫、刮雨片等））提供不少于3年的质保期（质保期自通过最终验收之日开始计算），终身维护。            </w:t>
      </w:r>
    </w:p>
    <w:p w14:paraId="231C49B4">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1.2、质保期内因产品本身缺陷（非人为因素）造成各种故障应由中标供应商和车辆生产厂家免费提供技术服务和维修。</w:t>
      </w:r>
    </w:p>
    <w:p w14:paraId="3BDA1497">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车辆发生故障或缺陷时，中标供应商和车辆生产厂家在收到车辆使用单位通知后3天内进行弥补缺陷；若中标供应商和车辆生产厂家无实质性响应，采购人可采取必要的补救措施，发生的风险和费用将由中标供应商和车辆生产厂家承担。因质量问题造成停运，48小时后每停运一天赔偿600元/辆，累计计算。</w:t>
      </w:r>
    </w:p>
    <w:p w14:paraId="0108062C">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1.3、本次采购的车辆在8年内正常使用过程中如发生纵横梁或主要骨架断裂的，中标供应商和车辆生产厂家负责召回。</w:t>
      </w:r>
    </w:p>
    <w:p w14:paraId="7B81FD63">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1.4、本次采购的车辆在八年内，因质量问题造成车顶漏雨，中标供应商和车辆生产厂家负责召回。</w:t>
      </w:r>
    </w:p>
    <w:p w14:paraId="404E45EE">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1.5、车辆应符合GB7258标准，行业标准。</w:t>
      </w:r>
    </w:p>
    <w:p w14:paraId="3C8C02F0">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1.6、车辆必须在车辆制造商的城市公交生产基地生产。</w:t>
      </w:r>
    </w:p>
    <w:p w14:paraId="05A028E2">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1.7、整车运行安全技术条件必须符合中华人民共和国国家标准。同时依照国家有关产品质量法规和制造标准及技术要求的要约进行验收。</w:t>
      </w:r>
    </w:p>
    <w:p w14:paraId="60FD6F85">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在质保期内，中标供应商应和车辆生产厂家负责对其提供的设备进行现场维修、损坏件更换，不收取额外费用。因装置的质量问题发生争议，由嵊州市技术监督局或其指定的质量鉴定检验机构进行质量鉴定。鉴定费由中标供应商承担；属于设计、制造缺陷造成的质量问题，由中标供应商和车辆生产厂家自行承担全部责任。</w:t>
      </w:r>
    </w:p>
    <w:p w14:paraId="7E0148A8">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1.9、供应商在投标文件中说明质保期内提供的服务计划。</w:t>
      </w:r>
    </w:p>
    <w:p w14:paraId="53FECFEC">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1.10、中标单位的车辆出现以下情况的，中标单位和车辆生产厂家须无条件召回更换新车或进行整改，整改后出具整改质量保证承诺书，并承担相应损失。</w:t>
      </w:r>
    </w:p>
    <w:p w14:paraId="25DF2CCB">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1.10.1、批量故障：同一个批次车辆同一故障出现贰辆及以上（含贰辆），并经过售后服务和公交维修单位单车二次修复后仍无法解决的或在三个月内批次故障仍无法解决的。</w:t>
      </w:r>
    </w:p>
    <w:p w14:paraId="78CA97E0">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1.10.2、故障频率：同一个批次车辆，单车在六个月内同一个故障发生五次以上（含五次）或六个月内无法修复解决的；单车在一个月内不同故障发生五次以上（含五次）或一个月内无法修复解决的。</w:t>
      </w:r>
    </w:p>
    <w:p w14:paraId="5DD75A22">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1.10.3、车辆自燃：车辆发生自燃，经车辆配套厂家和采购人认定或经官方仲裁机构鉴定为因车辆质量等问题的。</w:t>
      </w:r>
    </w:p>
    <w:p w14:paraId="788719B7">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1.10.4、其他重大质量问题：经车辆配套厂家和采购人认定或经官方仲裁机构鉴定为因车辆质量等问题的。</w:t>
      </w:r>
    </w:p>
    <w:p w14:paraId="421A0EC9">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1.10.5、如发生安全、交通事故时，经认定属供方责任的，按法律规定中标单位和车辆生产厂家承担一切责任。</w:t>
      </w:r>
    </w:p>
    <w:p w14:paraId="129FEC35">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2" w:firstLineChars="20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2、服务要求</w:t>
      </w:r>
    </w:p>
    <w:p w14:paraId="407D8FC6">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2.1、车辆投入运营后，中标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提供三个月现场售后服务，所需费用包含在投标总价内。</w:t>
      </w:r>
    </w:p>
    <w:p w14:paraId="5CB87479">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2.2、每年的法定节假日（如：春节、五一、十一、元旦等）应安排人员值班，并提供采购人所需要的特定的技术支持（含节假日现场技术服务工作）。</w:t>
      </w:r>
    </w:p>
    <w:p w14:paraId="2808D508">
      <w:pPr>
        <w:keepNext w:val="0"/>
        <w:keepLines w:val="0"/>
        <w:pageBreakBefore w:val="0"/>
        <w:widowControl w:val="0"/>
        <w:kinsoku/>
        <w:wordWrap/>
        <w:overflowPunct/>
        <w:topLinePunct w:val="0"/>
        <w:autoSpaceDE/>
        <w:autoSpaceDN/>
        <w:bidi w:val="0"/>
        <w:snapToGrid w:val="0"/>
        <w:spacing w:line="49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2.3、每半年做一次回访工作。</w:t>
      </w:r>
    </w:p>
    <w:p w14:paraId="35800045">
      <w:pPr>
        <w:pStyle w:val="128"/>
        <w:keepNext w:val="0"/>
        <w:keepLines w:val="0"/>
        <w:pageBreakBefore w:val="0"/>
        <w:widowControl w:val="0"/>
        <w:kinsoku/>
        <w:wordWrap/>
        <w:overflowPunct/>
        <w:topLinePunct w:val="0"/>
        <w:autoSpaceDE/>
        <w:autoSpaceDN/>
        <w:bidi w:val="0"/>
        <w:spacing w:beforeLines="0" w:after="0" w:line="49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2.4、纯电动电池、电机维修服务承诺：接到采购人服务需求后1小时内响应、12小时内到场，一般服务需求3天内解决、疑难需求7天内解决。</w:t>
      </w:r>
    </w:p>
    <w:p w14:paraId="65D83EC9">
      <w:pPr>
        <w:pStyle w:val="128"/>
        <w:keepNext w:val="0"/>
        <w:keepLines w:val="0"/>
        <w:pageBreakBefore w:val="0"/>
        <w:widowControl w:val="0"/>
        <w:kinsoku/>
        <w:wordWrap/>
        <w:overflowPunct/>
        <w:topLinePunct w:val="0"/>
        <w:autoSpaceDE/>
        <w:autoSpaceDN/>
        <w:bidi w:val="0"/>
        <w:spacing w:beforeLines="0" w:after="0" w:line="49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2.5、控制系统及整车维修服务承诺：接到采购人服务需求后1小时内响应、12小时内到场，一般服务需求3天内解决、疑难需求7天内解决。</w:t>
      </w:r>
    </w:p>
    <w:p w14:paraId="45A5811D">
      <w:pPr>
        <w:pStyle w:val="2"/>
        <w:keepLines w:val="0"/>
        <w:pageBreakBefore w:val="0"/>
        <w:tabs>
          <w:tab w:val="left" w:pos="480"/>
        </w:tabs>
        <w:kinsoku/>
        <w:wordWrap/>
        <w:overflowPunct/>
        <w:topLinePunct w:val="0"/>
        <w:autoSpaceDE/>
        <w:autoSpaceDN/>
        <w:bidi w:val="0"/>
        <w:spacing w:before="0" w:after="0" w:line="490" w:lineRule="exact"/>
        <w:ind w:left="0" w:leftChars="0" w:right="0" w:rightChars="0" w:firstLine="482"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、商务要求</w:t>
      </w:r>
    </w:p>
    <w:tbl>
      <w:tblPr>
        <w:tblStyle w:val="31"/>
        <w:tblW w:w="917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2"/>
        <w:gridCol w:w="1637"/>
        <w:gridCol w:w="6868"/>
      </w:tblGrid>
      <w:tr w14:paraId="3B6DA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1414B680">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637" w:type="dxa"/>
            <w:tcBorders>
              <w:top w:val="single" w:color="auto" w:sz="4" w:space="0"/>
              <w:left w:val="single" w:color="auto" w:sz="4" w:space="0"/>
              <w:right w:val="single" w:color="auto" w:sz="4" w:space="0"/>
            </w:tcBorders>
            <w:noWrap w:val="0"/>
            <w:vAlign w:val="center"/>
          </w:tcPr>
          <w:p w14:paraId="4D407A35">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内容</w:t>
            </w:r>
          </w:p>
        </w:tc>
        <w:tc>
          <w:tcPr>
            <w:tcW w:w="6868" w:type="dxa"/>
            <w:tcBorders>
              <w:top w:val="single" w:color="auto" w:sz="4" w:space="0"/>
              <w:left w:val="single" w:color="auto" w:sz="4" w:space="0"/>
              <w:bottom w:val="single" w:color="auto" w:sz="4" w:space="0"/>
              <w:right w:val="single" w:color="auto" w:sz="4" w:space="0"/>
            </w:tcBorders>
            <w:noWrap w:val="0"/>
            <w:vAlign w:val="center"/>
          </w:tcPr>
          <w:p w14:paraId="1DB70598">
            <w:pPr>
              <w:keepLines w:val="0"/>
              <w:pageBreakBefore w:val="0"/>
              <w:kinsoku/>
              <w:wordWrap/>
              <w:overflowPunct/>
              <w:topLinePunct w:val="0"/>
              <w:autoSpaceDE/>
              <w:autoSpaceDN/>
              <w:bidi w:val="0"/>
              <w:spacing w:line="490" w:lineRule="exact"/>
              <w:ind w:left="0" w:leftChars="0" w:right="0" w:rightChars="0" w:firstLine="482" w:firstLineChars="20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要求</w:t>
            </w:r>
          </w:p>
        </w:tc>
      </w:tr>
      <w:tr w14:paraId="2732BE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5F36CC94">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p>
        </w:tc>
        <w:tc>
          <w:tcPr>
            <w:tcW w:w="1637" w:type="dxa"/>
            <w:tcBorders>
              <w:top w:val="single" w:color="auto" w:sz="4" w:space="0"/>
              <w:left w:val="single" w:color="auto" w:sz="4" w:space="0"/>
              <w:right w:val="single" w:color="auto" w:sz="4" w:space="0"/>
            </w:tcBorders>
            <w:noWrap w:val="0"/>
            <w:vAlign w:val="center"/>
          </w:tcPr>
          <w:p w14:paraId="2B10A751">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合同签订</w:t>
            </w:r>
          </w:p>
          <w:p w14:paraId="777ABBB8">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地点</w:t>
            </w:r>
          </w:p>
        </w:tc>
        <w:tc>
          <w:tcPr>
            <w:tcW w:w="6868" w:type="dxa"/>
            <w:tcBorders>
              <w:top w:val="single" w:color="auto" w:sz="4" w:space="0"/>
              <w:left w:val="single" w:color="auto" w:sz="4" w:space="0"/>
              <w:bottom w:val="single" w:color="auto" w:sz="4" w:space="0"/>
              <w:right w:val="single" w:color="auto" w:sz="4" w:space="0"/>
            </w:tcBorders>
            <w:noWrap w:val="0"/>
            <w:vAlign w:val="center"/>
          </w:tcPr>
          <w:p w14:paraId="52A9E08B">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嵊州市公共交通有限公司</w:t>
            </w:r>
          </w:p>
        </w:tc>
      </w:tr>
      <w:tr w14:paraId="6BCCDF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7FBA9A96">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p>
        </w:tc>
        <w:tc>
          <w:tcPr>
            <w:tcW w:w="1637" w:type="dxa"/>
            <w:tcBorders>
              <w:top w:val="single" w:color="auto" w:sz="4" w:space="0"/>
              <w:left w:val="single" w:color="auto" w:sz="4" w:space="0"/>
              <w:right w:val="single" w:color="auto" w:sz="4" w:space="0"/>
            </w:tcBorders>
            <w:shd w:val="clear" w:color="auto" w:fill="auto"/>
            <w:noWrap w:val="0"/>
            <w:vAlign w:val="center"/>
          </w:tcPr>
          <w:p w14:paraId="40993A26">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工作范围</w:t>
            </w: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179E41">
            <w:pPr>
              <w:keepLines w:val="0"/>
              <w:pageBreakBefore w:val="0"/>
              <w:kinsoku/>
              <w:wordWrap/>
              <w:overflowPunct/>
              <w:topLinePunct w:val="0"/>
              <w:autoSpaceDE/>
              <w:autoSpaceDN/>
              <w:bidi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根据招标文件，各供应商须按国家有关标准及规范完成下列工作：</w:t>
            </w:r>
          </w:p>
          <w:p w14:paraId="3C05EADE">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提供完整成套的货物及相关附件，提供各种数据资料；</w:t>
            </w:r>
          </w:p>
          <w:p w14:paraId="39C8B202">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完成各项安装、调试、检验、测试、协助上牌、验收等工作；</w:t>
            </w:r>
          </w:p>
          <w:p w14:paraId="63AE7EC6">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对最终使用单位的操作人员及维修人员进行技术培训；</w:t>
            </w:r>
          </w:p>
          <w:p w14:paraId="113C5F78">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维保及维修；</w:t>
            </w:r>
          </w:p>
          <w:p w14:paraId="1607A8E8">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售后服务的措施及承诺。</w:t>
            </w:r>
          </w:p>
          <w:p w14:paraId="0C270728">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rPr>
              <w:t>以上工作内容的费用均包含在投标总价中。</w:t>
            </w:r>
          </w:p>
        </w:tc>
      </w:tr>
      <w:tr w14:paraId="521AC2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65238D58">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p>
        </w:tc>
        <w:tc>
          <w:tcPr>
            <w:tcW w:w="1637" w:type="dxa"/>
            <w:tcBorders>
              <w:top w:val="single" w:color="auto" w:sz="4" w:space="0"/>
              <w:left w:val="single" w:color="auto" w:sz="4" w:space="0"/>
              <w:right w:val="single" w:color="auto" w:sz="4" w:space="0"/>
            </w:tcBorders>
            <w:shd w:val="clear" w:color="auto" w:fill="auto"/>
            <w:noWrap w:val="0"/>
            <w:vAlign w:val="center"/>
          </w:tcPr>
          <w:p w14:paraId="4671859E">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履约保证金</w:t>
            </w:r>
          </w:p>
          <w:p w14:paraId="34BB6742">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差额保证金</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如有</w:t>
            </w:r>
            <w:r>
              <w:rPr>
                <w:rFonts w:hint="eastAsia" w:ascii="宋体" w:hAnsi="宋体" w:eastAsia="宋体" w:cs="宋体"/>
                <w:b w:val="0"/>
                <w:bCs w:val="0"/>
                <w:color w:val="auto"/>
                <w:sz w:val="24"/>
                <w:szCs w:val="24"/>
                <w:highlight w:val="none"/>
                <w:lang w:eastAsia="zh-CN"/>
              </w:rPr>
              <w:t>）</w:t>
            </w:r>
          </w:p>
          <w:p w14:paraId="6018299E">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val="en-US" w:eastAsia="zh-CN"/>
              </w:rPr>
            </w:pP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048736">
            <w:pPr>
              <w:keepLines w:val="0"/>
              <w:pageBreakBefore w:val="0"/>
              <w:kinsoku/>
              <w:wordWrap/>
              <w:overflowPunct/>
              <w:topLinePunct w:val="0"/>
              <w:autoSpaceDE/>
              <w:autoSpaceDN/>
              <w:bidi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中标通知书发出后10个工作日内中标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向采购人缴纳合同价的1%作为履约保证金，待项目验收合格后30日内无息退回。履约保证金支付方式：电汇/汇票/本票等转账方式或银行保函方式。（保函有效期必须在本项目验收合格后之日起30个工作日后）。</w:t>
            </w:r>
          </w:p>
          <w:p w14:paraId="7413A625">
            <w:pPr>
              <w:keepLines w:val="0"/>
              <w:pageBreakBefore w:val="0"/>
              <w:kinsoku/>
              <w:wordWrap/>
              <w:overflowPunct/>
              <w:topLinePunct w:val="0"/>
              <w:autoSpaceDE/>
              <w:autoSpaceDN/>
              <w:bidi w:val="0"/>
              <w:spacing w:line="490" w:lineRule="exact"/>
              <w:ind w:right="0" w:right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差额保证金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缴纳及退还：中标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在中标通知书发出后</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个工作日内提交履约保证金的同时额外补交差额保证金，差额保证金以</w:t>
            </w:r>
            <w:r>
              <w:rPr>
                <w:rFonts w:hint="eastAsia" w:ascii="宋体" w:hAnsi="宋体" w:cs="宋体"/>
                <w:color w:val="auto"/>
                <w:sz w:val="24"/>
                <w:szCs w:val="24"/>
                <w:highlight w:val="none"/>
                <w:lang w:val="en-US" w:eastAsia="zh-CN"/>
              </w:rPr>
              <w:t>转账、电汇</w:t>
            </w:r>
            <w:r>
              <w:rPr>
                <w:rFonts w:hint="eastAsia" w:ascii="宋体" w:hAnsi="宋体" w:eastAsia="宋体" w:cs="宋体"/>
                <w:color w:val="auto"/>
                <w:sz w:val="24"/>
                <w:szCs w:val="24"/>
                <w:highlight w:val="none"/>
              </w:rPr>
              <w:t>的形式缴纳，</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验收合格后</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0日内无息退还。</w:t>
            </w:r>
          </w:p>
        </w:tc>
      </w:tr>
      <w:tr w14:paraId="2BE2A7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50D91A64">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w:t>
            </w:r>
          </w:p>
        </w:tc>
        <w:tc>
          <w:tcPr>
            <w:tcW w:w="1637" w:type="dxa"/>
            <w:tcBorders>
              <w:top w:val="single" w:color="auto" w:sz="4" w:space="0"/>
              <w:left w:val="single" w:color="auto" w:sz="4" w:space="0"/>
              <w:right w:val="single" w:color="auto" w:sz="4" w:space="0"/>
            </w:tcBorders>
            <w:noWrap w:val="0"/>
            <w:vAlign w:val="center"/>
          </w:tcPr>
          <w:p w14:paraId="581EA321">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质量要求</w:t>
            </w:r>
          </w:p>
        </w:tc>
        <w:tc>
          <w:tcPr>
            <w:tcW w:w="6868" w:type="dxa"/>
            <w:tcBorders>
              <w:top w:val="single" w:color="auto" w:sz="4" w:space="0"/>
              <w:left w:val="single" w:color="auto" w:sz="4" w:space="0"/>
              <w:bottom w:val="single" w:color="auto" w:sz="4" w:space="0"/>
              <w:right w:val="single" w:color="auto" w:sz="4" w:space="0"/>
            </w:tcBorders>
            <w:noWrap w:val="0"/>
            <w:vAlign w:val="center"/>
          </w:tcPr>
          <w:p w14:paraId="462FDC0E">
            <w:pPr>
              <w:keepLines w:val="0"/>
              <w:pageBreakBefore w:val="0"/>
              <w:numPr>
                <w:ilvl w:val="0"/>
                <w:numId w:val="0"/>
              </w:numPr>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1.投标人保证所供车辆是未使用过的，符合国家规定的技术规格和质量标准的出厂原装合格产品，并且是完全符合本次招标文件(包括补充更正，如有)中采购货物要求所规定的技术参数和质量要求。</w:t>
            </w:r>
          </w:p>
          <w:p w14:paraId="11BFC0B3">
            <w:pPr>
              <w:keepLines w:val="0"/>
              <w:pageBreakBefore w:val="0"/>
              <w:numPr>
                <w:ilvl w:val="0"/>
                <w:numId w:val="0"/>
              </w:numPr>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2.投标人必须保证所供车辆能够正常使用，若车辆出现自燃、在使用过程中安全、交通事故和重复性故障，经车辆配套厂家和采购人认定或经仲裁机构鉴定是因车辆本身设计问题或车辆本身质量问题引起的，由中标人和车辆生产厂家负责。中标人在投标文件中需附车辆生产厂家对本批次车辆质量保证承诺书。</w:t>
            </w:r>
          </w:p>
        </w:tc>
      </w:tr>
      <w:tr w14:paraId="188792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4C35DC56">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5</w:t>
            </w:r>
          </w:p>
        </w:tc>
        <w:tc>
          <w:tcPr>
            <w:tcW w:w="1637" w:type="dxa"/>
            <w:tcBorders>
              <w:top w:val="single" w:color="auto" w:sz="4" w:space="0"/>
              <w:left w:val="single" w:color="auto" w:sz="4" w:space="0"/>
              <w:right w:val="single" w:color="auto" w:sz="4" w:space="0"/>
            </w:tcBorders>
            <w:shd w:val="clear" w:color="auto" w:fill="auto"/>
            <w:noWrap w:val="0"/>
            <w:vAlign w:val="center"/>
          </w:tcPr>
          <w:p w14:paraId="401C3705">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交货</w:t>
            </w: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2A4CC7A">
            <w:pPr>
              <w:keepLines w:val="0"/>
              <w:pageBreakBefore w:val="0"/>
              <w:numPr>
                <w:ilvl w:val="0"/>
                <w:numId w:val="0"/>
              </w:numPr>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u w:val="none"/>
                <w:lang w:val="en-US" w:eastAsia="zh-CN"/>
              </w:rPr>
              <w:t>1.合同交货：</w:t>
            </w:r>
            <w:r>
              <w:rPr>
                <w:rFonts w:hint="eastAsia" w:ascii="宋体" w:hAnsi="宋体" w:eastAsia="宋体" w:cs="宋体"/>
                <w:bCs/>
                <w:color w:val="auto"/>
                <w:sz w:val="24"/>
                <w:szCs w:val="24"/>
                <w:highlight w:val="none"/>
                <w:u w:val="none"/>
              </w:rPr>
              <w:t>自签订合同之日起，40 日历天内完成生产，接</w:t>
            </w:r>
            <w:r>
              <w:rPr>
                <w:rFonts w:hint="eastAsia" w:ascii="宋体" w:hAnsi="宋体" w:cs="宋体"/>
                <w:bCs/>
                <w:color w:val="auto"/>
                <w:sz w:val="24"/>
                <w:szCs w:val="24"/>
                <w:highlight w:val="none"/>
                <w:u w:val="none"/>
                <w:lang w:val="en-US" w:eastAsia="zh-CN"/>
              </w:rPr>
              <w:t>采购人</w:t>
            </w:r>
            <w:r>
              <w:rPr>
                <w:rFonts w:hint="eastAsia" w:ascii="宋体" w:hAnsi="宋体" w:eastAsia="宋体" w:cs="宋体"/>
                <w:bCs/>
                <w:color w:val="auto"/>
                <w:sz w:val="24"/>
                <w:szCs w:val="24"/>
                <w:highlight w:val="none"/>
                <w:u w:val="none"/>
              </w:rPr>
              <w:t>书面通知 10天内提货到业主指定场站。</w:t>
            </w:r>
          </w:p>
          <w:p w14:paraId="66108E24">
            <w:pPr>
              <w:keepLines w:val="0"/>
              <w:pageBreakBefore w:val="0"/>
              <w:numPr>
                <w:ilvl w:val="0"/>
                <w:numId w:val="0"/>
              </w:numPr>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2.交货地点：采购方指定停车场。</w:t>
            </w:r>
          </w:p>
          <w:p w14:paraId="763F3416">
            <w:pPr>
              <w:keepNext w:val="0"/>
              <w:keepLines w:val="0"/>
              <w:pageBreakBefore w:val="0"/>
              <w:tabs>
                <w:tab w:val="left" w:pos="5760"/>
              </w:tabs>
              <w:kinsoku/>
              <w:wordWrap/>
              <w:overflowPunct/>
              <w:topLinePunct w:val="0"/>
              <w:bidi w:val="0"/>
              <w:adjustRightInd w:val="0"/>
              <w:snapToGrid w:val="0"/>
              <w:spacing w:line="490" w:lineRule="exact"/>
              <w:rPr>
                <w:rFonts w:hint="eastAsia" w:ascii="宋体" w:hAnsi="宋体" w:eastAsia="宋体" w:cs="宋体"/>
                <w:bCs/>
                <w:color w:val="auto"/>
                <w:spacing w:val="-6"/>
                <w:sz w:val="24"/>
                <w:szCs w:val="24"/>
                <w:highlight w:val="none"/>
              </w:rPr>
            </w:pPr>
            <w:r>
              <w:rPr>
                <w:rFonts w:hint="eastAsia" w:ascii="宋体" w:hAnsi="宋体" w:eastAsia="宋体" w:cs="宋体"/>
                <w:color w:val="auto"/>
                <w:sz w:val="24"/>
                <w:szCs w:val="24"/>
                <w:highlight w:val="none"/>
                <w:lang w:val="en-US" w:eastAsia="zh-CN"/>
              </w:rPr>
              <w:t>3.交货方式：</w:t>
            </w:r>
            <w:r>
              <w:rPr>
                <w:rFonts w:hint="eastAsia" w:ascii="宋体" w:hAnsi="宋体" w:eastAsia="宋体" w:cs="宋体"/>
                <w:bCs/>
                <w:color w:val="auto"/>
                <w:sz w:val="24"/>
                <w:szCs w:val="24"/>
                <w:highlight w:val="none"/>
              </w:rPr>
              <w:t>在交货地点，经甲方验收合格，</w:t>
            </w:r>
            <w:r>
              <w:rPr>
                <w:rFonts w:hint="eastAsia" w:ascii="宋体" w:hAnsi="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协助上牌后为正式交货。因厂家原因造成拖延上牌的，视为延期交货，须按合同总价的5‰支付迟交违约金，不足7天按7天计，依次累计。</w:t>
            </w:r>
            <w:r>
              <w:rPr>
                <w:rFonts w:hint="eastAsia" w:ascii="宋体" w:hAnsi="宋体" w:eastAsia="宋体" w:cs="宋体"/>
                <w:bCs/>
                <w:color w:val="auto"/>
                <w:spacing w:val="-6"/>
                <w:sz w:val="24"/>
                <w:szCs w:val="24"/>
                <w:highlight w:val="none"/>
              </w:rPr>
              <w:t>超出20天无法上牌的，甲方有权解除合同并要求赔偿</w:t>
            </w:r>
            <w:r>
              <w:rPr>
                <w:rFonts w:hint="eastAsia" w:ascii="宋体" w:hAnsi="宋体" w:cs="宋体"/>
                <w:bCs/>
                <w:color w:val="auto"/>
                <w:spacing w:val="-6"/>
                <w:sz w:val="24"/>
                <w:szCs w:val="24"/>
                <w:highlight w:val="none"/>
                <w:lang w:val="en-US" w:eastAsia="zh-CN"/>
              </w:rPr>
              <w:t>中标价的1%</w:t>
            </w:r>
            <w:r>
              <w:rPr>
                <w:rFonts w:hint="eastAsia" w:ascii="宋体" w:hAnsi="宋体" w:eastAsia="宋体" w:cs="宋体"/>
                <w:bCs/>
                <w:color w:val="auto"/>
                <w:spacing w:val="-6"/>
                <w:sz w:val="24"/>
                <w:szCs w:val="24"/>
                <w:highlight w:val="none"/>
              </w:rPr>
              <w:t>。</w:t>
            </w:r>
          </w:p>
          <w:p w14:paraId="6AF64B8A">
            <w:pPr>
              <w:keepNext w:val="0"/>
              <w:keepLines w:val="0"/>
              <w:pageBreakBefore w:val="0"/>
              <w:tabs>
                <w:tab w:val="left" w:pos="5760"/>
              </w:tabs>
              <w:kinsoku/>
              <w:wordWrap/>
              <w:overflowPunct/>
              <w:topLinePunct w:val="0"/>
              <w:bidi w:val="0"/>
              <w:adjustRightInd w:val="0"/>
              <w:snapToGrid w:val="0"/>
              <w:spacing w:line="49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4.延期交货赔偿：</w:t>
            </w:r>
            <w:r>
              <w:rPr>
                <w:rFonts w:hint="eastAsia" w:ascii="宋体" w:hAnsi="宋体" w:eastAsia="宋体" w:cs="宋体"/>
                <w:color w:val="auto"/>
                <w:sz w:val="24"/>
                <w:szCs w:val="24"/>
                <w:highlight w:val="none"/>
              </w:rPr>
              <w:t>延期交货每7天，按合同总价的</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‰支付迟交违约金，不足7天按7天计，依次累计。超出20天，</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有权解除合同并要求赔偿</w:t>
            </w:r>
            <w:r>
              <w:rPr>
                <w:rFonts w:hint="eastAsia" w:ascii="宋体" w:hAnsi="宋体" w:cs="宋体"/>
                <w:bCs/>
                <w:color w:val="auto"/>
                <w:sz w:val="24"/>
                <w:szCs w:val="24"/>
                <w:highlight w:val="none"/>
                <w:lang w:val="en-US" w:eastAsia="zh-CN"/>
              </w:rPr>
              <w:t>中标价的1%</w:t>
            </w:r>
            <w:r>
              <w:rPr>
                <w:rFonts w:hint="eastAsia" w:ascii="宋体" w:hAnsi="宋体" w:eastAsia="宋体" w:cs="宋体"/>
                <w:bCs/>
                <w:color w:val="auto"/>
                <w:sz w:val="24"/>
                <w:szCs w:val="24"/>
                <w:highlight w:val="none"/>
              </w:rPr>
              <w:t>。</w:t>
            </w:r>
          </w:p>
        </w:tc>
      </w:tr>
      <w:tr w14:paraId="35CC9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4D1438C2">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6</w:t>
            </w:r>
          </w:p>
        </w:tc>
        <w:tc>
          <w:tcPr>
            <w:tcW w:w="1637" w:type="dxa"/>
            <w:tcBorders>
              <w:top w:val="single" w:color="auto" w:sz="4" w:space="0"/>
              <w:left w:val="single" w:color="auto" w:sz="4" w:space="0"/>
              <w:right w:val="single" w:color="auto" w:sz="4" w:space="0"/>
            </w:tcBorders>
            <w:shd w:val="clear" w:color="auto" w:fill="auto"/>
            <w:noWrap w:val="0"/>
            <w:vAlign w:val="center"/>
          </w:tcPr>
          <w:p w14:paraId="3CC86FE4">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验收</w:t>
            </w: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FC29B3F">
            <w:pPr>
              <w:pStyle w:val="99"/>
              <w:keepLines w:val="0"/>
              <w:pageBreakBefore w:val="0"/>
              <w:kinsoku/>
              <w:wordWrap/>
              <w:overflowPunct/>
              <w:topLinePunct w:val="0"/>
              <w:autoSpaceDE/>
              <w:autoSpaceDN/>
              <w:bidi w:val="0"/>
              <w:spacing w:line="490" w:lineRule="exact"/>
              <w:ind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一次性验收合格，达到国家规范规定验收合格标准，符合</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第三章采购内容及要求和投标人承诺要求。</w:t>
            </w:r>
          </w:p>
          <w:p w14:paraId="675613E7">
            <w:pPr>
              <w:pStyle w:val="99"/>
              <w:keepLines w:val="0"/>
              <w:pageBreakBefore w:val="0"/>
              <w:kinsoku/>
              <w:wordWrap/>
              <w:overflowPunct/>
              <w:topLinePunct w:val="0"/>
              <w:autoSpaceDE/>
              <w:autoSpaceDN/>
              <w:bidi w:val="0"/>
              <w:spacing w:line="490" w:lineRule="exact"/>
              <w:ind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验收时如发现与投标承诺不相符的参数、品牌、型号等，采购人有权做出按相应部件成本5-10倍价格</w:t>
            </w:r>
            <w:r>
              <w:rPr>
                <w:rFonts w:hint="eastAsia" w:ascii="宋体" w:hAnsi="宋体" w:eastAsia="宋体" w:cs="宋体"/>
                <w:color w:val="auto"/>
                <w:sz w:val="24"/>
                <w:szCs w:val="24"/>
                <w:highlight w:val="none"/>
                <w:lang w:eastAsia="zh-CN"/>
              </w:rPr>
              <w:t>补偿</w:t>
            </w:r>
            <w:r>
              <w:rPr>
                <w:rFonts w:hint="eastAsia" w:ascii="宋体" w:hAnsi="宋体" w:eastAsia="宋体" w:cs="宋体"/>
                <w:color w:val="auto"/>
                <w:sz w:val="24"/>
                <w:szCs w:val="24"/>
                <w:highlight w:val="none"/>
              </w:rPr>
              <w:t>、退车等处理，并由此产生的供货期延误按10000元/天</w:t>
            </w:r>
            <w:r>
              <w:rPr>
                <w:rFonts w:hint="eastAsia" w:ascii="宋体" w:hAnsi="宋体" w:eastAsia="宋体" w:cs="宋体"/>
                <w:color w:val="auto"/>
                <w:sz w:val="24"/>
                <w:szCs w:val="24"/>
                <w:highlight w:val="none"/>
                <w:lang w:eastAsia="zh-CN"/>
              </w:rPr>
              <w:t>补偿</w:t>
            </w:r>
            <w:r>
              <w:rPr>
                <w:rFonts w:hint="eastAsia" w:ascii="宋体" w:hAnsi="宋体" w:eastAsia="宋体" w:cs="宋体"/>
                <w:color w:val="auto"/>
                <w:sz w:val="24"/>
                <w:szCs w:val="24"/>
                <w:highlight w:val="none"/>
              </w:rPr>
              <w:t>。且采购人视情节严重，进行信用网上披露、诉讼法律等。</w:t>
            </w:r>
          </w:p>
          <w:p w14:paraId="72E0D427">
            <w:pPr>
              <w:pStyle w:val="99"/>
              <w:keepLines w:val="0"/>
              <w:pageBreakBefore w:val="0"/>
              <w:kinsoku/>
              <w:wordWrap/>
              <w:overflowPunct/>
              <w:topLinePunct w:val="0"/>
              <w:autoSpaceDE/>
              <w:autoSpaceDN/>
              <w:bidi w:val="0"/>
              <w:spacing w:line="490" w:lineRule="exact"/>
              <w:ind w:right="0" w:right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验收费用由中标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负责。</w:t>
            </w:r>
          </w:p>
        </w:tc>
      </w:tr>
      <w:tr w14:paraId="60DE7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5ED20500">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7</w:t>
            </w:r>
          </w:p>
        </w:tc>
        <w:tc>
          <w:tcPr>
            <w:tcW w:w="1637" w:type="dxa"/>
            <w:tcBorders>
              <w:top w:val="single" w:color="auto" w:sz="4" w:space="0"/>
              <w:left w:val="single" w:color="auto" w:sz="4" w:space="0"/>
              <w:right w:val="single" w:color="auto" w:sz="4" w:space="0"/>
            </w:tcBorders>
            <w:shd w:val="clear" w:color="auto" w:fill="auto"/>
            <w:noWrap w:val="0"/>
            <w:vAlign w:val="center"/>
          </w:tcPr>
          <w:p w14:paraId="549C24B5">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付款</w:t>
            </w:r>
            <w:r>
              <w:rPr>
                <w:rFonts w:hint="eastAsia" w:ascii="宋体" w:hAnsi="宋体" w:eastAsia="宋体" w:cs="宋体"/>
                <w:b w:val="0"/>
                <w:bCs w:val="0"/>
                <w:color w:val="auto"/>
                <w:sz w:val="24"/>
                <w:szCs w:val="24"/>
                <w:highlight w:val="none"/>
                <w:lang w:val="en-US" w:eastAsia="zh-CN"/>
              </w:rPr>
              <w:t>方式</w:t>
            </w: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4604A5C">
            <w:pPr>
              <w:pStyle w:val="99"/>
              <w:keepLines w:val="0"/>
              <w:pageBreakBefore w:val="0"/>
              <w:kinsoku/>
              <w:wordWrap/>
              <w:overflowPunct/>
              <w:topLinePunct w:val="0"/>
              <w:autoSpaceDE/>
              <w:autoSpaceDN/>
              <w:bidi w:val="0"/>
              <w:spacing w:line="490" w:lineRule="exact"/>
              <w:ind w:right="0" w:rightChars="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合同签订后14天内支付合同价款的20%，全部供货验收完成后14天内付至合同价款的70%，车到满一年后14天内付至合同价款的95%，车到满三年后14天内付清</w:t>
            </w:r>
            <w:r>
              <w:rPr>
                <w:rFonts w:hint="eastAsia" w:ascii="宋体" w:hAnsi="宋体" w:eastAsia="宋体" w:cs="宋体"/>
                <w:color w:val="auto"/>
                <w:sz w:val="24"/>
                <w:szCs w:val="24"/>
                <w:highlight w:val="none"/>
                <w:lang w:val="en-US" w:eastAsia="zh-CN"/>
              </w:rPr>
              <w:t>余款</w:t>
            </w:r>
            <w:r>
              <w:rPr>
                <w:rFonts w:hint="eastAsia" w:ascii="宋体" w:hAnsi="宋体" w:eastAsia="宋体" w:cs="宋体"/>
                <w:color w:val="auto"/>
                <w:sz w:val="24"/>
                <w:szCs w:val="24"/>
                <w:highlight w:val="none"/>
              </w:rPr>
              <w:t>。</w:t>
            </w:r>
          </w:p>
        </w:tc>
      </w:tr>
      <w:tr w14:paraId="480C9D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3A56368D">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8</w:t>
            </w:r>
          </w:p>
        </w:tc>
        <w:tc>
          <w:tcPr>
            <w:tcW w:w="1637" w:type="dxa"/>
            <w:tcBorders>
              <w:top w:val="single" w:color="auto" w:sz="4" w:space="0"/>
              <w:left w:val="single" w:color="auto" w:sz="4" w:space="0"/>
              <w:right w:val="single" w:color="auto" w:sz="4" w:space="0"/>
            </w:tcBorders>
            <w:shd w:val="clear" w:color="auto" w:fill="auto"/>
            <w:noWrap w:val="0"/>
            <w:vAlign w:val="center"/>
          </w:tcPr>
          <w:p w14:paraId="39D7E17F">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货物售后</w:t>
            </w:r>
          </w:p>
          <w:p w14:paraId="54CF6001">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服务</w:t>
            </w: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04F71E">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要求中标后在当地建立售后服务维保机构，免费用户培训不少于 72小时</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、7x24 小时售后服务、故障2小时到现场、24小时备件到位、48 小时故障处理完毕。</w:t>
            </w:r>
          </w:p>
        </w:tc>
      </w:tr>
      <w:tr w14:paraId="3C3640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48FABDD6">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9</w:t>
            </w:r>
          </w:p>
        </w:tc>
        <w:tc>
          <w:tcPr>
            <w:tcW w:w="1637" w:type="dxa"/>
            <w:tcBorders>
              <w:top w:val="single" w:color="auto" w:sz="4" w:space="0"/>
              <w:left w:val="single" w:color="auto" w:sz="4" w:space="0"/>
              <w:right w:val="single" w:color="auto" w:sz="4" w:space="0"/>
            </w:tcBorders>
            <w:shd w:val="clear" w:color="auto" w:fill="auto"/>
            <w:noWrap w:val="0"/>
            <w:vAlign w:val="center"/>
          </w:tcPr>
          <w:p w14:paraId="47131AF0">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质保期</w:t>
            </w: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B725200">
            <w:pPr>
              <w:keepNext w:val="0"/>
              <w:keepLines w:val="0"/>
              <w:pageBreakBefore w:val="0"/>
              <w:kinsoku/>
              <w:wordWrap/>
              <w:overflowPunct/>
              <w:topLinePunct w:val="0"/>
              <w:bidi w:val="0"/>
              <w:adjustRightInd w:val="0"/>
              <w:snapToGrid w:val="0"/>
              <w:spacing w:line="490" w:lineRule="exact"/>
              <w:rPr>
                <w:rFonts w:hint="eastAsia" w:ascii="宋体" w:hAnsi="宋体" w:eastAsia="宋体" w:cs="宋体"/>
                <w:bCs/>
                <w:color w:val="auto"/>
                <w:sz w:val="24"/>
                <w:szCs w:val="24"/>
                <w:highlight w:val="none"/>
                <w:u w:val="none"/>
              </w:rPr>
            </w:pPr>
            <w:r>
              <w:rPr>
                <w:rFonts w:hint="eastAsia" w:ascii="宋体" w:hAnsi="宋体" w:eastAsia="宋体" w:cs="宋体"/>
                <w:bCs/>
                <w:color w:val="auto"/>
                <w:sz w:val="24"/>
                <w:szCs w:val="24"/>
                <w:highlight w:val="none"/>
                <w:u w:val="none"/>
                <w:lang w:val="en-US" w:eastAsia="zh-CN"/>
              </w:rPr>
              <w:t>1.</w:t>
            </w:r>
            <w:r>
              <w:rPr>
                <w:rFonts w:hint="eastAsia" w:ascii="宋体" w:hAnsi="宋体" w:eastAsia="宋体" w:cs="宋体"/>
                <w:bCs/>
                <w:color w:val="auto"/>
                <w:sz w:val="24"/>
                <w:szCs w:val="24"/>
                <w:highlight w:val="none"/>
                <w:u w:val="none"/>
              </w:rPr>
              <w:t>车辆质保期：整车免费质保期不得少于三年。若乙方给予延长质保期，各部件质保期按乙方对外承诺的标准执行。附整车主要零部件免费质保清单。（驱动电机、电控系统</w:t>
            </w:r>
            <w:r>
              <w:rPr>
                <w:rFonts w:hint="eastAsia" w:ascii="宋体" w:hAnsi="宋体" w:eastAsia="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三电系统灭火装置含灭火材质等核心部件、电动液压转向系统、集中润滑、整车防腐效果、车辆顶棚及边窗漏水、驾驶区铝合金防护隔离设施、车门、扶手、风道、阻燃保温降噪材料、车顶防漏LED流动显示路牌</w:t>
            </w:r>
            <w:r>
              <w:rPr>
                <w:rFonts w:hint="eastAsia" w:ascii="宋体" w:hAnsi="宋体" w:eastAsia="宋体" w:cs="宋体"/>
                <w:bCs/>
                <w:color w:val="auto"/>
                <w:sz w:val="24"/>
                <w:szCs w:val="24"/>
                <w:highlight w:val="none"/>
                <w:u w:val="none"/>
              </w:rPr>
              <w:t>质保8年</w:t>
            </w:r>
            <w:r>
              <w:rPr>
                <w:rFonts w:hint="eastAsia" w:ascii="宋体" w:hAnsi="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动力电池</w:t>
            </w:r>
            <w:r>
              <w:rPr>
                <w:rFonts w:hint="eastAsia" w:ascii="宋体" w:hAnsi="宋体" w:cs="宋体"/>
                <w:bCs/>
                <w:color w:val="auto"/>
                <w:sz w:val="24"/>
                <w:szCs w:val="24"/>
                <w:highlight w:val="none"/>
                <w:u w:val="none"/>
                <w:lang w:val="en-US" w:eastAsia="zh-CN"/>
              </w:rPr>
              <w:t>质保10年）</w:t>
            </w:r>
            <w:r>
              <w:rPr>
                <w:rFonts w:hint="eastAsia" w:ascii="宋体" w:hAnsi="宋体" w:eastAsia="宋体" w:cs="宋体"/>
                <w:bCs/>
                <w:color w:val="auto"/>
                <w:sz w:val="24"/>
                <w:szCs w:val="24"/>
                <w:highlight w:val="none"/>
                <w:u w:val="none"/>
              </w:rPr>
              <w:t>。</w:t>
            </w:r>
          </w:p>
          <w:p w14:paraId="4E5E2D3A">
            <w:pPr>
              <w:keepNext w:val="0"/>
              <w:keepLines w:val="0"/>
              <w:pageBreakBefore w:val="0"/>
              <w:kinsoku/>
              <w:wordWrap/>
              <w:overflowPunct/>
              <w:topLinePunct w:val="0"/>
              <w:bidi w:val="0"/>
              <w:adjustRightInd w:val="0"/>
              <w:snapToGrid w:val="0"/>
              <w:spacing w:line="49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质保期从车辆验收合格，正式交付使用之日起计算，若乙方在针对本项目的投标文件中承诺的质保期更优，则按乙方在针对本项目的投标文件中承诺的质保期执行。在质保期内，乙方对人为破坏或合同规定的不可抗因素造成的损坏，不承担任何责任，可收取一定的成本费用予以维修。</w:t>
            </w:r>
          </w:p>
          <w:p w14:paraId="1709B329">
            <w:pPr>
              <w:keepNext w:val="0"/>
              <w:keepLines w:val="0"/>
              <w:pageBreakBefore w:val="0"/>
              <w:kinsoku/>
              <w:wordWrap/>
              <w:overflowPunct/>
              <w:topLinePunct w:val="0"/>
              <w:bidi w:val="0"/>
              <w:adjustRightInd w:val="0"/>
              <w:snapToGrid w:val="0"/>
              <w:spacing w:line="49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乙方在针对本项目的投标文件中提供的在保质期内的其他服务承诺也须执行。</w:t>
            </w:r>
          </w:p>
          <w:p w14:paraId="275D1A8C">
            <w:pPr>
              <w:keepNext w:val="0"/>
              <w:keepLines w:val="0"/>
              <w:pageBreakBefore w:val="0"/>
              <w:kinsoku/>
              <w:wordWrap/>
              <w:overflowPunct/>
              <w:topLinePunct w:val="0"/>
              <w:bidi w:val="0"/>
              <w:adjustRightInd w:val="0"/>
              <w:snapToGrid w:val="0"/>
              <w:spacing w:line="49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乙方须对整车质量负责，无论零部件是标配或选配。</w:t>
            </w:r>
          </w:p>
        </w:tc>
      </w:tr>
      <w:tr w14:paraId="3502F7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672" w:type="dxa"/>
            <w:tcBorders>
              <w:top w:val="single" w:color="auto" w:sz="4" w:space="0"/>
              <w:left w:val="single" w:color="auto" w:sz="4" w:space="0"/>
              <w:right w:val="single" w:color="auto" w:sz="4" w:space="0"/>
            </w:tcBorders>
            <w:noWrap w:val="0"/>
            <w:vAlign w:val="center"/>
          </w:tcPr>
          <w:p w14:paraId="46223B02">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0</w:t>
            </w:r>
          </w:p>
        </w:tc>
        <w:tc>
          <w:tcPr>
            <w:tcW w:w="1637" w:type="dxa"/>
            <w:tcBorders>
              <w:top w:val="single" w:color="auto" w:sz="4" w:space="0"/>
              <w:left w:val="single" w:color="auto" w:sz="4" w:space="0"/>
              <w:right w:val="single" w:color="auto" w:sz="4" w:space="0"/>
            </w:tcBorders>
            <w:shd w:val="clear" w:color="auto" w:fill="auto"/>
            <w:noWrap w:val="0"/>
            <w:vAlign w:val="center"/>
          </w:tcPr>
          <w:p w14:paraId="2AFA2980">
            <w:pPr>
              <w:keepNext w:val="0"/>
              <w:keepLines w:val="0"/>
              <w:pageBreakBefore w:val="0"/>
              <w:widowControl w:val="0"/>
              <w:kinsoku/>
              <w:wordWrap/>
              <w:overflowPunct/>
              <w:topLinePunct w:val="0"/>
              <w:autoSpaceDE/>
              <w:autoSpaceDN/>
              <w:bidi w:val="0"/>
              <w:adjustRightInd w:val="0"/>
              <w:snapToGrid w:val="0"/>
              <w:spacing w:line="490" w:lineRule="exact"/>
              <w:ind w:left="0" w:leftChars="0" w:right="0" w:righ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其他</w:t>
            </w:r>
          </w:p>
        </w:tc>
        <w:tc>
          <w:tcPr>
            <w:tcW w:w="686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9F07E7">
            <w:pPr>
              <w:keepLines w:val="0"/>
              <w:pageBreakBefore w:val="0"/>
              <w:kinsoku/>
              <w:wordWrap/>
              <w:overflowPunct/>
              <w:topLinePunct w:val="0"/>
              <w:autoSpaceDE/>
              <w:autoSpaceDN/>
              <w:bidi w:val="0"/>
              <w:spacing w:line="490" w:lineRule="exact"/>
              <w:ind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如发现供应商提供的设备不符合招标文件技术要求或投标文件承诺的，中标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应负责按照采购人的要求进行更正，验收与质保金退还等阶段性确认工作并不代表采购人承认差异化，采购人可以在任何时间发现问题并提出更正要求。</w:t>
            </w:r>
          </w:p>
          <w:p w14:paraId="7E473C07">
            <w:pPr>
              <w:keepLines w:val="0"/>
              <w:pageBreakBefore w:val="0"/>
              <w:kinsoku/>
              <w:wordWrap/>
              <w:overflowPunct/>
              <w:topLinePunct w:val="0"/>
              <w:autoSpaceDE/>
              <w:autoSpaceDN/>
              <w:bidi w:val="0"/>
              <w:snapToGrid w:val="0"/>
              <w:spacing w:line="490" w:lineRule="exact"/>
              <w:ind w:right="0" w:right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更正期为通知（通知方式包括但不限于电话、信息、邮箱、函告等）供应商起3个月内完成。无法更正的每发现一处，按实际差价进行扣款差价金额，差价不足一万元的按每辆车一万元进行扣款，扣款可以从未支付的车款、质保金中直接扣除，如超过5处且不能在3个月内更正的，采购人有权单方终止合同、履约保证金不予退还、退还车辆，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须退还全部车款，同时支付30%中标价的赔偿金给采购人，且采购人可追究供应商的违约责任与其他一切损失。</w:t>
            </w:r>
          </w:p>
        </w:tc>
      </w:tr>
      <w:bookmarkEnd w:id="37"/>
    </w:tbl>
    <w:p w14:paraId="24621E67">
      <w:pPr>
        <w:keepNext w:val="0"/>
        <w:keepLines w:val="0"/>
        <w:pageBreakBefore w:val="0"/>
        <w:widowControl w:val="0"/>
        <w:kinsoku/>
        <w:wordWrap/>
        <w:overflowPunct/>
        <w:topLinePunct w:val="0"/>
        <w:autoSpaceDE w:val="0"/>
        <w:autoSpaceDN w:val="0"/>
        <w:bidi w:val="0"/>
        <w:adjustRightInd w:val="0"/>
        <w:snapToGrid w:val="0"/>
        <w:spacing w:line="490" w:lineRule="exact"/>
        <w:ind w:left="0" w:leftChars="0" w:firstLine="480" w:firstLineChars="200"/>
        <w:jc w:val="left"/>
        <w:textAlignment w:val="bottom"/>
        <w:rPr>
          <w:rFonts w:hint="eastAsia" w:ascii="宋体" w:hAnsi="宋体" w:eastAsia="宋体" w:cs="宋体"/>
          <w:color w:val="auto"/>
          <w:sz w:val="24"/>
          <w:szCs w:val="24"/>
          <w:highlight w:val="none"/>
          <w:lang w:eastAsia="zh-CN"/>
        </w:rPr>
        <w:sectPr>
          <w:headerReference r:id="rId5" w:type="default"/>
          <w:footerReference r:id="rId6" w:type="default"/>
          <w:pgSz w:w="11906" w:h="16838"/>
          <w:pgMar w:top="1417" w:right="1417" w:bottom="1417" w:left="1417" w:header="851" w:footer="851" w:gutter="0"/>
          <w:pgNumType w:fmt="decimal"/>
          <w:cols w:space="720" w:num="1"/>
          <w:docGrid w:linePitch="312" w:charSpace="0"/>
        </w:sectPr>
      </w:pPr>
      <w:r>
        <w:rPr>
          <w:rFonts w:hint="eastAsia" w:ascii="宋体" w:hAnsi="宋体" w:eastAsia="宋体" w:cs="宋体"/>
          <w:color w:val="auto"/>
          <w:sz w:val="24"/>
          <w:szCs w:val="24"/>
          <w:highlight w:val="none"/>
          <w:lang w:val="en-US" w:eastAsia="zh-CN"/>
        </w:rPr>
        <w:t>注：</w:t>
      </w:r>
      <w:r>
        <w:rPr>
          <w:rFonts w:hint="eastAsia" w:ascii="宋体" w:hAnsi="宋体" w:eastAsia="宋体" w:cs="宋体"/>
          <w:color w:val="auto"/>
          <w:sz w:val="24"/>
          <w:szCs w:val="24"/>
          <w:highlight w:val="none"/>
        </w:rPr>
        <w:t>如</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中遗漏了必须具备的设备、配件或服务，请投标人在投标文件中指出，并提出解决方案供采购人、</w:t>
      </w:r>
      <w:r>
        <w:rPr>
          <w:rFonts w:hint="eastAsia" w:ascii="宋体" w:hAnsi="宋体" w:eastAsia="宋体" w:cs="宋体"/>
          <w:color w:val="auto"/>
          <w:sz w:val="24"/>
          <w:szCs w:val="24"/>
          <w:highlight w:val="none"/>
          <w:lang w:eastAsia="zh-CN"/>
        </w:rPr>
        <w:t>采购代理机构</w:t>
      </w:r>
      <w:r>
        <w:rPr>
          <w:rFonts w:hint="eastAsia" w:ascii="宋体" w:hAnsi="宋体" w:eastAsia="宋体" w:cs="宋体"/>
          <w:color w:val="auto"/>
          <w:sz w:val="24"/>
          <w:szCs w:val="24"/>
          <w:highlight w:val="none"/>
        </w:rPr>
        <w:t>参考；如项目实施过程中因缺少设备、配件或服务导致采购人无法正常运行</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须承诺免费提供</w:t>
      </w:r>
    </w:p>
    <w:p w14:paraId="447171EF">
      <w:pPr>
        <w:pStyle w:val="2"/>
        <w:numPr>
          <w:ilvl w:val="0"/>
          <w:numId w:val="0"/>
        </w:numPr>
        <w:ind w:leftChars="0"/>
        <w:jc w:val="center"/>
        <w:rPr>
          <w:rFonts w:hint="eastAsia" w:ascii="宋体" w:hAnsi="宋体"/>
          <w:color w:val="auto"/>
          <w:highlight w:val="none"/>
        </w:rPr>
      </w:pPr>
      <w:r>
        <w:rPr>
          <w:rFonts w:hint="eastAsia" w:ascii="宋体" w:hAnsi="宋体" w:eastAsia="宋体" w:cs="宋体"/>
          <w:color w:val="auto"/>
          <w:sz w:val="36"/>
          <w:szCs w:val="36"/>
          <w:highlight w:val="none"/>
          <w:lang w:val="en-US" w:eastAsia="zh-CN"/>
        </w:rPr>
        <w:t xml:space="preserve">第四部分 </w:t>
      </w:r>
      <w:r>
        <w:rPr>
          <w:rFonts w:hint="eastAsia" w:ascii="宋体" w:hAnsi="宋体" w:eastAsia="宋体" w:cs="宋体"/>
          <w:color w:val="auto"/>
          <w:sz w:val="36"/>
          <w:szCs w:val="36"/>
          <w:highlight w:val="none"/>
        </w:rPr>
        <w:t>评标办法</w:t>
      </w:r>
    </w:p>
    <w:p w14:paraId="21E85B13">
      <w:pPr>
        <w:spacing w:line="440" w:lineRule="exact"/>
        <w:jc w:val="left"/>
        <w:rPr>
          <w:rFonts w:hint="eastAsia" w:ascii="宋体" w:hAnsi="宋体" w:eastAsia="宋体" w:cs="宋体"/>
          <w:b w:val="0"/>
          <w:i w:val="0"/>
          <w:iCs w:val="0"/>
          <w:color w:val="auto"/>
          <w:kern w:val="0"/>
          <w:sz w:val="24"/>
          <w:szCs w:val="24"/>
          <w:highlight w:val="none"/>
          <w:u w:val="none"/>
          <w:lang w:val="zh-CN" w:eastAsia="zh-CN" w:bidi="ar"/>
        </w:rPr>
      </w:pPr>
      <w:r>
        <w:rPr>
          <w:rFonts w:hint="eastAsia" w:ascii="宋体" w:hAnsi="宋体" w:eastAsia="宋体" w:cs="宋体"/>
          <w:b w:val="0"/>
          <w:i w:val="0"/>
          <w:iCs w:val="0"/>
          <w:color w:val="auto"/>
          <w:kern w:val="0"/>
          <w:sz w:val="24"/>
          <w:szCs w:val="24"/>
          <w:highlight w:val="none"/>
          <w:u w:val="none"/>
          <w:lang w:val="zh-CN" w:eastAsia="zh-CN" w:bidi="ar"/>
        </w:rPr>
        <w:t>1、评标方法：</w:t>
      </w:r>
    </w:p>
    <w:p w14:paraId="1B3695CB">
      <w:pPr>
        <w:spacing w:line="440" w:lineRule="exact"/>
        <w:ind w:firstLine="480" w:firstLineChars="200"/>
        <w:jc w:val="left"/>
        <w:rPr>
          <w:rFonts w:hint="eastAsia" w:ascii="宋体" w:hAnsi="宋体" w:eastAsia="宋体" w:cs="宋体"/>
          <w:b w:val="0"/>
          <w:i w:val="0"/>
          <w:iCs w:val="0"/>
          <w:color w:val="auto"/>
          <w:kern w:val="0"/>
          <w:sz w:val="24"/>
          <w:szCs w:val="24"/>
          <w:highlight w:val="none"/>
          <w:u w:val="none"/>
          <w:lang w:val="zh-CN" w:eastAsia="zh-CN" w:bidi="ar"/>
        </w:rPr>
      </w:pPr>
      <w:r>
        <w:rPr>
          <w:rFonts w:hint="eastAsia" w:ascii="宋体" w:hAnsi="宋体" w:eastAsia="宋体" w:cs="宋体"/>
          <w:b w:val="0"/>
          <w:i w:val="0"/>
          <w:iCs w:val="0"/>
          <w:color w:val="auto"/>
          <w:kern w:val="0"/>
          <w:sz w:val="24"/>
          <w:szCs w:val="24"/>
          <w:highlight w:val="none"/>
          <w:u w:val="none"/>
          <w:lang w:val="zh-CN" w:eastAsia="zh-CN" w:bidi="ar"/>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w:t>
      </w:r>
      <w:r>
        <w:rPr>
          <w:rFonts w:hint="eastAsia" w:ascii="宋体" w:hAnsi="宋体" w:eastAsia="宋体" w:cs="宋体"/>
          <w:b w:val="0"/>
          <w:i w:val="0"/>
          <w:iCs w:val="0"/>
          <w:color w:val="auto"/>
          <w:kern w:val="0"/>
          <w:sz w:val="24"/>
          <w:szCs w:val="24"/>
          <w:highlight w:val="none"/>
          <w:u w:val="none"/>
          <w:lang w:val="en-US" w:eastAsia="zh-CN" w:bidi="ar"/>
        </w:rPr>
        <w:t>为一名，</w:t>
      </w:r>
      <w:r>
        <w:rPr>
          <w:rFonts w:hint="eastAsia" w:ascii="宋体" w:hAnsi="宋体" w:eastAsia="宋体" w:cs="宋体"/>
          <w:b w:val="0"/>
          <w:i w:val="0"/>
          <w:iCs w:val="0"/>
          <w:color w:val="auto"/>
          <w:kern w:val="0"/>
          <w:sz w:val="24"/>
          <w:szCs w:val="24"/>
          <w:highlight w:val="none"/>
          <w:u w:val="none"/>
          <w:lang w:val="zh-CN" w:eastAsia="zh-CN" w:bidi="ar"/>
        </w:rPr>
        <w:t>中标候选人并列的，采用随机抽取的方式确定。</w:t>
      </w:r>
    </w:p>
    <w:p w14:paraId="2466359C">
      <w:pPr>
        <w:spacing w:line="440" w:lineRule="exact"/>
        <w:ind w:firstLine="470" w:firstLineChars="196"/>
        <w:jc w:val="left"/>
        <w:rPr>
          <w:rFonts w:hint="eastAsia" w:ascii="宋体" w:hAnsi="宋体" w:eastAsia="宋体" w:cs="宋体"/>
          <w:b w:val="0"/>
          <w:i w:val="0"/>
          <w:iCs w:val="0"/>
          <w:color w:val="auto"/>
          <w:kern w:val="0"/>
          <w:sz w:val="24"/>
          <w:szCs w:val="24"/>
          <w:highlight w:val="none"/>
          <w:u w:val="none"/>
          <w:lang w:val="zh-CN" w:eastAsia="zh-CN" w:bidi="ar"/>
        </w:rPr>
      </w:pPr>
      <w:r>
        <w:rPr>
          <w:rFonts w:hint="eastAsia" w:ascii="宋体" w:hAnsi="宋体" w:eastAsia="宋体" w:cs="宋体"/>
          <w:b w:val="0"/>
          <w:i w:val="0"/>
          <w:iCs w:val="0"/>
          <w:color w:val="auto"/>
          <w:kern w:val="0"/>
          <w:sz w:val="24"/>
          <w:szCs w:val="24"/>
          <w:highlight w:val="none"/>
          <w:u w:val="none"/>
          <w:lang w:val="zh-CN" w:eastAsia="zh-CN" w:bidi="ar"/>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7ED25C9">
      <w:pPr>
        <w:spacing w:line="440" w:lineRule="exact"/>
        <w:ind w:firstLine="480" w:firstLineChars="200"/>
        <w:jc w:val="left"/>
        <w:rPr>
          <w:rFonts w:hint="eastAsia" w:ascii="宋体" w:hAnsi="宋体" w:eastAsia="宋体" w:cs="宋体"/>
          <w:b w:val="0"/>
          <w:i w:val="0"/>
          <w:iCs w:val="0"/>
          <w:color w:val="auto"/>
          <w:kern w:val="0"/>
          <w:sz w:val="24"/>
          <w:szCs w:val="24"/>
          <w:highlight w:val="none"/>
          <w:u w:val="none"/>
          <w:lang w:val="zh-CN" w:eastAsia="zh-CN" w:bidi="ar"/>
        </w:rPr>
      </w:pPr>
      <w:r>
        <w:rPr>
          <w:rFonts w:hint="eastAsia" w:ascii="宋体" w:hAnsi="宋体" w:eastAsia="宋体" w:cs="宋体"/>
          <w:b w:val="0"/>
          <w:i w:val="0"/>
          <w:iCs w:val="0"/>
          <w:color w:val="auto"/>
          <w:kern w:val="0"/>
          <w:sz w:val="24"/>
          <w:szCs w:val="24"/>
          <w:highlight w:val="none"/>
          <w:u w:val="none"/>
          <w:lang w:val="zh-CN" w:eastAsia="zh-CN" w:bidi="ar"/>
        </w:rPr>
        <w:t>非单一产品采购项目，采购人应当根据采购项目技术构成、产品价格比重等合理确定核心产品，并在招标文件中载明。多家投标人提供的核心产品品牌相同的，按前款规定处理。</w:t>
      </w:r>
    </w:p>
    <w:p w14:paraId="56C6A370">
      <w:pPr>
        <w:spacing w:line="440" w:lineRule="exact"/>
        <w:jc w:val="left"/>
        <w:rPr>
          <w:rFonts w:hint="eastAsia" w:ascii="宋体" w:hAnsi="宋体" w:eastAsia="宋体" w:cs="宋体"/>
          <w:b w:val="0"/>
          <w:i w:val="0"/>
          <w:iCs w:val="0"/>
          <w:color w:val="auto"/>
          <w:kern w:val="0"/>
          <w:sz w:val="24"/>
          <w:szCs w:val="24"/>
          <w:highlight w:val="none"/>
          <w:u w:val="none"/>
          <w:lang w:val="zh-CN" w:eastAsia="zh-CN" w:bidi="ar"/>
        </w:rPr>
      </w:pPr>
      <w:r>
        <w:rPr>
          <w:rFonts w:hint="eastAsia" w:ascii="宋体" w:hAnsi="宋体" w:eastAsia="宋体" w:cs="宋体"/>
          <w:b w:val="0"/>
          <w:i w:val="0"/>
          <w:iCs w:val="0"/>
          <w:color w:val="auto"/>
          <w:kern w:val="0"/>
          <w:sz w:val="24"/>
          <w:szCs w:val="24"/>
          <w:highlight w:val="none"/>
          <w:u w:val="none"/>
          <w:lang w:val="zh-CN" w:eastAsia="zh-CN" w:bidi="ar"/>
        </w:rPr>
        <w:t>2.评分标准：共100分，其中商务技术分</w:t>
      </w:r>
      <w:r>
        <w:rPr>
          <w:rFonts w:hint="eastAsia" w:ascii="宋体" w:hAnsi="宋体" w:cs="宋体"/>
          <w:b w:val="0"/>
          <w:i w:val="0"/>
          <w:iCs w:val="0"/>
          <w:color w:val="auto"/>
          <w:kern w:val="0"/>
          <w:sz w:val="24"/>
          <w:szCs w:val="24"/>
          <w:highlight w:val="none"/>
          <w:u w:val="none"/>
          <w:lang w:val="en-US" w:eastAsia="zh-CN" w:bidi="ar"/>
        </w:rPr>
        <w:t>5</w:t>
      </w:r>
      <w:r>
        <w:rPr>
          <w:rFonts w:hint="eastAsia" w:ascii="宋体" w:hAnsi="宋体" w:eastAsia="宋体" w:cs="宋体"/>
          <w:b w:val="0"/>
          <w:i w:val="0"/>
          <w:iCs w:val="0"/>
          <w:color w:val="auto"/>
          <w:kern w:val="0"/>
          <w:sz w:val="24"/>
          <w:szCs w:val="24"/>
          <w:highlight w:val="none"/>
          <w:u w:val="none"/>
          <w:lang w:val="zh-CN" w:eastAsia="zh-CN" w:bidi="ar"/>
        </w:rPr>
        <w:t>0分，价格分</w:t>
      </w:r>
      <w:r>
        <w:rPr>
          <w:rFonts w:hint="eastAsia" w:ascii="宋体" w:hAnsi="宋体" w:cs="宋体"/>
          <w:b w:val="0"/>
          <w:i w:val="0"/>
          <w:iCs w:val="0"/>
          <w:color w:val="auto"/>
          <w:kern w:val="0"/>
          <w:sz w:val="24"/>
          <w:szCs w:val="24"/>
          <w:highlight w:val="none"/>
          <w:u w:val="none"/>
          <w:lang w:val="en-US" w:eastAsia="zh-CN" w:bidi="ar"/>
        </w:rPr>
        <w:t>5</w:t>
      </w:r>
      <w:r>
        <w:rPr>
          <w:rFonts w:hint="eastAsia" w:ascii="宋体" w:hAnsi="宋体" w:eastAsia="宋体" w:cs="宋体"/>
          <w:b w:val="0"/>
          <w:i w:val="0"/>
          <w:iCs w:val="0"/>
          <w:color w:val="auto"/>
          <w:kern w:val="0"/>
          <w:sz w:val="24"/>
          <w:szCs w:val="24"/>
          <w:highlight w:val="none"/>
          <w:u w:val="none"/>
          <w:lang w:val="zh-CN" w:eastAsia="zh-CN" w:bidi="ar"/>
        </w:rPr>
        <w:t>0分。评分依下述所列为评标打分依据，分值如下（计算分值时，按其算术平均值保留小数2位）。</w:t>
      </w:r>
    </w:p>
    <w:p w14:paraId="38D8E50D">
      <w:pPr>
        <w:spacing w:line="440" w:lineRule="exact"/>
        <w:rPr>
          <w:rFonts w:hint="eastAsia" w:ascii="宋体" w:hAnsi="宋体" w:eastAsia="宋体" w:cs="宋体"/>
          <w:b/>
          <w:color w:val="auto"/>
          <w:sz w:val="32"/>
          <w:szCs w:val="20"/>
          <w:highlight w:val="none"/>
        </w:rPr>
      </w:pPr>
      <w:r>
        <w:rPr>
          <w:rFonts w:hint="eastAsia" w:ascii="宋体" w:hAnsi="宋体"/>
          <w:b/>
          <w:color w:val="auto"/>
          <w:highlight w:val="none"/>
          <w:lang w:val="en-US" w:eastAsia="zh-CN"/>
        </w:rPr>
        <w:t>2.1商务技术分（50分）</w:t>
      </w:r>
      <w:bookmarkEnd w:id="34"/>
      <w:bookmarkStart w:id="39" w:name="_Toc23578"/>
      <w:bookmarkStart w:id="40" w:name="_Toc6326"/>
      <w:bookmarkStart w:id="41" w:name="_Toc1479"/>
    </w:p>
    <w:tbl>
      <w:tblPr>
        <w:tblStyle w:val="31"/>
        <w:tblW w:w="97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1410"/>
        <w:gridCol w:w="6451"/>
        <w:gridCol w:w="1125"/>
      </w:tblGrid>
      <w:tr w14:paraId="04940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00D5CEFF">
            <w:pPr>
              <w:widowControl/>
              <w:autoSpaceDE w:val="0"/>
              <w:autoSpaceDN w:val="0"/>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序号</w:t>
            </w:r>
          </w:p>
        </w:tc>
        <w:tc>
          <w:tcPr>
            <w:tcW w:w="1410" w:type="dxa"/>
            <w:vAlign w:val="center"/>
          </w:tcPr>
          <w:p w14:paraId="5F2B1A89">
            <w:pPr>
              <w:widowControl/>
              <w:autoSpaceDE w:val="0"/>
              <w:autoSpaceDN w:val="0"/>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评分项</w:t>
            </w:r>
          </w:p>
        </w:tc>
        <w:tc>
          <w:tcPr>
            <w:tcW w:w="6451" w:type="dxa"/>
            <w:vAlign w:val="center"/>
          </w:tcPr>
          <w:p w14:paraId="246464A4">
            <w:pPr>
              <w:widowControl/>
              <w:autoSpaceDE w:val="0"/>
              <w:autoSpaceDN w:val="0"/>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评审依据及标准</w:t>
            </w:r>
          </w:p>
        </w:tc>
        <w:tc>
          <w:tcPr>
            <w:tcW w:w="1125" w:type="dxa"/>
            <w:vAlign w:val="center"/>
          </w:tcPr>
          <w:p w14:paraId="13630C6B">
            <w:pPr>
              <w:widowControl/>
              <w:autoSpaceDE w:val="0"/>
              <w:autoSpaceDN w:val="0"/>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分值</w:t>
            </w:r>
          </w:p>
        </w:tc>
      </w:tr>
      <w:tr w14:paraId="4FEAE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2823ED2A">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color w:val="auto"/>
                <w:sz w:val="24"/>
                <w:szCs w:val="24"/>
                <w:highlight w:val="none"/>
              </w:rPr>
              <w:t>1</w:t>
            </w:r>
          </w:p>
        </w:tc>
        <w:tc>
          <w:tcPr>
            <w:tcW w:w="1410" w:type="dxa"/>
            <w:vAlign w:val="center"/>
          </w:tcPr>
          <w:p w14:paraId="78B19291">
            <w:pPr>
              <w:keepNext w:val="0"/>
              <w:keepLines w:val="0"/>
              <w:pageBreakBefore w:val="0"/>
              <w:widowControl w:val="0"/>
              <w:tabs>
                <w:tab w:val="left" w:pos="0"/>
              </w:tabs>
              <w:kinsoku/>
              <w:wordWrap/>
              <w:overflowPunct/>
              <w:topLinePunct w:val="0"/>
              <w:autoSpaceDE w:val="0"/>
              <w:autoSpaceDN w:val="0"/>
              <w:bidi w:val="0"/>
              <w:adjustRightInd w:val="0"/>
              <w:snapToGrid/>
              <w:spacing w:line="360" w:lineRule="exact"/>
              <w:ind w:firstLine="0" w:firstLineChars="0"/>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综合评价</w:t>
            </w:r>
          </w:p>
        </w:tc>
        <w:tc>
          <w:tcPr>
            <w:tcW w:w="6451" w:type="dxa"/>
            <w:vAlign w:val="center"/>
          </w:tcPr>
          <w:p w14:paraId="7E49C58A">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2"/>
                <w:sz w:val="24"/>
                <w:szCs w:val="24"/>
                <w:highlight w:val="none"/>
              </w:rPr>
              <w:t>投标企业的品牌价值、市场口碑、使用情况和用户认可度等进行打分。</w:t>
            </w:r>
          </w:p>
        </w:tc>
        <w:tc>
          <w:tcPr>
            <w:tcW w:w="1125" w:type="dxa"/>
            <w:vAlign w:val="center"/>
          </w:tcPr>
          <w:p w14:paraId="25B69A2E">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Cs/>
                <w:color w:val="auto"/>
                <w:sz w:val="24"/>
                <w:szCs w:val="24"/>
                <w:highlight w:val="none"/>
                <w:lang w:val="en-US" w:eastAsia="zh-CN" w:bidi="ar"/>
              </w:rPr>
              <w:t>0-2分</w:t>
            </w:r>
          </w:p>
        </w:tc>
      </w:tr>
      <w:tr w14:paraId="1F74B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3888D91D">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1410" w:type="dxa"/>
            <w:vAlign w:val="center"/>
          </w:tcPr>
          <w:p w14:paraId="356C063E">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kern w:val="2"/>
                <w:sz w:val="24"/>
                <w:szCs w:val="24"/>
                <w:highlight w:val="none"/>
                <w:u w:val="none" w:color="FFFFFF"/>
                <w:lang w:val="en-US" w:eastAsia="zh-CN" w:bidi="ar-SA"/>
              </w:rPr>
            </w:pPr>
            <w:r>
              <w:rPr>
                <w:rFonts w:hint="eastAsia" w:ascii="宋体" w:hAnsi="宋体" w:eastAsia="宋体" w:cs="宋体"/>
                <w:color w:val="auto"/>
                <w:sz w:val="24"/>
                <w:szCs w:val="24"/>
                <w:highlight w:val="none"/>
              </w:rPr>
              <w:t>认证证书</w:t>
            </w:r>
          </w:p>
        </w:tc>
        <w:tc>
          <w:tcPr>
            <w:tcW w:w="6451" w:type="dxa"/>
            <w:vAlign w:val="center"/>
          </w:tcPr>
          <w:p w14:paraId="2FFB1DB6">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2"/>
                <w:sz w:val="24"/>
                <w:szCs w:val="24"/>
                <w:highlight w:val="none"/>
              </w:rPr>
              <w:t>车辆制造商通过国家质量管理体系认证、汽车质量管理体系认证、环境管理体系认证、职业健康安全管理体系认证</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提供一项得</w:t>
            </w:r>
            <w:r>
              <w:rPr>
                <w:rFonts w:hint="eastAsia" w:ascii="宋体" w:hAnsi="宋体" w:eastAsia="宋体" w:cs="宋体"/>
                <w:color w:val="auto"/>
                <w:spacing w:val="-2"/>
                <w:sz w:val="24"/>
                <w:szCs w:val="24"/>
                <w:highlight w:val="none"/>
                <w:lang w:val="en-US" w:eastAsia="zh-CN"/>
              </w:rPr>
              <w:t>0.5</w:t>
            </w:r>
            <w:r>
              <w:rPr>
                <w:rFonts w:hint="eastAsia" w:ascii="宋体" w:hAnsi="宋体" w:eastAsia="宋体" w:cs="宋体"/>
                <w:color w:val="auto"/>
                <w:spacing w:val="-2"/>
                <w:sz w:val="24"/>
                <w:szCs w:val="24"/>
                <w:highlight w:val="none"/>
              </w:rPr>
              <w:t>分，最高得</w:t>
            </w:r>
            <w:r>
              <w:rPr>
                <w:rFonts w:hint="eastAsia" w:ascii="宋体" w:hAnsi="宋体" w:eastAsia="宋体" w:cs="宋体"/>
                <w:color w:val="auto"/>
                <w:spacing w:val="-2"/>
                <w:sz w:val="24"/>
                <w:szCs w:val="24"/>
                <w:highlight w:val="none"/>
                <w:lang w:val="en-US" w:eastAsia="zh-CN"/>
              </w:rPr>
              <w:t>2</w:t>
            </w:r>
            <w:r>
              <w:rPr>
                <w:rFonts w:hint="eastAsia" w:ascii="宋体" w:hAnsi="宋体" w:eastAsia="宋体" w:cs="宋体"/>
                <w:color w:val="auto"/>
                <w:spacing w:val="-2"/>
                <w:sz w:val="24"/>
                <w:szCs w:val="24"/>
                <w:highlight w:val="none"/>
              </w:rPr>
              <w:t>分。（提供认证</w:t>
            </w:r>
            <w:r>
              <w:rPr>
                <w:rFonts w:hint="eastAsia" w:ascii="宋体" w:hAnsi="宋体" w:eastAsia="宋体" w:cs="宋体"/>
                <w:color w:val="auto"/>
                <w:spacing w:val="-2"/>
                <w:sz w:val="24"/>
                <w:szCs w:val="24"/>
                <w:highlight w:val="none"/>
                <w:lang w:val="en-US" w:eastAsia="zh-CN"/>
              </w:rPr>
              <w:t>证书扫描件并</w:t>
            </w:r>
            <w:r>
              <w:rPr>
                <w:rFonts w:hint="eastAsia" w:ascii="宋体" w:hAnsi="宋体" w:eastAsia="宋体" w:cs="宋体"/>
                <w:color w:val="auto"/>
                <w:spacing w:val="-2"/>
                <w:sz w:val="24"/>
                <w:szCs w:val="24"/>
                <w:highlight w:val="none"/>
              </w:rPr>
              <w:t>加盖</w:t>
            </w:r>
            <w:r>
              <w:rPr>
                <w:rFonts w:hint="eastAsia" w:ascii="宋体" w:hAnsi="宋体" w:eastAsia="宋体" w:cs="宋体"/>
                <w:color w:val="auto"/>
                <w:spacing w:val="-2"/>
                <w:sz w:val="24"/>
                <w:szCs w:val="24"/>
                <w:highlight w:val="none"/>
                <w:lang w:val="en-US" w:eastAsia="zh-CN"/>
              </w:rPr>
              <w:t>CA</w:t>
            </w:r>
            <w:r>
              <w:rPr>
                <w:rFonts w:hint="eastAsia" w:ascii="宋体" w:hAnsi="宋体" w:eastAsia="宋体" w:cs="宋体"/>
                <w:color w:val="auto"/>
                <w:spacing w:val="-2"/>
                <w:sz w:val="24"/>
                <w:szCs w:val="24"/>
                <w:highlight w:val="none"/>
              </w:rPr>
              <w:t>公章，不提供的不得分）</w:t>
            </w:r>
          </w:p>
        </w:tc>
        <w:tc>
          <w:tcPr>
            <w:tcW w:w="1125" w:type="dxa"/>
            <w:vAlign w:val="center"/>
          </w:tcPr>
          <w:p w14:paraId="246ECB77">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color w:val="auto"/>
                <w:kern w:val="2"/>
                <w:sz w:val="24"/>
                <w:szCs w:val="24"/>
                <w:highlight w:val="none"/>
                <w:u w:val="none" w:color="FFFFFF"/>
                <w:lang w:val="en-US" w:eastAsia="zh-CN" w:bidi="ar-SA"/>
              </w:rPr>
            </w:pPr>
            <w:r>
              <w:rPr>
                <w:rFonts w:hint="eastAsia" w:ascii="宋体" w:hAnsi="宋体" w:eastAsia="宋体" w:cs="宋体"/>
                <w:bCs/>
                <w:color w:val="auto"/>
                <w:sz w:val="24"/>
                <w:szCs w:val="24"/>
                <w:highlight w:val="none"/>
                <w:lang w:val="en-US" w:eastAsia="zh-CN" w:bidi="ar"/>
              </w:rPr>
              <w:t>0-</w:t>
            </w:r>
            <w:r>
              <w:rPr>
                <w:rFonts w:hint="eastAsia" w:ascii="宋体" w:hAnsi="宋体" w:eastAsia="宋体" w:cs="宋体"/>
                <w:color w:val="auto"/>
                <w:sz w:val="24"/>
                <w:szCs w:val="24"/>
                <w:highlight w:val="none"/>
                <w:lang w:val="en-US" w:eastAsia="zh-CN"/>
              </w:rPr>
              <w:t>2分</w:t>
            </w:r>
          </w:p>
        </w:tc>
      </w:tr>
      <w:tr w14:paraId="04FE4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41BF5248">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410" w:type="dxa"/>
            <w:vAlign w:val="center"/>
          </w:tcPr>
          <w:p w14:paraId="30EB3288">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技术响应</w:t>
            </w:r>
          </w:p>
        </w:tc>
        <w:tc>
          <w:tcPr>
            <w:tcW w:w="6451" w:type="dxa"/>
            <w:vAlign w:val="center"/>
          </w:tcPr>
          <w:p w14:paraId="2EA2F1DF">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2"/>
                <w:kern w:val="0"/>
                <w:sz w:val="24"/>
                <w:szCs w:val="24"/>
                <w:highlight w:val="none"/>
                <w:lang w:val="en-US" w:eastAsia="en-US" w:bidi="ar-SA"/>
              </w:rPr>
            </w:pPr>
            <w:r>
              <w:rPr>
                <w:rFonts w:hint="eastAsia" w:ascii="宋体" w:hAnsi="宋体" w:eastAsia="宋体" w:cs="宋体"/>
                <w:color w:val="auto"/>
                <w:spacing w:val="-2"/>
                <w:sz w:val="24"/>
                <w:szCs w:val="24"/>
                <w:highlight w:val="none"/>
              </w:rPr>
              <w:t>核对技术配置要求，完全能满足的得</w:t>
            </w:r>
            <w:r>
              <w:rPr>
                <w:rFonts w:hint="eastAsia" w:ascii="宋体" w:hAnsi="宋体" w:eastAsia="宋体" w:cs="宋体"/>
                <w:color w:val="auto"/>
                <w:spacing w:val="-2"/>
                <w:sz w:val="24"/>
                <w:szCs w:val="24"/>
                <w:highlight w:val="none"/>
                <w:lang w:val="en-US" w:eastAsia="zh-CN"/>
              </w:rPr>
              <w:t>1</w:t>
            </w:r>
            <w:r>
              <w:rPr>
                <w:rFonts w:hint="eastAsia"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rPr>
              <w:t>分；技术指标每存在一项不符合</w:t>
            </w:r>
            <w:r>
              <w:rPr>
                <w:rFonts w:hint="eastAsia" w:ascii="宋体" w:hAnsi="宋体" w:eastAsia="宋体" w:cs="宋体"/>
                <w:color w:val="auto"/>
                <w:spacing w:val="-2"/>
                <w:sz w:val="24"/>
                <w:szCs w:val="24"/>
                <w:highlight w:val="none"/>
                <w:lang w:eastAsia="zh-CN"/>
              </w:rPr>
              <w:t>的</w:t>
            </w:r>
            <w:r>
              <w:rPr>
                <w:rFonts w:hint="eastAsia" w:ascii="宋体" w:hAnsi="宋体" w:eastAsia="宋体" w:cs="宋体"/>
                <w:color w:val="auto"/>
                <w:spacing w:val="-2"/>
                <w:sz w:val="24"/>
                <w:szCs w:val="24"/>
                <w:highlight w:val="none"/>
              </w:rPr>
              <w:t>扣1分，扣完为止。（推荐品牌项目不作为扣分条款）</w:t>
            </w:r>
            <w:r>
              <w:rPr>
                <w:rFonts w:hint="eastAsia" w:ascii="宋体" w:hAnsi="宋体" w:eastAsia="宋体" w:cs="宋体"/>
                <w:b/>
                <w:bCs/>
                <w:color w:val="auto"/>
                <w:spacing w:val="-2"/>
                <w:sz w:val="24"/>
                <w:szCs w:val="24"/>
                <w:highlight w:val="none"/>
              </w:rPr>
              <w:t>若重要指标(带</w:t>
            </w:r>
            <w:r>
              <w:rPr>
                <w:rFonts w:hint="eastAsia" w:ascii="宋体" w:hAnsi="宋体" w:eastAsia="宋体" w:cs="宋体"/>
                <w:color w:val="auto"/>
                <w:sz w:val="21"/>
                <w:szCs w:val="21"/>
                <w:highlight w:val="none"/>
                <w:lang w:eastAsia="zh-CN"/>
              </w:rPr>
              <w:t>★</w:t>
            </w:r>
            <w:r>
              <w:rPr>
                <w:rFonts w:hint="eastAsia" w:ascii="宋体" w:hAnsi="宋体" w:eastAsia="宋体" w:cs="宋体"/>
                <w:b/>
                <w:bCs/>
                <w:color w:val="auto"/>
                <w:spacing w:val="-2"/>
                <w:sz w:val="24"/>
                <w:szCs w:val="24"/>
                <w:highlight w:val="none"/>
              </w:rPr>
              <w:t>的)有一项不能满足标书要求的作无效标处理。</w:t>
            </w:r>
          </w:p>
        </w:tc>
        <w:tc>
          <w:tcPr>
            <w:tcW w:w="1125" w:type="dxa"/>
            <w:vAlign w:val="center"/>
          </w:tcPr>
          <w:p w14:paraId="703A17D6">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kern w:val="2"/>
                <w:sz w:val="24"/>
                <w:szCs w:val="24"/>
                <w:highlight w:val="none"/>
                <w:lang w:val="en-US" w:eastAsia="zh-CN" w:bidi="ar"/>
              </w:rPr>
            </w:pPr>
            <w:r>
              <w:rPr>
                <w:rFonts w:hint="eastAsia" w:ascii="宋体" w:hAnsi="宋体" w:eastAsia="宋体" w:cs="宋体"/>
                <w:bCs/>
                <w:color w:val="auto"/>
                <w:sz w:val="24"/>
                <w:szCs w:val="24"/>
                <w:highlight w:val="none"/>
                <w:lang w:val="en-US" w:eastAsia="zh-CN" w:bidi="ar"/>
              </w:rPr>
              <w:t>0-1</w:t>
            </w:r>
            <w:r>
              <w:rPr>
                <w:rFonts w:hint="eastAsia" w:ascii="宋体" w:hAnsi="宋体" w:cs="宋体"/>
                <w:bCs/>
                <w:color w:val="auto"/>
                <w:sz w:val="24"/>
                <w:szCs w:val="24"/>
                <w:highlight w:val="none"/>
                <w:lang w:val="en-US" w:eastAsia="zh-CN" w:bidi="ar"/>
              </w:rPr>
              <w:t>1</w:t>
            </w:r>
            <w:r>
              <w:rPr>
                <w:rFonts w:hint="eastAsia" w:ascii="宋体" w:hAnsi="宋体" w:eastAsia="宋体" w:cs="宋体"/>
                <w:bCs/>
                <w:color w:val="auto"/>
                <w:sz w:val="24"/>
                <w:szCs w:val="24"/>
                <w:highlight w:val="none"/>
                <w:lang w:val="en-US" w:eastAsia="zh-CN" w:bidi="ar"/>
              </w:rPr>
              <w:t>分</w:t>
            </w:r>
          </w:p>
        </w:tc>
      </w:tr>
      <w:tr w14:paraId="17364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1A5C2CAB">
            <w:pPr>
              <w:keepNext w:val="0"/>
              <w:keepLines w:val="0"/>
              <w:pageBreakBefore w:val="0"/>
              <w:kinsoku/>
              <w:wordWrap/>
              <w:overflowPunct/>
              <w:topLinePunct w:val="0"/>
              <w:bidi w:val="0"/>
              <w:snapToGrid/>
              <w:spacing w:line="34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410" w:type="dxa"/>
            <w:vAlign w:val="center"/>
          </w:tcPr>
          <w:p w14:paraId="5C7F85AB">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lang w:val="en-US" w:eastAsia="zh-CN"/>
              </w:rPr>
              <w:t>同类</w:t>
            </w:r>
            <w:r>
              <w:rPr>
                <w:rFonts w:hint="eastAsia" w:ascii="宋体" w:hAnsi="宋体" w:eastAsia="宋体" w:cs="宋体"/>
                <w:color w:val="auto"/>
                <w:sz w:val="24"/>
                <w:szCs w:val="24"/>
                <w:highlight w:val="none"/>
              </w:rPr>
              <w:t>业绩</w:t>
            </w:r>
          </w:p>
        </w:tc>
        <w:tc>
          <w:tcPr>
            <w:tcW w:w="6451" w:type="dxa"/>
            <w:vAlign w:val="center"/>
          </w:tcPr>
          <w:p w14:paraId="10C2530A">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2"/>
                <w:sz w:val="24"/>
                <w:szCs w:val="24"/>
                <w:highlight w:val="none"/>
              </w:rPr>
              <w:t>车辆制造商提供20</w:t>
            </w:r>
            <w:r>
              <w:rPr>
                <w:rFonts w:hint="eastAsia" w:ascii="宋体" w:hAnsi="宋体" w:eastAsia="宋体" w:cs="宋体"/>
                <w:color w:val="auto"/>
                <w:spacing w:val="-2"/>
                <w:sz w:val="24"/>
                <w:szCs w:val="24"/>
                <w:highlight w:val="none"/>
                <w:lang w:val="en-US" w:eastAsia="zh-CN"/>
              </w:rPr>
              <w:t>23</w:t>
            </w:r>
            <w:r>
              <w:rPr>
                <w:rFonts w:hint="eastAsia" w:ascii="宋体" w:hAnsi="宋体" w:eastAsia="宋体" w:cs="宋体"/>
                <w:color w:val="auto"/>
                <w:spacing w:val="-2"/>
                <w:sz w:val="24"/>
                <w:szCs w:val="24"/>
                <w:highlight w:val="none"/>
              </w:rPr>
              <w:t>年1月1日以来，纯电动力公交车</w:t>
            </w:r>
            <w:r>
              <w:rPr>
                <w:rFonts w:hint="eastAsia" w:ascii="宋体" w:hAnsi="宋体" w:eastAsia="宋体" w:cs="宋体"/>
                <w:color w:val="auto"/>
                <w:spacing w:val="-2"/>
                <w:sz w:val="24"/>
                <w:szCs w:val="24"/>
                <w:highlight w:val="none"/>
                <w:lang w:val="en-US" w:eastAsia="zh-CN"/>
              </w:rPr>
              <w:t>销售</w:t>
            </w:r>
            <w:r>
              <w:rPr>
                <w:rFonts w:hint="eastAsia" w:ascii="宋体" w:hAnsi="宋体" w:eastAsia="宋体" w:cs="宋体"/>
                <w:color w:val="auto"/>
                <w:spacing w:val="-2"/>
                <w:sz w:val="24"/>
                <w:szCs w:val="24"/>
                <w:highlight w:val="none"/>
              </w:rPr>
              <w:t>合同的，每提供一份得1分，最高得</w:t>
            </w:r>
            <w:r>
              <w:rPr>
                <w:rFonts w:hint="eastAsia" w:ascii="宋体" w:hAnsi="宋体" w:eastAsia="宋体" w:cs="宋体"/>
                <w:color w:val="auto"/>
                <w:spacing w:val="-2"/>
                <w:sz w:val="24"/>
                <w:szCs w:val="24"/>
                <w:highlight w:val="none"/>
                <w:lang w:val="en-US" w:eastAsia="zh-CN"/>
              </w:rPr>
              <w:t>2</w:t>
            </w:r>
            <w:r>
              <w:rPr>
                <w:rFonts w:hint="eastAsia" w:ascii="宋体" w:hAnsi="宋体" w:eastAsia="宋体" w:cs="宋体"/>
                <w:color w:val="auto"/>
                <w:spacing w:val="-2"/>
                <w:sz w:val="24"/>
                <w:szCs w:val="24"/>
                <w:highlight w:val="none"/>
              </w:rPr>
              <w:t>分。(提供合同</w:t>
            </w:r>
            <w:r>
              <w:rPr>
                <w:rFonts w:hint="eastAsia" w:ascii="宋体" w:hAnsi="宋体" w:eastAsia="宋体" w:cs="宋体"/>
                <w:color w:val="auto"/>
                <w:spacing w:val="-2"/>
                <w:sz w:val="24"/>
                <w:szCs w:val="24"/>
                <w:highlight w:val="none"/>
                <w:lang w:val="en-US" w:eastAsia="zh-CN"/>
              </w:rPr>
              <w:t>扫描件并</w:t>
            </w:r>
            <w:r>
              <w:rPr>
                <w:rFonts w:hint="eastAsia" w:ascii="宋体" w:hAnsi="宋体" w:eastAsia="宋体" w:cs="宋体"/>
                <w:color w:val="auto"/>
                <w:spacing w:val="-2"/>
                <w:sz w:val="24"/>
                <w:szCs w:val="24"/>
                <w:highlight w:val="none"/>
              </w:rPr>
              <w:t>加盖</w:t>
            </w:r>
            <w:r>
              <w:rPr>
                <w:rFonts w:hint="eastAsia" w:ascii="宋体" w:hAnsi="宋体" w:eastAsia="宋体" w:cs="宋体"/>
                <w:color w:val="auto"/>
                <w:spacing w:val="-2"/>
                <w:sz w:val="24"/>
                <w:szCs w:val="24"/>
                <w:highlight w:val="none"/>
                <w:lang w:val="en-US" w:eastAsia="zh-CN"/>
              </w:rPr>
              <w:t>CA</w:t>
            </w:r>
            <w:r>
              <w:rPr>
                <w:rFonts w:hint="eastAsia" w:ascii="宋体" w:hAnsi="宋体" w:eastAsia="宋体" w:cs="宋体"/>
                <w:color w:val="auto"/>
                <w:spacing w:val="-2"/>
                <w:sz w:val="24"/>
                <w:szCs w:val="24"/>
                <w:highlight w:val="none"/>
              </w:rPr>
              <w:t>公章）</w:t>
            </w:r>
          </w:p>
        </w:tc>
        <w:tc>
          <w:tcPr>
            <w:tcW w:w="1125" w:type="dxa"/>
            <w:vAlign w:val="center"/>
          </w:tcPr>
          <w:p w14:paraId="2D8CB477">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color w:val="auto"/>
                <w:kern w:val="2"/>
                <w:sz w:val="24"/>
                <w:szCs w:val="24"/>
                <w:highlight w:val="none"/>
                <w:u w:val="none" w:color="FFFFFF"/>
                <w:lang w:val="en-US" w:eastAsia="zh-CN" w:bidi="ar-SA"/>
              </w:rPr>
            </w:pPr>
            <w:r>
              <w:rPr>
                <w:rFonts w:hint="eastAsia" w:ascii="宋体" w:hAnsi="宋体" w:eastAsia="宋体" w:cs="宋体"/>
                <w:bCs/>
                <w:color w:val="auto"/>
                <w:sz w:val="24"/>
                <w:szCs w:val="24"/>
                <w:highlight w:val="none"/>
                <w:lang w:val="en-US" w:eastAsia="zh-CN" w:bidi="ar"/>
              </w:rPr>
              <w:t>0-</w:t>
            </w:r>
            <w:r>
              <w:rPr>
                <w:rFonts w:hint="eastAsia" w:ascii="宋体" w:hAnsi="宋体" w:eastAsia="宋体" w:cs="宋体"/>
                <w:color w:val="auto"/>
                <w:sz w:val="24"/>
                <w:szCs w:val="24"/>
                <w:highlight w:val="none"/>
                <w:lang w:val="en-US" w:eastAsia="zh-CN"/>
              </w:rPr>
              <w:t>2分</w:t>
            </w:r>
          </w:p>
        </w:tc>
      </w:tr>
      <w:tr w14:paraId="009D4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5F18C00A">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5</w:t>
            </w:r>
          </w:p>
        </w:tc>
        <w:tc>
          <w:tcPr>
            <w:tcW w:w="1410" w:type="dxa"/>
            <w:vAlign w:val="center"/>
          </w:tcPr>
          <w:p w14:paraId="14D2D3E7">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spacing w:val="0"/>
                <w:kern w:val="2"/>
                <w:sz w:val="24"/>
                <w:szCs w:val="24"/>
                <w:highlight w:val="none"/>
                <w:u w:val="none" w:color="FFFFFF"/>
                <w:lang w:val="en-US" w:eastAsia="zh-CN" w:bidi="ar-SA"/>
              </w:rPr>
            </w:pPr>
            <w:r>
              <w:rPr>
                <w:rFonts w:hint="eastAsia" w:ascii="宋体" w:hAnsi="宋体" w:eastAsia="宋体" w:cs="宋体"/>
                <w:color w:val="auto"/>
                <w:spacing w:val="0"/>
                <w:sz w:val="24"/>
                <w:szCs w:val="24"/>
                <w:highlight w:val="none"/>
              </w:rPr>
              <w:t>企业荣誉</w:t>
            </w:r>
          </w:p>
        </w:tc>
        <w:tc>
          <w:tcPr>
            <w:tcW w:w="6451" w:type="dxa"/>
            <w:vAlign w:val="center"/>
          </w:tcPr>
          <w:p w14:paraId="7B9853AD">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0"/>
                <w:kern w:val="2"/>
                <w:sz w:val="24"/>
                <w:szCs w:val="24"/>
                <w:highlight w:val="none"/>
                <w:u w:val="none" w:color="FFFFFF"/>
                <w:lang w:val="en-US" w:eastAsia="zh-CN" w:bidi="ar-SA"/>
              </w:rPr>
            </w:pPr>
            <w:r>
              <w:rPr>
                <w:rFonts w:hint="eastAsia" w:ascii="宋体" w:hAnsi="宋体" w:eastAsia="宋体" w:cs="宋体"/>
                <w:color w:val="auto"/>
                <w:spacing w:val="0"/>
                <w:sz w:val="24"/>
                <w:szCs w:val="24"/>
                <w:highlight w:val="none"/>
              </w:rPr>
              <w:t>车辆制造商获得国家部委</w:t>
            </w:r>
            <w:r>
              <w:rPr>
                <w:rFonts w:hint="eastAsia" w:ascii="宋体" w:hAnsi="宋体" w:cs="宋体"/>
                <w:color w:val="auto"/>
                <w:spacing w:val="0"/>
                <w:sz w:val="24"/>
                <w:szCs w:val="24"/>
                <w:highlight w:val="none"/>
                <w:lang w:val="en-US" w:eastAsia="zh-CN"/>
              </w:rPr>
              <w:t>级</w:t>
            </w:r>
            <w:r>
              <w:rPr>
                <w:rFonts w:hint="eastAsia" w:ascii="宋体" w:hAnsi="宋体" w:eastAsia="宋体" w:cs="宋体"/>
                <w:color w:val="auto"/>
                <w:spacing w:val="0"/>
                <w:sz w:val="24"/>
                <w:szCs w:val="24"/>
                <w:highlight w:val="none"/>
              </w:rPr>
              <w:t>科学进步奖项、技术中心、实验室等企业荣誉</w:t>
            </w:r>
            <w:r>
              <w:rPr>
                <w:rFonts w:hint="eastAsia" w:ascii="宋体" w:hAnsi="宋体" w:cs="宋体"/>
                <w:color w:val="auto"/>
                <w:spacing w:val="0"/>
                <w:sz w:val="24"/>
                <w:szCs w:val="24"/>
                <w:highlight w:val="none"/>
                <w:lang w:val="en-US" w:eastAsia="zh-CN"/>
              </w:rPr>
              <w:t>的，</w:t>
            </w:r>
            <w:r>
              <w:rPr>
                <w:rFonts w:hint="eastAsia" w:ascii="宋体" w:hAnsi="宋体" w:eastAsia="宋体" w:cs="宋体"/>
                <w:color w:val="auto"/>
                <w:spacing w:val="0"/>
                <w:sz w:val="24"/>
                <w:szCs w:val="24"/>
                <w:highlight w:val="none"/>
              </w:rPr>
              <w:t>每提供一份得1分，最高得</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分。（提供证明材料</w:t>
            </w:r>
            <w:r>
              <w:rPr>
                <w:rFonts w:hint="eastAsia" w:ascii="宋体" w:hAnsi="宋体" w:eastAsia="宋体" w:cs="宋体"/>
                <w:color w:val="auto"/>
                <w:spacing w:val="0"/>
                <w:sz w:val="24"/>
                <w:szCs w:val="24"/>
                <w:highlight w:val="none"/>
                <w:lang w:val="en-US" w:eastAsia="zh-CN"/>
              </w:rPr>
              <w:t>扫描件并</w:t>
            </w:r>
            <w:r>
              <w:rPr>
                <w:rFonts w:hint="eastAsia" w:ascii="宋体" w:hAnsi="宋体" w:eastAsia="宋体" w:cs="宋体"/>
                <w:color w:val="auto"/>
                <w:spacing w:val="0"/>
                <w:sz w:val="24"/>
                <w:szCs w:val="24"/>
                <w:highlight w:val="none"/>
              </w:rPr>
              <w:t>加盖</w:t>
            </w:r>
            <w:r>
              <w:rPr>
                <w:rFonts w:hint="eastAsia" w:ascii="宋体" w:hAnsi="宋体" w:eastAsia="宋体" w:cs="宋体"/>
                <w:color w:val="auto"/>
                <w:spacing w:val="0"/>
                <w:sz w:val="24"/>
                <w:szCs w:val="24"/>
                <w:highlight w:val="none"/>
                <w:lang w:val="en-US" w:eastAsia="zh-CN"/>
              </w:rPr>
              <w:t>CA</w:t>
            </w:r>
            <w:r>
              <w:rPr>
                <w:rFonts w:hint="eastAsia" w:ascii="宋体" w:hAnsi="宋体" w:eastAsia="宋体" w:cs="宋体"/>
                <w:color w:val="auto"/>
                <w:spacing w:val="0"/>
                <w:sz w:val="24"/>
                <w:szCs w:val="24"/>
                <w:highlight w:val="none"/>
              </w:rPr>
              <w:t>公章)</w:t>
            </w:r>
          </w:p>
        </w:tc>
        <w:tc>
          <w:tcPr>
            <w:tcW w:w="1125" w:type="dxa"/>
            <w:vAlign w:val="center"/>
          </w:tcPr>
          <w:p w14:paraId="06B4F222">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color w:val="auto"/>
                <w:spacing w:val="0"/>
                <w:kern w:val="2"/>
                <w:sz w:val="24"/>
                <w:szCs w:val="24"/>
                <w:highlight w:val="none"/>
                <w:u w:val="none" w:color="FFFFFF"/>
                <w:lang w:val="en-US" w:eastAsia="zh-CN" w:bidi="ar-SA"/>
              </w:rPr>
            </w:pPr>
            <w:r>
              <w:rPr>
                <w:rFonts w:hint="eastAsia" w:ascii="宋体" w:hAnsi="宋体" w:eastAsia="宋体" w:cs="宋体"/>
                <w:bCs/>
                <w:color w:val="auto"/>
                <w:spacing w:val="0"/>
                <w:sz w:val="24"/>
                <w:szCs w:val="24"/>
                <w:highlight w:val="none"/>
                <w:lang w:val="en-US" w:eastAsia="zh-CN" w:bidi="ar"/>
              </w:rPr>
              <w:t>0-</w:t>
            </w:r>
            <w:r>
              <w:rPr>
                <w:rFonts w:hint="eastAsia" w:ascii="宋体" w:hAnsi="宋体" w:eastAsia="宋体" w:cs="宋体"/>
                <w:color w:val="auto"/>
                <w:spacing w:val="0"/>
                <w:sz w:val="24"/>
                <w:szCs w:val="24"/>
                <w:highlight w:val="none"/>
                <w:lang w:val="en-US" w:eastAsia="zh-CN"/>
              </w:rPr>
              <w:t>2分</w:t>
            </w:r>
          </w:p>
        </w:tc>
      </w:tr>
      <w:tr w14:paraId="646C3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2DFC6C8A">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6</w:t>
            </w:r>
          </w:p>
        </w:tc>
        <w:tc>
          <w:tcPr>
            <w:tcW w:w="1410" w:type="dxa"/>
            <w:vAlign w:val="center"/>
          </w:tcPr>
          <w:p w14:paraId="109569AF">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2"/>
                <w:sz w:val="24"/>
                <w:szCs w:val="24"/>
                <w:highlight w:val="none"/>
              </w:rPr>
              <w:t>安全技术</w:t>
            </w:r>
          </w:p>
        </w:tc>
        <w:tc>
          <w:tcPr>
            <w:tcW w:w="6451" w:type="dxa"/>
            <w:vAlign w:val="center"/>
          </w:tcPr>
          <w:p w14:paraId="120E3B7C">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按《电动客车安全技术条件》要求测试涉水后绝缘电阻，绝缘阻值≥9MΩ得2分,绝缘阻值≥8MΩ得1.5分，绝缘阻值≥7MΩ得1分， 绝缘阻值≥6MΩ得 0.5分，其余不得分。(提供第三方检测报告</w:t>
            </w:r>
            <w:r>
              <w:rPr>
                <w:rFonts w:hint="eastAsia" w:ascii="宋体" w:hAnsi="宋体" w:eastAsia="宋体" w:cs="宋体"/>
                <w:color w:val="auto"/>
                <w:spacing w:val="-2"/>
                <w:sz w:val="24"/>
                <w:szCs w:val="24"/>
                <w:highlight w:val="none"/>
                <w:lang w:val="en-US" w:eastAsia="zh-CN"/>
              </w:rPr>
              <w:t>扫描件并</w:t>
            </w:r>
            <w:r>
              <w:rPr>
                <w:rFonts w:hint="eastAsia" w:ascii="宋体" w:hAnsi="宋体" w:eastAsia="宋体" w:cs="宋体"/>
                <w:color w:val="auto"/>
                <w:spacing w:val="-2"/>
                <w:sz w:val="24"/>
                <w:szCs w:val="24"/>
                <w:highlight w:val="none"/>
              </w:rPr>
              <w:t>加盖</w:t>
            </w:r>
            <w:r>
              <w:rPr>
                <w:rFonts w:hint="eastAsia" w:ascii="宋体" w:hAnsi="宋体" w:eastAsia="宋体" w:cs="宋体"/>
                <w:color w:val="auto"/>
                <w:spacing w:val="-2"/>
                <w:sz w:val="24"/>
                <w:szCs w:val="24"/>
                <w:highlight w:val="none"/>
                <w:lang w:val="en-US" w:eastAsia="zh-CN"/>
              </w:rPr>
              <w:t>CA</w:t>
            </w:r>
            <w:r>
              <w:rPr>
                <w:rFonts w:hint="eastAsia" w:ascii="宋体" w:hAnsi="宋体" w:eastAsia="宋体" w:cs="宋体"/>
                <w:color w:val="auto"/>
                <w:spacing w:val="-2"/>
                <w:sz w:val="24"/>
                <w:szCs w:val="24"/>
                <w:highlight w:val="none"/>
              </w:rPr>
              <w:t>公章</w:t>
            </w:r>
            <w:r>
              <w:rPr>
                <w:rFonts w:hint="eastAsia" w:ascii="宋体" w:hAnsi="宋体" w:eastAsia="宋体" w:cs="宋体"/>
                <w:color w:val="auto"/>
                <w:sz w:val="24"/>
                <w:szCs w:val="24"/>
                <w:highlight w:val="none"/>
              </w:rPr>
              <w:t>，不提供的不得分)</w:t>
            </w:r>
          </w:p>
        </w:tc>
        <w:tc>
          <w:tcPr>
            <w:tcW w:w="1125" w:type="dxa"/>
            <w:vAlign w:val="center"/>
          </w:tcPr>
          <w:p w14:paraId="23C8B1A4">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0-2分</w:t>
            </w:r>
          </w:p>
        </w:tc>
      </w:tr>
      <w:tr w14:paraId="59337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36548DDB">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w:t>
            </w:r>
          </w:p>
        </w:tc>
        <w:tc>
          <w:tcPr>
            <w:tcW w:w="1410" w:type="dxa"/>
            <w:vAlign w:val="center"/>
          </w:tcPr>
          <w:p w14:paraId="08D93638">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驱动电机</w:t>
            </w:r>
          </w:p>
        </w:tc>
        <w:tc>
          <w:tcPr>
            <w:tcW w:w="6451" w:type="dxa"/>
            <w:vAlign w:val="center"/>
          </w:tcPr>
          <w:p w14:paraId="27F2A4E7">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cs="宋体"/>
                <w:color w:val="auto"/>
                <w:sz w:val="24"/>
                <w:szCs w:val="24"/>
                <w:highlight w:val="none"/>
                <w:lang w:val="en-US" w:eastAsia="zh-CN"/>
              </w:rPr>
              <w:t>根据驱动电机系统的技术先进性（主要参考额定功率、峰值功率、峰值扭矩）由评委进行行分，0-2分</w:t>
            </w:r>
            <w:r>
              <w:rPr>
                <w:rFonts w:hint="eastAsia" w:ascii="宋体" w:hAnsi="宋体" w:eastAsia="宋体" w:cs="宋体"/>
                <w:color w:val="auto"/>
                <w:sz w:val="24"/>
                <w:szCs w:val="24"/>
                <w:highlight w:val="none"/>
              </w:rPr>
              <w:t>；驱动电机防护等级在IP67基础上每增加1级得1分，最高</w:t>
            </w:r>
            <w:r>
              <w:rPr>
                <w:rFonts w:hint="eastAsia"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分。（提供第三方检测报告</w:t>
            </w:r>
            <w:r>
              <w:rPr>
                <w:rFonts w:hint="eastAsia" w:ascii="宋体" w:hAnsi="宋体" w:eastAsia="宋体" w:cs="宋体"/>
                <w:color w:val="auto"/>
                <w:spacing w:val="-2"/>
                <w:sz w:val="24"/>
                <w:szCs w:val="24"/>
                <w:highlight w:val="none"/>
                <w:lang w:val="en-US" w:eastAsia="zh-CN"/>
              </w:rPr>
              <w:t>扫描件并</w:t>
            </w:r>
            <w:r>
              <w:rPr>
                <w:rFonts w:hint="eastAsia" w:ascii="宋体" w:hAnsi="宋体" w:eastAsia="宋体" w:cs="宋体"/>
                <w:color w:val="auto"/>
                <w:spacing w:val="-2"/>
                <w:sz w:val="24"/>
                <w:szCs w:val="24"/>
                <w:highlight w:val="none"/>
              </w:rPr>
              <w:t>加盖</w:t>
            </w:r>
            <w:r>
              <w:rPr>
                <w:rFonts w:hint="eastAsia" w:ascii="宋体" w:hAnsi="宋体" w:eastAsia="宋体" w:cs="宋体"/>
                <w:color w:val="auto"/>
                <w:spacing w:val="-2"/>
                <w:sz w:val="24"/>
                <w:szCs w:val="24"/>
                <w:highlight w:val="none"/>
                <w:lang w:val="en-US" w:eastAsia="zh-CN"/>
              </w:rPr>
              <w:t>CA</w:t>
            </w:r>
            <w:r>
              <w:rPr>
                <w:rFonts w:hint="eastAsia" w:ascii="宋体" w:hAnsi="宋体" w:eastAsia="宋体" w:cs="宋体"/>
                <w:color w:val="auto"/>
                <w:spacing w:val="-2"/>
                <w:sz w:val="24"/>
                <w:szCs w:val="24"/>
                <w:highlight w:val="none"/>
              </w:rPr>
              <w:t>公章</w:t>
            </w:r>
            <w:r>
              <w:rPr>
                <w:rFonts w:hint="eastAsia" w:ascii="宋体" w:hAnsi="宋体" w:eastAsia="宋体" w:cs="宋体"/>
                <w:color w:val="auto"/>
                <w:sz w:val="24"/>
                <w:szCs w:val="24"/>
                <w:highlight w:val="none"/>
              </w:rPr>
              <w:t>, 不提供的不得分）</w:t>
            </w:r>
          </w:p>
        </w:tc>
        <w:tc>
          <w:tcPr>
            <w:tcW w:w="1125" w:type="dxa"/>
            <w:vAlign w:val="center"/>
          </w:tcPr>
          <w:p w14:paraId="0998F4E1">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kern w:val="2"/>
                <w:sz w:val="24"/>
                <w:szCs w:val="24"/>
                <w:highlight w:val="none"/>
                <w:lang w:val="en-US" w:eastAsia="zh-CN" w:bidi="ar"/>
              </w:rPr>
            </w:pP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tc>
      </w:tr>
      <w:tr w14:paraId="32B91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0C7869DE">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w:t>
            </w:r>
          </w:p>
        </w:tc>
        <w:tc>
          <w:tcPr>
            <w:tcW w:w="1410" w:type="dxa"/>
            <w:vAlign w:val="center"/>
          </w:tcPr>
          <w:p w14:paraId="79A313EA">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动力电池</w:t>
            </w:r>
          </w:p>
        </w:tc>
        <w:tc>
          <w:tcPr>
            <w:tcW w:w="6451" w:type="dxa"/>
            <w:vAlign w:val="center"/>
          </w:tcPr>
          <w:p w14:paraId="6E4AA9DA">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pacing w:val="-2"/>
                <w:sz w:val="24"/>
                <w:szCs w:val="24"/>
                <w:highlight w:val="none"/>
              </w:rPr>
              <w:t>核对动力电池系统技术配置要求，电量在</w:t>
            </w:r>
            <w:r>
              <w:rPr>
                <w:rFonts w:hint="eastAsia" w:ascii="宋体" w:hAnsi="宋体" w:eastAsia="宋体" w:cs="宋体"/>
                <w:color w:val="auto"/>
                <w:spacing w:val="-2"/>
                <w:sz w:val="24"/>
                <w:szCs w:val="24"/>
                <w:highlight w:val="none"/>
                <w:lang w:val="en-US" w:eastAsia="zh-CN"/>
              </w:rPr>
              <w:t>1</w:t>
            </w:r>
            <w:r>
              <w:rPr>
                <w:rFonts w:hint="eastAsia"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lang w:val="en-US" w:eastAsia="zh-CN"/>
              </w:rPr>
              <w:t>0</w:t>
            </w:r>
            <w:r>
              <w:rPr>
                <w:rFonts w:hint="eastAsia" w:ascii="宋体" w:hAnsi="宋体" w:eastAsia="宋体" w:cs="宋体"/>
                <w:color w:val="auto"/>
                <w:spacing w:val="-2"/>
                <w:sz w:val="24"/>
                <w:szCs w:val="24"/>
                <w:highlight w:val="none"/>
              </w:rPr>
              <w:t>kWh基础上每增加1 kWh得</w:t>
            </w:r>
            <w:r>
              <w:rPr>
                <w:rFonts w:hint="eastAsia" w:ascii="宋体" w:hAnsi="宋体" w:eastAsia="宋体" w:cs="宋体"/>
                <w:color w:val="auto"/>
                <w:spacing w:val="-2"/>
                <w:sz w:val="24"/>
                <w:szCs w:val="24"/>
                <w:highlight w:val="none"/>
                <w:lang w:val="en-US" w:eastAsia="zh-CN"/>
              </w:rPr>
              <w:t>0.1</w:t>
            </w:r>
            <w:r>
              <w:rPr>
                <w:rFonts w:hint="eastAsia" w:ascii="宋体" w:hAnsi="宋体" w:eastAsia="宋体" w:cs="宋体"/>
                <w:color w:val="auto"/>
                <w:spacing w:val="-2"/>
                <w:sz w:val="24"/>
                <w:szCs w:val="24"/>
                <w:highlight w:val="none"/>
              </w:rPr>
              <w:t>分，最高</w:t>
            </w:r>
            <w:r>
              <w:rPr>
                <w:rFonts w:hint="eastAsia" w:cs="宋体"/>
                <w:color w:val="auto"/>
                <w:spacing w:val="-2"/>
                <w:sz w:val="24"/>
                <w:szCs w:val="24"/>
                <w:highlight w:val="none"/>
                <w:lang w:val="en-US" w:eastAsia="zh-CN"/>
              </w:rPr>
              <w:t>得4</w:t>
            </w:r>
            <w:r>
              <w:rPr>
                <w:rFonts w:hint="eastAsia" w:ascii="宋体" w:hAnsi="宋体" w:eastAsia="宋体" w:cs="宋体"/>
                <w:color w:val="auto"/>
                <w:spacing w:val="-2"/>
                <w:sz w:val="24"/>
                <w:szCs w:val="24"/>
                <w:highlight w:val="none"/>
              </w:rPr>
              <w:t>分；电池成组能量密度在1</w:t>
            </w:r>
            <w:r>
              <w:rPr>
                <w:rFonts w:hint="eastAsia" w:cs="宋体"/>
                <w:color w:val="auto"/>
                <w:spacing w:val="-2"/>
                <w:sz w:val="24"/>
                <w:szCs w:val="24"/>
                <w:highlight w:val="none"/>
                <w:lang w:val="en-US" w:eastAsia="zh-CN"/>
              </w:rPr>
              <w:t>6</w:t>
            </w:r>
            <w:r>
              <w:rPr>
                <w:rFonts w:hint="eastAsia" w:ascii="宋体" w:hAnsi="宋体" w:eastAsia="宋体" w:cs="宋体"/>
                <w:color w:val="auto"/>
                <w:spacing w:val="-2"/>
                <w:sz w:val="24"/>
                <w:szCs w:val="24"/>
                <w:highlight w:val="none"/>
              </w:rPr>
              <w:t>0wh/Kg基础上每增加1wh/Kg得0.1分，最高</w:t>
            </w:r>
            <w:r>
              <w:rPr>
                <w:rFonts w:hint="eastAsia" w:cs="宋体"/>
                <w:color w:val="auto"/>
                <w:spacing w:val="-2"/>
                <w:sz w:val="24"/>
                <w:szCs w:val="24"/>
                <w:highlight w:val="none"/>
                <w:lang w:val="en-US" w:eastAsia="zh-CN"/>
              </w:rPr>
              <w:t>得</w:t>
            </w:r>
            <w:r>
              <w:rPr>
                <w:rFonts w:hint="eastAsia" w:ascii="宋体" w:hAnsi="宋体" w:eastAsia="宋体" w:cs="宋体"/>
                <w:color w:val="auto"/>
                <w:spacing w:val="-2"/>
                <w:sz w:val="24"/>
                <w:szCs w:val="24"/>
                <w:highlight w:val="none"/>
              </w:rPr>
              <w:t>1分；电池防护等级在IP67基础上每增加1级得</w:t>
            </w:r>
            <w:r>
              <w:rPr>
                <w:rFonts w:hint="eastAsia" w:ascii="宋体" w:hAnsi="宋体" w:eastAsia="宋体"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rPr>
              <w:t>分，最高</w:t>
            </w:r>
            <w:r>
              <w:rPr>
                <w:rFonts w:hint="eastAsia" w:cs="宋体"/>
                <w:color w:val="auto"/>
                <w:spacing w:val="-2"/>
                <w:sz w:val="24"/>
                <w:szCs w:val="24"/>
                <w:highlight w:val="none"/>
                <w:lang w:val="en-US" w:eastAsia="zh-CN"/>
              </w:rPr>
              <w:t>得</w:t>
            </w:r>
            <w:r>
              <w:rPr>
                <w:rFonts w:hint="eastAsia" w:ascii="宋体" w:hAnsi="宋体" w:eastAsia="宋体" w:cs="宋体"/>
                <w:color w:val="auto"/>
                <w:spacing w:val="-2"/>
                <w:sz w:val="24"/>
                <w:szCs w:val="24"/>
                <w:highlight w:val="none"/>
              </w:rPr>
              <w:t>2分。（提供证明材料</w:t>
            </w:r>
            <w:r>
              <w:rPr>
                <w:rFonts w:hint="eastAsia" w:ascii="宋体" w:hAnsi="宋体" w:eastAsia="宋体" w:cs="宋体"/>
                <w:color w:val="auto"/>
                <w:spacing w:val="-2"/>
                <w:sz w:val="24"/>
                <w:szCs w:val="24"/>
                <w:highlight w:val="none"/>
                <w:lang w:val="en-US" w:eastAsia="zh-CN"/>
              </w:rPr>
              <w:t>扫描件并</w:t>
            </w:r>
            <w:r>
              <w:rPr>
                <w:rFonts w:hint="eastAsia" w:ascii="宋体" w:hAnsi="宋体" w:eastAsia="宋体" w:cs="宋体"/>
                <w:color w:val="auto"/>
                <w:spacing w:val="-2"/>
                <w:sz w:val="24"/>
                <w:szCs w:val="24"/>
                <w:highlight w:val="none"/>
              </w:rPr>
              <w:t>加盖</w:t>
            </w:r>
            <w:r>
              <w:rPr>
                <w:rFonts w:hint="eastAsia" w:ascii="宋体" w:hAnsi="宋体" w:eastAsia="宋体" w:cs="宋体"/>
                <w:color w:val="auto"/>
                <w:spacing w:val="-2"/>
                <w:sz w:val="24"/>
                <w:szCs w:val="24"/>
                <w:highlight w:val="none"/>
                <w:lang w:val="en-US" w:eastAsia="zh-CN"/>
              </w:rPr>
              <w:t>CA</w:t>
            </w:r>
            <w:r>
              <w:rPr>
                <w:rFonts w:hint="eastAsia" w:ascii="宋体" w:hAnsi="宋体" w:eastAsia="宋体" w:cs="宋体"/>
                <w:color w:val="auto"/>
                <w:spacing w:val="-2"/>
                <w:sz w:val="24"/>
                <w:szCs w:val="24"/>
                <w:highlight w:val="none"/>
              </w:rPr>
              <w:t>公章）</w:t>
            </w:r>
          </w:p>
        </w:tc>
        <w:tc>
          <w:tcPr>
            <w:tcW w:w="1125" w:type="dxa"/>
            <w:vAlign w:val="center"/>
          </w:tcPr>
          <w:p w14:paraId="3806B956">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kern w:val="2"/>
                <w:sz w:val="24"/>
                <w:szCs w:val="24"/>
                <w:highlight w:val="none"/>
                <w:lang w:val="en-US" w:eastAsia="zh-CN" w:bidi="ar"/>
              </w:rPr>
            </w:pPr>
            <w:r>
              <w:rPr>
                <w:rFonts w:hint="eastAsia" w:ascii="宋体" w:hAnsi="宋体" w:eastAsia="宋体" w:cs="宋体"/>
                <w:bCs/>
                <w:color w:val="auto"/>
                <w:sz w:val="24"/>
                <w:szCs w:val="24"/>
                <w:highlight w:val="none"/>
                <w:lang w:val="en-US" w:eastAsia="zh-CN" w:bidi="ar"/>
              </w:rPr>
              <w:t>0-</w:t>
            </w:r>
            <w:r>
              <w:rPr>
                <w:rFonts w:hint="eastAsia" w:ascii="宋体" w:hAnsi="宋体" w:cs="宋体"/>
                <w:bCs/>
                <w:color w:val="auto"/>
                <w:sz w:val="24"/>
                <w:szCs w:val="24"/>
                <w:highlight w:val="none"/>
                <w:lang w:val="en-US" w:eastAsia="zh-CN" w:bidi="ar"/>
              </w:rPr>
              <w:t>7</w:t>
            </w:r>
            <w:r>
              <w:rPr>
                <w:rFonts w:hint="eastAsia" w:ascii="宋体" w:hAnsi="宋体" w:eastAsia="宋体" w:cs="宋体"/>
                <w:bCs/>
                <w:color w:val="auto"/>
                <w:sz w:val="24"/>
                <w:szCs w:val="24"/>
                <w:highlight w:val="none"/>
                <w:lang w:val="en-US" w:eastAsia="zh-CN" w:bidi="ar"/>
              </w:rPr>
              <w:t>分</w:t>
            </w:r>
          </w:p>
        </w:tc>
      </w:tr>
      <w:tr w14:paraId="26CAE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4EB7FEC1">
            <w:pPr>
              <w:keepNext w:val="0"/>
              <w:keepLines w:val="0"/>
              <w:pageBreakBefore w:val="0"/>
              <w:widowControl/>
              <w:kinsoku/>
              <w:wordWrap/>
              <w:overflowPunct/>
              <w:topLinePunct w:val="0"/>
              <w:bidi w:val="0"/>
              <w:snapToGrid/>
              <w:spacing w:line="34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w:t>
            </w:r>
          </w:p>
        </w:tc>
        <w:tc>
          <w:tcPr>
            <w:tcW w:w="1410" w:type="dxa"/>
            <w:vAlign w:val="center"/>
          </w:tcPr>
          <w:p w14:paraId="3C4E423A">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车身、</w:t>
            </w:r>
            <w:r>
              <w:rPr>
                <w:rFonts w:hint="eastAsia" w:ascii="宋体" w:hAnsi="宋体" w:eastAsia="宋体" w:cs="宋体"/>
                <w:color w:val="auto"/>
                <w:spacing w:val="-2"/>
                <w:sz w:val="24"/>
                <w:szCs w:val="24"/>
                <w:highlight w:val="none"/>
              </w:rPr>
              <w:t>骨架</w:t>
            </w:r>
          </w:p>
        </w:tc>
        <w:tc>
          <w:tcPr>
            <w:tcW w:w="6451" w:type="dxa"/>
            <w:vAlign w:val="center"/>
          </w:tcPr>
          <w:p w14:paraId="0B0A9613">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pacing w:val="-2"/>
                <w:sz w:val="24"/>
                <w:szCs w:val="24"/>
                <w:highlight w:val="none"/>
              </w:rPr>
              <w:t>钢质车身骨架</w:t>
            </w:r>
            <w:r>
              <w:rPr>
                <w:rFonts w:hint="eastAsia" w:ascii="宋体" w:hAnsi="宋体" w:eastAsia="宋体" w:cs="宋体"/>
                <w:color w:val="auto"/>
                <w:spacing w:val="-2"/>
                <w:sz w:val="24"/>
                <w:szCs w:val="24"/>
                <w:highlight w:val="none"/>
                <w:lang w:val="en-US" w:eastAsia="zh-CN"/>
              </w:rPr>
              <w:t>由</w:t>
            </w:r>
            <w:r>
              <w:rPr>
                <w:rFonts w:hint="eastAsia" w:ascii="宋体" w:hAnsi="宋体" w:eastAsia="宋体" w:cs="宋体"/>
                <w:color w:val="auto"/>
                <w:spacing w:val="-2"/>
                <w:sz w:val="24"/>
                <w:szCs w:val="24"/>
                <w:highlight w:val="none"/>
              </w:rPr>
              <w:t>机器人进行焊接得</w:t>
            </w:r>
            <w:r>
              <w:rPr>
                <w:rFonts w:hint="eastAsia" w:ascii="宋体" w:hAnsi="宋体" w:eastAsia="宋体"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rPr>
              <w:t>分</w:t>
            </w: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2"/>
                <w:sz w:val="24"/>
                <w:szCs w:val="24"/>
                <w:highlight w:val="none"/>
              </w:rPr>
              <w:t>（提供机器人采购合同描件和设备照片并加盖CA公章）</w:t>
            </w:r>
          </w:p>
        </w:tc>
        <w:tc>
          <w:tcPr>
            <w:tcW w:w="1125" w:type="dxa"/>
            <w:vAlign w:val="center"/>
          </w:tcPr>
          <w:p w14:paraId="1108B283">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kern w:val="2"/>
                <w:sz w:val="24"/>
                <w:szCs w:val="24"/>
                <w:highlight w:val="none"/>
                <w:lang w:val="en-US" w:eastAsia="zh-CN" w:bidi="ar"/>
              </w:rPr>
            </w:pPr>
            <w:r>
              <w:rPr>
                <w:rFonts w:hint="eastAsia" w:ascii="宋体" w:hAnsi="宋体" w:eastAsia="宋体" w:cs="宋体"/>
                <w:bCs/>
                <w:color w:val="auto"/>
                <w:sz w:val="24"/>
                <w:szCs w:val="24"/>
                <w:highlight w:val="none"/>
                <w:lang w:val="en-US" w:eastAsia="zh-CN" w:bidi="ar"/>
              </w:rPr>
              <w:t>0-</w:t>
            </w:r>
            <w:r>
              <w:rPr>
                <w:rFonts w:hint="eastAsia" w:ascii="宋体" w:hAnsi="宋体" w:eastAsia="宋体" w:cs="宋体"/>
                <w:color w:val="auto"/>
                <w:sz w:val="24"/>
                <w:szCs w:val="24"/>
                <w:highlight w:val="none"/>
                <w:lang w:val="en-US" w:eastAsia="zh-CN"/>
              </w:rPr>
              <w:t>1分</w:t>
            </w:r>
          </w:p>
        </w:tc>
      </w:tr>
      <w:tr w14:paraId="2FAC8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Merge w:val="restart"/>
            <w:vAlign w:val="center"/>
          </w:tcPr>
          <w:p w14:paraId="7726D5EC">
            <w:pPr>
              <w:keepNext w:val="0"/>
              <w:keepLines w:val="0"/>
              <w:pageBreakBefore w:val="0"/>
              <w:widowControl/>
              <w:kinsoku/>
              <w:wordWrap/>
              <w:overflowPunct/>
              <w:topLinePunct w:val="0"/>
              <w:bidi w:val="0"/>
              <w:snapToGrid/>
              <w:spacing w:line="34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0</w:t>
            </w:r>
          </w:p>
        </w:tc>
        <w:tc>
          <w:tcPr>
            <w:tcW w:w="1410" w:type="dxa"/>
            <w:vMerge w:val="restart"/>
            <w:vAlign w:val="center"/>
          </w:tcPr>
          <w:p w14:paraId="43D32610">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spacing w:val="-2"/>
                <w:sz w:val="24"/>
                <w:szCs w:val="24"/>
                <w:highlight w:val="none"/>
              </w:rPr>
            </w:pPr>
            <w:r>
              <w:rPr>
                <w:rFonts w:hint="eastAsia" w:ascii="宋体" w:hAnsi="宋体" w:eastAsia="宋体" w:cs="宋体"/>
                <w:color w:val="auto"/>
                <w:sz w:val="24"/>
                <w:szCs w:val="24"/>
                <w:highlight w:val="none"/>
              </w:rPr>
              <w:t>质保期</w:t>
            </w:r>
          </w:p>
        </w:tc>
        <w:tc>
          <w:tcPr>
            <w:tcW w:w="6451" w:type="dxa"/>
            <w:vAlign w:val="center"/>
          </w:tcPr>
          <w:p w14:paraId="528DAAEF">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pacing w:val="-2"/>
                <w:sz w:val="24"/>
                <w:szCs w:val="24"/>
                <w:highlight w:val="none"/>
              </w:rPr>
              <w:t>进口ABS、主减器、半轴、桥壳和前后桥免维护轮毂总成。质保期在3年（不计里程）基础上，每延长1年加0.5分，最高得2.5分。</w:t>
            </w:r>
            <w:r>
              <w:rPr>
                <w:rFonts w:hint="eastAsia" w:ascii="宋体" w:hAnsi="宋体" w:eastAsia="宋体" w:cs="宋体"/>
                <w:color w:val="auto"/>
                <w:spacing w:val="-2"/>
                <w:sz w:val="24"/>
                <w:szCs w:val="24"/>
                <w:highlight w:val="none"/>
                <w:lang w:eastAsia="zh-CN"/>
              </w:rPr>
              <w:t>投标人</w:t>
            </w:r>
            <w:r>
              <w:rPr>
                <w:rFonts w:hint="eastAsia" w:ascii="宋体" w:hAnsi="宋体" w:eastAsia="宋体" w:cs="宋体"/>
                <w:color w:val="auto"/>
                <w:spacing w:val="-2"/>
                <w:sz w:val="24"/>
                <w:szCs w:val="24"/>
                <w:highlight w:val="none"/>
              </w:rPr>
              <w:t>出具售后服务承诺函，并附承诺函</w:t>
            </w:r>
            <w:r>
              <w:rPr>
                <w:rFonts w:hint="eastAsia" w:ascii="宋体" w:hAnsi="宋体" w:eastAsia="宋体" w:cs="宋体"/>
                <w:color w:val="auto"/>
                <w:spacing w:val="-2"/>
                <w:sz w:val="24"/>
                <w:szCs w:val="24"/>
                <w:highlight w:val="none"/>
                <w:lang w:val="en-US" w:eastAsia="zh-CN"/>
              </w:rPr>
              <w:t>扫描件</w:t>
            </w:r>
            <w:r>
              <w:rPr>
                <w:rFonts w:hint="eastAsia" w:ascii="宋体" w:hAnsi="宋体" w:eastAsia="宋体" w:cs="宋体"/>
                <w:color w:val="auto"/>
                <w:spacing w:val="-2"/>
                <w:sz w:val="24"/>
                <w:szCs w:val="24"/>
                <w:highlight w:val="none"/>
              </w:rPr>
              <w:t>、加盖</w:t>
            </w:r>
            <w:r>
              <w:rPr>
                <w:rFonts w:hint="eastAsia" w:ascii="宋体" w:hAnsi="宋体" w:eastAsia="宋体" w:cs="宋体"/>
                <w:color w:val="auto"/>
                <w:spacing w:val="-2"/>
                <w:sz w:val="24"/>
                <w:szCs w:val="24"/>
                <w:highlight w:val="none"/>
                <w:lang w:val="en-US" w:eastAsia="zh-CN"/>
              </w:rPr>
              <w:t>CA</w:t>
            </w:r>
            <w:r>
              <w:rPr>
                <w:rFonts w:hint="eastAsia" w:ascii="宋体" w:hAnsi="宋体" w:eastAsia="宋体" w:cs="宋体"/>
                <w:color w:val="auto"/>
                <w:spacing w:val="-2"/>
                <w:sz w:val="24"/>
                <w:szCs w:val="24"/>
                <w:highlight w:val="none"/>
              </w:rPr>
              <w:t>公章，否则不得分。</w:t>
            </w:r>
          </w:p>
        </w:tc>
        <w:tc>
          <w:tcPr>
            <w:tcW w:w="1125" w:type="dxa"/>
            <w:vAlign w:val="center"/>
          </w:tcPr>
          <w:p w14:paraId="43B5EACA">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kern w:val="2"/>
                <w:sz w:val="24"/>
                <w:szCs w:val="24"/>
                <w:highlight w:val="none"/>
                <w:lang w:val="en-US" w:eastAsia="zh-CN" w:bidi="ar"/>
              </w:rPr>
            </w:pPr>
            <w:r>
              <w:rPr>
                <w:rFonts w:hint="eastAsia" w:ascii="宋体" w:hAnsi="宋体" w:eastAsia="宋体" w:cs="宋体"/>
                <w:bCs/>
                <w:color w:val="auto"/>
                <w:sz w:val="24"/>
                <w:szCs w:val="24"/>
                <w:highlight w:val="none"/>
                <w:lang w:val="en-US" w:eastAsia="zh-CN" w:bidi="ar"/>
              </w:rPr>
              <w:t>0-</w:t>
            </w:r>
            <w:r>
              <w:rPr>
                <w:rFonts w:hint="eastAsia" w:ascii="宋体" w:hAnsi="宋体" w:eastAsia="宋体" w:cs="宋体"/>
                <w:color w:val="auto"/>
                <w:sz w:val="24"/>
                <w:szCs w:val="24"/>
                <w:highlight w:val="none"/>
                <w:lang w:val="en-US" w:eastAsia="zh-CN"/>
              </w:rPr>
              <w:t>2.5分</w:t>
            </w:r>
          </w:p>
        </w:tc>
      </w:tr>
      <w:tr w14:paraId="1D2CB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97" w:type="dxa"/>
            <w:vMerge w:val="continue"/>
            <w:vAlign w:val="center"/>
          </w:tcPr>
          <w:p w14:paraId="132764AB">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0"/>
                <w:sz w:val="24"/>
                <w:szCs w:val="24"/>
                <w:highlight w:val="none"/>
                <w:lang w:val="en-US" w:eastAsia="zh-CN"/>
              </w:rPr>
            </w:pPr>
          </w:p>
        </w:tc>
        <w:tc>
          <w:tcPr>
            <w:tcW w:w="1410" w:type="dxa"/>
            <w:vMerge w:val="continue"/>
            <w:vAlign w:val="center"/>
          </w:tcPr>
          <w:p w14:paraId="7BCDE6D8">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spacing w:val="-2"/>
                <w:sz w:val="24"/>
                <w:szCs w:val="24"/>
                <w:highlight w:val="none"/>
              </w:rPr>
            </w:pPr>
          </w:p>
        </w:tc>
        <w:tc>
          <w:tcPr>
            <w:tcW w:w="6451" w:type="dxa"/>
            <w:vAlign w:val="center"/>
          </w:tcPr>
          <w:p w14:paraId="2E7D4CD2">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减震器，铝合金轮辋，地板及地板革，座椅，投币箱及刷卡机，易燃挥发物监测告警装置，智能调度终端及行驶记录仪，驾驶安全辅助系统及主动安全系统，胎压监测系统，电子水泵，电驱空气压缩机。共11项。质保期在3年（不计里程）基础上，每项每延长1年加0.1分，单项最高0.5分，本项最高得5.5分。</w:t>
            </w:r>
          </w:p>
          <w:p w14:paraId="2F02489B">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pacing w:val="-2"/>
                <w:sz w:val="24"/>
                <w:szCs w:val="24"/>
                <w:highlight w:val="none"/>
                <w:lang w:eastAsia="zh-CN"/>
              </w:rPr>
              <w:t>投标人</w:t>
            </w:r>
            <w:r>
              <w:rPr>
                <w:rFonts w:hint="eastAsia" w:ascii="宋体" w:hAnsi="宋体" w:eastAsia="宋体" w:cs="宋体"/>
                <w:color w:val="auto"/>
                <w:spacing w:val="-2"/>
                <w:sz w:val="24"/>
                <w:szCs w:val="24"/>
                <w:highlight w:val="none"/>
              </w:rPr>
              <w:t>出具售后服务承诺函，并附承诺函</w:t>
            </w:r>
            <w:r>
              <w:rPr>
                <w:rFonts w:hint="eastAsia" w:ascii="宋体" w:hAnsi="宋体" w:eastAsia="宋体" w:cs="宋体"/>
                <w:color w:val="auto"/>
                <w:spacing w:val="-2"/>
                <w:sz w:val="24"/>
                <w:szCs w:val="24"/>
                <w:highlight w:val="none"/>
                <w:lang w:val="en-US" w:eastAsia="zh-CN"/>
              </w:rPr>
              <w:t>扫描件</w:t>
            </w:r>
            <w:r>
              <w:rPr>
                <w:rFonts w:hint="eastAsia" w:ascii="宋体" w:hAnsi="宋体" w:eastAsia="宋体" w:cs="宋体"/>
                <w:color w:val="auto"/>
                <w:spacing w:val="-2"/>
                <w:sz w:val="24"/>
                <w:szCs w:val="24"/>
                <w:highlight w:val="none"/>
              </w:rPr>
              <w:t>、加盖</w:t>
            </w:r>
            <w:r>
              <w:rPr>
                <w:rFonts w:hint="eastAsia" w:ascii="宋体" w:hAnsi="宋体" w:eastAsia="宋体" w:cs="宋体"/>
                <w:color w:val="auto"/>
                <w:spacing w:val="-2"/>
                <w:sz w:val="24"/>
                <w:szCs w:val="24"/>
                <w:highlight w:val="none"/>
                <w:lang w:val="en-US" w:eastAsia="zh-CN"/>
              </w:rPr>
              <w:t>CA</w:t>
            </w:r>
            <w:r>
              <w:rPr>
                <w:rFonts w:hint="eastAsia" w:ascii="宋体" w:hAnsi="宋体" w:eastAsia="宋体" w:cs="宋体"/>
                <w:color w:val="auto"/>
                <w:spacing w:val="-2"/>
                <w:sz w:val="24"/>
                <w:szCs w:val="24"/>
                <w:highlight w:val="none"/>
              </w:rPr>
              <w:t>公章，否则不得分。</w:t>
            </w:r>
          </w:p>
        </w:tc>
        <w:tc>
          <w:tcPr>
            <w:tcW w:w="1125" w:type="dxa"/>
            <w:vAlign w:val="center"/>
          </w:tcPr>
          <w:p w14:paraId="7C307AB8">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kern w:val="2"/>
                <w:sz w:val="24"/>
                <w:szCs w:val="24"/>
                <w:highlight w:val="none"/>
                <w:lang w:val="en-US" w:eastAsia="zh-CN" w:bidi="ar"/>
              </w:rPr>
            </w:pPr>
            <w:r>
              <w:rPr>
                <w:rFonts w:hint="eastAsia" w:ascii="宋体" w:hAnsi="宋体" w:eastAsia="宋体" w:cs="宋体"/>
                <w:bCs/>
                <w:color w:val="auto"/>
                <w:sz w:val="24"/>
                <w:szCs w:val="24"/>
                <w:highlight w:val="none"/>
                <w:lang w:val="en-US" w:eastAsia="zh-CN" w:bidi="ar"/>
              </w:rPr>
              <w:t>0-</w:t>
            </w:r>
            <w:r>
              <w:rPr>
                <w:rFonts w:hint="eastAsia" w:ascii="宋体" w:hAnsi="宋体" w:eastAsia="宋体" w:cs="宋体"/>
                <w:color w:val="auto"/>
                <w:sz w:val="24"/>
                <w:szCs w:val="24"/>
                <w:highlight w:val="none"/>
                <w:lang w:val="en-US" w:eastAsia="zh-CN"/>
              </w:rPr>
              <w:t>5.5分</w:t>
            </w:r>
          </w:p>
        </w:tc>
      </w:tr>
      <w:tr w14:paraId="75D75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shd w:val="clear" w:color="auto" w:fill="auto"/>
            <w:vAlign w:val="center"/>
          </w:tcPr>
          <w:p w14:paraId="6371D7E0">
            <w:pPr>
              <w:keepNext w:val="0"/>
              <w:keepLines w:val="0"/>
              <w:pageBreakBefore w:val="0"/>
              <w:widowControl/>
              <w:kinsoku/>
              <w:wordWrap/>
              <w:overflowPunct/>
              <w:topLinePunct w:val="0"/>
              <w:bidi w:val="0"/>
              <w:snapToGrid/>
              <w:spacing w:line="340" w:lineRule="exact"/>
              <w:jc w:val="center"/>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1</w:t>
            </w:r>
          </w:p>
        </w:tc>
        <w:tc>
          <w:tcPr>
            <w:tcW w:w="1410" w:type="dxa"/>
            <w:shd w:val="clear" w:color="auto" w:fill="auto"/>
            <w:vAlign w:val="center"/>
          </w:tcPr>
          <w:p w14:paraId="6F7E9FAB">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特约服务网点</w:t>
            </w:r>
          </w:p>
        </w:tc>
        <w:tc>
          <w:tcPr>
            <w:tcW w:w="6451" w:type="dxa"/>
            <w:vAlign w:val="center"/>
          </w:tcPr>
          <w:p w14:paraId="459CFE2D">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rPr>
              <w:t>车辆生产厂家特约服务网点</w:t>
            </w:r>
            <w:r>
              <w:rPr>
                <w:rFonts w:hint="eastAsia" w:cs="宋体"/>
                <w:color w:val="auto"/>
                <w:spacing w:val="-2"/>
                <w:sz w:val="24"/>
                <w:szCs w:val="24"/>
                <w:highlight w:val="none"/>
                <w:lang w:val="en-US" w:eastAsia="zh-CN"/>
              </w:rPr>
              <w:t>距离嵊州市客运西站、嵊州市客运中心、嵊州东站均在12公里以内的得1分，均在18公里以内的得0.5分，其余不得分。</w:t>
            </w:r>
          </w:p>
          <w:p w14:paraId="29F37C36">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2.</w:t>
            </w:r>
            <w:r>
              <w:rPr>
                <w:rFonts w:hint="eastAsia" w:ascii="宋体" w:hAnsi="宋体" w:eastAsia="宋体" w:cs="宋体"/>
                <w:color w:val="auto"/>
                <w:spacing w:val="-2"/>
                <w:sz w:val="24"/>
                <w:szCs w:val="24"/>
                <w:highlight w:val="none"/>
              </w:rPr>
              <w:t>选用的三电系统（动力电池、驱动电机、电控系统）生产厂家特约服务网点</w:t>
            </w:r>
            <w:r>
              <w:rPr>
                <w:rFonts w:hint="eastAsia" w:cs="宋体"/>
                <w:color w:val="auto"/>
                <w:spacing w:val="-2"/>
                <w:sz w:val="24"/>
                <w:szCs w:val="24"/>
                <w:highlight w:val="none"/>
                <w:lang w:val="en-US" w:eastAsia="zh-CN"/>
              </w:rPr>
              <w:t>距离嵊州市客运西站、嵊州市客运中心、嵊州东站均在12公里以内的得1分，均在18公里以内的得0.5分，其余不得分。</w:t>
            </w:r>
          </w:p>
          <w:p w14:paraId="4F673615">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rPr>
              <w:t>选用的空调生产厂家特约服务网点</w:t>
            </w:r>
            <w:r>
              <w:rPr>
                <w:rFonts w:hint="eastAsia" w:cs="宋体"/>
                <w:color w:val="auto"/>
                <w:spacing w:val="-2"/>
                <w:sz w:val="24"/>
                <w:szCs w:val="24"/>
                <w:highlight w:val="none"/>
                <w:lang w:val="en-US" w:eastAsia="zh-CN"/>
              </w:rPr>
              <w:t>距离嵊州市客运西站、嵊州市客运中心、嵊州东站均在12公里以内的得1分，均在18公里以内的得0.5分，其余不得分。</w:t>
            </w:r>
          </w:p>
          <w:p w14:paraId="5833AAA5">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default" w:ascii="宋体" w:hAnsi="宋体" w:eastAsia="宋体" w:cs="宋体"/>
                <w:b/>
                <w:bCs/>
                <w:color w:val="auto"/>
                <w:spacing w:val="-2"/>
                <w:sz w:val="24"/>
                <w:szCs w:val="24"/>
                <w:highlight w:val="none"/>
                <w:lang w:val="en-US" w:eastAsia="zh-CN"/>
              </w:rPr>
            </w:pPr>
            <w:r>
              <w:rPr>
                <w:rFonts w:hint="eastAsia" w:ascii="宋体" w:hAnsi="宋体" w:eastAsia="宋体" w:cs="宋体"/>
                <w:b/>
                <w:bCs/>
                <w:color w:val="auto"/>
                <w:spacing w:val="-2"/>
                <w:sz w:val="24"/>
                <w:szCs w:val="24"/>
                <w:highlight w:val="none"/>
                <w:lang w:val="en-US" w:eastAsia="zh-CN"/>
              </w:rPr>
              <w:t>注：</w:t>
            </w:r>
            <w:r>
              <w:rPr>
                <w:rFonts w:hint="eastAsia" w:cs="宋体"/>
                <w:b/>
                <w:bCs/>
                <w:color w:val="auto"/>
                <w:spacing w:val="-2"/>
                <w:sz w:val="24"/>
                <w:szCs w:val="24"/>
                <w:highlight w:val="none"/>
                <w:lang w:val="en-US" w:eastAsia="zh-CN"/>
              </w:rPr>
              <w:t>1.以上三个站点的距离需同时满足才能得分，</w:t>
            </w:r>
            <w:bookmarkStart w:id="42" w:name="_GoBack"/>
            <w:bookmarkEnd w:id="42"/>
            <w:r>
              <w:rPr>
                <w:rFonts w:hint="eastAsia" w:cs="宋体"/>
                <w:b/>
                <w:bCs/>
                <w:color w:val="auto"/>
                <w:spacing w:val="-2"/>
                <w:sz w:val="24"/>
                <w:szCs w:val="24"/>
                <w:highlight w:val="none"/>
                <w:lang w:val="en-US" w:eastAsia="zh-CN"/>
              </w:rPr>
              <w:t>以</w:t>
            </w:r>
            <w:r>
              <w:rPr>
                <w:rFonts w:hint="eastAsia" w:ascii="宋体" w:hAnsi="宋体" w:eastAsia="宋体" w:cs="宋体"/>
                <w:b/>
                <w:bCs/>
                <w:color w:val="auto"/>
                <w:spacing w:val="-2"/>
                <w:sz w:val="24"/>
                <w:szCs w:val="24"/>
                <w:highlight w:val="none"/>
                <w:lang w:val="en-US" w:eastAsia="zh-CN"/>
              </w:rPr>
              <w:t>高德地图或百度地图等导航软件截图为准。</w:t>
            </w:r>
          </w:p>
          <w:p w14:paraId="4BE85929">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b/>
                <w:bCs/>
                <w:color w:val="auto"/>
                <w:spacing w:val="-2"/>
                <w:sz w:val="24"/>
                <w:szCs w:val="24"/>
                <w:highlight w:val="none"/>
                <w:lang w:val="en-US" w:eastAsia="zh-CN"/>
              </w:rPr>
            </w:pPr>
            <w:r>
              <w:rPr>
                <w:rFonts w:hint="eastAsia" w:cs="宋体"/>
                <w:b/>
                <w:bCs/>
                <w:color w:val="auto"/>
                <w:spacing w:val="-2"/>
                <w:sz w:val="24"/>
                <w:szCs w:val="24"/>
                <w:highlight w:val="none"/>
                <w:lang w:val="en-US" w:eastAsia="zh-CN"/>
              </w:rPr>
              <w:t>2</w:t>
            </w:r>
            <w:r>
              <w:rPr>
                <w:rFonts w:hint="eastAsia" w:ascii="宋体" w:hAnsi="宋体" w:eastAsia="宋体" w:cs="宋体"/>
                <w:b/>
                <w:bCs/>
                <w:color w:val="auto"/>
                <w:spacing w:val="-2"/>
                <w:sz w:val="24"/>
                <w:szCs w:val="24"/>
                <w:highlight w:val="none"/>
                <w:lang w:val="en-US" w:eastAsia="zh-CN"/>
              </w:rPr>
              <w:t>.服务网点必须具备汽车修理一类资质，否则不得分。</w:t>
            </w:r>
          </w:p>
          <w:p w14:paraId="7A1368B8">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b/>
                <w:bCs/>
                <w:color w:val="auto"/>
                <w:spacing w:val="-2"/>
                <w:sz w:val="24"/>
                <w:szCs w:val="24"/>
                <w:highlight w:val="none"/>
                <w:lang w:val="en-US" w:eastAsia="zh-CN"/>
              </w:rPr>
            </w:pPr>
            <w:r>
              <w:rPr>
                <w:rFonts w:hint="eastAsia" w:cs="宋体"/>
                <w:b/>
                <w:bCs/>
                <w:color w:val="auto"/>
                <w:spacing w:val="-2"/>
                <w:sz w:val="24"/>
                <w:szCs w:val="24"/>
                <w:highlight w:val="none"/>
                <w:lang w:val="en-US" w:eastAsia="zh-CN"/>
              </w:rPr>
              <w:t>3</w:t>
            </w:r>
            <w:r>
              <w:rPr>
                <w:rFonts w:hint="eastAsia" w:ascii="宋体" w:hAnsi="宋体" w:eastAsia="宋体" w:cs="宋体"/>
                <w:b/>
                <w:bCs/>
                <w:color w:val="auto"/>
                <w:spacing w:val="-2"/>
                <w:sz w:val="24"/>
                <w:szCs w:val="24"/>
                <w:highlight w:val="none"/>
                <w:lang w:val="en-US" w:eastAsia="zh-CN"/>
              </w:rPr>
              <w:t>.</w:t>
            </w:r>
            <w:r>
              <w:rPr>
                <w:rFonts w:hint="eastAsia" w:ascii="宋体" w:hAnsi="宋体" w:eastAsia="宋体" w:cs="宋体"/>
                <w:b/>
                <w:bCs/>
                <w:color w:val="auto"/>
                <w:spacing w:val="-2"/>
                <w:sz w:val="24"/>
                <w:szCs w:val="24"/>
                <w:highlight w:val="none"/>
              </w:rPr>
              <w:t>提供特约服务站有效期内营业执照、服务站企业资质、合作协议的</w:t>
            </w:r>
            <w:r>
              <w:rPr>
                <w:rFonts w:hint="eastAsia" w:ascii="宋体" w:hAnsi="宋体" w:eastAsia="宋体" w:cs="宋体"/>
                <w:b/>
                <w:bCs/>
                <w:color w:val="auto"/>
                <w:spacing w:val="-2"/>
                <w:sz w:val="24"/>
                <w:szCs w:val="24"/>
                <w:highlight w:val="none"/>
                <w:lang w:val="en-US" w:eastAsia="zh-CN"/>
              </w:rPr>
              <w:t>扫描件</w:t>
            </w:r>
            <w:r>
              <w:rPr>
                <w:rFonts w:hint="eastAsia" w:ascii="宋体" w:hAnsi="宋体" w:eastAsia="宋体" w:cs="宋体"/>
                <w:b/>
                <w:bCs/>
                <w:color w:val="auto"/>
                <w:spacing w:val="-2"/>
                <w:sz w:val="24"/>
                <w:szCs w:val="24"/>
                <w:highlight w:val="none"/>
              </w:rPr>
              <w:t>和特约服务站近三个月的交纳社保证明，以上材料都须加盖服务站公章并签字、指明用途。</w:t>
            </w:r>
          </w:p>
        </w:tc>
        <w:tc>
          <w:tcPr>
            <w:tcW w:w="1125" w:type="dxa"/>
            <w:vAlign w:val="center"/>
          </w:tcPr>
          <w:p w14:paraId="54F1841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ascii="宋体" w:hAnsi="宋体" w:eastAsia="宋体" w:cs="宋体"/>
                <w:bCs/>
                <w:color w:val="auto"/>
                <w:sz w:val="24"/>
                <w:szCs w:val="24"/>
                <w:highlight w:val="none"/>
                <w:lang w:val="en-US" w:eastAsia="zh-CN" w:bidi="ar"/>
              </w:rPr>
            </w:pPr>
            <w:r>
              <w:rPr>
                <w:rFonts w:hint="eastAsia" w:ascii="宋体" w:hAnsi="宋体" w:cs="宋体"/>
                <w:bCs/>
                <w:color w:val="auto"/>
                <w:sz w:val="24"/>
                <w:szCs w:val="24"/>
                <w:highlight w:val="none"/>
                <w:lang w:val="en-US" w:eastAsia="zh-CN" w:bidi="ar"/>
              </w:rPr>
              <w:t>0-3分</w:t>
            </w:r>
          </w:p>
        </w:tc>
      </w:tr>
      <w:tr w14:paraId="603A0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722AE055">
            <w:pPr>
              <w:keepNext w:val="0"/>
              <w:keepLines w:val="0"/>
              <w:pageBreakBefore w:val="0"/>
              <w:widowControl/>
              <w:kinsoku/>
              <w:wordWrap/>
              <w:overflowPunct/>
              <w:topLinePunct w:val="0"/>
              <w:bidi w:val="0"/>
              <w:snapToGrid/>
              <w:spacing w:line="34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2</w:t>
            </w:r>
          </w:p>
        </w:tc>
        <w:tc>
          <w:tcPr>
            <w:tcW w:w="1410" w:type="dxa"/>
            <w:vAlign w:val="center"/>
          </w:tcPr>
          <w:p w14:paraId="0DCDFA5B">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售后服务方案</w:t>
            </w:r>
          </w:p>
        </w:tc>
        <w:tc>
          <w:tcPr>
            <w:tcW w:w="6451" w:type="dxa"/>
            <w:vAlign w:val="center"/>
          </w:tcPr>
          <w:p w14:paraId="0E7B7055">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根据</w:t>
            </w:r>
            <w:r>
              <w:rPr>
                <w:rFonts w:hint="eastAsia" w:ascii="宋体" w:hAnsi="宋体" w:eastAsia="宋体" w:cs="宋体"/>
                <w:color w:val="auto"/>
                <w:spacing w:val="-2"/>
                <w:sz w:val="24"/>
                <w:szCs w:val="24"/>
                <w:highlight w:val="none"/>
                <w:lang w:val="en-US" w:eastAsia="zh-CN"/>
              </w:rPr>
              <w:t>投标人提供的</w:t>
            </w:r>
            <w:r>
              <w:rPr>
                <w:rFonts w:hint="eastAsia" w:ascii="宋体" w:hAnsi="宋体" w:eastAsia="宋体" w:cs="宋体"/>
                <w:color w:val="auto"/>
                <w:spacing w:val="-2"/>
                <w:sz w:val="24"/>
                <w:szCs w:val="24"/>
                <w:highlight w:val="none"/>
              </w:rPr>
              <w:t>售后维修技术人员的配备、售后服务响应及时性和提供相关零配件的备货、维修备件、维修工具等内容进行</w:t>
            </w:r>
            <w:r>
              <w:rPr>
                <w:rFonts w:hint="eastAsia" w:ascii="宋体" w:hAnsi="宋体" w:eastAsia="宋体" w:cs="宋体"/>
                <w:color w:val="auto"/>
                <w:spacing w:val="-2"/>
                <w:sz w:val="24"/>
                <w:szCs w:val="24"/>
                <w:highlight w:val="none"/>
                <w:lang w:val="en-US" w:eastAsia="zh-CN"/>
              </w:rPr>
              <w:t>打</w:t>
            </w:r>
            <w:r>
              <w:rPr>
                <w:rFonts w:hint="eastAsia" w:ascii="宋体" w:hAnsi="宋体" w:eastAsia="宋体" w:cs="宋体"/>
                <w:color w:val="auto"/>
                <w:spacing w:val="-2"/>
                <w:sz w:val="24"/>
                <w:szCs w:val="24"/>
                <w:highlight w:val="none"/>
              </w:rPr>
              <w:t>分。</w:t>
            </w:r>
          </w:p>
        </w:tc>
        <w:tc>
          <w:tcPr>
            <w:tcW w:w="1125" w:type="dxa"/>
            <w:vAlign w:val="center"/>
          </w:tcPr>
          <w:p w14:paraId="2F88F6D2">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sz w:val="24"/>
                <w:szCs w:val="24"/>
                <w:highlight w:val="none"/>
                <w:lang w:val="en-US" w:eastAsia="zh-CN" w:bidi="ar"/>
              </w:rPr>
            </w:pPr>
            <w:r>
              <w:rPr>
                <w:rFonts w:hint="eastAsia" w:ascii="宋体" w:hAnsi="宋体" w:eastAsia="宋体" w:cs="宋体"/>
                <w:bCs/>
                <w:color w:val="auto"/>
                <w:sz w:val="24"/>
                <w:szCs w:val="24"/>
                <w:highlight w:val="none"/>
                <w:lang w:val="en-US" w:eastAsia="zh-CN" w:bidi="ar"/>
              </w:rPr>
              <w:t>0-3</w:t>
            </w:r>
            <w:r>
              <w:rPr>
                <w:rFonts w:hint="eastAsia" w:ascii="宋体" w:hAnsi="宋体" w:eastAsia="宋体" w:cs="宋体"/>
                <w:color w:val="auto"/>
                <w:sz w:val="24"/>
                <w:szCs w:val="24"/>
                <w:highlight w:val="none"/>
                <w:lang w:val="en-US" w:eastAsia="zh-CN"/>
              </w:rPr>
              <w:t>分</w:t>
            </w:r>
          </w:p>
        </w:tc>
      </w:tr>
      <w:tr w14:paraId="11847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97" w:type="dxa"/>
            <w:vAlign w:val="center"/>
          </w:tcPr>
          <w:p w14:paraId="0134401C">
            <w:pPr>
              <w:keepNext w:val="0"/>
              <w:keepLines w:val="0"/>
              <w:pageBreakBefore w:val="0"/>
              <w:widowControl/>
              <w:kinsoku/>
              <w:wordWrap/>
              <w:overflowPunct/>
              <w:topLinePunct w:val="0"/>
              <w:bidi w:val="0"/>
              <w:snapToGrid/>
              <w:spacing w:line="34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3</w:t>
            </w:r>
          </w:p>
        </w:tc>
        <w:tc>
          <w:tcPr>
            <w:tcW w:w="1410" w:type="dxa"/>
            <w:vAlign w:val="center"/>
          </w:tcPr>
          <w:p w14:paraId="42BC52CF">
            <w:pPr>
              <w:keepNext w:val="0"/>
              <w:keepLines w:val="0"/>
              <w:pageBreakBefore w:val="0"/>
              <w:widowControl w:val="0"/>
              <w:kinsoku/>
              <w:wordWrap/>
              <w:overflowPunct/>
              <w:topLinePunct w:val="0"/>
              <w:bidi w:val="0"/>
              <w:snapToGrid/>
              <w:spacing w:line="360" w:lineRule="exact"/>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应急响应方案</w:t>
            </w:r>
          </w:p>
        </w:tc>
        <w:tc>
          <w:tcPr>
            <w:tcW w:w="6451" w:type="dxa"/>
            <w:vAlign w:val="center"/>
          </w:tcPr>
          <w:p w14:paraId="0E81D9C9">
            <w:pPr>
              <w:pStyle w:val="99"/>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eastAsia" w:ascii="宋体" w:hAnsi="宋体" w:eastAsia="宋体" w:cs="宋体"/>
                <w:color w:val="auto"/>
                <w:spacing w:val="-2"/>
                <w:sz w:val="24"/>
                <w:szCs w:val="24"/>
                <w:highlight w:val="none"/>
              </w:rPr>
            </w:pPr>
            <w:r>
              <w:rPr>
                <w:rFonts w:hint="eastAsia" w:ascii="宋体" w:hAnsi="宋体" w:eastAsia="宋体" w:cs="宋体"/>
                <w:color w:val="auto"/>
                <w:spacing w:val="-2"/>
                <w:sz w:val="24"/>
                <w:szCs w:val="24"/>
                <w:highlight w:val="none"/>
              </w:rPr>
              <w:t>根据投标人提供</w:t>
            </w:r>
            <w:r>
              <w:rPr>
                <w:rFonts w:hint="eastAsia" w:ascii="宋体" w:hAnsi="宋体" w:eastAsia="宋体" w:cs="宋体"/>
                <w:color w:val="auto"/>
                <w:spacing w:val="-2"/>
                <w:sz w:val="24"/>
                <w:szCs w:val="24"/>
                <w:highlight w:val="none"/>
                <w:lang w:eastAsia="zh-CN"/>
              </w:rPr>
              <w:t>的</w:t>
            </w:r>
            <w:r>
              <w:rPr>
                <w:rFonts w:hint="eastAsia" w:ascii="宋体" w:hAnsi="宋体" w:eastAsia="宋体" w:cs="宋体"/>
                <w:color w:val="auto"/>
                <w:spacing w:val="-2"/>
                <w:sz w:val="24"/>
                <w:szCs w:val="24"/>
                <w:highlight w:val="none"/>
                <w:lang w:val="en-US" w:eastAsia="zh-CN"/>
              </w:rPr>
              <w:t>应急响应方案进行打分。</w:t>
            </w:r>
          </w:p>
        </w:tc>
        <w:tc>
          <w:tcPr>
            <w:tcW w:w="1125" w:type="dxa"/>
            <w:vAlign w:val="center"/>
          </w:tcPr>
          <w:p w14:paraId="7A1B396B">
            <w:pPr>
              <w:keepNext w:val="0"/>
              <w:keepLines w:val="0"/>
              <w:pageBreakBefore w:val="0"/>
              <w:widowControl w:val="0"/>
              <w:kinsoku/>
              <w:wordWrap/>
              <w:overflowPunct/>
              <w:topLinePunct w:val="0"/>
              <w:bidi w:val="0"/>
              <w:snapToGrid/>
              <w:spacing w:line="360" w:lineRule="exact"/>
              <w:jc w:val="center"/>
              <w:textAlignment w:val="auto"/>
              <w:rPr>
                <w:rFonts w:hint="eastAsia" w:ascii="宋体" w:hAnsi="宋体" w:eastAsia="宋体" w:cs="宋体"/>
                <w:bCs/>
                <w:color w:val="auto"/>
                <w:sz w:val="24"/>
                <w:szCs w:val="24"/>
                <w:highlight w:val="none"/>
                <w:lang w:val="en-US" w:eastAsia="zh-CN" w:bidi="ar"/>
              </w:rPr>
            </w:pPr>
            <w:r>
              <w:rPr>
                <w:rFonts w:hint="eastAsia" w:ascii="宋体" w:hAnsi="宋体" w:eastAsia="宋体" w:cs="宋体"/>
                <w:bCs/>
                <w:color w:val="auto"/>
                <w:sz w:val="24"/>
                <w:szCs w:val="24"/>
                <w:highlight w:val="none"/>
                <w:lang w:val="en-US" w:eastAsia="zh-CN" w:bidi="ar"/>
              </w:rPr>
              <w:t>0-3</w:t>
            </w:r>
            <w:r>
              <w:rPr>
                <w:rFonts w:hint="eastAsia" w:ascii="宋体" w:hAnsi="宋体" w:eastAsia="宋体" w:cs="宋体"/>
                <w:color w:val="auto"/>
                <w:sz w:val="24"/>
                <w:szCs w:val="24"/>
                <w:highlight w:val="none"/>
                <w:lang w:val="en-US" w:eastAsia="zh-CN"/>
              </w:rPr>
              <w:t>分</w:t>
            </w:r>
          </w:p>
        </w:tc>
      </w:tr>
    </w:tbl>
    <w:p w14:paraId="3E6C2506">
      <w:pPr>
        <w:keepNext w:val="0"/>
        <w:keepLines w:val="0"/>
        <w:pageBreakBefore w:val="0"/>
        <w:widowControl w:val="0"/>
        <w:kinsoku/>
        <w:wordWrap/>
        <w:overflowPunct/>
        <w:topLinePunct w:val="0"/>
        <w:autoSpaceDE/>
        <w:autoSpaceDN/>
        <w:bidi w:val="0"/>
        <w:adjustRightInd/>
        <w:snapToGrid/>
        <w:spacing w:before="157" w:beforeLines="50" w:line="440" w:lineRule="exact"/>
        <w:textAlignment w:val="auto"/>
        <w:rPr>
          <w:rFonts w:hint="eastAsia" w:ascii="宋体" w:hAnsi="宋体" w:eastAsia="宋体" w:cs="宋体"/>
          <w:b/>
          <w:bCs/>
          <w:iCs/>
          <w:color w:val="auto"/>
          <w:sz w:val="24"/>
          <w:highlight w:val="none"/>
        </w:rPr>
      </w:pPr>
      <w:r>
        <w:rPr>
          <w:rFonts w:hint="eastAsia" w:ascii="宋体" w:hAnsi="宋体" w:eastAsia="宋体" w:cs="宋体"/>
          <w:b/>
          <w:bCs/>
          <w:iCs/>
          <w:color w:val="auto"/>
          <w:sz w:val="24"/>
          <w:highlight w:val="none"/>
        </w:rPr>
        <w:t>2.2价格分（</w:t>
      </w:r>
      <w:r>
        <w:rPr>
          <w:rFonts w:hint="eastAsia" w:ascii="宋体" w:hAnsi="宋体" w:eastAsia="宋体" w:cs="宋体"/>
          <w:b/>
          <w:bCs/>
          <w:iCs/>
          <w:color w:val="auto"/>
          <w:sz w:val="24"/>
          <w:highlight w:val="none"/>
          <w:lang w:val="en-US" w:eastAsia="zh-CN"/>
        </w:rPr>
        <w:t>50</w:t>
      </w:r>
      <w:r>
        <w:rPr>
          <w:rFonts w:hint="eastAsia" w:ascii="宋体" w:hAnsi="宋体" w:eastAsia="宋体" w:cs="宋体"/>
          <w:b/>
          <w:bCs/>
          <w:iCs/>
          <w:color w:val="auto"/>
          <w:sz w:val="24"/>
          <w:highlight w:val="none"/>
        </w:rPr>
        <w:t>分）</w:t>
      </w:r>
    </w:p>
    <w:p w14:paraId="002C70DD">
      <w:pPr>
        <w:spacing w:line="440" w:lineRule="exact"/>
        <w:rPr>
          <w:rFonts w:hint="eastAsia" w:ascii="宋体" w:hAnsi="宋体" w:eastAsia="宋体" w:cs="宋体"/>
          <w:bCs/>
          <w:iCs/>
          <w:color w:val="auto"/>
          <w:sz w:val="24"/>
          <w:highlight w:val="none"/>
        </w:rPr>
      </w:pPr>
      <w:r>
        <w:rPr>
          <w:rFonts w:hint="eastAsia" w:ascii="宋体" w:hAnsi="宋体" w:eastAsia="宋体" w:cs="宋体"/>
          <w:bCs/>
          <w:iCs/>
          <w:color w:val="auto"/>
          <w:sz w:val="24"/>
          <w:highlight w:val="none"/>
        </w:rPr>
        <w:t>2.2.1评标基准价：即满足招标文件要求且投标价格最低的投标报价为评标基准价，其价格分为满分。</w:t>
      </w:r>
    </w:p>
    <w:p w14:paraId="4C7D794A">
      <w:pPr>
        <w:spacing w:line="440" w:lineRule="exact"/>
        <w:rPr>
          <w:rFonts w:hint="eastAsia" w:ascii="宋体" w:hAnsi="宋体" w:eastAsia="宋体" w:cs="宋体"/>
          <w:bCs/>
          <w:iCs/>
          <w:color w:val="auto"/>
          <w:sz w:val="24"/>
          <w:highlight w:val="none"/>
        </w:rPr>
      </w:pPr>
      <w:r>
        <w:rPr>
          <w:rFonts w:hint="eastAsia" w:ascii="宋体" w:hAnsi="宋体" w:eastAsia="宋体" w:cs="宋体"/>
          <w:bCs/>
          <w:iCs/>
          <w:color w:val="auto"/>
          <w:sz w:val="24"/>
          <w:highlight w:val="none"/>
        </w:rPr>
        <w:t>2.2.2其他投标人的价格分统一按照下列公式计算：</w:t>
      </w:r>
    </w:p>
    <w:p w14:paraId="20F729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eastAsia" w:ascii="宋体" w:hAnsi="宋体" w:eastAsia="宋体" w:cs="宋体"/>
          <w:bCs/>
          <w:iCs/>
          <w:color w:val="auto"/>
          <w:sz w:val="24"/>
          <w:highlight w:val="none"/>
        </w:rPr>
      </w:pPr>
      <w:r>
        <w:rPr>
          <w:rFonts w:hint="eastAsia" w:ascii="宋体" w:hAnsi="宋体" w:eastAsia="宋体" w:cs="宋体"/>
          <w:bCs/>
          <w:iCs/>
          <w:color w:val="auto"/>
          <w:sz w:val="24"/>
          <w:highlight w:val="none"/>
        </w:rPr>
        <w:t>投标报价得分=(评标基准价／投标报价)×价格权值×100</w:t>
      </w:r>
    </w:p>
    <w:p w14:paraId="5E3993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hint="eastAsia" w:ascii="宋体" w:hAnsi="宋体" w:eastAsia="宋体" w:cs="宋体"/>
          <w:bCs/>
          <w:iCs/>
          <w:color w:val="auto"/>
          <w:sz w:val="24"/>
          <w:highlight w:val="none"/>
          <w:lang w:val="en-US" w:eastAsia="zh-CN"/>
        </w:rPr>
      </w:pPr>
      <w:r>
        <w:rPr>
          <w:rFonts w:hint="eastAsia" w:ascii="宋体" w:hAnsi="宋体" w:eastAsia="宋体" w:cs="宋体"/>
          <w:bCs/>
          <w:iCs/>
          <w:color w:val="auto"/>
          <w:sz w:val="24"/>
          <w:highlight w:val="none"/>
        </w:rPr>
        <w:t>即：投标报价得分=(评标基准价／投标报价)×</w:t>
      </w:r>
      <w:r>
        <w:rPr>
          <w:rFonts w:hint="eastAsia" w:ascii="宋体" w:hAnsi="宋体" w:eastAsia="宋体" w:cs="宋体"/>
          <w:bCs/>
          <w:iCs/>
          <w:color w:val="auto"/>
          <w:sz w:val="24"/>
          <w:highlight w:val="none"/>
          <w:lang w:val="en-US" w:eastAsia="zh-CN"/>
        </w:rPr>
        <w:t>50%*100</w:t>
      </w:r>
    </w:p>
    <w:p w14:paraId="14BE993E">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注：本项目风险控制价为</w:t>
      </w:r>
      <w:r>
        <w:rPr>
          <w:rFonts w:hint="eastAsia" w:ascii="宋体" w:hAnsi="宋体" w:cs="宋体"/>
          <w:b/>
          <w:bCs/>
          <w:color w:val="auto"/>
          <w:sz w:val="24"/>
          <w:szCs w:val="24"/>
          <w:highlight w:val="none"/>
          <w:lang w:val="en-US" w:eastAsia="zh-CN"/>
        </w:rPr>
        <w:t>预算价的</w:t>
      </w:r>
      <w:r>
        <w:rPr>
          <w:rFonts w:hint="eastAsia" w:ascii="宋体" w:hAnsi="宋体" w:eastAsia="宋体" w:cs="宋体"/>
          <w:b/>
          <w:bCs/>
          <w:color w:val="auto"/>
          <w:sz w:val="24"/>
          <w:szCs w:val="24"/>
          <w:highlight w:val="none"/>
          <w:lang w:val="en-US" w:eastAsia="zh-CN"/>
        </w:rPr>
        <w:t>8</w:t>
      </w:r>
      <w:r>
        <w:rPr>
          <w:rFonts w:hint="eastAsia" w:ascii="宋体" w:hAnsi="宋体" w:cs="宋体"/>
          <w:b/>
          <w:bCs/>
          <w:color w:val="auto"/>
          <w:sz w:val="24"/>
          <w:szCs w:val="24"/>
          <w:highlight w:val="none"/>
          <w:lang w:val="en-US" w:eastAsia="zh-CN"/>
        </w:rPr>
        <w:t>0</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624</w:t>
      </w:r>
      <w:r>
        <w:rPr>
          <w:rFonts w:hint="eastAsia" w:ascii="宋体" w:hAnsi="宋体" w:eastAsia="宋体" w:cs="宋体"/>
          <w:b/>
          <w:bCs/>
          <w:color w:val="auto"/>
          <w:sz w:val="24"/>
          <w:szCs w:val="24"/>
          <w:highlight w:val="none"/>
          <w:lang w:val="en-US" w:eastAsia="zh-CN"/>
        </w:rPr>
        <w:t>0000元），若中标人低于该风险控制价中标的，中标人须额外补交中标价净值与风险控制价之差额，中标人不提交的视为放弃中标。差额保证金待项目验收合格后30日内无息退还。（差额保证金应在中标通知书发出后10个工作日内交至采购人，以现金或电汇或转账交纳。)</w:t>
      </w:r>
    </w:p>
    <w:p w14:paraId="5A9B1FE2">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标委员会认为投标人的报价明显低于其他通过符合性审查投标人的报价，有可能影响产品质量或者不能诚信履约的，应当要求其在评标现场合理的时间内通过乐采云平台提供线上说明，必要时提交相关证明材料。投标人不能在规定时间内合理说明原因并提供证明材料的，评标委员会应当将该投标人的投标文件作无效处理，并在评审报告中说明。</w:t>
      </w:r>
    </w:p>
    <w:p w14:paraId="50F4580D">
      <w:pPr>
        <w:spacing w:line="440" w:lineRule="exact"/>
        <w:ind w:firstLine="472" w:firstLineChars="196"/>
        <w:rPr>
          <w:rFonts w:hint="eastAsia" w:ascii="宋体" w:hAnsi="宋体" w:eastAsia="宋体" w:cs="Times New Roman"/>
          <w:b/>
          <w:color w:val="auto"/>
          <w:sz w:val="24"/>
          <w:highlight w:val="none"/>
        </w:rPr>
      </w:pPr>
    </w:p>
    <w:p w14:paraId="0B9B2826">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lang w:eastAsia="zh-CN"/>
        </w:rPr>
        <w:tab/>
      </w:r>
    </w:p>
    <w:p w14:paraId="3AF920D1">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6721B8CC">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44C70643">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5CFCA273">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7C09C370">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75222EB8">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08768A9C">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450C8659">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014BC6B5">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5B86CAA2">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35DAB4F7">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6E591099">
      <w:pPr>
        <w:spacing w:line="360" w:lineRule="auto"/>
        <w:ind w:left="823" w:leftChars="343" w:firstLine="1084" w:firstLineChars="300"/>
        <w:outlineLvl w:val="0"/>
        <w:rPr>
          <w:rFonts w:hint="eastAsia" w:ascii="仿宋" w:hAnsi="仿宋" w:eastAsia="仿宋" w:cs="仿宋"/>
          <w:b/>
          <w:color w:val="auto"/>
          <w:sz w:val="36"/>
          <w:szCs w:val="36"/>
          <w:highlight w:val="none"/>
          <w:lang w:eastAsia="zh-CN"/>
        </w:rPr>
      </w:pPr>
    </w:p>
    <w:p w14:paraId="295DB527">
      <w:pPr>
        <w:spacing w:line="360" w:lineRule="auto"/>
        <w:outlineLvl w:val="0"/>
        <w:rPr>
          <w:rFonts w:hint="eastAsia" w:ascii="仿宋" w:hAnsi="仿宋" w:eastAsia="仿宋" w:cs="仿宋"/>
          <w:b/>
          <w:color w:val="auto"/>
          <w:sz w:val="36"/>
          <w:szCs w:val="36"/>
          <w:highlight w:val="none"/>
          <w:lang w:eastAsia="zh-CN"/>
        </w:rPr>
      </w:pPr>
    </w:p>
    <w:p w14:paraId="47E29FC8">
      <w:pPr>
        <w:spacing w:line="360" w:lineRule="auto"/>
        <w:outlineLvl w:val="0"/>
        <w:rPr>
          <w:rFonts w:hint="eastAsia" w:ascii="仿宋" w:hAnsi="仿宋" w:eastAsia="仿宋" w:cs="仿宋"/>
          <w:b/>
          <w:color w:val="auto"/>
          <w:sz w:val="36"/>
          <w:szCs w:val="36"/>
          <w:highlight w:val="none"/>
          <w:lang w:eastAsia="zh-CN"/>
        </w:rPr>
      </w:pPr>
    </w:p>
    <w:p w14:paraId="6C1DCF26">
      <w:pPr>
        <w:spacing w:line="360" w:lineRule="auto"/>
        <w:outlineLvl w:val="0"/>
        <w:rPr>
          <w:rFonts w:hint="eastAsia" w:ascii="仿宋" w:hAnsi="仿宋" w:eastAsia="仿宋" w:cs="仿宋"/>
          <w:b/>
          <w:color w:val="auto"/>
          <w:sz w:val="36"/>
          <w:szCs w:val="36"/>
          <w:highlight w:val="none"/>
          <w:lang w:eastAsia="zh-CN"/>
        </w:rPr>
      </w:pPr>
    </w:p>
    <w:p w14:paraId="53696621">
      <w:pPr>
        <w:spacing w:line="360" w:lineRule="auto"/>
        <w:ind w:left="823" w:leftChars="343" w:firstLine="1084" w:firstLineChars="300"/>
        <w:outlineLvl w:val="0"/>
        <w:rPr>
          <w:rFonts w:hint="eastAsia" w:ascii="宋体" w:hAnsi="宋体" w:eastAsia="宋体" w:cs="宋体"/>
          <w:b/>
          <w:color w:val="auto"/>
          <w:sz w:val="36"/>
          <w:szCs w:val="36"/>
          <w:highlight w:val="none"/>
        </w:rPr>
      </w:pPr>
    </w:p>
    <w:p w14:paraId="37C33FFC">
      <w:pPr>
        <w:spacing w:line="360" w:lineRule="auto"/>
        <w:ind w:left="823"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w:t>
      </w:r>
      <w:r>
        <w:rPr>
          <w:rFonts w:hint="eastAsia" w:ascii="宋体" w:hAnsi="宋体" w:eastAsia="宋体" w:cs="宋体"/>
          <w:b/>
          <w:color w:val="auto"/>
          <w:sz w:val="36"/>
          <w:szCs w:val="36"/>
          <w:highlight w:val="none"/>
          <w:lang w:val="en-US" w:eastAsia="zh-CN"/>
        </w:rPr>
        <w:t>五</w:t>
      </w:r>
      <w:r>
        <w:rPr>
          <w:rFonts w:hint="eastAsia" w:ascii="宋体" w:hAnsi="宋体" w:eastAsia="宋体" w:cs="宋体"/>
          <w:b/>
          <w:color w:val="auto"/>
          <w:sz w:val="36"/>
          <w:szCs w:val="36"/>
          <w:highlight w:val="none"/>
        </w:rPr>
        <w:t>部分</w:t>
      </w:r>
      <w:r>
        <w:rPr>
          <w:rFonts w:hint="eastAsia" w:ascii="宋体" w:hAnsi="宋体" w:eastAsia="宋体" w:cs="宋体"/>
          <w:b/>
          <w:color w:val="auto"/>
          <w:sz w:val="36"/>
          <w:szCs w:val="36"/>
          <w:highlight w:val="none"/>
          <w:lang w:val="en-US" w:eastAsia="zh-CN"/>
        </w:rPr>
        <w:t xml:space="preserve"> </w:t>
      </w:r>
      <w:r>
        <w:rPr>
          <w:rFonts w:hint="eastAsia" w:ascii="宋体" w:hAnsi="宋体" w:eastAsia="宋体" w:cs="宋体"/>
          <w:b/>
          <w:color w:val="auto"/>
          <w:sz w:val="36"/>
          <w:szCs w:val="36"/>
          <w:highlight w:val="none"/>
        </w:rPr>
        <w:t>拟签订的合同文本</w:t>
      </w:r>
    </w:p>
    <w:p w14:paraId="2F9F7EFA">
      <w:pPr>
        <w:spacing w:line="480" w:lineRule="auto"/>
        <w:jc w:val="center"/>
        <w:rPr>
          <w:rFonts w:hint="eastAsia" w:ascii="宋体" w:hAnsi="宋体" w:eastAsia="宋体" w:cs="宋体"/>
          <w:b/>
          <w:color w:val="auto"/>
          <w:sz w:val="24"/>
          <w:szCs w:val="24"/>
          <w:highlight w:val="none"/>
        </w:rPr>
      </w:pPr>
    </w:p>
    <w:p w14:paraId="7DFD9465">
      <w:pPr>
        <w:spacing w:line="480" w:lineRule="auto"/>
        <w:jc w:val="center"/>
        <w:rPr>
          <w:rFonts w:hint="eastAsia" w:ascii="宋体" w:hAnsi="宋体" w:eastAsia="宋体" w:cs="宋体"/>
          <w:b/>
          <w:color w:val="auto"/>
          <w:sz w:val="24"/>
          <w:szCs w:val="24"/>
          <w:highlight w:val="none"/>
        </w:rPr>
      </w:pPr>
    </w:p>
    <w:p w14:paraId="5B169093">
      <w:pPr>
        <w:spacing w:line="480" w:lineRule="auto"/>
        <w:jc w:val="center"/>
        <w:rPr>
          <w:rFonts w:hint="eastAsia" w:ascii="宋体" w:hAnsi="宋体" w:eastAsia="宋体" w:cs="宋体"/>
          <w:b/>
          <w:color w:val="auto"/>
          <w:sz w:val="36"/>
          <w:szCs w:val="36"/>
          <w:highlight w:val="none"/>
        </w:rPr>
      </w:pPr>
    </w:p>
    <w:p w14:paraId="2E87C6C9">
      <w:pPr>
        <w:spacing w:line="480" w:lineRule="auto"/>
        <w:jc w:val="center"/>
        <w:rPr>
          <w:rFonts w:hint="eastAsia" w:ascii="宋体" w:hAnsi="宋体" w:eastAsia="宋体" w:cs="宋体"/>
          <w:b/>
          <w:color w:val="auto"/>
          <w:sz w:val="36"/>
          <w:szCs w:val="36"/>
          <w:highlight w:val="none"/>
        </w:rPr>
      </w:pPr>
    </w:p>
    <w:p w14:paraId="5B1394A1">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采购合同</w:t>
      </w:r>
    </w:p>
    <w:p w14:paraId="1FCFE7B4">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（货物类）</w:t>
      </w:r>
    </w:p>
    <w:p w14:paraId="206DB353">
      <w:pPr>
        <w:pStyle w:val="129"/>
        <w:ind w:left="0" w:leftChars="0" w:firstLine="0" w:firstLineChars="0"/>
        <w:rPr>
          <w:rFonts w:hint="eastAsia" w:ascii="宋体" w:hAnsi="宋体" w:eastAsia="宋体" w:cs="宋体"/>
          <w:color w:val="auto"/>
          <w:sz w:val="24"/>
          <w:szCs w:val="24"/>
          <w:highlight w:val="none"/>
        </w:rPr>
      </w:pPr>
    </w:p>
    <w:p w14:paraId="1515159E">
      <w:pPr>
        <w:pStyle w:val="129"/>
        <w:jc w:val="center"/>
        <w:rPr>
          <w:rFonts w:hint="eastAsia" w:ascii="宋体" w:hAnsi="宋体" w:eastAsia="宋体" w:cs="宋体"/>
          <w:color w:val="auto"/>
          <w:sz w:val="24"/>
          <w:szCs w:val="24"/>
          <w:highlight w:val="none"/>
        </w:rPr>
      </w:pPr>
    </w:p>
    <w:p w14:paraId="6D251E56">
      <w:pPr>
        <w:pStyle w:val="129"/>
        <w:rPr>
          <w:rFonts w:hint="eastAsia" w:ascii="宋体" w:hAnsi="宋体" w:eastAsia="宋体" w:cs="宋体"/>
          <w:color w:val="auto"/>
          <w:sz w:val="24"/>
          <w:szCs w:val="24"/>
          <w:highlight w:val="none"/>
        </w:rPr>
      </w:pPr>
    </w:p>
    <w:p w14:paraId="6A5C4027">
      <w:pPr>
        <w:pStyle w:val="129"/>
        <w:rPr>
          <w:rFonts w:hint="eastAsia" w:ascii="宋体" w:hAnsi="宋体" w:eastAsia="宋体" w:cs="宋体"/>
          <w:color w:val="auto"/>
          <w:sz w:val="24"/>
          <w:szCs w:val="24"/>
          <w:highlight w:val="none"/>
        </w:rPr>
      </w:pPr>
    </w:p>
    <w:p w14:paraId="555FCF32">
      <w:pPr>
        <w:spacing w:before="120" w:line="22" w:lineRule="atLeast"/>
        <w:rPr>
          <w:rFonts w:hint="eastAsia" w:ascii="宋体" w:hAnsi="宋体" w:eastAsia="宋体" w:cs="宋体"/>
          <w:color w:val="auto"/>
          <w:sz w:val="24"/>
          <w:szCs w:val="24"/>
          <w:highlight w:val="none"/>
        </w:rPr>
      </w:pPr>
    </w:p>
    <w:p w14:paraId="564199FE">
      <w:pPr>
        <w:keepNext w:val="0"/>
        <w:keepLines w:val="0"/>
        <w:pageBreakBefore w:val="0"/>
        <w:kinsoku/>
        <w:wordWrap/>
        <w:overflowPunct/>
        <w:topLinePunct w:val="0"/>
        <w:bidi w:val="0"/>
        <w:spacing w:line="490" w:lineRule="exact"/>
        <w:ind w:left="1200" w:leftChars="5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p w14:paraId="4A150282">
      <w:pPr>
        <w:keepNext w:val="0"/>
        <w:keepLines w:val="0"/>
        <w:pageBreakBefore w:val="0"/>
        <w:kinsoku/>
        <w:wordWrap/>
        <w:overflowPunct/>
        <w:topLinePunct w:val="0"/>
        <w:bidi w:val="0"/>
        <w:spacing w:line="490" w:lineRule="exact"/>
        <w:ind w:left="0" w:leftChars="0" w:firstLine="480" w:firstLineChars="200"/>
        <w:rPr>
          <w:rFonts w:hint="eastAsia" w:ascii="宋体" w:hAnsi="宋体" w:eastAsia="宋体" w:cs="宋体"/>
          <w:color w:val="auto"/>
          <w:sz w:val="24"/>
          <w:szCs w:val="24"/>
          <w:highlight w:val="none"/>
        </w:rPr>
      </w:pPr>
    </w:p>
    <w:p w14:paraId="0B6CC1A7">
      <w:pPr>
        <w:keepNext w:val="0"/>
        <w:keepLines w:val="0"/>
        <w:pageBreakBefore w:val="0"/>
        <w:kinsoku/>
        <w:wordWrap/>
        <w:overflowPunct/>
        <w:topLinePunct w:val="0"/>
        <w:bidi w:val="0"/>
        <w:spacing w:line="490" w:lineRule="exact"/>
        <w:ind w:firstLine="1200" w:firstLineChars="5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甲方：</w:t>
      </w:r>
    </w:p>
    <w:p w14:paraId="5F6E1F18">
      <w:pPr>
        <w:keepNext w:val="0"/>
        <w:keepLines w:val="0"/>
        <w:pageBreakBefore w:val="0"/>
        <w:kinsoku/>
        <w:wordWrap/>
        <w:overflowPunct/>
        <w:topLinePunct w:val="0"/>
        <w:bidi w:val="0"/>
        <w:spacing w:line="490" w:lineRule="exact"/>
        <w:ind w:left="0" w:leftChars="0"/>
        <w:rPr>
          <w:rFonts w:hint="eastAsia" w:ascii="宋体" w:hAnsi="宋体" w:eastAsia="宋体" w:cs="宋体"/>
          <w:color w:val="auto"/>
          <w:sz w:val="24"/>
          <w:szCs w:val="24"/>
          <w:highlight w:val="none"/>
        </w:rPr>
      </w:pPr>
    </w:p>
    <w:p w14:paraId="488ED573">
      <w:pPr>
        <w:keepNext w:val="0"/>
        <w:keepLines w:val="0"/>
        <w:pageBreakBefore w:val="0"/>
        <w:kinsoku/>
        <w:wordWrap/>
        <w:overflowPunct/>
        <w:topLinePunct w:val="0"/>
        <w:bidi w:val="0"/>
        <w:spacing w:line="490" w:lineRule="exact"/>
        <w:ind w:firstLine="1200" w:firstLineChars="5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乙方：</w:t>
      </w:r>
    </w:p>
    <w:p w14:paraId="740ECA6D">
      <w:pPr>
        <w:keepNext w:val="0"/>
        <w:keepLines w:val="0"/>
        <w:pageBreakBefore w:val="0"/>
        <w:kinsoku/>
        <w:wordWrap/>
        <w:overflowPunct/>
        <w:topLinePunct w:val="0"/>
        <w:bidi w:val="0"/>
        <w:spacing w:line="490" w:lineRule="exact"/>
        <w:ind w:left="0" w:leftChars="0"/>
        <w:rPr>
          <w:rFonts w:hint="eastAsia" w:ascii="宋体" w:hAnsi="宋体" w:eastAsia="宋体" w:cs="宋体"/>
          <w:color w:val="auto"/>
          <w:sz w:val="24"/>
          <w:szCs w:val="24"/>
          <w:highlight w:val="none"/>
        </w:rPr>
      </w:pPr>
    </w:p>
    <w:p w14:paraId="0D2B3098">
      <w:pPr>
        <w:keepNext w:val="0"/>
        <w:keepLines w:val="0"/>
        <w:pageBreakBefore w:val="0"/>
        <w:kinsoku/>
        <w:wordWrap/>
        <w:overflowPunct/>
        <w:topLinePunct w:val="0"/>
        <w:bidi w:val="0"/>
        <w:spacing w:line="490" w:lineRule="exact"/>
        <w:ind w:firstLine="1200" w:firstLineChars="500"/>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签订地：</w:t>
      </w:r>
      <w:r>
        <w:rPr>
          <w:rFonts w:hint="eastAsia" w:ascii="宋体" w:hAnsi="宋体" w:eastAsia="宋体" w:cs="宋体"/>
          <w:color w:val="auto"/>
          <w:sz w:val="24"/>
          <w:szCs w:val="24"/>
          <w:highlight w:val="none"/>
          <w:lang w:val="en-US" w:eastAsia="zh-CN"/>
        </w:rPr>
        <w:t>嵊州市</w:t>
      </w:r>
    </w:p>
    <w:p w14:paraId="55B0E4E6">
      <w:pPr>
        <w:keepNext w:val="0"/>
        <w:keepLines w:val="0"/>
        <w:pageBreakBefore w:val="0"/>
        <w:kinsoku/>
        <w:wordWrap/>
        <w:overflowPunct/>
        <w:topLinePunct w:val="0"/>
        <w:bidi w:val="0"/>
        <w:spacing w:line="490" w:lineRule="exact"/>
        <w:ind w:left="0" w:leftChars="0"/>
        <w:rPr>
          <w:rFonts w:hint="eastAsia" w:ascii="宋体" w:hAnsi="宋体" w:eastAsia="宋体" w:cs="宋体"/>
          <w:color w:val="auto"/>
          <w:sz w:val="24"/>
          <w:szCs w:val="24"/>
          <w:highlight w:val="none"/>
        </w:rPr>
      </w:pPr>
    </w:p>
    <w:p w14:paraId="261D4832">
      <w:pPr>
        <w:keepNext w:val="0"/>
        <w:keepLines w:val="0"/>
        <w:pageBreakBefore w:val="0"/>
        <w:kinsoku/>
        <w:wordWrap/>
        <w:overflowPunct/>
        <w:topLinePunct w:val="0"/>
        <w:bidi w:val="0"/>
        <w:spacing w:line="490" w:lineRule="exact"/>
        <w:ind w:firstLine="1200" w:firstLineChars="5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签订日期：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218D926D">
      <w:pPr>
        <w:keepNext w:val="0"/>
        <w:keepLines w:val="0"/>
        <w:pageBreakBefore w:val="0"/>
        <w:widowControl/>
        <w:kinsoku/>
        <w:wordWrap/>
        <w:overflowPunct/>
        <w:topLinePunct w:val="0"/>
        <w:bidi w:val="0"/>
        <w:spacing w:line="490" w:lineRule="exact"/>
        <w:ind w:left="0" w:leftChars="0"/>
        <w:jc w:val="left"/>
        <w:rPr>
          <w:rFonts w:hint="eastAsia" w:ascii="宋体" w:hAnsi="宋体" w:eastAsia="宋体" w:cs="宋体"/>
          <w:color w:val="auto"/>
          <w:kern w:val="0"/>
          <w:sz w:val="24"/>
          <w:szCs w:val="24"/>
          <w:highlight w:val="none"/>
        </w:rPr>
        <w:sectPr>
          <w:pgSz w:w="11907" w:h="16840"/>
          <w:pgMar w:top="1587" w:right="1531" w:bottom="1587" w:left="1531" w:header="851" w:footer="851" w:gutter="0"/>
          <w:cols w:space="720" w:num="1"/>
        </w:sectPr>
      </w:pPr>
    </w:p>
    <w:p w14:paraId="685B72E0">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甲方（采购人）：嵊州市公共交通有限公司</w:t>
      </w:r>
    </w:p>
    <w:p w14:paraId="786CF0B5">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乙方（供应商）：</w:t>
      </w:r>
    </w:p>
    <w:p w14:paraId="1D446C73">
      <w:pPr>
        <w:keepNext w:val="0"/>
        <w:keepLines w:val="0"/>
        <w:pageBreakBefore w:val="0"/>
        <w:widowControl w:val="0"/>
        <w:kinsoku/>
        <w:wordWrap/>
        <w:overflowPunct/>
        <w:topLinePunct w:val="0"/>
        <w:autoSpaceDE/>
        <w:autoSpaceDN/>
        <w:bidi w:val="0"/>
        <w:adjustRightInd w:val="0"/>
        <w:spacing w:line="500" w:lineRule="exact"/>
        <w:ind w:left="0" w:lef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鉴于甲方于202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  月  日接受乙方对</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项目</w:t>
      </w:r>
      <w:r>
        <w:rPr>
          <w:rFonts w:hint="eastAsia" w:ascii="宋体" w:hAnsi="宋体" w:eastAsia="宋体" w:cs="宋体"/>
          <w:color w:val="auto"/>
          <w:sz w:val="24"/>
          <w:szCs w:val="24"/>
          <w:highlight w:val="none"/>
          <w:u w:val="single"/>
          <w:lang w:eastAsia="zh-CN"/>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rPr>
        <w:t>的中标资格，双方根据《中华人民共和国</w:t>
      </w:r>
      <w:r>
        <w:rPr>
          <w:rFonts w:hint="eastAsia" w:ascii="宋体" w:hAnsi="宋体" w:eastAsia="宋体" w:cs="宋体"/>
          <w:color w:val="auto"/>
          <w:sz w:val="24"/>
          <w:szCs w:val="24"/>
          <w:highlight w:val="none"/>
          <w:lang w:val="en-US" w:eastAsia="zh-CN"/>
        </w:rPr>
        <w:t>民法典</w:t>
      </w:r>
      <w:r>
        <w:rPr>
          <w:rFonts w:hint="eastAsia" w:ascii="宋体" w:hAnsi="宋体" w:eastAsia="宋体" w:cs="宋体"/>
          <w:color w:val="auto"/>
          <w:sz w:val="24"/>
          <w:szCs w:val="24"/>
          <w:highlight w:val="none"/>
        </w:rPr>
        <w:t>》和本项目的投标文件、招标文件及其报价中的承诺，经双方协商一致，签订本合同，共同遵守以下条款：</w:t>
      </w:r>
    </w:p>
    <w:p w14:paraId="0AEBB44E">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第一条：工作范围</w:t>
      </w:r>
    </w:p>
    <w:p w14:paraId="0399A4E5">
      <w:pPr>
        <w:keepNext w:val="0"/>
        <w:keepLines w:val="0"/>
        <w:pageBreakBefore w:val="0"/>
        <w:widowControl w:val="0"/>
        <w:kinsoku/>
        <w:wordWrap/>
        <w:overflowPunct/>
        <w:topLinePunct w:val="0"/>
        <w:autoSpaceDE/>
        <w:autoSpaceDN/>
        <w:bidi w:val="0"/>
        <w:adjustRightInd w:val="0"/>
        <w:spacing w:line="500" w:lineRule="exact"/>
        <w:ind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根据招标文件，各供应商须按国家有关标准及规范完成下列工作：</w:t>
      </w:r>
    </w:p>
    <w:p w14:paraId="0D7AF44A">
      <w:pPr>
        <w:keepNext w:val="0"/>
        <w:keepLines w:val="0"/>
        <w:pageBreakBefore w:val="0"/>
        <w:widowControl w:val="0"/>
        <w:kinsoku/>
        <w:wordWrap/>
        <w:overflowPunct/>
        <w:topLinePunct w:val="0"/>
        <w:autoSpaceDE/>
        <w:autoSpaceDN/>
        <w:bidi w:val="0"/>
        <w:adjustRightInd w:val="0"/>
        <w:snapToGrid w:val="0"/>
        <w:spacing w:line="500" w:lineRule="exact"/>
        <w:ind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提供完整成套的货物及相关附件，提供各种数据资料；</w:t>
      </w:r>
    </w:p>
    <w:p w14:paraId="7D0FCC76">
      <w:pPr>
        <w:keepNext w:val="0"/>
        <w:keepLines w:val="0"/>
        <w:pageBreakBefore w:val="0"/>
        <w:widowControl w:val="0"/>
        <w:kinsoku/>
        <w:wordWrap/>
        <w:overflowPunct/>
        <w:topLinePunct w:val="0"/>
        <w:autoSpaceDE/>
        <w:autoSpaceDN/>
        <w:bidi w:val="0"/>
        <w:adjustRightInd w:val="0"/>
        <w:snapToGrid w:val="0"/>
        <w:spacing w:line="500" w:lineRule="exact"/>
        <w:ind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完成各项安装、调试、检验、测试、协助上牌、验收等工作；</w:t>
      </w:r>
    </w:p>
    <w:p w14:paraId="5C9AAE95">
      <w:pPr>
        <w:keepNext w:val="0"/>
        <w:keepLines w:val="0"/>
        <w:pageBreakBefore w:val="0"/>
        <w:widowControl w:val="0"/>
        <w:kinsoku/>
        <w:wordWrap/>
        <w:overflowPunct/>
        <w:topLinePunct w:val="0"/>
        <w:autoSpaceDE/>
        <w:autoSpaceDN/>
        <w:bidi w:val="0"/>
        <w:adjustRightInd w:val="0"/>
        <w:snapToGrid w:val="0"/>
        <w:spacing w:line="500" w:lineRule="exact"/>
        <w:ind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对最终使用单位的操作人员及维修人员进行技术培训；</w:t>
      </w:r>
    </w:p>
    <w:p w14:paraId="24B7BA67">
      <w:pPr>
        <w:keepNext w:val="0"/>
        <w:keepLines w:val="0"/>
        <w:pageBreakBefore w:val="0"/>
        <w:widowControl w:val="0"/>
        <w:kinsoku/>
        <w:wordWrap/>
        <w:overflowPunct/>
        <w:topLinePunct w:val="0"/>
        <w:autoSpaceDE/>
        <w:autoSpaceDN/>
        <w:bidi w:val="0"/>
        <w:adjustRightInd w:val="0"/>
        <w:snapToGrid w:val="0"/>
        <w:spacing w:line="500" w:lineRule="exact"/>
        <w:ind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维保及维修；</w:t>
      </w:r>
    </w:p>
    <w:p w14:paraId="06B14F26">
      <w:pPr>
        <w:keepNext w:val="0"/>
        <w:keepLines w:val="0"/>
        <w:pageBreakBefore w:val="0"/>
        <w:widowControl w:val="0"/>
        <w:kinsoku/>
        <w:wordWrap/>
        <w:overflowPunct/>
        <w:topLinePunct w:val="0"/>
        <w:autoSpaceDE/>
        <w:autoSpaceDN/>
        <w:bidi w:val="0"/>
        <w:adjustRightInd w:val="0"/>
        <w:snapToGrid w:val="0"/>
        <w:spacing w:line="500" w:lineRule="exact"/>
        <w:ind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售后服务的措施及承诺。</w:t>
      </w:r>
    </w:p>
    <w:p w14:paraId="60659D07">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第二条 车辆清单</w:t>
      </w:r>
    </w:p>
    <w:tbl>
      <w:tblPr>
        <w:tblStyle w:val="31"/>
        <w:tblW w:w="8910" w:type="dxa"/>
        <w:tblInd w:w="1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3287"/>
        <w:gridCol w:w="859"/>
        <w:gridCol w:w="1445"/>
        <w:gridCol w:w="1510"/>
        <w:gridCol w:w="941"/>
      </w:tblGrid>
      <w:tr w14:paraId="3EA7F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68" w:type="dxa"/>
            <w:noWrap w:val="0"/>
            <w:vAlign w:val="center"/>
          </w:tcPr>
          <w:p w14:paraId="29171C8B">
            <w:pPr>
              <w:widowControl/>
              <w:spacing w:line="440" w:lineRule="exact"/>
              <w:ind w:left="60" w:leftChars="0" w:right="60" w:rightChars="0"/>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序号</w:t>
            </w:r>
          </w:p>
        </w:tc>
        <w:tc>
          <w:tcPr>
            <w:tcW w:w="3287" w:type="dxa"/>
            <w:noWrap w:val="0"/>
            <w:vAlign w:val="center"/>
          </w:tcPr>
          <w:p w14:paraId="40596238">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2"/>
                <w:sz w:val="24"/>
                <w:szCs w:val="24"/>
                <w:highlight w:val="none"/>
                <w:lang w:val="en-US" w:eastAsia="zh-CN" w:bidi="ar-SA"/>
              </w:rPr>
              <w:t>名称</w:t>
            </w:r>
          </w:p>
        </w:tc>
        <w:tc>
          <w:tcPr>
            <w:tcW w:w="859" w:type="dxa"/>
            <w:noWrap w:val="0"/>
            <w:vAlign w:val="center"/>
          </w:tcPr>
          <w:p w14:paraId="2FBA3BB2">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2"/>
                <w:sz w:val="24"/>
                <w:szCs w:val="24"/>
                <w:highlight w:val="none"/>
                <w:lang w:val="en-US" w:eastAsia="zh-CN" w:bidi="ar-SA"/>
              </w:rPr>
              <w:t>数量</w:t>
            </w:r>
          </w:p>
        </w:tc>
        <w:tc>
          <w:tcPr>
            <w:tcW w:w="1445" w:type="dxa"/>
            <w:noWrap w:val="0"/>
            <w:vAlign w:val="center"/>
          </w:tcPr>
          <w:p w14:paraId="74910095">
            <w:pPr>
              <w:widowControl/>
              <w:spacing w:line="440" w:lineRule="exact"/>
              <w:ind w:left="60" w:leftChars="0" w:right="60" w:rightChars="0"/>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单价</w:t>
            </w:r>
          </w:p>
          <w:p w14:paraId="02A9953F">
            <w:pPr>
              <w:widowControl/>
              <w:spacing w:line="440" w:lineRule="exact"/>
              <w:ind w:left="60" w:leftChars="0" w:right="60" w:rightChars="0"/>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（元/辆）</w:t>
            </w:r>
          </w:p>
        </w:tc>
        <w:tc>
          <w:tcPr>
            <w:tcW w:w="1510" w:type="dxa"/>
            <w:noWrap w:val="0"/>
            <w:vAlign w:val="center"/>
          </w:tcPr>
          <w:p w14:paraId="677AD7FD">
            <w:pPr>
              <w:widowControl/>
              <w:spacing w:line="440" w:lineRule="exact"/>
              <w:ind w:left="60" w:leftChars="0" w:right="60" w:rightChars="0"/>
              <w:jc w:val="center"/>
              <w:rPr>
                <w:rFonts w:hint="eastAsia" w:ascii="宋体" w:hAnsi="宋体" w:eastAsia="宋体" w:cs="宋体"/>
                <w:b/>
                <w:bCs/>
                <w:color w:val="auto"/>
                <w:kern w:val="0"/>
                <w:sz w:val="24"/>
                <w:szCs w:val="24"/>
                <w:highlight w:val="none"/>
                <w:lang w:val="zh-TW" w:eastAsia="zh-CN"/>
              </w:rPr>
            </w:pPr>
            <w:r>
              <w:rPr>
                <w:rFonts w:hint="eastAsia" w:ascii="宋体" w:hAnsi="宋体" w:eastAsia="宋体" w:cs="宋体"/>
                <w:b/>
                <w:bCs/>
                <w:color w:val="auto"/>
                <w:kern w:val="0"/>
                <w:sz w:val="24"/>
                <w:szCs w:val="24"/>
                <w:highlight w:val="none"/>
                <w:lang w:val="en-US" w:eastAsia="zh-CN"/>
              </w:rPr>
              <w:t>总</w:t>
            </w:r>
            <w:r>
              <w:rPr>
                <w:rFonts w:hint="eastAsia" w:ascii="宋体" w:hAnsi="宋体" w:eastAsia="宋体" w:cs="宋体"/>
                <w:b/>
                <w:bCs/>
                <w:color w:val="auto"/>
                <w:kern w:val="0"/>
                <w:sz w:val="24"/>
                <w:szCs w:val="24"/>
                <w:highlight w:val="none"/>
                <w:lang w:val="zh-TW" w:eastAsia="zh-CN"/>
              </w:rPr>
              <w:t>价</w:t>
            </w:r>
          </w:p>
          <w:p w14:paraId="6D4683C6">
            <w:pPr>
              <w:widowControl/>
              <w:spacing w:line="440" w:lineRule="exact"/>
              <w:ind w:left="60" w:leftChars="0" w:right="60" w:rightChars="0"/>
              <w:jc w:val="center"/>
              <w:rPr>
                <w:rFonts w:hint="eastAsia" w:ascii="宋体" w:hAnsi="宋体" w:eastAsia="宋体" w:cs="宋体"/>
                <w:b/>
                <w:color w:val="auto"/>
                <w:sz w:val="24"/>
                <w:szCs w:val="24"/>
                <w:highlight w:val="none"/>
                <w:lang w:eastAsia="zh-CN"/>
              </w:rPr>
            </w:pPr>
            <w:r>
              <w:rPr>
                <w:rFonts w:hint="eastAsia" w:ascii="宋体" w:hAnsi="宋体" w:eastAsia="宋体" w:cs="宋体"/>
                <w:b/>
                <w:bCs/>
                <w:color w:val="auto"/>
                <w:kern w:val="0"/>
                <w:sz w:val="24"/>
                <w:szCs w:val="24"/>
                <w:highlight w:val="none"/>
                <w:lang w:val="zh-TW" w:eastAsia="zh-CN"/>
              </w:rPr>
              <w:t>（元）</w:t>
            </w:r>
          </w:p>
        </w:tc>
        <w:tc>
          <w:tcPr>
            <w:tcW w:w="941" w:type="dxa"/>
            <w:noWrap w:val="0"/>
            <w:vAlign w:val="center"/>
          </w:tcPr>
          <w:p w14:paraId="5CFAF83C">
            <w:pPr>
              <w:widowControl/>
              <w:spacing w:line="440" w:lineRule="exact"/>
              <w:ind w:left="60" w:leftChars="0" w:right="60" w:rightChars="0"/>
              <w:jc w:val="center"/>
              <w:rPr>
                <w:rFonts w:hint="eastAsia" w:ascii="宋体" w:hAnsi="宋体" w:eastAsia="宋体" w:cs="宋体"/>
                <w:b/>
                <w:color w:val="auto"/>
                <w:sz w:val="24"/>
                <w:szCs w:val="24"/>
                <w:highlight w:val="none"/>
              </w:rPr>
            </w:pPr>
            <w:r>
              <w:rPr>
                <w:rFonts w:hint="eastAsia" w:ascii="宋体" w:hAnsi="宋体" w:eastAsia="宋体" w:cs="宋体"/>
                <w:b/>
                <w:bCs/>
                <w:color w:val="auto"/>
                <w:kern w:val="0"/>
                <w:sz w:val="24"/>
                <w:szCs w:val="24"/>
                <w:highlight w:val="none"/>
                <w:lang w:val="zh-TW"/>
              </w:rPr>
              <w:t>备</w:t>
            </w:r>
            <w:r>
              <w:rPr>
                <w:rFonts w:hint="eastAsia" w:ascii="宋体" w:hAnsi="宋体" w:eastAsia="宋体" w:cs="宋体"/>
                <w:b/>
                <w:bCs/>
                <w:color w:val="auto"/>
                <w:kern w:val="0"/>
                <w:sz w:val="24"/>
                <w:szCs w:val="24"/>
                <w:highlight w:val="none"/>
              </w:rPr>
              <w:t xml:space="preserve"> </w:t>
            </w:r>
            <w:r>
              <w:rPr>
                <w:rFonts w:hint="eastAsia" w:ascii="宋体" w:hAnsi="宋体" w:eastAsia="宋体" w:cs="宋体"/>
                <w:b/>
                <w:bCs/>
                <w:color w:val="auto"/>
                <w:kern w:val="0"/>
                <w:sz w:val="24"/>
                <w:szCs w:val="24"/>
                <w:highlight w:val="none"/>
                <w:lang w:val="zh-TW"/>
              </w:rPr>
              <w:t>注</w:t>
            </w:r>
          </w:p>
        </w:tc>
      </w:tr>
      <w:tr w14:paraId="7B2B4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868" w:type="dxa"/>
            <w:noWrap w:val="0"/>
            <w:vAlign w:val="center"/>
          </w:tcPr>
          <w:p w14:paraId="02AAC441">
            <w:pPr>
              <w:widowControl/>
              <w:spacing w:line="440" w:lineRule="exact"/>
              <w:ind w:left="60" w:leftChars="0" w:right="60" w:rightChars="0"/>
              <w:jc w:val="center"/>
              <w:rPr>
                <w:rFonts w:hint="eastAsia" w:ascii="宋体" w:hAnsi="宋体" w:eastAsia="宋体" w:cs="宋体"/>
                <w:color w:val="auto"/>
                <w:kern w:val="0"/>
                <w:sz w:val="24"/>
                <w:szCs w:val="24"/>
                <w:highlight w:val="none"/>
              </w:rPr>
            </w:pPr>
          </w:p>
        </w:tc>
        <w:tc>
          <w:tcPr>
            <w:tcW w:w="3287" w:type="dxa"/>
            <w:noWrap w:val="0"/>
            <w:vAlign w:val="center"/>
          </w:tcPr>
          <w:p w14:paraId="15EC7553">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bCs/>
                <w:color w:val="auto"/>
                <w:kern w:val="0"/>
                <w:sz w:val="24"/>
                <w:szCs w:val="24"/>
                <w:highlight w:val="none"/>
              </w:rPr>
            </w:pPr>
          </w:p>
        </w:tc>
        <w:tc>
          <w:tcPr>
            <w:tcW w:w="859" w:type="dxa"/>
            <w:noWrap w:val="0"/>
            <w:vAlign w:val="center"/>
          </w:tcPr>
          <w:p w14:paraId="59F53D96">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bCs/>
                <w:color w:val="auto"/>
                <w:sz w:val="24"/>
                <w:szCs w:val="24"/>
                <w:highlight w:val="none"/>
              </w:rPr>
            </w:pPr>
          </w:p>
        </w:tc>
        <w:tc>
          <w:tcPr>
            <w:tcW w:w="1445" w:type="dxa"/>
            <w:noWrap w:val="0"/>
            <w:vAlign w:val="center"/>
          </w:tcPr>
          <w:p w14:paraId="27849A87">
            <w:pPr>
              <w:widowControl/>
              <w:spacing w:line="440" w:lineRule="exact"/>
              <w:ind w:right="60" w:rightChars="0"/>
              <w:jc w:val="center"/>
              <w:rPr>
                <w:rFonts w:hint="eastAsia" w:ascii="宋体" w:hAnsi="宋体" w:eastAsia="宋体" w:cs="宋体"/>
                <w:color w:val="auto"/>
                <w:sz w:val="24"/>
                <w:szCs w:val="24"/>
                <w:highlight w:val="none"/>
              </w:rPr>
            </w:pPr>
          </w:p>
        </w:tc>
        <w:tc>
          <w:tcPr>
            <w:tcW w:w="1510" w:type="dxa"/>
            <w:noWrap w:val="0"/>
            <w:vAlign w:val="center"/>
          </w:tcPr>
          <w:p w14:paraId="5830E040">
            <w:pPr>
              <w:widowControl/>
              <w:spacing w:line="440" w:lineRule="exact"/>
              <w:ind w:right="60" w:rightChars="0"/>
              <w:jc w:val="center"/>
              <w:rPr>
                <w:rFonts w:hint="eastAsia" w:ascii="宋体" w:hAnsi="宋体" w:eastAsia="宋体" w:cs="宋体"/>
                <w:color w:val="auto"/>
                <w:sz w:val="24"/>
                <w:szCs w:val="24"/>
                <w:highlight w:val="none"/>
              </w:rPr>
            </w:pPr>
          </w:p>
        </w:tc>
        <w:tc>
          <w:tcPr>
            <w:tcW w:w="941" w:type="dxa"/>
            <w:noWrap w:val="0"/>
            <w:vAlign w:val="center"/>
          </w:tcPr>
          <w:p w14:paraId="21CC77A9">
            <w:pPr>
              <w:widowControl/>
              <w:spacing w:line="440" w:lineRule="exact"/>
              <w:ind w:right="60" w:rightChars="0"/>
              <w:rPr>
                <w:rFonts w:hint="eastAsia" w:ascii="宋体" w:hAnsi="宋体" w:eastAsia="宋体" w:cs="宋体"/>
                <w:color w:val="auto"/>
                <w:sz w:val="24"/>
                <w:szCs w:val="24"/>
                <w:highlight w:val="none"/>
              </w:rPr>
            </w:pPr>
          </w:p>
        </w:tc>
      </w:tr>
    </w:tbl>
    <w:p w14:paraId="116829AC">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bCs/>
          <w:color w:val="auto"/>
          <w:sz w:val="24"/>
          <w:szCs w:val="24"/>
          <w:highlight w:val="none"/>
          <w:u w:val="none"/>
        </w:rPr>
      </w:pPr>
      <w:r>
        <w:rPr>
          <w:rFonts w:hint="eastAsia" w:ascii="宋体" w:hAnsi="宋体" w:eastAsia="宋体" w:cs="宋体"/>
          <w:bCs/>
          <w:color w:val="auto"/>
          <w:sz w:val="24"/>
          <w:szCs w:val="24"/>
          <w:highlight w:val="none"/>
          <w:u w:val="none"/>
          <w:lang w:val="en-US" w:eastAsia="zh-CN"/>
        </w:rPr>
        <w:t>注：本项目</w:t>
      </w:r>
      <w:r>
        <w:rPr>
          <w:rFonts w:hint="eastAsia" w:ascii="宋体" w:hAnsi="宋体" w:eastAsia="宋体" w:cs="宋体"/>
          <w:bCs/>
          <w:color w:val="auto"/>
          <w:sz w:val="24"/>
          <w:szCs w:val="24"/>
          <w:highlight w:val="none"/>
          <w:u w:val="none"/>
        </w:rPr>
        <w:t>是指</w:t>
      </w:r>
      <w:r>
        <w:rPr>
          <w:rFonts w:hint="eastAsia" w:ascii="宋体" w:hAnsi="宋体" w:cs="宋体"/>
          <w:bCs/>
          <w:color w:val="auto"/>
          <w:sz w:val="24"/>
          <w:szCs w:val="24"/>
          <w:highlight w:val="none"/>
          <w:u w:val="none"/>
          <w:lang w:val="en-US" w:eastAsia="zh-CN"/>
        </w:rPr>
        <w:t>乙方</w:t>
      </w:r>
      <w:r>
        <w:rPr>
          <w:rFonts w:hint="eastAsia" w:ascii="宋体" w:hAnsi="宋体" w:eastAsia="宋体" w:cs="宋体"/>
          <w:bCs/>
          <w:color w:val="auto"/>
          <w:sz w:val="24"/>
          <w:szCs w:val="24"/>
          <w:highlight w:val="none"/>
          <w:u w:val="none"/>
        </w:rPr>
        <w:t>在正确地完全履行合同义务后</w:t>
      </w:r>
      <w:r>
        <w:rPr>
          <w:rFonts w:hint="eastAsia" w:ascii="宋体" w:hAnsi="宋体" w:eastAsia="宋体" w:cs="宋体"/>
          <w:bCs/>
          <w:color w:val="auto"/>
          <w:sz w:val="24"/>
          <w:szCs w:val="24"/>
          <w:highlight w:val="none"/>
          <w:u w:val="none"/>
          <w:lang w:val="en-US" w:eastAsia="zh-CN"/>
        </w:rPr>
        <w:t>甲方</w:t>
      </w:r>
      <w:r>
        <w:rPr>
          <w:rFonts w:hint="eastAsia" w:ascii="宋体" w:hAnsi="宋体" w:eastAsia="宋体" w:cs="宋体"/>
          <w:bCs/>
          <w:color w:val="auto"/>
          <w:sz w:val="24"/>
          <w:szCs w:val="24"/>
          <w:highlight w:val="none"/>
          <w:u w:val="none"/>
        </w:rPr>
        <w:t>应支付给</w:t>
      </w:r>
      <w:r>
        <w:rPr>
          <w:rFonts w:hint="eastAsia" w:ascii="宋体" w:hAnsi="宋体" w:cs="宋体"/>
          <w:bCs/>
          <w:color w:val="auto"/>
          <w:sz w:val="24"/>
          <w:szCs w:val="24"/>
          <w:highlight w:val="none"/>
          <w:u w:val="none"/>
          <w:lang w:val="en-US" w:eastAsia="zh-CN"/>
        </w:rPr>
        <w:t>乙方</w:t>
      </w:r>
      <w:r>
        <w:rPr>
          <w:rFonts w:hint="eastAsia" w:ascii="宋体" w:hAnsi="宋体" w:eastAsia="宋体" w:cs="宋体"/>
          <w:bCs/>
          <w:color w:val="auto"/>
          <w:sz w:val="24"/>
          <w:szCs w:val="24"/>
          <w:highlight w:val="none"/>
          <w:u w:val="none"/>
        </w:rPr>
        <w:t>的所有价款，包括设计、制造、货物款、</w:t>
      </w:r>
      <w:r>
        <w:rPr>
          <w:rFonts w:hint="eastAsia" w:ascii="宋体" w:hAnsi="宋体" w:eastAsia="宋体" w:cs="宋体"/>
          <w:bCs/>
          <w:color w:val="auto"/>
          <w:sz w:val="24"/>
          <w:szCs w:val="24"/>
          <w:highlight w:val="none"/>
          <w:u w:val="none"/>
          <w:lang w:val="en-US" w:eastAsia="zh-CN"/>
        </w:rPr>
        <w:t>标准附件、</w:t>
      </w:r>
      <w:r>
        <w:rPr>
          <w:rFonts w:hint="eastAsia" w:ascii="宋体" w:hAnsi="宋体" w:eastAsia="宋体" w:cs="宋体"/>
          <w:bCs/>
          <w:color w:val="auto"/>
          <w:sz w:val="24"/>
          <w:szCs w:val="24"/>
          <w:highlight w:val="none"/>
          <w:u w:val="none"/>
        </w:rPr>
        <w:t>质保期内所需耗材、专用工具、送车费（含送车保险）、</w:t>
      </w:r>
      <w:r>
        <w:rPr>
          <w:rFonts w:hint="eastAsia" w:ascii="宋体" w:hAnsi="宋体" w:eastAsia="宋体" w:cs="宋体"/>
          <w:bCs/>
          <w:color w:val="auto"/>
          <w:sz w:val="24"/>
          <w:szCs w:val="24"/>
          <w:highlight w:val="none"/>
          <w:u w:val="none"/>
          <w:lang w:eastAsia="zh-CN"/>
        </w:rPr>
        <w:t>税金（车辆销售税）、</w:t>
      </w:r>
      <w:r>
        <w:rPr>
          <w:rFonts w:hint="eastAsia" w:ascii="宋体" w:hAnsi="宋体" w:eastAsia="宋体" w:cs="宋体"/>
          <w:bCs/>
          <w:color w:val="auto"/>
          <w:sz w:val="24"/>
          <w:szCs w:val="24"/>
          <w:highlight w:val="none"/>
          <w:u w:val="none"/>
        </w:rPr>
        <w:t>包装、</w:t>
      </w:r>
      <w:r>
        <w:rPr>
          <w:rFonts w:hint="eastAsia" w:ascii="宋体" w:hAnsi="宋体" w:eastAsia="宋体" w:cs="宋体"/>
          <w:bCs/>
          <w:color w:val="auto"/>
          <w:sz w:val="24"/>
          <w:szCs w:val="24"/>
          <w:highlight w:val="none"/>
          <w:u w:val="none"/>
          <w:lang w:val="en-US" w:eastAsia="zh-CN"/>
        </w:rPr>
        <w:t>运输</w:t>
      </w:r>
      <w:r>
        <w:rPr>
          <w:rFonts w:hint="eastAsia" w:ascii="宋体" w:hAnsi="宋体" w:eastAsia="宋体" w:cs="宋体"/>
          <w:bCs/>
          <w:color w:val="auto"/>
          <w:sz w:val="24"/>
          <w:szCs w:val="24"/>
          <w:highlight w:val="none"/>
          <w:u w:val="none"/>
        </w:rPr>
        <w:t>装卸就位、安装调试、验收（含第三方验收）、</w:t>
      </w:r>
      <w:r>
        <w:rPr>
          <w:rFonts w:hint="eastAsia" w:ascii="宋体" w:hAnsi="宋体" w:eastAsia="宋体" w:cs="宋体"/>
          <w:bCs/>
          <w:color w:val="auto"/>
          <w:sz w:val="24"/>
          <w:szCs w:val="24"/>
          <w:highlight w:val="none"/>
          <w:u w:val="none"/>
          <w:lang w:val="en-US" w:eastAsia="zh-CN"/>
        </w:rPr>
        <w:t>管理、</w:t>
      </w:r>
      <w:r>
        <w:rPr>
          <w:rFonts w:hint="eastAsia" w:ascii="宋体" w:hAnsi="宋体" w:eastAsia="宋体" w:cs="宋体"/>
          <w:bCs/>
          <w:color w:val="auto"/>
          <w:sz w:val="24"/>
          <w:szCs w:val="24"/>
          <w:highlight w:val="none"/>
          <w:u w:val="none"/>
        </w:rPr>
        <w:t>交付使用、技术服务、培训、售后服务、质保期保障、招标代理服务费等全部费用</w:t>
      </w:r>
      <w:r>
        <w:rPr>
          <w:rFonts w:hint="eastAsia" w:ascii="宋体" w:hAnsi="宋体" w:eastAsia="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但</w:t>
      </w:r>
      <w:r>
        <w:rPr>
          <w:rFonts w:hint="eastAsia" w:ascii="宋体" w:hAnsi="宋体" w:eastAsia="宋体" w:cs="宋体"/>
          <w:bCs/>
          <w:color w:val="auto"/>
          <w:sz w:val="24"/>
          <w:szCs w:val="24"/>
          <w:highlight w:val="none"/>
          <w:u w:val="none"/>
        </w:rPr>
        <w:t>综合单价及总报价不包含保险费、购置税、上牌费、检测费等，国家补贴由</w:t>
      </w:r>
      <w:r>
        <w:rPr>
          <w:rFonts w:hint="eastAsia" w:ascii="宋体" w:hAnsi="宋体" w:cs="宋体"/>
          <w:bCs/>
          <w:color w:val="auto"/>
          <w:sz w:val="24"/>
          <w:szCs w:val="24"/>
          <w:highlight w:val="none"/>
          <w:u w:val="none"/>
          <w:lang w:val="en-US" w:eastAsia="zh-CN"/>
        </w:rPr>
        <w:t>乙方</w:t>
      </w:r>
      <w:r>
        <w:rPr>
          <w:rFonts w:hint="eastAsia" w:ascii="宋体" w:hAnsi="宋体" w:eastAsia="宋体" w:cs="宋体"/>
          <w:bCs/>
          <w:color w:val="auto"/>
          <w:sz w:val="24"/>
          <w:szCs w:val="24"/>
          <w:highlight w:val="none"/>
          <w:u w:val="none"/>
        </w:rPr>
        <w:t>自行申报、领取。</w:t>
      </w:r>
    </w:p>
    <w:p w14:paraId="39166EFD">
      <w:pPr>
        <w:keepNext w:val="0"/>
        <w:keepLines w:val="0"/>
        <w:pageBreakBefore w:val="0"/>
        <w:widowControl w:val="0"/>
        <w:kinsoku/>
        <w:wordWrap/>
        <w:overflowPunct/>
        <w:topLinePunct w:val="0"/>
        <w:autoSpaceDE/>
        <w:autoSpaceDN/>
        <w:bidi w:val="0"/>
        <w:adjustRightInd w:val="0"/>
        <w:snapToGrid w:val="0"/>
        <w:spacing w:line="500" w:lineRule="exact"/>
        <w:ind w:left="0" w:leftChars="0" w:right="0" w:rightChars="0" w:firstLine="482" w:firstLineChars="200"/>
        <w:jc w:val="both"/>
        <w:textAlignment w:val="auto"/>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u w:val="none"/>
          <w:lang w:val="en-US" w:eastAsia="zh-CN"/>
        </w:rPr>
        <w:t>第三条：</w:t>
      </w:r>
      <w:r>
        <w:rPr>
          <w:rFonts w:hint="eastAsia" w:ascii="宋体" w:hAnsi="宋体" w:eastAsia="宋体" w:cs="宋体"/>
          <w:b/>
          <w:bCs w:val="0"/>
          <w:color w:val="auto"/>
          <w:sz w:val="24"/>
          <w:szCs w:val="24"/>
          <w:highlight w:val="none"/>
        </w:rPr>
        <w:t>履约保证金</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rPr>
        <w:t>差额保证金</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如有</w:t>
      </w:r>
      <w:r>
        <w:rPr>
          <w:rFonts w:hint="eastAsia" w:ascii="宋体" w:hAnsi="宋体" w:eastAsia="宋体" w:cs="宋体"/>
          <w:b/>
          <w:bCs w:val="0"/>
          <w:color w:val="auto"/>
          <w:sz w:val="24"/>
          <w:szCs w:val="24"/>
          <w:highlight w:val="none"/>
          <w:lang w:eastAsia="zh-CN"/>
        </w:rPr>
        <w:t>）</w:t>
      </w:r>
    </w:p>
    <w:p w14:paraId="55759765">
      <w:pPr>
        <w:keepLines w:val="0"/>
        <w:pageBreakBefore w:val="0"/>
        <w:kinsoku/>
        <w:wordWrap/>
        <w:overflowPunct/>
        <w:topLinePunct w:val="0"/>
        <w:autoSpaceDE/>
        <w:autoSpaceDN/>
        <w:bidi w:val="0"/>
        <w:spacing w:line="490" w:lineRule="exact"/>
        <w:ind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中标通知书发出后10个工作日内中标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向采购人缴纳合同价的1%作为履约保证金，待项目验收合格后30日内无息退回。履约保证金支付方式：电汇/汇票/本票等转账方式或银行保函方式。（保函有效期必须在本项目验收合格后之日起30个工作日后）。</w:t>
      </w:r>
    </w:p>
    <w:p w14:paraId="5775A9A8">
      <w:pPr>
        <w:keepNext w:val="0"/>
        <w:keepLines w:val="0"/>
        <w:pageBreakBefore w:val="0"/>
        <w:widowControl w:val="0"/>
        <w:kinsoku/>
        <w:wordWrap/>
        <w:overflowPunct/>
        <w:topLinePunct w:val="0"/>
        <w:autoSpaceDE/>
        <w:autoSpaceDN/>
        <w:bidi w:val="0"/>
        <w:adjustRightInd w:val="0"/>
        <w:spacing w:line="500" w:lineRule="exact"/>
        <w:ind w:right="0" w:rightChars="0"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差额保证金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缴纳及退还：中标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在中标通知书发出后</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个工作日内提交履约保证金的同时额外补交差额保证金，差额保证金以</w:t>
      </w:r>
      <w:r>
        <w:rPr>
          <w:rFonts w:hint="eastAsia" w:ascii="宋体" w:hAnsi="宋体" w:cs="宋体"/>
          <w:color w:val="auto"/>
          <w:sz w:val="24"/>
          <w:szCs w:val="24"/>
          <w:highlight w:val="none"/>
          <w:lang w:val="en-US" w:eastAsia="zh-CN"/>
        </w:rPr>
        <w:t>转账、电汇</w:t>
      </w:r>
      <w:r>
        <w:rPr>
          <w:rFonts w:hint="eastAsia" w:ascii="宋体" w:hAnsi="宋体" w:eastAsia="宋体" w:cs="宋体"/>
          <w:color w:val="auto"/>
          <w:sz w:val="24"/>
          <w:szCs w:val="24"/>
          <w:highlight w:val="none"/>
        </w:rPr>
        <w:t>的形式缴纳，</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验收合格后</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0日内无息退还。</w:t>
      </w:r>
    </w:p>
    <w:p w14:paraId="19E5F83E">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bCs w:val="0"/>
          <w:color w:val="auto"/>
          <w:sz w:val="24"/>
          <w:szCs w:val="24"/>
          <w:highlight w:val="none"/>
          <w:u w:val="none"/>
          <w:lang w:val="en-US" w:eastAsia="zh-CN"/>
        </w:rPr>
      </w:pPr>
      <w:r>
        <w:rPr>
          <w:rFonts w:hint="eastAsia" w:ascii="宋体" w:hAnsi="宋体" w:eastAsia="宋体" w:cs="宋体"/>
          <w:b/>
          <w:bCs w:val="0"/>
          <w:color w:val="auto"/>
          <w:sz w:val="24"/>
          <w:szCs w:val="24"/>
          <w:highlight w:val="none"/>
          <w:u w:val="none"/>
          <w:lang w:val="en-US" w:eastAsia="zh-CN"/>
        </w:rPr>
        <w:t>第四条：质量要求</w:t>
      </w:r>
    </w:p>
    <w:p w14:paraId="609C4DC4">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right="0" w:rightChars="0" w:firstLine="484" w:firstLineChars="200"/>
        <w:jc w:val="left"/>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1.投标人保证所供车辆是未使用过的，符合国家规定的技术规格和质量标准的出厂原装合格产品，并且是完全符合本次招标文件(包括补充更正，如有)中采购货物要求所规定的技术参数和质量要求。</w:t>
      </w:r>
    </w:p>
    <w:p w14:paraId="07137DDE">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right="0" w:rightChars="0" w:firstLine="484" w:firstLineChars="200"/>
        <w:jc w:val="left"/>
        <w:textAlignment w:val="auto"/>
        <w:rPr>
          <w:rFonts w:hint="eastAsia" w:ascii="宋体" w:hAnsi="宋体" w:eastAsia="宋体" w:cs="宋体"/>
          <w:color w:val="auto"/>
          <w:spacing w:val="1"/>
          <w:sz w:val="24"/>
          <w:szCs w:val="24"/>
          <w:highlight w:val="none"/>
          <w:lang w:val="en-US" w:eastAsia="zh-CN"/>
        </w:rPr>
      </w:pPr>
      <w:r>
        <w:rPr>
          <w:rFonts w:hint="eastAsia" w:ascii="宋体" w:hAnsi="宋体" w:eastAsia="宋体" w:cs="宋体"/>
          <w:color w:val="auto"/>
          <w:spacing w:val="1"/>
          <w:sz w:val="24"/>
          <w:szCs w:val="24"/>
          <w:highlight w:val="none"/>
          <w:lang w:val="en-US" w:eastAsia="zh-CN"/>
        </w:rPr>
        <w:t>2.投标人必须保证所供车辆能够正常使用，若车辆出现自燃、在使用过程中安全、交通事故和重复性故障，经车辆配套厂家和采购人认定或经仲裁机构鉴定是因车辆本身设计问题或车辆本身质量问题引起的，由中标人和车辆生产厂家负责。中标人在投标文件中需附车辆生产厂家对本批次车辆质量保证承诺书。</w:t>
      </w:r>
    </w:p>
    <w:p w14:paraId="735F14BB">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第</w:t>
      </w:r>
      <w:r>
        <w:rPr>
          <w:rFonts w:hint="eastAsia" w:ascii="宋体" w:hAnsi="宋体" w:cs="宋体"/>
          <w:b/>
          <w:color w:val="auto"/>
          <w:sz w:val="24"/>
          <w:szCs w:val="24"/>
          <w:highlight w:val="none"/>
          <w:lang w:val="en-US" w:eastAsia="zh-CN"/>
        </w:rPr>
        <w:t>五</w:t>
      </w:r>
      <w:r>
        <w:rPr>
          <w:rFonts w:hint="eastAsia" w:ascii="宋体" w:hAnsi="宋体" w:eastAsia="宋体" w:cs="宋体"/>
          <w:b/>
          <w:color w:val="auto"/>
          <w:sz w:val="24"/>
          <w:szCs w:val="24"/>
          <w:highlight w:val="none"/>
          <w:lang w:val="en-US" w:eastAsia="zh-CN"/>
        </w:rPr>
        <w:t>条：交货</w:t>
      </w:r>
    </w:p>
    <w:p w14:paraId="37D9B54D">
      <w:pPr>
        <w:keepLines w:val="0"/>
        <w:pageBreakBefore w:val="0"/>
        <w:numPr>
          <w:ilvl w:val="0"/>
          <w:numId w:val="0"/>
        </w:numPr>
        <w:kinsoku/>
        <w:wordWrap/>
        <w:overflowPunct/>
        <w:topLinePunct w:val="0"/>
        <w:autoSpaceDE/>
        <w:autoSpaceDN/>
        <w:bidi w:val="0"/>
        <w:snapToGrid w:val="0"/>
        <w:spacing w:line="490" w:lineRule="exact"/>
        <w:ind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u w:val="none"/>
          <w:lang w:val="en-US" w:eastAsia="zh-CN"/>
        </w:rPr>
        <w:t>1.合同交货：</w:t>
      </w:r>
      <w:r>
        <w:rPr>
          <w:rFonts w:hint="eastAsia" w:ascii="宋体" w:hAnsi="宋体" w:eastAsia="宋体" w:cs="宋体"/>
          <w:bCs/>
          <w:color w:val="auto"/>
          <w:sz w:val="24"/>
          <w:szCs w:val="24"/>
          <w:highlight w:val="none"/>
          <w:u w:val="none"/>
        </w:rPr>
        <w:t>自签订合同之日起，40 日历天内完成生产，接</w:t>
      </w:r>
      <w:r>
        <w:rPr>
          <w:rFonts w:hint="eastAsia" w:ascii="宋体" w:hAnsi="宋体" w:cs="宋体"/>
          <w:bCs/>
          <w:color w:val="auto"/>
          <w:sz w:val="24"/>
          <w:szCs w:val="24"/>
          <w:highlight w:val="none"/>
          <w:u w:val="none"/>
          <w:lang w:val="en-US" w:eastAsia="zh-CN"/>
        </w:rPr>
        <w:t>采购人</w:t>
      </w:r>
      <w:r>
        <w:rPr>
          <w:rFonts w:hint="eastAsia" w:ascii="宋体" w:hAnsi="宋体" w:eastAsia="宋体" w:cs="宋体"/>
          <w:bCs/>
          <w:color w:val="auto"/>
          <w:sz w:val="24"/>
          <w:szCs w:val="24"/>
          <w:highlight w:val="none"/>
          <w:u w:val="none"/>
        </w:rPr>
        <w:t>书面通知 10天内提货到业主指定场站。</w:t>
      </w:r>
    </w:p>
    <w:p w14:paraId="03CA4677">
      <w:pPr>
        <w:keepLines w:val="0"/>
        <w:pageBreakBefore w:val="0"/>
        <w:numPr>
          <w:ilvl w:val="0"/>
          <w:numId w:val="0"/>
        </w:numPr>
        <w:kinsoku/>
        <w:wordWrap/>
        <w:overflowPunct/>
        <w:topLinePunct w:val="0"/>
        <w:autoSpaceDE/>
        <w:autoSpaceDN/>
        <w:bidi w:val="0"/>
        <w:snapToGrid w:val="0"/>
        <w:spacing w:line="490" w:lineRule="exact"/>
        <w:ind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2.交货地点：采购方指定停车场。</w:t>
      </w:r>
    </w:p>
    <w:p w14:paraId="77806666">
      <w:pPr>
        <w:keepNext w:val="0"/>
        <w:keepLines w:val="0"/>
        <w:pageBreakBefore w:val="0"/>
        <w:tabs>
          <w:tab w:val="left" w:pos="5760"/>
        </w:tabs>
        <w:kinsoku/>
        <w:wordWrap/>
        <w:overflowPunct/>
        <w:topLinePunct w:val="0"/>
        <w:bidi w:val="0"/>
        <w:adjustRightInd w:val="0"/>
        <w:snapToGrid w:val="0"/>
        <w:spacing w:line="49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3.交货方式：</w:t>
      </w:r>
      <w:r>
        <w:rPr>
          <w:rFonts w:hint="eastAsia" w:ascii="宋体" w:hAnsi="宋体" w:eastAsia="宋体" w:cs="宋体"/>
          <w:bCs/>
          <w:color w:val="auto"/>
          <w:sz w:val="24"/>
          <w:szCs w:val="24"/>
          <w:highlight w:val="none"/>
        </w:rPr>
        <w:t>在交货地点，经甲方验收合格，</w:t>
      </w:r>
      <w:r>
        <w:rPr>
          <w:rFonts w:hint="eastAsia" w:ascii="宋体" w:hAnsi="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协助上牌后为正式交货。因厂家原因造成拖延上牌的，视为延期交货，须按合同总价的5‰支付迟交违约金，不足7天按7天计，依次累计。超出20天无法上牌的，甲方有权解除合同并要求赔偿</w:t>
      </w:r>
      <w:r>
        <w:rPr>
          <w:rFonts w:hint="eastAsia" w:ascii="宋体" w:hAnsi="宋体" w:cs="宋体"/>
          <w:bCs/>
          <w:color w:val="auto"/>
          <w:sz w:val="24"/>
          <w:szCs w:val="24"/>
          <w:highlight w:val="none"/>
          <w:lang w:val="en-US" w:eastAsia="zh-CN"/>
        </w:rPr>
        <w:t>中标价的1%</w:t>
      </w:r>
      <w:r>
        <w:rPr>
          <w:rFonts w:hint="eastAsia" w:ascii="宋体" w:hAnsi="宋体" w:eastAsia="宋体" w:cs="宋体"/>
          <w:bCs/>
          <w:color w:val="auto"/>
          <w:sz w:val="24"/>
          <w:szCs w:val="24"/>
          <w:highlight w:val="none"/>
        </w:rPr>
        <w:t>。</w:t>
      </w:r>
    </w:p>
    <w:p w14:paraId="6A512AD8">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val="en-US" w:eastAsia="zh-CN"/>
        </w:rPr>
        <w:t>4.延期交货赔偿：</w:t>
      </w:r>
      <w:r>
        <w:rPr>
          <w:rFonts w:hint="eastAsia" w:ascii="宋体" w:hAnsi="宋体" w:eastAsia="宋体" w:cs="宋体"/>
          <w:color w:val="auto"/>
          <w:sz w:val="24"/>
          <w:szCs w:val="24"/>
          <w:highlight w:val="none"/>
        </w:rPr>
        <w:t>延期交货每7天，按合同总价的</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‰支付迟交违约金，不足7天按7天计，依次累计。超出20天，</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有权解除合同并要求赔偿</w:t>
      </w:r>
      <w:r>
        <w:rPr>
          <w:rFonts w:hint="eastAsia" w:ascii="宋体" w:hAnsi="宋体" w:cs="宋体"/>
          <w:bCs/>
          <w:color w:val="auto"/>
          <w:sz w:val="24"/>
          <w:szCs w:val="24"/>
          <w:highlight w:val="none"/>
          <w:lang w:val="en-US" w:eastAsia="zh-CN"/>
        </w:rPr>
        <w:t>中标价的1%</w:t>
      </w:r>
      <w:r>
        <w:rPr>
          <w:rFonts w:hint="eastAsia" w:ascii="宋体" w:hAnsi="宋体" w:eastAsia="宋体" w:cs="宋体"/>
          <w:bCs/>
          <w:color w:val="auto"/>
          <w:sz w:val="24"/>
          <w:szCs w:val="24"/>
          <w:highlight w:val="none"/>
        </w:rPr>
        <w:t>。</w:t>
      </w:r>
    </w:p>
    <w:p w14:paraId="0B24322D">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第</w:t>
      </w:r>
      <w:r>
        <w:rPr>
          <w:rFonts w:hint="eastAsia" w:ascii="宋体" w:hAnsi="宋体" w:cs="宋体"/>
          <w:b/>
          <w:color w:val="auto"/>
          <w:sz w:val="24"/>
          <w:szCs w:val="24"/>
          <w:highlight w:val="none"/>
          <w:lang w:val="en-US" w:eastAsia="zh-CN"/>
        </w:rPr>
        <w:t>六</w:t>
      </w:r>
      <w:r>
        <w:rPr>
          <w:rFonts w:hint="eastAsia" w:ascii="宋体" w:hAnsi="宋体" w:eastAsia="宋体" w:cs="宋体"/>
          <w:b/>
          <w:color w:val="auto"/>
          <w:sz w:val="24"/>
          <w:szCs w:val="24"/>
          <w:highlight w:val="none"/>
          <w:lang w:val="en-US" w:eastAsia="zh-CN"/>
        </w:rPr>
        <w:t>条：验收</w:t>
      </w:r>
    </w:p>
    <w:p w14:paraId="67139141">
      <w:pPr>
        <w:pStyle w:val="99"/>
        <w:keepNext w:val="0"/>
        <w:keepLines w:val="0"/>
        <w:pageBreakBefore w:val="0"/>
        <w:widowControl w:val="0"/>
        <w:kinsoku/>
        <w:wordWrap/>
        <w:overflowPunct/>
        <w:topLinePunct w:val="0"/>
        <w:autoSpaceDE/>
        <w:autoSpaceDN/>
        <w:bidi w:val="0"/>
        <w:adjustRightInd/>
        <w:snapToGrid/>
        <w:spacing w:line="500" w:lineRule="exact"/>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一次性验收合格，达到国家规范规定验收合格标准，符合</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第三章采购内容及要求和投标人承诺要求。</w:t>
      </w:r>
    </w:p>
    <w:p w14:paraId="29140736">
      <w:pPr>
        <w:pStyle w:val="99"/>
        <w:keepLines w:val="0"/>
        <w:pageBreakBefore w:val="0"/>
        <w:kinsoku/>
        <w:wordWrap/>
        <w:overflowPunct/>
        <w:topLinePunct w:val="0"/>
        <w:autoSpaceDE/>
        <w:autoSpaceDN/>
        <w:bidi w:val="0"/>
        <w:spacing w:line="490" w:lineRule="exact"/>
        <w:ind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验收时如发现与投标承诺不相符的参数、品牌、型号等，采购人有权做出按相应部件成本5-10倍价格</w:t>
      </w:r>
      <w:r>
        <w:rPr>
          <w:rFonts w:hint="eastAsia" w:ascii="宋体" w:hAnsi="宋体" w:eastAsia="宋体" w:cs="宋体"/>
          <w:color w:val="auto"/>
          <w:sz w:val="24"/>
          <w:szCs w:val="24"/>
          <w:highlight w:val="none"/>
          <w:lang w:eastAsia="zh-CN"/>
        </w:rPr>
        <w:t>补偿</w:t>
      </w:r>
      <w:r>
        <w:rPr>
          <w:rFonts w:hint="eastAsia" w:ascii="宋体" w:hAnsi="宋体" w:eastAsia="宋体" w:cs="宋体"/>
          <w:color w:val="auto"/>
          <w:sz w:val="24"/>
          <w:szCs w:val="24"/>
          <w:highlight w:val="none"/>
        </w:rPr>
        <w:t>、退车等处理，并由此产生的供货期延误按10000元/天</w:t>
      </w:r>
      <w:r>
        <w:rPr>
          <w:rFonts w:hint="eastAsia" w:ascii="宋体" w:hAnsi="宋体" w:eastAsia="宋体" w:cs="宋体"/>
          <w:color w:val="auto"/>
          <w:sz w:val="24"/>
          <w:szCs w:val="24"/>
          <w:highlight w:val="none"/>
          <w:lang w:eastAsia="zh-CN"/>
        </w:rPr>
        <w:t>补偿</w:t>
      </w:r>
      <w:r>
        <w:rPr>
          <w:rFonts w:hint="eastAsia" w:ascii="宋体" w:hAnsi="宋体" w:eastAsia="宋体" w:cs="宋体"/>
          <w:color w:val="auto"/>
          <w:sz w:val="24"/>
          <w:szCs w:val="24"/>
          <w:highlight w:val="none"/>
        </w:rPr>
        <w:t>。且采购人视情节严重，进行信用网上披露、诉讼法律等。</w:t>
      </w:r>
    </w:p>
    <w:p w14:paraId="31387339">
      <w:pPr>
        <w:pStyle w:val="99"/>
        <w:keepNext w:val="0"/>
        <w:keepLines w:val="0"/>
        <w:pageBreakBefore w:val="0"/>
        <w:widowControl w:val="0"/>
        <w:kinsoku/>
        <w:wordWrap/>
        <w:overflowPunct/>
        <w:topLinePunct w:val="0"/>
        <w:autoSpaceDE/>
        <w:autoSpaceDN/>
        <w:bidi w:val="0"/>
        <w:adjustRightInd/>
        <w:snapToGrid/>
        <w:spacing w:line="500" w:lineRule="exact"/>
        <w:ind w:right="0" w:rightChars="0" w:firstLine="480"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验收费用由</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rPr>
        <w:t>负责。</w:t>
      </w:r>
    </w:p>
    <w:p w14:paraId="5EF4E1B0">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第</w:t>
      </w:r>
      <w:r>
        <w:rPr>
          <w:rFonts w:hint="eastAsia" w:ascii="宋体" w:hAnsi="宋体" w:cs="宋体"/>
          <w:b/>
          <w:color w:val="auto"/>
          <w:sz w:val="24"/>
          <w:szCs w:val="24"/>
          <w:highlight w:val="none"/>
          <w:lang w:val="en-US" w:eastAsia="zh-CN"/>
        </w:rPr>
        <w:t>七</w:t>
      </w:r>
      <w:r>
        <w:rPr>
          <w:rFonts w:hint="eastAsia" w:ascii="宋体" w:hAnsi="宋体" w:eastAsia="宋体" w:cs="宋体"/>
          <w:b/>
          <w:color w:val="auto"/>
          <w:sz w:val="24"/>
          <w:szCs w:val="24"/>
          <w:highlight w:val="none"/>
          <w:lang w:val="en-US" w:eastAsia="zh-CN"/>
        </w:rPr>
        <w:t>条：付款方式</w:t>
      </w:r>
    </w:p>
    <w:p w14:paraId="17070BF7">
      <w:pPr>
        <w:pStyle w:val="99"/>
        <w:keepNext w:val="0"/>
        <w:keepLines w:val="0"/>
        <w:pageBreakBefore w:val="0"/>
        <w:widowControl w:val="0"/>
        <w:kinsoku/>
        <w:wordWrap/>
        <w:overflowPunct/>
        <w:topLinePunct w:val="0"/>
        <w:autoSpaceDE/>
        <w:autoSpaceDN/>
        <w:bidi w:val="0"/>
        <w:adjustRightInd/>
        <w:snapToGrid/>
        <w:spacing w:line="500" w:lineRule="exact"/>
        <w:ind w:right="0" w:rightChars="0" w:firstLine="480" w:firstLineChars="200"/>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合同签订后14天内支付合同价款的20%，全部供货验收完成后14天内付至合同价款的70%，车到满一年后14天内付至合同价款的95%，车到满三年后14天内付清</w:t>
      </w:r>
      <w:r>
        <w:rPr>
          <w:rFonts w:hint="eastAsia" w:ascii="宋体" w:hAnsi="宋体" w:eastAsia="宋体" w:cs="宋体"/>
          <w:color w:val="auto"/>
          <w:sz w:val="24"/>
          <w:szCs w:val="24"/>
          <w:highlight w:val="none"/>
          <w:lang w:val="en-US" w:eastAsia="zh-CN"/>
        </w:rPr>
        <w:t>余款</w:t>
      </w:r>
      <w:r>
        <w:rPr>
          <w:rFonts w:hint="eastAsia" w:ascii="宋体" w:hAnsi="宋体" w:eastAsia="宋体" w:cs="宋体"/>
          <w:color w:val="auto"/>
          <w:sz w:val="24"/>
          <w:szCs w:val="24"/>
          <w:highlight w:val="none"/>
        </w:rPr>
        <w:t>。</w:t>
      </w:r>
    </w:p>
    <w:p w14:paraId="7992540F">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第</w:t>
      </w:r>
      <w:r>
        <w:rPr>
          <w:rFonts w:hint="eastAsia" w:ascii="宋体" w:hAnsi="宋体" w:cs="宋体"/>
          <w:b/>
          <w:color w:val="auto"/>
          <w:sz w:val="24"/>
          <w:szCs w:val="24"/>
          <w:highlight w:val="none"/>
          <w:lang w:val="en-US" w:eastAsia="zh-CN"/>
        </w:rPr>
        <w:t>八</w:t>
      </w:r>
      <w:r>
        <w:rPr>
          <w:rFonts w:hint="eastAsia" w:ascii="宋体" w:hAnsi="宋体" w:eastAsia="宋体" w:cs="宋体"/>
          <w:b/>
          <w:color w:val="auto"/>
          <w:sz w:val="24"/>
          <w:szCs w:val="24"/>
          <w:highlight w:val="none"/>
          <w:lang w:val="en-US" w:eastAsia="zh-CN"/>
        </w:rPr>
        <w:t>条：货物售后服务</w:t>
      </w:r>
    </w:p>
    <w:p w14:paraId="48D0A66C">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color w:val="auto"/>
          <w:sz w:val="24"/>
          <w:szCs w:val="24"/>
          <w:highlight w:val="none"/>
        </w:rPr>
        <w:t>要求</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rPr>
        <w:t>在当地建立售后服务维保机构，免费用户培训不少于 72小时</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、7x24 小时售后服务、故障2小时到现场、24小时备件到位、48 小时故障处理完毕。</w:t>
      </w:r>
    </w:p>
    <w:p w14:paraId="618DA064">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第</w:t>
      </w:r>
      <w:r>
        <w:rPr>
          <w:rFonts w:hint="eastAsia" w:ascii="宋体" w:hAnsi="宋体" w:cs="宋体"/>
          <w:b/>
          <w:color w:val="auto"/>
          <w:sz w:val="24"/>
          <w:szCs w:val="24"/>
          <w:highlight w:val="none"/>
          <w:lang w:val="en-US" w:eastAsia="zh-CN"/>
        </w:rPr>
        <w:t>九</w:t>
      </w:r>
      <w:r>
        <w:rPr>
          <w:rFonts w:hint="eastAsia" w:ascii="宋体" w:hAnsi="宋体" w:eastAsia="宋体" w:cs="宋体"/>
          <w:b/>
          <w:color w:val="auto"/>
          <w:sz w:val="24"/>
          <w:szCs w:val="24"/>
          <w:highlight w:val="none"/>
          <w:lang w:val="en-US" w:eastAsia="zh-CN"/>
        </w:rPr>
        <w:t>条：质保要求、质保期</w:t>
      </w:r>
    </w:p>
    <w:p w14:paraId="01448ECB">
      <w:pPr>
        <w:keepNext w:val="0"/>
        <w:keepLines w:val="0"/>
        <w:pageBreakBefore w:val="0"/>
        <w:widowControl w:val="0"/>
        <w:kinsoku/>
        <w:wordWrap/>
        <w:overflowPunct/>
        <w:topLinePunct w:val="0"/>
        <w:autoSpaceDE/>
        <w:autoSpaceDN/>
        <w:bidi w:val="0"/>
        <w:adjustRightInd w:val="0"/>
        <w:snapToGrid w:val="0"/>
        <w:spacing w:line="500" w:lineRule="exact"/>
        <w:ind w:firstLine="482" w:firstLineChars="200"/>
        <w:textAlignment w:val="auto"/>
        <w:rPr>
          <w:rFonts w:hint="eastAsia" w:ascii="宋体" w:hAnsi="宋体" w:eastAsia="宋体" w:cs="宋体"/>
          <w:b/>
          <w:bCs w:val="0"/>
          <w:color w:val="auto"/>
          <w:sz w:val="24"/>
          <w:szCs w:val="24"/>
          <w:highlight w:val="none"/>
          <w:u w:val="none"/>
          <w:lang w:val="en-US" w:eastAsia="zh-CN"/>
        </w:rPr>
      </w:pPr>
      <w:r>
        <w:rPr>
          <w:rFonts w:hint="eastAsia" w:ascii="宋体" w:hAnsi="宋体" w:eastAsia="宋体" w:cs="宋体"/>
          <w:b/>
          <w:bCs w:val="0"/>
          <w:color w:val="auto"/>
          <w:sz w:val="24"/>
          <w:szCs w:val="24"/>
          <w:highlight w:val="none"/>
          <w:u w:val="none"/>
          <w:lang w:val="en-US" w:eastAsia="zh-CN"/>
        </w:rPr>
        <w:t>1、质保要求</w:t>
      </w:r>
    </w:p>
    <w:p w14:paraId="4146ADB2">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 xml:space="preserve">1.1本次采购，除特殊说明外整车（不含易损件（包括皮带、刹车片、减震器胶垫、刮雨片等））提供不少于3年的质保期（质保期自通过最终验收之日开始计算），终身维护。            </w:t>
      </w:r>
    </w:p>
    <w:p w14:paraId="45BB159B">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1.2质保期内因产品本身缺陷（非人为因素）造成各种故障应由中标供应商和车辆生产厂家免费提供技术服务和维修。</w:t>
      </w:r>
    </w:p>
    <w:p w14:paraId="39F127E6">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在车辆发生故障或缺陷时，中标供应商和车辆生产厂家在收到车辆使用单位通知后3天内进行弥补缺陷；若中标供应商和车辆生产厂家无实质性响应，采购人可采取必要的补救措施，发生的风险和费用将由中标供应商和车辆生产厂家承担。因质量问题造成停运，48小时后每停运一天赔偿600元/辆，累计计算。</w:t>
      </w:r>
    </w:p>
    <w:p w14:paraId="19E2470C">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1.3本次采购的车辆在8年内正常使用过程中如发生纵横梁或主要骨架断裂的，中标供应商和车辆生产厂家负责召回。</w:t>
      </w:r>
    </w:p>
    <w:p w14:paraId="34B69BF8">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1.4本次采购的车辆在八年内，因质量问题造成车顶漏雨，中标供应商和车辆生产厂家负责召回。</w:t>
      </w:r>
    </w:p>
    <w:p w14:paraId="22839238">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1.5车辆应符合GB7258标准，行业标准。</w:t>
      </w:r>
    </w:p>
    <w:p w14:paraId="72E9546B">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1.6车辆必须在车辆制造商的城市公交生产基地生产。</w:t>
      </w:r>
    </w:p>
    <w:p w14:paraId="5068BD2E">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1.7整车运行安全技术条件必须符合中华人民共和国国家标准。同时依照国家有关产品质量法规和制造标准及技术要求的要约进行验收。</w:t>
      </w:r>
    </w:p>
    <w:p w14:paraId="122F4D64">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1.8在质保期内，中标供应商应和车辆生产厂家负责对其提供的设备进行现场维修、损坏件更换，不收取额外费用。因装置的质量问题发生争议，由嵊州市技术监督局或其指定的质量鉴定检验机构进行质量鉴定。鉴定费由中标供应商承担；属于设计、制造缺陷造成的质量问题，由中标供应商和车辆生产厂家自行承担全部责任。</w:t>
      </w:r>
    </w:p>
    <w:p w14:paraId="480CC891">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1.9供应商在投标文件中说明质保期内提供的服务计划。</w:t>
      </w:r>
    </w:p>
    <w:p w14:paraId="65013AC0">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1.10中标单位的车辆出现以下情况的，中标单位和车辆生产厂家须无条件召回更换新车或进行整改，整改后出具整改质量保证承诺书，并承担相应损失。</w:t>
      </w:r>
    </w:p>
    <w:p w14:paraId="20A192B3">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1.10.1批量故障：同一个批次车辆同一故障出现贰辆及以上（含贰辆），并经过售后服务和公交维修单位单车二次修复后仍无法解决的或在三个月内批次故障仍无法解决的。</w:t>
      </w:r>
    </w:p>
    <w:p w14:paraId="57B31C0F">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1.10.2故障频率：同一个批次车辆，单车在六个月内同一个故障发生五次以上（含五次）或六个月内无法修复解决的；单车在一个月内不同故障发生五次以上（含五次）或一个月内无法修复解决的。</w:t>
      </w:r>
    </w:p>
    <w:p w14:paraId="6B3DD6B4">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1.10.3车辆自燃：车辆发生自燃，经车辆配套厂家和采购人认定或经官方仲裁机构鉴定为因车辆质量等问题的。</w:t>
      </w:r>
    </w:p>
    <w:p w14:paraId="7C41AAAC">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1.10.4其他重大质量问题：经车辆配套厂家和采购人认定或经官方仲裁机构鉴定为因车辆质量等问题的。</w:t>
      </w:r>
    </w:p>
    <w:p w14:paraId="25E82ED5">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u w:val="none"/>
          <w:lang w:val="en-US" w:eastAsia="zh-CN"/>
        </w:rPr>
      </w:pPr>
      <w:r>
        <w:rPr>
          <w:rFonts w:hint="eastAsia" w:ascii="宋体" w:hAnsi="宋体" w:eastAsia="宋体" w:cs="宋体"/>
          <w:bCs/>
          <w:color w:val="auto"/>
          <w:sz w:val="24"/>
          <w:szCs w:val="24"/>
          <w:highlight w:val="none"/>
          <w:u w:val="none"/>
          <w:lang w:val="en-US" w:eastAsia="zh-CN"/>
        </w:rPr>
        <w:t>1.10.5如发生安全、交通事故时，经认定属供方责任的，按法律规定中标单位和车辆生产厂家承担一切责任。</w:t>
      </w:r>
    </w:p>
    <w:p w14:paraId="2BCB30E6">
      <w:pPr>
        <w:keepNext w:val="0"/>
        <w:keepLines w:val="0"/>
        <w:pageBreakBefore w:val="0"/>
        <w:widowControl w:val="0"/>
        <w:kinsoku/>
        <w:wordWrap/>
        <w:overflowPunct/>
        <w:topLinePunct w:val="0"/>
        <w:autoSpaceDE/>
        <w:autoSpaceDN/>
        <w:bidi w:val="0"/>
        <w:adjustRightInd w:val="0"/>
        <w:snapToGrid w:val="0"/>
        <w:spacing w:line="500" w:lineRule="exact"/>
        <w:ind w:firstLine="482" w:firstLineChars="200"/>
        <w:textAlignment w:val="auto"/>
        <w:rPr>
          <w:rFonts w:hint="eastAsia" w:ascii="宋体" w:hAnsi="宋体" w:eastAsia="宋体" w:cs="宋体"/>
          <w:b/>
          <w:bCs w:val="0"/>
          <w:color w:val="auto"/>
          <w:sz w:val="24"/>
          <w:szCs w:val="24"/>
          <w:highlight w:val="none"/>
          <w:u w:val="none"/>
          <w:lang w:val="en-US" w:eastAsia="zh-CN"/>
        </w:rPr>
      </w:pPr>
      <w:r>
        <w:rPr>
          <w:rFonts w:hint="eastAsia" w:ascii="宋体" w:hAnsi="宋体" w:eastAsia="宋体" w:cs="宋体"/>
          <w:b/>
          <w:bCs w:val="0"/>
          <w:color w:val="auto"/>
          <w:sz w:val="24"/>
          <w:szCs w:val="24"/>
          <w:highlight w:val="none"/>
          <w:u w:val="none"/>
          <w:lang w:val="en-US" w:eastAsia="zh-CN"/>
        </w:rPr>
        <w:t>2、质保期</w:t>
      </w:r>
    </w:p>
    <w:p w14:paraId="1877CCDD">
      <w:pPr>
        <w:keepNext w:val="0"/>
        <w:keepLines w:val="0"/>
        <w:pageBreakBefore w:val="0"/>
        <w:kinsoku/>
        <w:wordWrap/>
        <w:overflowPunct/>
        <w:topLinePunct w:val="0"/>
        <w:bidi w:val="0"/>
        <w:adjustRightInd w:val="0"/>
        <w:snapToGrid w:val="0"/>
        <w:spacing w:line="490" w:lineRule="exact"/>
        <w:ind w:firstLine="480" w:firstLineChars="200"/>
        <w:rPr>
          <w:rFonts w:hint="eastAsia" w:ascii="宋体" w:hAnsi="宋体" w:eastAsia="宋体" w:cs="宋体"/>
          <w:bCs/>
          <w:color w:val="auto"/>
          <w:sz w:val="24"/>
          <w:szCs w:val="24"/>
          <w:highlight w:val="none"/>
          <w:u w:val="none"/>
        </w:rPr>
      </w:pPr>
      <w:r>
        <w:rPr>
          <w:rFonts w:hint="eastAsia" w:ascii="宋体" w:hAnsi="宋体" w:eastAsia="宋体" w:cs="宋体"/>
          <w:bCs/>
          <w:color w:val="auto"/>
          <w:sz w:val="24"/>
          <w:szCs w:val="24"/>
          <w:highlight w:val="none"/>
          <w:u w:val="none"/>
          <w:lang w:val="en-US" w:eastAsia="zh-CN"/>
        </w:rPr>
        <w:t>2.1</w:t>
      </w:r>
      <w:r>
        <w:rPr>
          <w:rFonts w:hint="eastAsia" w:ascii="宋体" w:hAnsi="宋体" w:eastAsia="宋体" w:cs="宋体"/>
          <w:bCs/>
          <w:color w:val="auto"/>
          <w:sz w:val="24"/>
          <w:szCs w:val="24"/>
          <w:highlight w:val="none"/>
          <w:u w:val="none"/>
        </w:rPr>
        <w:t>车辆质保期：整车免费质保期不得少于三年。若乙方给予延长质保期，各部件质保期按乙方对外承诺的标准执行。附整车主要零部件免费质保清单。（驱动电机、电控系统</w:t>
      </w:r>
      <w:r>
        <w:rPr>
          <w:rFonts w:hint="eastAsia" w:ascii="宋体" w:hAnsi="宋体" w:eastAsia="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三电系统灭火装置含灭火材质等核心部件、电动液压转向系统、集中润滑、整车防腐效果、车辆顶棚及边窗漏水、驾驶区铝合金防护隔离设施、车门、扶手、风道、阻燃保温降噪材料、车顶防漏LED流动显示路牌</w:t>
      </w:r>
      <w:r>
        <w:rPr>
          <w:rFonts w:hint="eastAsia" w:ascii="宋体" w:hAnsi="宋体" w:eastAsia="宋体" w:cs="宋体"/>
          <w:bCs/>
          <w:color w:val="auto"/>
          <w:sz w:val="24"/>
          <w:szCs w:val="24"/>
          <w:highlight w:val="none"/>
          <w:u w:val="none"/>
        </w:rPr>
        <w:t>质保8年</w:t>
      </w:r>
      <w:r>
        <w:rPr>
          <w:rFonts w:hint="eastAsia" w:ascii="宋体" w:hAnsi="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动力电池</w:t>
      </w:r>
      <w:r>
        <w:rPr>
          <w:rFonts w:hint="eastAsia" w:ascii="宋体" w:hAnsi="宋体" w:cs="宋体"/>
          <w:bCs/>
          <w:color w:val="auto"/>
          <w:sz w:val="24"/>
          <w:szCs w:val="24"/>
          <w:highlight w:val="none"/>
          <w:u w:val="none"/>
          <w:lang w:val="en-US" w:eastAsia="zh-CN"/>
        </w:rPr>
        <w:t>质保10年）</w:t>
      </w:r>
      <w:r>
        <w:rPr>
          <w:rFonts w:hint="eastAsia" w:ascii="宋体" w:hAnsi="宋体" w:eastAsia="宋体" w:cs="宋体"/>
          <w:bCs/>
          <w:color w:val="auto"/>
          <w:sz w:val="24"/>
          <w:szCs w:val="24"/>
          <w:highlight w:val="none"/>
          <w:u w:val="none"/>
        </w:rPr>
        <w:t>。</w:t>
      </w:r>
    </w:p>
    <w:p w14:paraId="6CDC0144">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2.2</w:t>
      </w:r>
      <w:r>
        <w:rPr>
          <w:rFonts w:hint="eastAsia" w:ascii="宋体" w:hAnsi="宋体" w:eastAsia="宋体" w:cs="宋体"/>
          <w:bCs/>
          <w:color w:val="auto"/>
          <w:sz w:val="24"/>
          <w:szCs w:val="24"/>
          <w:highlight w:val="none"/>
        </w:rPr>
        <w:t>质保期从车辆验收合格，正式交付使用之日起计算，若乙方在针对本项目的投标文件中承诺的质保期更优，则按乙方在针对本项目的投标文件中承诺的质保期执行。在质保期内，乙方对人为破坏或合同规定的不可抗因素造成的损坏，不承担任何责任，可收取一定的成本费用予以维修。</w:t>
      </w:r>
    </w:p>
    <w:p w14:paraId="4DC9CAA8">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2.3</w:t>
      </w:r>
      <w:r>
        <w:rPr>
          <w:rFonts w:hint="eastAsia" w:ascii="宋体" w:hAnsi="宋体" w:eastAsia="宋体" w:cs="宋体"/>
          <w:bCs/>
          <w:color w:val="auto"/>
          <w:sz w:val="24"/>
          <w:szCs w:val="24"/>
          <w:highlight w:val="none"/>
        </w:rPr>
        <w:t>乙方在针对本项目的投标文件中提供的在保质期内的其他服务承诺也须执行。</w:t>
      </w:r>
    </w:p>
    <w:p w14:paraId="6BC10596">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lang w:val="en-US" w:eastAsia="zh-CN"/>
        </w:rPr>
        <w:t>2.4</w:t>
      </w:r>
      <w:r>
        <w:rPr>
          <w:rFonts w:hint="eastAsia" w:ascii="宋体" w:hAnsi="宋体" w:eastAsia="宋体" w:cs="宋体"/>
          <w:bCs/>
          <w:color w:val="auto"/>
          <w:sz w:val="24"/>
          <w:szCs w:val="24"/>
          <w:highlight w:val="none"/>
        </w:rPr>
        <w:t>乙方须对整车质量负责，无论零部件是标配或选配。</w:t>
      </w:r>
    </w:p>
    <w:p w14:paraId="77972787">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第十条：其他要求</w:t>
      </w:r>
    </w:p>
    <w:p w14:paraId="4276D466">
      <w:pPr>
        <w:keepNext w:val="0"/>
        <w:keepLines w:val="0"/>
        <w:pageBreakBefore w:val="0"/>
        <w:widowControl w:val="0"/>
        <w:kinsoku/>
        <w:wordWrap/>
        <w:overflowPunct/>
        <w:topLinePunct w:val="0"/>
        <w:autoSpaceDE/>
        <w:autoSpaceDN/>
        <w:bidi w:val="0"/>
        <w:adjustRightInd w:val="0"/>
        <w:spacing w:line="500" w:lineRule="exact"/>
        <w:ind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如发现供应商提供的设备不符合招标文件技术要求或投标文件承诺的，中标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应负责按照采购人的要求进行更正，验收与质保金退还等阶段性确认工作并不代表采购人承认差异化，采购人可以在任何时间发现问题并提出更正要求。</w:t>
      </w:r>
    </w:p>
    <w:p w14:paraId="63708ACB">
      <w:pPr>
        <w:keepNext w:val="0"/>
        <w:keepLines w:val="0"/>
        <w:pageBreakBefore w:val="0"/>
        <w:widowControl w:val="0"/>
        <w:kinsoku/>
        <w:wordWrap/>
        <w:overflowPunct/>
        <w:topLinePunct w:val="0"/>
        <w:autoSpaceDE/>
        <w:autoSpaceDN/>
        <w:bidi w:val="0"/>
        <w:adjustRightInd w:val="0"/>
        <w:snapToGrid w:val="0"/>
        <w:spacing w:line="500" w:lineRule="exact"/>
        <w:ind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更正期为通知（通知方式包括但不限于电话、信息、邮箱、函告等）供应商起3个月内完成。无法更正的每发现一处，按实际差价进行扣款差价金额，差价不足一万元的按每辆车一万元进行扣款，扣款可以从未支付的车款、质保金中直接扣除，如超过5处且不能在3个月内更正的，采购人有权单方终止合同、履约保证金不予退还、退还车辆，中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须退还全部车款，同时支付30%中标价的赔偿金给采购人，且采购人可追究供应商的违约责任与其他一切损失。</w:t>
      </w:r>
    </w:p>
    <w:p w14:paraId="1DA6DED5">
      <w:pPr>
        <w:keepNext w:val="0"/>
        <w:keepLines w:val="0"/>
        <w:pageBreakBefore w:val="0"/>
        <w:widowControl w:val="0"/>
        <w:tabs>
          <w:tab w:val="left" w:pos="1080"/>
        </w:tabs>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第十</w:t>
      </w:r>
      <w:r>
        <w:rPr>
          <w:rFonts w:hint="eastAsia" w:ascii="宋体" w:hAnsi="宋体" w:cs="宋体"/>
          <w:b/>
          <w:color w:val="auto"/>
          <w:sz w:val="24"/>
          <w:szCs w:val="24"/>
          <w:highlight w:val="none"/>
          <w:lang w:val="en-US" w:eastAsia="zh-CN"/>
        </w:rPr>
        <w:t>一</w:t>
      </w:r>
      <w:r>
        <w:rPr>
          <w:rFonts w:hint="eastAsia" w:ascii="宋体" w:hAnsi="宋体" w:eastAsia="宋体" w:cs="宋体"/>
          <w:b/>
          <w:color w:val="auto"/>
          <w:sz w:val="24"/>
          <w:szCs w:val="24"/>
          <w:highlight w:val="none"/>
          <w:lang w:val="en-US" w:eastAsia="zh-CN"/>
        </w:rPr>
        <w:t>条：</w:t>
      </w:r>
      <w:r>
        <w:rPr>
          <w:rFonts w:hint="eastAsia" w:ascii="宋体" w:hAnsi="宋体" w:eastAsia="宋体" w:cs="宋体"/>
          <w:b/>
          <w:color w:val="auto"/>
          <w:sz w:val="24"/>
          <w:szCs w:val="24"/>
          <w:highlight w:val="none"/>
        </w:rPr>
        <w:t xml:space="preserve">争议解决 </w:t>
      </w:r>
    </w:p>
    <w:p w14:paraId="6C3D62F6">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凡由本合同引起的或与解释或执行本合同有关的任何争议，甲乙双方应首先通过友好协商或调解解决。若协商或调解不成，双方约定任何一方有权选择仲裁或诉讼的途径解决。</w:t>
      </w:r>
    </w:p>
    <w:p w14:paraId="425DB07B">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第十</w:t>
      </w:r>
      <w:r>
        <w:rPr>
          <w:rFonts w:hint="eastAsia" w:ascii="宋体" w:hAnsi="宋体" w:cs="宋体"/>
          <w:b/>
          <w:color w:val="auto"/>
          <w:sz w:val="24"/>
          <w:szCs w:val="24"/>
          <w:highlight w:val="none"/>
          <w:lang w:val="en-US" w:eastAsia="zh-CN"/>
        </w:rPr>
        <w:t>二</w:t>
      </w:r>
      <w:r>
        <w:rPr>
          <w:rFonts w:hint="eastAsia" w:ascii="宋体" w:hAnsi="宋体" w:eastAsia="宋体" w:cs="宋体"/>
          <w:b/>
          <w:color w:val="auto"/>
          <w:sz w:val="24"/>
          <w:szCs w:val="24"/>
          <w:highlight w:val="none"/>
          <w:lang w:val="en-US" w:eastAsia="zh-CN"/>
        </w:rPr>
        <w:t>条：</w:t>
      </w:r>
      <w:r>
        <w:rPr>
          <w:rFonts w:hint="eastAsia" w:ascii="宋体" w:hAnsi="宋体" w:eastAsia="宋体" w:cs="宋体"/>
          <w:b/>
          <w:color w:val="auto"/>
          <w:sz w:val="24"/>
          <w:szCs w:val="24"/>
          <w:highlight w:val="none"/>
        </w:rPr>
        <w:t>合同生效及其他</w:t>
      </w:r>
    </w:p>
    <w:p w14:paraId="6412212B">
      <w:pPr>
        <w:keepNext w:val="0"/>
        <w:keepLines w:val="0"/>
        <w:pageBreakBefore w:val="0"/>
        <w:widowControl w:val="0"/>
        <w:tabs>
          <w:tab w:val="left" w:pos="900"/>
        </w:tabs>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合同应在双方签字盖章后开始生效。</w:t>
      </w:r>
    </w:p>
    <w:p w14:paraId="6999888E">
      <w:pPr>
        <w:keepNext w:val="0"/>
        <w:keepLines w:val="0"/>
        <w:pageBreakBefore w:val="0"/>
        <w:widowControl w:val="0"/>
        <w:tabs>
          <w:tab w:val="left" w:pos="900"/>
        </w:tabs>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本合同一式</w:t>
      </w:r>
      <w:r>
        <w:rPr>
          <w:rFonts w:hint="eastAsia" w:ascii="宋体" w:hAnsi="宋体" w:eastAsia="宋体" w:cs="宋体"/>
          <w:color w:val="auto"/>
          <w:sz w:val="24"/>
          <w:szCs w:val="24"/>
          <w:highlight w:val="none"/>
          <w:lang w:val="en-US" w:eastAsia="zh-CN"/>
        </w:rPr>
        <w:t>柒</w:t>
      </w:r>
      <w:r>
        <w:rPr>
          <w:rFonts w:hint="eastAsia" w:ascii="宋体" w:hAnsi="宋体" w:eastAsia="宋体" w:cs="宋体"/>
          <w:color w:val="auto"/>
          <w:sz w:val="24"/>
          <w:szCs w:val="24"/>
          <w:highlight w:val="none"/>
        </w:rPr>
        <w:t>份，</w:t>
      </w:r>
      <w:r>
        <w:rPr>
          <w:rFonts w:hint="eastAsia" w:ascii="宋体" w:hAnsi="宋体" w:eastAsia="宋体" w:cs="宋体"/>
          <w:color w:val="auto"/>
          <w:sz w:val="24"/>
          <w:szCs w:val="24"/>
          <w:highlight w:val="none"/>
          <w:lang w:val="en-US" w:eastAsia="zh-CN"/>
        </w:rPr>
        <w:t>甲乙</w:t>
      </w:r>
      <w:r>
        <w:rPr>
          <w:rFonts w:hint="eastAsia" w:ascii="宋体" w:hAnsi="宋体" w:eastAsia="宋体" w:cs="宋体"/>
          <w:color w:val="auto"/>
          <w:sz w:val="24"/>
          <w:szCs w:val="24"/>
          <w:highlight w:val="none"/>
        </w:rPr>
        <w:t>双方各执叁份，代理机构备案</w:t>
      </w:r>
      <w:r>
        <w:rPr>
          <w:rFonts w:hint="eastAsia" w:ascii="宋体" w:hAnsi="宋体" w:eastAsia="宋体" w:cs="宋体"/>
          <w:color w:val="auto"/>
          <w:sz w:val="24"/>
          <w:szCs w:val="24"/>
          <w:highlight w:val="none"/>
          <w:u w:val="single"/>
        </w:rPr>
        <w:t>壹</w:t>
      </w:r>
      <w:r>
        <w:rPr>
          <w:rFonts w:hint="eastAsia" w:ascii="宋体" w:hAnsi="宋体" w:eastAsia="宋体" w:cs="宋体"/>
          <w:color w:val="auto"/>
          <w:sz w:val="24"/>
          <w:szCs w:val="24"/>
          <w:highlight w:val="none"/>
        </w:rPr>
        <w:t>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具有同等法律效力。</w:t>
      </w:r>
    </w:p>
    <w:p w14:paraId="57109F5F">
      <w:pPr>
        <w:pStyle w:val="17"/>
        <w:keepNext w:val="0"/>
        <w:keepLines w:val="0"/>
        <w:pageBreakBefore w:val="0"/>
        <w:widowControl w:val="0"/>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如需修改或补充合同内容，经协商，双方应签署书面修改或补充协议，该协议将作为本合同的一个组成部分</w:t>
      </w:r>
      <w:r>
        <w:rPr>
          <w:rFonts w:hint="eastAsia" w:ascii="宋体" w:hAnsi="宋体" w:eastAsia="宋体" w:cs="宋体"/>
          <w:bCs/>
          <w:color w:val="auto"/>
          <w:sz w:val="24"/>
          <w:szCs w:val="24"/>
          <w:highlight w:val="none"/>
        </w:rPr>
        <w:t>。</w:t>
      </w:r>
    </w:p>
    <w:p w14:paraId="391DE102">
      <w:pPr>
        <w:keepNext w:val="0"/>
        <w:keepLines w:val="0"/>
        <w:pageBreakBefore w:val="0"/>
        <w:widowControl w:val="0"/>
        <w:kinsoku/>
        <w:wordWrap/>
        <w:overflowPunct/>
        <w:topLinePunct w:val="0"/>
        <w:autoSpaceDE/>
        <w:autoSpaceDN/>
        <w:bidi w:val="0"/>
        <w:adjustRightInd w:val="0"/>
        <w:spacing w:line="480" w:lineRule="exact"/>
        <w:ind w:left="0" w:right="0" w:firstLine="480" w:firstLineChars="200"/>
        <w:textAlignment w:val="auto"/>
        <w:rPr>
          <w:rFonts w:hint="eastAsia" w:ascii="宋体" w:hAnsi="宋体" w:eastAsia="宋体" w:cs="宋体"/>
          <w:color w:val="auto"/>
          <w:sz w:val="24"/>
          <w:szCs w:val="24"/>
          <w:highlight w:val="none"/>
        </w:rPr>
      </w:pPr>
    </w:p>
    <w:tbl>
      <w:tblPr>
        <w:tblStyle w:val="114"/>
        <w:tblW w:w="9354" w:type="dxa"/>
        <w:jc w:val="center"/>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Layout w:type="fixed"/>
        <w:tblCellMar>
          <w:top w:w="0" w:type="dxa"/>
          <w:left w:w="0" w:type="dxa"/>
          <w:bottom w:w="0" w:type="dxa"/>
          <w:right w:w="0" w:type="dxa"/>
        </w:tblCellMar>
      </w:tblPr>
      <w:tblGrid>
        <w:gridCol w:w="4551"/>
        <w:gridCol w:w="4803"/>
      </w:tblGrid>
      <w:tr w14:paraId="4AD0C408">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19" w:hRule="atLeast"/>
          <w:jc w:val="center"/>
        </w:trPr>
        <w:tc>
          <w:tcPr>
            <w:tcW w:w="4551" w:type="dxa"/>
            <w:vAlign w:val="top"/>
          </w:tcPr>
          <w:p w14:paraId="6C557A62">
            <w:pPr>
              <w:keepNext w:val="0"/>
              <w:keepLines w:val="0"/>
              <w:pageBreakBefore w:val="0"/>
              <w:widowControl w:val="0"/>
              <w:kinsoku/>
              <w:wordWrap/>
              <w:overflowPunct/>
              <w:topLinePunct w:val="0"/>
              <w:autoSpaceDE/>
              <w:autoSpaceDN/>
              <w:bidi w:val="0"/>
              <w:adjustRightInd w:val="0"/>
              <w:snapToGrid/>
              <w:spacing w:line="560" w:lineRule="exact"/>
              <w:ind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14:textOutline w14:w="4358" w14:cap="sq" w14:cmpd="sng">
                  <w14:solidFill>
                    <w14:srgbClr w14:val="000000"/>
                  </w14:solidFill>
                  <w14:prstDash w14:val="solid"/>
                  <w14:bevel/>
                </w14:textOutline>
              </w:rPr>
              <w:t>甲方</w:t>
            </w:r>
            <w:r>
              <w:rPr>
                <w:rFonts w:hint="eastAsia" w:ascii="宋体" w:hAnsi="宋体" w:eastAsia="宋体" w:cs="宋体"/>
                <w:color w:val="auto"/>
                <w:spacing w:val="3"/>
                <w:sz w:val="24"/>
                <w:szCs w:val="24"/>
                <w:highlight w:val="none"/>
              </w:rPr>
              <w:t xml:space="preserve"> </w:t>
            </w:r>
            <w:r>
              <w:rPr>
                <w:rFonts w:hint="eastAsia" w:ascii="宋体" w:hAnsi="宋体" w:eastAsia="宋体" w:cs="宋体"/>
                <w:color w:val="auto"/>
                <w:spacing w:val="3"/>
                <w:sz w:val="24"/>
                <w:szCs w:val="24"/>
                <w:highlight w:val="none"/>
                <w14:textOutline w14:w="4358" w14:cap="sq" w14:cmpd="sng">
                  <w14:solidFill>
                    <w14:srgbClr w14:val="000000"/>
                  </w14:solidFill>
                  <w14:prstDash w14:val="solid"/>
                  <w14:bevel/>
                </w14:textOutline>
              </w:rPr>
              <w:t>(盖章)</w:t>
            </w:r>
            <w:r>
              <w:rPr>
                <w:rFonts w:hint="eastAsia" w:ascii="宋体" w:hAnsi="宋体" w:eastAsia="宋体" w:cs="宋体"/>
                <w:color w:val="auto"/>
                <w:spacing w:val="3"/>
                <w:sz w:val="24"/>
                <w:szCs w:val="24"/>
                <w:highlight w:val="none"/>
              </w:rPr>
              <w:t xml:space="preserve"> </w:t>
            </w:r>
            <w:r>
              <w:rPr>
                <w:rFonts w:hint="eastAsia" w:ascii="宋体" w:hAnsi="宋体" w:eastAsia="宋体" w:cs="宋体"/>
                <w:color w:val="auto"/>
                <w:spacing w:val="1"/>
                <w:sz w:val="24"/>
                <w:szCs w:val="24"/>
                <w:highlight w:val="none"/>
                <w14:textOutline w14:w="4358" w14:cap="sq" w14:cmpd="sng">
                  <w14:solidFill>
                    <w14:srgbClr w14:val="000000"/>
                  </w14:solidFill>
                  <w14:prstDash w14:val="solid"/>
                  <w14:bevel/>
                </w14:textOutline>
              </w:rPr>
              <w:t>：</w:t>
            </w:r>
          </w:p>
        </w:tc>
        <w:tc>
          <w:tcPr>
            <w:tcW w:w="4803" w:type="dxa"/>
            <w:vAlign w:val="top"/>
          </w:tcPr>
          <w:p w14:paraId="2A8A7EA8">
            <w:pPr>
              <w:keepNext w:val="0"/>
              <w:keepLines w:val="0"/>
              <w:pageBreakBefore w:val="0"/>
              <w:widowControl w:val="0"/>
              <w:kinsoku/>
              <w:wordWrap/>
              <w:overflowPunct/>
              <w:topLinePunct w:val="0"/>
              <w:autoSpaceDE/>
              <w:autoSpaceDN/>
              <w:bidi w:val="0"/>
              <w:adjustRightInd w:val="0"/>
              <w:snapToGrid/>
              <w:spacing w:line="560" w:lineRule="exact"/>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14:textOutline w14:w="4358" w14:cap="sq" w14:cmpd="sng">
                  <w14:solidFill>
                    <w14:srgbClr w14:val="000000"/>
                  </w14:solidFill>
                  <w14:prstDash w14:val="solid"/>
                  <w14:bevel/>
                </w14:textOutline>
              </w:rPr>
              <w:t>乙方</w:t>
            </w:r>
            <w:r>
              <w:rPr>
                <w:rFonts w:hint="eastAsia" w:ascii="宋体" w:hAnsi="宋体" w:eastAsia="宋体" w:cs="宋体"/>
                <w:color w:val="auto"/>
                <w:spacing w:val="3"/>
                <w:sz w:val="24"/>
                <w:szCs w:val="24"/>
                <w:highlight w:val="none"/>
              </w:rPr>
              <w:t xml:space="preserve"> </w:t>
            </w:r>
            <w:r>
              <w:rPr>
                <w:rFonts w:hint="eastAsia" w:ascii="宋体" w:hAnsi="宋体" w:eastAsia="宋体" w:cs="宋体"/>
                <w:color w:val="auto"/>
                <w:spacing w:val="3"/>
                <w:sz w:val="24"/>
                <w:szCs w:val="24"/>
                <w:highlight w:val="none"/>
                <w14:textOutline w14:w="4358" w14:cap="sq" w14:cmpd="sng">
                  <w14:solidFill>
                    <w14:srgbClr w14:val="000000"/>
                  </w14:solidFill>
                  <w14:prstDash w14:val="solid"/>
                  <w14:bevel/>
                </w14:textOutline>
              </w:rPr>
              <w:t>(盖章)</w:t>
            </w:r>
            <w:r>
              <w:rPr>
                <w:rFonts w:hint="eastAsia" w:ascii="宋体" w:hAnsi="宋体" w:eastAsia="宋体" w:cs="宋体"/>
                <w:color w:val="auto"/>
                <w:spacing w:val="3"/>
                <w:sz w:val="24"/>
                <w:szCs w:val="24"/>
                <w:highlight w:val="none"/>
              </w:rPr>
              <w:t xml:space="preserve"> </w:t>
            </w:r>
            <w:r>
              <w:rPr>
                <w:rFonts w:hint="eastAsia" w:ascii="宋体" w:hAnsi="宋体" w:eastAsia="宋体" w:cs="宋体"/>
                <w:color w:val="auto"/>
                <w:spacing w:val="3"/>
                <w:sz w:val="24"/>
                <w:szCs w:val="24"/>
                <w:highlight w:val="none"/>
                <w14:textOutline w14:w="4358" w14:cap="sq" w14:cmpd="sng">
                  <w14:solidFill>
                    <w14:srgbClr w14:val="000000"/>
                  </w14:solidFill>
                  <w14:prstDash w14:val="solid"/>
                  <w14:bevel/>
                </w14:textOutline>
              </w:rPr>
              <w:t>：</w:t>
            </w:r>
          </w:p>
        </w:tc>
      </w:tr>
      <w:tr w14:paraId="55BD4DA8">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97" w:hRule="atLeast"/>
          <w:jc w:val="center"/>
        </w:trPr>
        <w:tc>
          <w:tcPr>
            <w:tcW w:w="4551" w:type="dxa"/>
            <w:vAlign w:val="top"/>
          </w:tcPr>
          <w:p w14:paraId="2C5C92AD">
            <w:pPr>
              <w:keepNext w:val="0"/>
              <w:keepLines w:val="0"/>
              <w:pageBreakBefore w:val="0"/>
              <w:widowControl w:val="0"/>
              <w:kinsoku/>
              <w:wordWrap/>
              <w:overflowPunct/>
              <w:topLinePunct w:val="0"/>
              <w:autoSpaceDE/>
              <w:autoSpaceDN/>
              <w:bidi w:val="0"/>
              <w:adjustRightInd w:val="0"/>
              <w:snapToGrid/>
              <w:spacing w:line="560" w:lineRule="exact"/>
              <w:ind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9"/>
                <w:sz w:val="24"/>
                <w:szCs w:val="24"/>
                <w:highlight w:val="none"/>
              </w:rPr>
              <w:t>法定代表人</w:t>
            </w:r>
          </w:p>
        </w:tc>
        <w:tc>
          <w:tcPr>
            <w:tcW w:w="4803" w:type="dxa"/>
            <w:shd w:val="clear" w:color="auto" w:fill="auto"/>
            <w:vAlign w:val="top"/>
          </w:tcPr>
          <w:p w14:paraId="1FEBBCB6">
            <w:pPr>
              <w:keepNext w:val="0"/>
              <w:keepLines w:val="0"/>
              <w:pageBreakBefore w:val="0"/>
              <w:widowControl w:val="0"/>
              <w:kinsoku/>
              <w:wordWrap/>
              <w:overflowPunct/>
              <w:topLinePunct w:val="0"/>
              <w:autoSpaceDE/>
              <w:autoSpaceDN/>
              <w:bidi w:val="0"/>
              <w:adjustRightInd w:val="0"/>
              <w:snapToGrid/>
              <w:spacing w:line="560" w:lineRule="exact"/>
              <w:ind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9"/>
                <w:sz w:val="24"/>
                <w:szCs w:val="24"/>
                <w:highlight w:val="none"/>
              </w:rPr>
              <w:t>法定代表人</w:t>
            </w:r>
          </w:p>
        </w:tc>
      </w:tr>
      <w:tr w14:paraId="3F84C57D">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95" w:hRule="atLeast"/>
          <w:jc w:val="center"/>
        </w:trPr>
        <w:tc>
          <w:tcPr>
            <w:tcW w:w="4551" w:type="dxa"/>
            <w:vAlign w:val="top"/>
          </w:tcPr>
          <w:p w14:paraId="5EC3D2BD">
            <w:pPr>
              <w:keepNext w:val="0"/>
              <w:keepLines w:val="0"/>
              <w:pageBreakBefore w:val="0"/>
              <w:widowControl w:val="0"/>
              <w:kinsoku/>
              <w:wordWrap/>
              <w:overflowPunct/>
              <w:topLinePunct w:val="0"/>
              <w:autoSpaceDE/>
              <w:autoSpaceDN/>
              <w:bidi w:val="0"/>
              <w:adjustRightInd w:val="0"/>
              <w:snapToGrid/>
              <w:spacing w:line="560" w:lineRule="exact"/>
              <w:ind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9"/>
                <w:sz w:val="24"/>
                <w:szCs w:val="24"/>
                <w:highlight w:val="none"/>
              </w:rPr>
              <w:t>或</w:t>
            </w:r>
            <w:r>
              <w:rPr>
                <w:rFonts w:hint="eastAsia" w:ascii="宋体" w:hAnsi="宋体" w:eastAsia="宋体" w:cs="宋体"/>
                <w:color w:val="auto"/>
                <w:spacing w:val="9"/>
                <w:sz w:val="24"/>
                <w:szCs w:val="24"/>
                <w:highlight w:val="none"/>
                <w:lang w:val="en-US" w:eastAsia="zh-CN"/>
              </w:rPr>
              <w:t>授权</w:t>
            </w:r>
            <w:r>
              <w:rPr>
                <w:rFonts w:hint="eastAsia" w:ascii="宋体" w:hAnsi="宋体" w:eastAsia="宋体" w:cs="宋体"/>
                <w:color w:val="auto"/>
                <w:spacing w:val="9"/>
                <w:sz w:val="24"/>
                <w:szCs w:val="24"/>
                <w:highlight w:val="none"/>
              </w:rPr>
              <w:t>委托</w:t>
            </w:r>
            <w:r>
              <w:rPr>
                <w:rFonts w:hint="eastAsia" w:ascii="宋体" w:hAnsi="宋体" w:eastAsia="宋体" w:cs="宋体"/>
                <w:color w:val="auto"/>
                <w:spacing w:val="8"/>
                <w:sz w:val="24"/>
                <w:szCs w:val="24"/>
                <w:highlight w:val="none"/>
              </w:rPr>
              <w:t>人</w:t>
            </w:r>
            <w:r>
              <w:rPr>
                <w:rFonts w:hint="eastAsia" w:ascii="宋体" w:hAnsi="宋体" w:eastAsia="宋体" w:cs="宋体"/>
                <w:color w:val="auto"/>
                <w:spacing w:val="8"/>
                <w:sz w:val="24"/>
                <w:szCs w:val="24"/>
                <w:highlight w:val="none"/>
                <w:lang w:val="en-US" w:eastAsia="zh-CN"/>
              </w:rPr>
              <w:t>签字</w:t>
            </w:r>
          </w:p>
        </w:tc>
        <w:tc>
          <w:tcPr>
            <w:tcW w:w="4803" w:type="dxa"/>
            <w:shd w:val="clear" w:color="auto" w:fill="auto"/>
            <w:vAlign w:val="top"/>
          </w:tcPr>
          <w:p w14:paraId="18DB290D">
            <w:pPr>
              <w:keepNext w:val="0"/>
              <w:keepLines w:val="0"/>
              <w:pageBreakBefore w:val="0"/>
              <w:widowControl w:val="0"/>
              <w:kinsoku/>
              <w:wordWrap/>
              <w:overflowPunct/>
              <w:topLinePunct w:val="0"/>
              <w:autoSpaceDE/>
              <w:autoSpaceDN/>
              <w:bidi w:val="0"/>
              <w:adjustRightInd w:val="0"/>
              <w:snapToGrid/>
              <w:spacing w:line="560" w:lineRule="exact"/>
              <w:ind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9"/>
                <w:sz w:val="24"/>
                <w:szCs w:val="24"/>
                <w:highlight w:val="none"/>
              </w:rPr>
              <w:t>或</w:t>
            </w:r>
            <w:r>
              <w:rPr>
                <w:rFonts w:hint="eastAsia" w:ascii="宋体" w:hAnsi="宋体" w:eastAsia="宋体" w:cs="宋体"/>
                <w:color w:val="auto"/>
                <w:spacing w:val="9"/>
                <w:sz w:val="24"/>
                <w:szCs w:val="24"/>
                <w:highlight w:val="none"/>
                <w:lang w:val="en-US" w:eastAsia="zh-CN"/>
              </w:rPr>
              <w:t>授权</w:t>
            </w:r>
            <w:r>
              <w:rPr>
                <w:rFonts w:hint="eastAsia" w:ascii="宋体" w:hAnsi="宋体" w:eastAsia="宋体" w:cs="宋体"/>
                <w:color w:val="auto"/>
                <w:spacing w:val="9"/>
                <w:sz w:val="24"/>
                <w:szCs w:val="24"/>
                <w:highlight w:val="none"/>
              </w:rPr>
              <w:t>委托</w:t>
            </w:r>
            <w:r>
              <w:rPr>
                <w:rFonts w:hint="eastAsia" w:ascii="宋体" w:hAnsi="宋体" w:eastAsia="宋体" w:cs="宋体"/>
                <w:color w:val="auto"/>
                <w:spacing w:val="8"/>
                <w:sz w:val="24"/>
                <w:szCs w:val="24"/>
                <w:highlight w:val="none"/>
              </w:rPr>
              <w:t>人</w:t>
            </w:r>
            <w:r>
              <w:rPr>
                <w:rFonts w:hint="eastAsia" w:ascii="宋体" w:hAnsi="宋体" w:eastAsia="宋体" w:cs="宋体"/>
                <w:color w:val="auto"/>
                <w:spacing w:val="8"/>
                <w:sz w:val="24"/>
                <w:szCs w:val="24"/>
                <w:highlight w:val="none"/>
                <w:lang w:val="en-US" w:eastAsia="zh-CN"/>
              </w:rPr>
              <w:t>签字</w:t>
            </w:r>
          </w:p>
        </w:tc>
      </w:tr>
      <w:tr w14:paraId="368EEA42">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96" w:hRule="atLeast"/>
          <w:jc w:val="center"/>
        </w:trPr>
        <w:tc>
          <w:tcPr>
            <w:tcW w:w="4551" w:type="dxa"/>
            <w:vAlign w:val="top"/>
          </w:tcPr>
          <w:p w14:paraId="23331423">
            <w:pPr>
              <w:keepNext w:val="0"/>
              <w:keepLines w:val="0"/>
              <w:pageBreakBefore w:val="0"/>
              <w:widowControl w:val="0"/>
              <w:kinsoku/>
              <w:wordWrap/>
              <w:overflowPunct/>
              <w:topLinePunct w:val="0"/>
              <w:autoSpaceDE/>
              <w:autoSpaceDN/>
              <w:bidi w:val="0"/>
              <w:adjustRightInd w:val="0"/>
              <w:snapToGrid/>
              <w:spacing w:line="560" w:lineRule="exact"/>
              <w:ind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地</w:t>
            </w:r>
            <w:r>
              <w:rPr>
                <w:rFonts w:hint="eastAsia" w:ascii="宋体" w:hAnsi="宋体" w:eastAsia="宋体" w:cs="宋体"/>
                <w:color w:val="auto"/>
                <w:spacing w:val="3"/>
                <w:sz w:val="24"/>
                <w:szCs w:val="24"/>
                <w:highlight w:val="none"/>
              </w:rPr>
              <w:t>址：</w:t>
            </w:r>
          </w:p>
        </w:tc>
        <w:tc>
          <w:tcPr>
            <w:tcW w:w="4803" w:type="dxa"/>
            <w:shd w:val="clear" w:color="auto" w:fill="auto"/>
            <w:vAlign w:val="top"/>
          </w:tcPr>
          <w:p w14:paraId="20F1F7B7">
            <w:pPr>
              <w:keepNext w:val="0"/>
              <w:keepLines w:val="0"/>
              <w:pageBreakBefore w:val="0"/>
              <w:widowControl w:val="0"/>
              <w:kinsoku/>
              <w:wordWrap/>
              <w:overflowPunct/>
              <w:topLinePunct w:val="0"/>
              <w:autoSpaceDE/>
              <w:autoSpaceDN/>
              <w:bidi w:val="0"/>
              <w:adjustRightInd w:val="0"/>
              <w:snapToGrid/>
              <w:spacing w:line="560" w:lineRule="exact"/>
              <w:ind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4"/>
                <w:sz w:val="24"/>
                <w:szCs w:val="24"/>
                <w:highlight w:val="none"/>
              </w:rPr>
              <w:t>地</w:t>
            </w:r>
            <w:r>
              <w:rPr>
                <w:rFonts w:hint="eastAsia" w:ascii="宋体" w:hAnsi="宋体" w:eastAsia="宋体" w:cs="宋体"/>
                <w:color w:val="auto"/>
                <w:spacing w:val="3"/>
                <w:sz w:val="24"/>
                <w:szCs w:val="24"/>
                <w:highlight w:val="none"/>
              </w:rPr>
              <w:t>址：</w:t>
            </w:r>
          </w:p>
        </w:tc>
      </w:tr>
      <w:tr w14:paraId="4E98B659">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95" w:hRule="atLeast"/>
          <w:jc w:val="center"/>
        </w:trPr>
        <w:tc>
          <w:tcPr>
            <w:tcW w:w="4551" w:type="dxa"/>
            <w:vAlign w:val="top"/>
          </w:tcPr>
          <w:p w14:paraId="6D946AEF">
            <w:pPr>
              <w:keepNext w:val="0"/>
              <w:keepLines w:val="0"/>
              <w:pageBreakBefore w:val="0"/>
              <w:widowControl w:val="0"/>
              <w:kinsoku/>
              <w:wordWrap/>
              <w:overflowPunct/>
              <w:topLinePunct w:val="0"/>
              <w:autoSpaceDE/>
              <w:autoSpaceDN/>
              <w:bidi w:val="0"/>
              <w:adjustRightInd w:val="0"/>
              <w:snapToGrid/>
              <w:spacing w:line="560" w:lineRule="exact"/>
              <w:ind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电话：</w:t>
            </w:r>
          </w:p>
        </w:tc>
        <w:tc>
          <w:tcPr>
            <w:tcW w:w="4803" w:type="dxa"/>
            <w:shd w:val="clear" w:color="auto" w:fill="auto"/>
            <w:vAlign w:val="top"/>
          </w:tcPr>
          <w:p w14:paraId="20D79503">
            <w:pPr>
              <w:keepNext w:val="0"/>
              <w:keepLines w:val="0"/>
              <w:pageBreakBefore w:val="0"/>
              <w:widowControl w:val="0"/>
              <w:kinsoku/>
              <w:wordWrap/>
              <w:overflowPunct/>
              <w:topLinePunct w:val="0"/>
              <w:autoSpaceDE/>
              <w:autoSpaceDN/>
              <w:bidi w:val="0"/>
              <w:adjustRightInd w:val="0"/>
              <w:snapToGrid/>
              <w:spacing w:line="560" w:lineRule="exact"/>
              <w:ind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pacing w:val="-6"/>
                <w:sz w:val="24"/>
                <w:szCs w:val="24"/>
                <w:highlight w:val="none"/>
              </w:rPr>
              <w:t>电话：</w:t>
            </w:r>
          </w:p>
        </w:tc>
      </w:tr>
      <w:tr w14:paraId="7C051325">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596" w:hRule="atLeast"/>
          <w:jc w:val="center"/>
        </w:trPr>
        <w:tc>
          <w:tcPr>
            <w:tcW w:w="4551" w:type="dxa"/>
            <w:vAlign w:val="top"/>
          </w:tcPr>
          <w:p w14:paraId="4471BF53">
            <w:pPr>
              <w:keepNext w:val="0"/>
              <w:keepLines w:val="0"/>
              <w:pageBreakBefore w:val="0"/>
              <w:widowControl w:val="0"/>
              <w:kinsoku/>
              <w:wordWrap/>
              <w:overflowPunct/>
              <w:topLinePunct w:val="0"/>
              <w:autoSpaceDE/>
              <w:autoSpaceDN/>
              <w:bidi w:val="0"/>
              <w:adjustRightInd w:val="0"/>
              <w:snapToGrid/>
              <w:spacing w:line="560" w:lineRule="exact"/>
              <w:ind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4"/>
                <w:sz w:val="24"/>
                <w:szCs w:val="24"/>
                <w:highlight w:val="none"/>
              </w:rPr>
              <w:t>签约时间：</w:t>
            </w:r>
            <w:r>
              <w:rPr>
                <w:rFonts w:hint="eastAsia" w:ascii="宋体" w:hAnsi="宋体" w:eastAsia="宋体" w:cs="宋体"/>
                <w:color w:val="auto"/>
                <w:spacing w:val="2"/>
                <w:sz w:val="24"/>
                <w:szCs w:val="24"/>
                <w:highlight w:val="none"/>
                <w:lang w:val="en-US" w:eastAsia="zh-CN"/>
              </w:rPr>
              <w:t>2024</w:t>
            </w:r>
            <w:r>
              <w:rPr>
                <w:rFonts w:hint="eastAsia" w:ascii="宋体" w:hAnsi="宋体" w:eastAsia="宋体" w:cs="宋体"/>
                <w:color w:val="auto"/>
                <w:spacing w:val="2"/>
                <w:sz w:val="24"/>
                <w:szCs w:val="24"/>
                <w:highlight w:val="none"/>
              </w:rPr>
              <w:t>年   月   日</w:t>
            </w:r>
          </w:p>
        </w:tc>
        <w:tc>
          <w:tcPr>
            <w:tcW w:w="4803" w:type="dxa"/>
            <w:vAlign w:val="top"/>
          </w:tcPr>
          <w:p w14:paraId="0D6A1C32">
            <w:pPr>
              <w:keepNext w:val="0"/>
              <w:keepLines w:val="0"/>
              <w:pageBreakBefore w:val="0"/>
              <w:widowControl w:val="0"/>
              <w:kinsoku/>
              <w:wordWrap/>
              <w:overflowPunct/>
              <w:topLinePunct w:val="0"/>
              <w:autoSpaceDE/>
              <w:autoSpaceDN/>
              <w:bidi w:val="0"/>
              <w:adjustRightInd w:val="0"/>
              <w:snapToGrid/>
              <w:spacing w:line="560" w:lineRule="exact"/>
              <w:ind w:left="0" w:right="0" w:firstLine="0" w:firstLineChars="0"/>
              <w:jc w:val="left"/>
              <w:textAlignment w:val="auto"/>
              <w:rPr>
                <w:rFonts w:hint="eastAsia" w:ascii="宋体" w:hAnsi="宋体" w:eastAsia="宋体" w:cs="宋体"/>
                <w:color w:val="auto"/>
                <w:sz w:val="24"/>
                <w:szCs w:val="24"/>
                <w:highlight w:val="none"/>
              </w:rPr>
            </w:pPr>
          </w:p>
        </w:tc>
      </w:tr>
      <w:tr w14:paraId="11A7097F">
        <w:tblPrEx>
          <w:tblBorders>
            <w:top w:val="none" w:color="000000" w:sz="2" w:space="0"/>
            <w:left w:val="none" w:color="000000" w:sz="2" w:space="0"/>
            <w:bottom w:val="none" w:color="000000" w:sz="2" w:space="0"/>
            <w:right w:val="none" w:color="000000" w:sz="2" w:space="0"/>
            <w:insideH w:val="none" w:color="000000" w:sz="2" w:space="0"/>
            <w:insideV w:val="none" w:color="000000" w:sz="2" w:space="0"/>
          </w:tblBorders>
          <w:tblCellMar>
            <w:top w:w="0" w:type="dxa"/>
            <w:left w:w="0" w:type="dxa"/>
            <w:bottom w:w="0" w:type="dxa"/>
            <w:right w:w="0" w:type="dxa"/>
          </w:tblCellMar>
        </w:tblPrEx>
        <w:trPr>
          <w:trHeight w:val="418" w:hRule="atLeast"/>
          <w:jc w:val="center"/>
        </w:trPr>
        <w:tc>
          <w:tcPr>
            <w:tcW w:w="9354" w:type="dxa"/>
            <w:gridSpan w:val="2"/>
            <w:vAlign w:val="top"/>
          </w:tcPr>
          <w:p w14:paraId="34688E90">
            <w:pPr>
              <w:keepNext w:val="0"/>
              <w:keepLines w:val="0"/>
              <w:pageBreakBefore w:val="0"/>
              <w:widowControl w:val="0"/>
              <w:kinsoku/>
              <w:wordWrap/>
              <w:overflowPunct/>
              <w:topLinePunct w:val="0"/>
              <w:autoSpaceDE/>
              <w:autoSpaceDN/>
              <w:bidi w:val="0"/>
              <w:adjustRightInd w:val="0"/>
              <w:snapToGrid/>
              <w:spacing w:line="560" w:lineRule="exact"/>
              <w:ind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签约地点：</w:t>
            </w:r>
          </w:p>
        </w:tc>
      </w:tr>
    </w:tbl>
    <w:p w14:paraId="6CEFB271">
      <w:pPr>
        <w:keepNext w:val="0"/>
        <w:keepLines w:val="0"/>
        <w:pageBreakBefore w:val="0"/>
        <w:widowControl/>
        <w:kinsoku/>
        <w:wordWrap/>
        <w:overflowPunct/>
        <w:topLinePunct w:val="0"/>
        <w:autoSpaceDE w:val="0"/>
        <w:autoSpaceDN w:val="0"/>
        <w:bidi w:val="0"/>
        <w:adjustRightInd w:val="0"/>
        <w:snapToGrid w:val="0"/>
        <w:spacing w:line="490" w:lineRule="exact"/>
        <w:ind w:left="0" w:leftChars="0" w:firstLine="480" w:firstLineChars="200"/>
        <w:textAlignment w:val="bottom"/>
        <w:rPr>
          <w:rFonts w:hint="eastAsia" w:ascii="宋体" w:hAnsi="宋体" w:eastAsia="宋体" w:cs="宋体"/>
          <w:bCs/>
          <w:color w:val="auto"/>
          <w:sz w:val="24"/>
          <w:szCs w:val="24"/>
          <w:highlight w:val="none"/>
        </w:rPr>
      </w:pPr>
    </w:p>
    <w:p w14:paraId="478E9555">
      <w:pPr>
        <w:spacing w:line="48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注：具体以双方签定的正式合同为准，合同内容不得违背本</w:t>
      </w:r>
      <w:r>
        <w:rPr>
          <w:rFonts w:hint="eastAsia" w:ascii="宋体" w:hAnsi="宋体" w:eastAsia="宋体" w:cs="宋体"/>
          <w:b/>
          <w:bCs/>
          <w:color w:val="auto"/>
          <w:sz w:val="24"/>
          <w:szCs w:val="24"/>
          <w:highlight w:val="none"/>
          <w:lang w:eastAsia="zh-CN"/>
        </w:rPr>
        <w:t>招标文件</w:t>
      </w:r>
      <w:r>
        <w:rPr>
          <w:rFonts w:hint="eastAsia" w:ascii="宋体" w:hAnsi="宋体" w:eastAsia="宋体" w:cs="宋体"/>
          <w:b/>
          <w:bCs/>
          <w:color w:val="auto"/>
          <w:sz w:val="24"/>
          <w:szCs w:val="24"/>
          <w:highlight w:val="none"/>
        </w:rPr>
        <w:t>实质性要求。</w:t>
      </w:r>
    </w:p>
    <w:p w14:paraId="4FC407D7">
      <w:pPr>
        <w:pStyle w:val="40"/>
        <w:rPr>
          <w:rFonts w:hint="eastAsia" w:ascii="宋体" w:hAnsi="宋体" w:eastAsia="宋体" w:cs="宋体"/>
          <w:color w:val="auto"/>
          <w:sz w:val="24"/>
          <w:szCs w:val="24"/>
          <w:highlight w:val="none"/>
        </w:rPr>
      </w:pPr>
    </w:p>
    <w:p w14:paraId="10B0B5A2">
      <w:pPr>
        <w:pStyle w:val="41"/>
        <w:rPr>
          <w:rFonts w:hint="eastAsia" w:ascii="宋体" w:hAnsi="宋体" w:eastAsia="宋体" w:cs="宋体"/>
          <w:color w:val="auto"/>
          <w:sz w:val="24"/>
          <w:szCs w:val="24"/>
          <w:highlight w:val="none"/>
        </w:rPr>
      </w:pPr>
    </w:p>
    <w:p w14:paraId="3660F2BA">
      <w:pPr>
        <w:pStyle w:val="40"/>
        <w:rPr>
          <w:rFonts w:hint="eastAsia" w:ascii="仿宋" w:hAnsi="仿宋" w:eastAsia="仿宋" w:cs="仿宋"/>
          <w:color w:val="auto"/>
          <w:highlight w:val="none"/>
        </w:rPr>
      </w:pPr>
    </w:p>
    <w:p w14:paraId="0A6CCD5C">
      <w:pPr>
        <w:pStyle w:val="41"/>
        <w:rPr>
          <w:rFonts w:hint="eastAsia" w:ascii="仿宋" w:hAnsi="仿宋" w:eastAsia="仿宋" w:cs="仿宋"/>
          <w:color w:val="auto"/>
          <w:highlight w:val="none"/>
        </w:rPr>
      </w:pPr>
    </w:p>
    <w:p w14:paraId="471026A5">
      <w:pPr>
        <w:rPr>
          <w:rFonts w:hint="eastAsia" w:ascii="仿宋" w:hAnsi="仿宋" w:eastAsia="仿宋" w:cs="仿宋"/>
          <w:color w:val="auto"/>
          <w:highlight w:val="none"/>
        </w:rPr>
      </w:pPr>
    </w:p>
    <w:p w14:paraId="6CDBC2EE">
      <w:pPr>
        <w:rPr>
          <w:rFonts w:hint="eastAsia" w:ascii="仿宋" w:hAnsi="仿宋" w:eastAsia="仿宋" w:cs="仿宋"/>
          <w:color w:val="auto"/>
          <w:highlight w:val="none"/>
        </w:rPr>
      </w:pPr>
    </w:p>
    <w:p w14:paraId="3D29E949">
      <w:pPr>
        <w:rPr>
          <w:rFonts w:hint="eastAsia" w:ascii="仿宋" w:hAnsi="仿宋" w:eastAsia="仿宋" w:cs="仿宋"/>
          <w:color w:val="auto"/>
          <w:highlight w:val="none"/>
        </w:rPr>
      </w:pPr>
    </w:p>
    <w:p w14:paraId="78856EAD">
      <w:pPr>
        <w:rPr>
          <w:rFonts w:hint="eastAsia" w:ascii="仿宋" w:hAnsi="仿宋" w:eastAsia="仿宋" w:cs="仿宋"/>
          <w:color w:val="auto"/>
          <w:highlight w:val="none"/>
        </w:rPr>
      </w:pPr>
    </w:p>
    <w:p w14:paraId="2F0E86E4">
      <w:pPr>
        <w:rPr>
          <w:rFonts w:hint="eastAsia" w:ascii="仿宋" w:hAnsi="仿宋" w:eastAsia="仿宋" w:cs="仿宋"/>
          <w:color w:val="auto"/>
          <w:highlight w:val="none"/>
        </w:rPr>
      </w:pPr>
    </w:p>
    <w:p w14:paraId="5C8FAE64">
      <w:pPr>
        <w:rPr>
          <w:rFonts w:hint="eastAsia" w:ascii="仿宋" w:hAnsi="仿宋" w:eastAsia="仿宋" w:cs="仿宋"/>
          <w:color w:val="auto"/>
          <w:highlight w:val="none"/>
        </w:rPr>
      </w:pPr>
    </w:p>
    <w:p w14:paraId="465D7220">
      <w:pPr>
        <w:rPr>
          <w:rFonts w:hint="eastAsia" w:ascii="仿宋" w:hAnsi="仿宋" w:eastAsia="仿宋" w:cs="仿宋"/>
          <w:color w:val="auto"/>
          <w:highlight w:val="none"/>
        </w:rPr>
      </w:pPr>
    </w:p>
    <w:p w14:paraId="056AB268">
      <w:pPr>
        <w:rPr>
          <w:rFonts w:hint="eastAsia" w:ascii="仿宋" w:hAnsi="仿宋" w:eastAsia="仿宋" w:cs="仿宋"/>
          <w:color w:val="auto"/>
          <w:highlight w:val="none"/>
        </w:rPr>
      </w:pPr>
    </w:p>
    <w:p w14:paraId="096069CD">
      <w:pPr>
        <w:rPr>
          <w:rFonts w:hint="eastAsia" w:ascii="仿宋" w:hAnsi="仿宋" w:eastAsia="仿宋" w:cs="仿宋"/>
          <w:color w:val="auto"/>
          <w:highlight w:val="none"/>
        </w:rPr>
      </w:pPr>
    </w:p>
    <w:p w14:paraId="7A3C2072">
      <w:pPr>
        <w:rPr>
          <w:rFonts w:hint="eastAsia" w:ascii="仿宋" w:hAnsi="仿宋" w:eastAsia="仿宋" w:cs="仿宋"/>
          <w:color w:val="auto"/>
          <w:highlight w:val="none"/>
        </w:rPr>
      </w:pPr>
    </w:p>
    <w:p w14:paraId="38FF0844">
      <w:pPr>
        <w:rPr>
          <w:rFonts w:hint="eastAsia" w:ascii="仿宋" w:hAnsi="仿宋" w:eastAsia="仿宋" w:cs="仿宋"/>
          <w:color w:val="auto"/>
          <w:highlight w:val="none"/>
        </w:rPr>
      </w:pPr>
    </w:p>
    <w:p w14:paraId="15236B1A">
      <w:pPr>
        <w:rPr>
          <w:rFonts w:hint="eastAsia" w:ascii="仿宋" w:hAnsi="仿宋" w:eastAsia="仿宋" w:cs="仿宋"/>
          <w:color w:val="auto"/>
          <w:highlight w:val="none"/>
        </w:rPr>
      </w:pPr>
    </w:p>
    <w:p w14:paraId="51476766">
      <w:pPr>
        <w:rPr>
          <w:rFonts w:hint="eastAsia" w:ascii="仿宋" w:hAnsi="仿宋" w:eastAsia="仿宋" w:cs="仿宋"/>
          <w:color w:val="auto"/>
          <w:highlight w:val="none"/>
        </w:rPr>
      </w:pPr>
    </w:p>
    <w:p w14:paraId="3FCEBC2E">
      <w:pPr>
        <w:rPr>
          <w:rFonts w:hint="eastAsia" w:ascii="仿宋" w:hAnsi="仿宋" w:eastAsia="仿宋" w:cs="仿宋"/>
          <w:color w:val="auto"/>
          <w:highlight w:val="none"/>
        </w:rPr>
      </w:pPr>
    </w:p>
    <w:p w14:paraId="48EF0B26">
      <w:pPr>
        <w:rPr>
          <w:rFonts w:hint="eastAsia" w:ascii="仿宋" w:hAnsi="仿宋" w:eastAsia="仿宋" w:cs="仿宋"/>
          <w:color w:val="auto"/>
          <w:highlight w:val="none"/>
        </w:rPr>
      </w:pPr>
    </w:p>
    <w:p w14:paraId="090BF836">
      <w:pPr>
        <w:rPr>
          <w:rFonts w:hint="eastAsia" w:ascii="仿宋" w:hAnsi="仿宋" w:eastAsia="仿宋" w:cs="仿宋"/>
          <w:color w:val="auto"/>
          <w:highlight w:val="none"/>
        </w:rPr>
      </w:pPr>
    </w:p>
    <w:p w14:paraId="5952005C">
      <w:pPr>
        <w:rPr>
          <w:rFonts w:hint="eastAsia" w:ascii="仿宋" w:hAnsi="仿宋" w:eastAsia="仿宋" w:cs="仿宋"/>
          <w:color w:val="auto"/>
          <w:highlight w:val="none"/>
        </w:rPr>
      </w:pPr>
    </w:p>
    <w:p w14:paraId="532D3513">
      <w:pPr>
        <w:rPr>
          <w:rFonts w:hint="eastAsia" w:ascii="仿宋" w:hAnsi="仿宋" w:eastAsia="仿宋" w:cs="仿宋"/>
          <w:color w:val="auto"/>
          <w:highlight w:val="none"/>
        </w:rPr>
      </w:pPr>
    </w:p>
    <w:p w14:paraId="659C06FF">
      <w:pPr>
        <w:widowControl/>
        <w:adjustRightInd/>
        <w:jc w:val="both"/>
        <w:rPr>
          <w:rFonts w:hint="eastAsia" w:ascii="仿宋" w:hAnsi="仿宋" w:eastAsia="仿宋" w:cs="仿宋"/>
          <w:b/>
          <w:color w:val="auto"/>
          <w:sz w:val="36"/>
          <w:szCs w:val="20"/>
          <w:highlight w:val="none"/>
        </w:rPr>
      </w:pPr>
    </w:p>
    <w:p w14:paraId="3FF54871">
      <w:pPr>
        <w:widowControl/>
        <w:adjustRightInd/>
        <w:jc w:val="center"/>
        <w:rPr>
          <w:rFonts w:hint="eastAsia" w:ascii="仿宋" w:hAnsi="仿宋" w:eastAsia="仿宋" w:cs="仿宋"/>
          <w:b/>
          <w:color w:val="auto"/>
          <w:sz w:val="36"/>
          <w:szCs w:val="20"/>
          <w:highlight w:val="none"/>
        </w:rPr>
      </w:pPr>
    </w:p>
    <w:p w14:paraId="4C3D7C6A">
      <w:pPr>
        <w:widowControl/>
        <w:adjustRightInd/>
        <w:jc w:val="center"/>
        <w:rPr>
          <w:rFonts w:hint="eastAsia" w:ascii="仿宋" w:hAnsi="仿宋" w:eastAsia="仿宋" w:cs="仿宋"/>
          <w:b/>
          <w:color w:val="auto"/>
          <w:sz w:val="36"/>
          <w:szCs w:val="20"/>
          <w:highlight w:val="none"/>
        </w:rPr>
      </w:pPr>
    </w:p>
    <w:p w14:paraId="3A8D23BB">
      <w:pPr>
        <w:widowControl/>
        <w:adjustRightInd/>
        <w:jc w:val="center"/>
        <w:rPr>
          <w:rFonts w:hint="eastAsia" w:ascii="仿宋" w:hAnsi="仿宋" w:eastAsia="仿宋" w:cs="仿宋"/>
          <w:b/>
          <w:color w:val="auto"/>
          <w:sz w:val="36"/>
          <w:szCs w:val="20"/>
          <w:highlight w:val="none"/>
        </w:rPr>
      </w:pPr>
    </w:p>
    <w:p w14:paraId="7EACC834">
      <w:pPr>
        <w:widowControl/>
        <w:adjustRightInd/>
        <w:jc w:val="center"/>
        <w:rPr>
          <w:rFonts w:hint="eastAsia" w:ascii="仿宋" w:hAnsi="仿宋" w:eastAsia="仿宋" w:cs="仿宋"/>
          <w:b/>
          <w:color w:val="auto"/>
          <w:sz w:val="36"/>
          <w:szCs w:val="20"/>
          <w:highlight w:val="none"/>
        </w:rPr>
      </w:pPr>
    </w:p>
    <w:p w14:paraId="79F7994D">
      <w:pPr>
        <w:widowControl/>
        <w:adjustRightInd/>
        <w:jc w:val="center"/>
        <w:rPr>
          <w:rFonts w:hint="eastAsia" w:ascii="仿宋" w:hAnsi="仿宋" w:eastAsia="仿宋" w:cs="仿宋"/>
          <w:b/>
          <w:color w:val="auto"/>
          <w:sz w:val="36"/>
          <w:szCs w:val="20"/>
          <w:highlight w:val="none"/>
        </w:rPr>
      </w:pPr>
    </w:p>
    <w:p w14:paraId="2E9659EC">
      <w:pPr>
        <w:widowControl/>
        <w:adjustRightInd/>
        <w:jc w:val="center"/>
        <w:rPr>
          <w:rFonts w:hint="eastAsia" w:ascii="仿宋" w:hAnsi="仿宋" w:eastAsia="仿宋" w:cs="仿宋"/>
          <w:b/>
          <w:color w:val="auto"/>
          <w:sz w:val="36"/>
          <w:szCs w:val="20"/>
          <w:highlight w:val="none"/>
        </w:rPr>
      </w:pPr>
    </w:p>
    <w:p w14:paraId="395BC4AF">
      <w:pPr>
        <w:widowControl/>
        <w:adjustRightInd/>
        <w:jc w:val="center"/>
        <w:rPr>
          <w:rFonts w:hint="eastAsia" w:ascii="仿宋" w:hAnsi="仿宋" w:eastAsia="仿宋" w:cs="仿宋"/>
          <w:b/>
          <w:color w:val="auto"/>
          <w:sz w:val="36"/>
          <w:szCs w:val="20"/>
          <w:highlight w:val="none"/>
        </w:rPr>
      </w:pPr>
    </w:p>
    <w:p w14:paraId="708AF493">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 投标文件及其附件格式</w:t>
      </w:r>
    </w:p>
    <w:p w14:paraId="44D16105">
      <w:pPr>
        <w:spacing w:line="360" w:lineRule="auto"/>
        <w:jc w:val="center"/>
        <w:outlineLvl w:val="0"/>
        <w:rPr>
          <w:rFonts w:hint="eastAsia" w:ascii="仿宋" w:hAnsi="仿宋" w:eastAsia="仿宋" w:cs="仿宋"/>
          <w:b/>
          <w:color w:val="auto"/>
          <w:kern w:val="0"/>
          <w:sz w:val="36"/>
          <w:szCs w:val="36"/>
          <w:highlight w:val="none"/>
        </w:rPr>
      </w:pPr>
    </w:p>
    <w:p w14:paraId="18560FF4">
      <w:pPr>
        <w:spacing w:line="336" w:lineRule="auto"/>
        <w:jc w:val="center"/>
        <w:outlineLvl w:val="0"/>
        <w:rPr>
          <w:rFonts w:hint="eastAsia" w:ascii="仿宋" w:hAnsi="仿宋" w:eastAsia="仿宋" w:cs="仿宋"/>
          <w:b/>
          <w:color w:val="auto"/>
          <w:kern w:val="0"/>
          <w:sz w:val="36"/>
          <w:szCs w:val="36"/>
          <w:highlight w:val="none"/>
        </w:rPr>
      </w:pPr>
    </w:p>
    <w:p w14:paraId="4F3675BD">
      <w:pPr>
        <w:spacing w:line="336"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4915EEDA">
      <w:pPr>
        <w:spacing w:line="336"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71A78FB4">
      <w:pPr>
        <w:spacing w:line="336" w:lineRule="auto"/>
        <w:jc w:val="center"/>
        <w:outlineLvl w:val="0"/>
        <w:rPr>
          <w:rFonts w:ascii="仿宋" w:hAnsi="仿宋" w:eastAsia="仿宋" w:cs="仿宋"/>
          <w:b/>
          <w:color w:val="auto"/>
          <w:kern w:val="0"/>
          <w:sz w:val="36"/>
          <w:szCs w:val="36"/>
          <w:highlight w:val="none"/>
        </w:rPr>
      </w:pPr>
    </w:p>
    <w:p w14:paraId="1C87658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仿宋" w:hAnsi="仿宋" w:eastAsia="仿宋" w:cs="仿宋"/>
          <w:color w:val="auto"/>
          <w:sz w:val="24"/>
          <w:highlight w:val="none"/>
          <w:lang w:val="en-US" w:eastAsia="zh-CN"/>
        </w:rPr>
      </w:pPr>
    </w:p>
    <w:p w14:paraId="49B2485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Times New Roman" w:eastAsia="宋体" w:cs="宋体"/>
          <w:color w:val="auto"/>
          <w:kern w:val="0"/>
          <w:sz w:val="24"/>
          <w:szCs w:val="24"/>
          <w:highlight w:val="none"/>
        </w:rPr>
      </w:pPr>
      <w:r>
        <w:rPr>
          <w:rFonts w:hint="eastAsia" w:ascii="宋体" w:hAnsi="Times New Roman" w:eastAsia="宋体" w:cs="宋体"/>
          <w:color w:val="auto"/>
          <w:kern w:val="0"/>
          <w:sz w:val="24"/>
          <w:szCs w:val="24"/>
          <w:highlight w:val="none"/>
        </w:rPr>
        <w:t>（1）</w:t>
      </w:r>
      <w:r>
        <w:rPr>
          <w:rFonts w:hint="eastAsia" w:ascii="宋体" w:hAnsi="Times New Roman" w:eastAsia="宋体" w:cs="宋体"/>
          <w:color w:val="auto"/>
          <w:kern w:val="0"/>
          <w:sz w:val="24"/>
          <w:szCs w:val="24"/>
          <w:highlight w:val="none"/>
          <w:lang w:eastAsia="zh-CN"/>
        </w:rPr>
        <w:t>营业执照扫描件</w:t>
      </w:r>
      <w:r>
        <w:rPr>
          <w:rFonts w:hint="eastAsia" w:ascii="宋体" w:hAnsi="Times New Roman" w:eastAsia="宋体" w:cs="宋体"/>
          <w:color w:val="auto"/>
          <w:kern w:val="0"/>
          <w:sz w:val="24"/>
          <w:szCs w:val="24"/>
          <w:highlight w:val="none"/>
        </w:rPr>
        <w:t>……………………………………………………………（页码）</w:t>
      </w:r>
    </w:p>
    <w:p w14:paraId="1FD5FCA3">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cs="宋体"/>
          <w:color w:val="auto"/>
          <w:kern w:val="0"/>
          <w:sz w:val="24"/>
          <w:szCs w:val="24"/>
          <w:highlight w:val="none"/>
        </w:rPr>
      </w:pPr>
      <w:r>
        <w:rPr>
          <w:rFonts w:hint="eastAsia" w:ascii="宋体" w:cs="宋体"/>
          <w:color w:val="auto"/>
          <w:kern w:val="0"/>
          <w:sz w:val="24"/>
          <w:szCs w:val="24"/>
          <w:highlight w:val="none"/>
        </w:rPr>
        <w:t>（2）具有履行合同所必需的设备和专业技术能力的承诺函</w:t>
      </w:r>
      <w:r>
        <w:rPr>
          <w:rFonts w:hint="eastAsia" w:ascii="宋体" w:hAnsi="Times New Roman" w:eastAsia="宋体" w:cs="宋体"/>
          <w:color w:val="auto"/>
          <w:kern w:val="0"/>
          <w:sz w:val="24"/>
          <w:szCs w:val="24"/>
          <w:highlight w:val="none"/>
        </w:rPr>
        <w:t>…………………（页码）</w:t>
      </w:r>
    </w:p>
    <w:p w14:paraId="4CF7656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cs="宋体"/>
          <w:color w:val="auto"/>
          <w:kern w:val="0"/>
          <w:sz w:val="24"/>
          <w:szCs w:val="24"/>
          <w:highlight w:val="none"/>
          <w:lang w:val="zh-CN"/>
        </w:rPr>
      </w:pPr>
      <w:r>
        <w:rPr>
          <w:rFonts w:hint="eastAsia" w:ascii="宋体" w:cs="宋体"/>
          <w:color w:val="auto"/>
          <w:kern w:val="0"/>
          <w:sz w:val="24"/>
          <w:szCs w:val="24"/>
          <w:highlight w:val="none"/>
        </w:rPr>
        <w:t>（3</w:t>
      </w:r>
      <w:r>
        <w:rPr>
          <w:rFonts w:hint="eastAsia" w:ascii="宋体" w:cs="宋体"/>
          <w:color w:val="auto"/>
          <w:kern w:val="0"/>
          <w:sz w:val="24"/>
          <w:szCs w:val="24"/>
          <w:highlight w:val="none"/>
          <w:lang w:val="zh-CN"/>
        </w:rPr>
        <w:t>）符合参加采购活动应当具备的一般条件的承诺函</w:t>
      </w:r>
      <w:r>
        <w:rPr>
          <w:rFonts w:hint="eastAsia" w:ascii="宋体" w:hAnsi="Times New Roman" w:eastAsia="宋体" w:cs="宋体"/>
          <w:color w:val="auto"/>
          <w:kern w:val="0"/>
          <w:sz w:val="24"/>
          <w:szCs w:val="24"/>
          <w:highlight w:val="none"/>
        </w:rPr>
        <w:t>………………………（页码）</w:t>
      </w:r>
    </w:p>
    <w:p w14:paraId="701C6AF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cs="宋体"/>
          <w:color w:val="auto"/>
          <w:kern w:val="0"/>
          <w:sz w:val="24"/>
          <w:szCs w:val="24"/>
          <w:highlight w:val="none"/>
        </w:rPr>
      </w:pP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lang w:val="en-US" w:eastAsia="zh-CN"/>
        </w:rPr>
        <w:t>4）</w:t>
      </w:r>
      <w:r>
        <w:rPr>
          <w:rFonts w:hint="eastAsia" w:ascii="宋体" w:hAnsi="宋体" w:cs="宋体"/>
          <w:color w:val="auto"/>
          <w:sz w:val="24"/>
          <w:szCs w:val="24"/>
          <w:highlight w:val="none"/>
        </w:rPr>
        <w:t>特定资格要求需提供的证明材料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若有）</w:t>
      </w:r>
      <w:r>
        <w:rPr>
          <w:rFonts w:hint="eastAsia" w:ascii="宋体" w:hAnsi="Times New Roman" w:eastAsia="宋体" w:cs="宋体"/>
          <w:color w:val="auto"/>
          <w:kern w:val="0"/>
          <w:sz w:val="24"/>
          <w:szCs w:val="24"/>
          <w:highlight w:val="none"/>
        </w:rPr>
        <w:t>………………………………（页码）</w:t>
      </w:r>
    </w:p>
    <w:p w14:paraId="6D1CE221">
      <w:pPr>
        <w:snapToGrid w:val="0"/>
        <w:spacing w:line="360" w:lineRule="auto"/>
        <w:ind w:right="480"/>
        <w:jc w:val="center"/>
        <w:rPr>
          <w:rFonts w:hint="eastAsia" w:ascii="仿宋" w:hAnsi="仿宋" w:eastAsia="仿宋" w:cs="仿宋"/>
          <w:b/>
          <w:color w:val="auto"/>
          <w:kern w:val="0"/>
          <w:sz w:val="32"/>
          <w:szCs w:val="32"/>
          <w:highlight w:val="none"/>
        </w:rPr>
      </w:pPr>
    </w:p>
    <w:p w14:paraId="330B9570">
      <w:pPr>
        <w:snapToGrid w:val="0"/>
        <w:spacing w:line="360" w:lineRule="auto"/>
        <w:ind w:right="480"/>
        <w:jc w:val="center"/>
        <w:rPr>
          <w:rFonts w:hint="eastAsia" w:ascii="仿宋" w:hAnsi="仿宋" w:eastAsia="仿宋" w:cs="仿宋"/>
          <w:b/>
          <w:color w:val="auto"/>
          <w:kern w:val="0"/>
          <w:sz w:val="32"/>
          <w:szCs w:val="32"/>
          <w:highlight w:val="none"/>
        </w:rPr>
      </w:pPr>
    </w:p>
    <w:p w14:paraId="33E725CE">
      <w:pPr>
        <w:snapToGrid w:val="0"/>
        <w:spacing w:line="360" w:lineRule="auto"/>
        <w:ind w:right="480"/>
        <w:jc w:val="center"/>
        <w:rPr>
          <w:rFonts w:hint="eastAsia" w:ascii="仿宋" w:hAnsi="仿宋" w:eastAsia="仿宋" w:cs="仿宋"/>
          <w:b/>
          <w:color w:val="auto"/>
          <w:kern w:val="0"/>
          <w:sz w:val="32"/>
          <w:szCs w:val="32"/>
          <w:highlight w:val="none"/>
        </w:rPr>
      </w:pPr>
    </w:p>
    <w:p w14:paraId="12B6772D">
      <w:pPr>
        <w:snapToGrid w:val="0"/>
        <w:spacing w:line="360" w:lineRule="auto"/>
        <w:ind w:right="480"/>
        <w:jc w:val="center"/>
        <w:rPr>
          <w:rFonts w:hint="eastAsia" w:ascii="仿宋" w:hAnsi="仿宋" w:eastAsia="仿宋" w:cs="仿宋"/>
          <w:b/>
          <w:color w:val="auto"/>
          <w:kern w:val="0"/>
          <w:sz w:val="32"/>
          <w:szCs w:val="32"/>
          <w:highlight w:val="none"/>
        </w:rPr>
      </w:pPr>
    </w:p>
    <w:p w14:paraId="53F943E3">
      <w:pPr>
        <w:snapToGrid w:val="0"/>
        <w:spacing w:line="360" w:lineRule="auto"/>
        <w:ind w:right="480"/>
        <w:jc w:val="center"/>
        <w:rPr>
          <w:rFonts w:hint="eastAsia" w:ascii="仿宋" w:hAnsi="仿宋" w:eastAsia="仿宋" w:cs="仿宋"/>
          <w:b/>
          <w:color w:val="auto"/>
          <w:kern w:val="0"/>
          <w:sz w:val="32"/>
          <w:szCs w:val="32"/>
          <w:highlight w:val="none"/>
        </w:rPr>
      </w:pPr>
    </w:p>
    <w:p w14:paraId="2EB99907">
      <w:pPr>
        <w:snapToGrid w:val="0"/>
        <w:spacing w:line="360" w:lineRule="auto"/>
        <w:ind w:right="480"/>
        <w:jc w:val="center"/>
        <w:rPr>
          <w:rFonts w:hint="eastAsia" w:ascii="仿宋" w:hAnsi="仿宋" w:eastAsia="仿宋" w:cs="仿宋"/>
          <w:b/>
          <w:color w:val="auto"/>
          <w:kern w:val="0"/>
          <w:sz w:val="32"/>
          <w:szCs w:val="32"/>
          <w:highlight w:val="none"/>
        </w:rPr>
      </w:pPr>
    </w:p>
    <w:p w14:paraId="50D0295E">
      <w:pPr>
        <w:snapToGrid w:val="0"/>
        <w:spacing w:line="360" w:lineRule="auto"/>
        <w:ind w:right="480"/>
        <w:jc w:val="center"/>
        <w:rPr>
          <w:rFonts w:hint="eastAsia" w:ascii="仿宋" w:hAnsi="仿宋" w:eastAsia="仿宋" w:cs="仿宋"/>
          <w:b/>
          <w:color w:val="auto"/>
          <w:kern w:val="0"/>
          <w:sz w:val="32"/>
          <w:szCs w:val="32"/>
          <w:highlight w:val="none"/>
        </w:rPr>
      </w:pPr>
    </w:p>
    <w:p w14:paraId="7B804569">
      <w:pPr>
        <w:snapToGrid w:val="0"/>
        <w:spacing w:line="360" w:lineRule="auto"/>
        <w:ind w:right="480"/>
        <w:jc w:val="center"/>
        <w:rPr>
          <w:rFonts w:hint="eastAsia" w:ascii="仿宋" w:hAnsi="仿宋" w:eastAsia="仿宋" w:cs="仿宋"/>
          <w:b/>
          <w:color w:val="auto"/>
          <w:kern w:val="0"/>
          <w:sz w:val="32"/>
          <w:szCs w:val="32"/>
          <w:highlight w:val="none"/>
        </w:rPr>
      </w:pPr>
    </w:p>
    <w:p w14:paraId="3FA28093">
      <w:pPr>
        <w:pStyle w:val="6"/>
        <w:rPr>
          <w:rFonts w:hint="eastAsia"/>
          <w:color w:val="auto"/>
          <w:highlight w:val="none"/>
        </w:rPr>
      </w:pPr>
    </w:p>
    <w:p w14:paraId="32FD8B5C">
      <w:pPr>
        <w:snapToGrid w:val="0"/>
        <w:spacing w:line="360" w:lineRule="auto"/>
        <w:ind w:right="480"/>
        <w:jc w:val="center"/>
        <w:rPr>
          <w:rFonts w:hint="eastAsia" w:ascii="仿宋" w:hAnsi="仿宋" w:eastAsia="仿宋" w:cs="仿宋"/>
          <w:b/>
          <w:color w:val="auto"/>
          <w:kern w:val="0"/>
          <w:sz w:val="32"/>
          <w:szCs w:val="32"/>
          <w:highlight w:val="none"/>
        </w:rPr>
      </w:pPr>
    </w:p>
    <w:p w14:paraId="353239DF">
      <w:pPr>
        <w:snapToGrid w:val="0"/>
        <w:spacing w:line="360" w:lineRule="auto"/>
        <w:ind w:right="480"/>
        <w:jc w:val="center"/>
        <w:rPr>
          <w:rFonts w:hint="eastAsia" w:ascii="仿宋" w:hAnsi="仿宋" w:eastAsia="仿宋" w:cs="仿宋"/>
          <w:b/>
          <w:color w:val="auto"/>
          <w:kern w:val="0"/>
          <w:sz w:val="32"/>
          <w:szCs w:val="32"/>
          <w:highlight w:val="none"/>
        </w:rPr>
      </w:pPr>
    </w:p>
    <w:p w14:paraId="158FDAA7">
      <w:pPr>
        <w:snapToGrid w:val="0"/>
        <w:spacing w:line="360" w:lineRule="auto"/>
        <w:ind w:right="480"/>
        <w:jc w:val="both"/>
        <w:rPr>
          <w:rFonts w:hint="eastAsia" w:ascii="宋体" w:hAnsi="宋体" w:eastAsia="宋体" w:cs="宋体"/>
          <w:b/>
          <w:color w:val="auto"/>
          <w:kern w:val="0"/>
          <w:sz w:val="32"/>
          <w:szCs w:val="32"/>
          <w:highlight w:val="none"/>
        </w:rPr>
      </w:pPr>
    </w:p>
    <w:p w14:paraId="76EADB29">
      <w:pPr>
        <w:snapToGrid w:val="0"/>
        <w:spacing w:line="360" w:lineRule="auto"/>
        <w:ind w:right="480"/>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rPr>
        <w:t>一、</w:t>
      </w:r>
      <w:r>
        <w:rPr>
          <w:rFonts w:hint="eastAsia" w:ascii="宋体" w:hAnsi="宋体" w:eastAsia="宋体" w:cs="宋体"/>
          <w:b/>
          <w:color w:val="auto"/>
          <w:kern w:val="0"/>
          <w:sz w:val="32"/>
          <w:szCs w:val="32"/>
          <w:highlight w:val="none"/>
          <w:lang w:eastAsia="zh-CN"/>
        </w:rPr>
        <w:t>营业执照扫描件</w:t>
      </w:r>
    </w:p>
    <w:p w14:paraId="2F576A3B">
      <w:pPr>
        <w:snapToGrid w:val="0"/>
        <w:spacing w:line="360" w:lineRule="auto"/>
        <w:ind w:right="480"/>
        <w:jc w:val="center"/>
        <w:rPr>
          <w:rFonts w:hint="eastAsia" w:ascii="宋体" w:hAnsi="宋体" w:eastAsia="宋体" w:cs="宋体"/>
          <w:b/>
          <w:color w:val="auto"/>
          <w:kern w:val="0"/>
          <w:sz w:val="32"/>
          <w:szCs w:val="32"/>
          <w:highlight w:val="none"/>
          <w:lang w:val="en-US" w:eastAsia="zh-CN"/>
        </w:rPr>
      </w:pPr>
    </w:p>
    <w:p w14:paraId="435DDF7E">
      <w:pPr>
        <w:snapToGrid w:val="0"/>
        <w:spacing w:line="360" w:lineRule="auto"/>
        <w:ind w:right="480"/>
        <w:jc w:val="center"/>
        <w:rPr>
          <w:rFonts w:hint="eastAsia" w:ascii="宋体" w:hAnsi="宋体" w:eastAsia="宋体" w:cs="宋体"/>
          <w:b/>
          <w:color w:val="auto"/>
          <w:kern w:val="0"/>
          <w:sz w:val="32"/>
          <w:szCs w:val="32"/>
          <w:highlight w:val="none"/>
          <w:lang w:val="en-US" w:eastAsia="zh-CN"/>
        </w:rPr>
      </w:pPr>
    </w:p>
    <w:p w14:paraId="54F954DD">
      <w:pPr>
        <w:snapToGrid w:val="0"/>
        <w:spacing w:line="360" w:lineRule="auto"/>
        <w:ind w:right="480"/>
        <w:jc w:val="center"/>
        <w:rPr>
          <w:rFonts w:hint="eastAsia" w:ascii="宋体" w:hAnsi="宋体" w:eastAsia="宋体" w:cs="宋体"/>
          <w:b/>
          <w:color w:val="auto"/>
          <w:kern w:val="0"/>
          <w:sz w:val="32"/>
          <w:szCs w:val="32"/>
          <w:highlight w:val="none"/>
          <w:lang w:val="en-US" w:eastAsia="zh-CN"/>
        </w:rPr>
      </w:pPr>
    </w:p>
    <w:p w14:paraId="045B7F5D">
      <w:pPr>
        <w:snapToGrid w:val="0"/>
        <w:spacing w:line="360" w:lineRule="auto"/>
        <w:ind w:right="480"/>
        <w:jc w:val="center"/>
        <w:rPr>
          <w:rFonts w:hint="eastAsia" w:ascii="宋体" w:hAnsi="宋体" w:eastAsia="宋体" w:cs="宋体"/>
          <w:b/>
          <w:color w:val="auto"/>
          <w:kern w:val="0"/>
          <w:sz w:val="32"/>
          <w:szCs w:val="32"/>
          <w:highlight w:val="none"/>
          <w:lang w:eastAsia="zh-CN"/>
        </w:rPr>
      </w:pPr>
      <w:r>
        <w:rPr>
          <w:rFonts w:hint="eastAsia" w:ascii="宋体" w:hAnsi="宋体" w:eastAsia="宋体" w:cs="宋体"/>
          <w:b/>
          <w:color w:val="auto"/>
          <w:kern w:val="0"/>
          <w:sz w:val="32"/>
          <w:szCs w:val="32"/>
          <w:highlight w:val="none"/>
          <w:lang w:val="en-US" w:eastAsia="zh-CN"/>
        </w:rPr>
        <w:t>二、</w:t>
      </w:r>
      <w:r>
        <w:rPr>
          <w:rFonts w:hint="eastAsia" w:ascii="宋体" w:hAnsi="宋体" w:eastAsia="宋体" w:cs="宋体"/>
          <w:b/>
          <w:color w:val="auto"/>
          <w:kern w:val="0"/>
          <w:sz w:val="32"/>
          <w:szCs w:val="32"/>
          <w:highlight w:val="none"/>
          <w:lang w:eastAsia="zh-CN"/>
        </w:rPr>
        <w:t>具有履行合同所必需的设备和专业技术能力的承诺函</w:t>
      </w:r>
    </w:p>
    <w:p w14:paraId="2A8D8130">
      <w:pPr>
        <w:spacing w:line="480" w:lineRule="auto"/>
        <w:rPr>
          <w:rFonts w:hint="eastAsia" w:ascii="宋体" w:hAnsi="宋体" w:eastAsia="宋体" w:cs="宋体"/>
          <w:color w:val="auto"/>
          <w:sz w:val="24"/>
          <w:szCs w:val="24"/>
          <w:highlight w:val="none"/>
        </w:rPr>
      </w:pPr>
    </w:p>
    <w:p w14:paraId="626CA46B">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rPr>
        <w:t>：</w:t>
      </w:r>
    </w:p>
    <w:p w14:paraId="4E57FA9E">
      <w:pPr>
        <w:spacing w:line="480" w:lineRule="auto"/>
        <w:ind w:firstLine="480" w:firstLineChars="200"/>
        <w:rPr>
          <w:rStyle w:val="70"/>
          <w:rFonts w:hint="eastAsia" w:ascii="宋体" w:hAnsi="宋体" w:eastAsia="宋体" w:cs="宋体"/>
          <w:color w:val="auto"/>
          <w:kern w:val="0"/>
          <w:sz w:val="24"/>
          <w:szCs w:val="24"/>
          <w:highlight w:val="none"/>
        </w:rPr>
      </w:pPr>
      <w:r>
        <w:rPr>
          <w:rStyle w:val="70"/>
          <w:rFonts w:hint="eastAsia" w:ascii="宋体" w:hAnsi="宋体" w:eastAsia="宋体" w:cs="宋体"/>
          <w:color w:val="auto"/>
          <w:kern w:val="0"/>
          <w:sz w:val="24"/>
          <w:szCs w:val="24"/>
          <w:highlight w:val="none"/>
        </w:rPr>
        <w:t>我方郑重声明，我方具有履行</w:t>
      </w:r>
      <w:r>
        <w:rPr>
          <w:rStyle w:val="70"/>
          <w:rFonts w:hint="eastAsia" w:ascii="宋体" w:hAnsi="宋体" w:eastAsia="宋体" w:cs="宋体"/>
          <w:color w:val="auto"/>
          <w:kern w:val="0"/>
          <w:sz w:val="24"/>
          <w:szCs w:val="24"/>
          <w:highlight w:val="none"/>
          <w:u w:val="single" w:color="000000"/>
        </w:rPr>
        <w:t xml:space="preserve">（          项目名称     项目编号   </w:t>
      </w:r>
      <w:r>
        <w:rPr>
          <w:rStyle w:val="70"/>
          <w:rFonts w:hint="eastAsia" w:ascii="宋体" w:hAnsi="宋体" w:eastAsia="宋体" w:cs="宋体"/>
          <w:color w:val="auto"/>
          <w:kern w:val="0"/>
          <w:sz w:val="24"/>
          <w:szCs w:val="24"/>
          <w:highlight w:val="none"/>
        </w:rPr>
        <w:t>）合同所必需的设备和专业技术能力，如中标，我方将按我方投标文件承诺，保证合同顺利履行。如有虚假或隐瞒，愿意承担一切后果。</w:t>
      </w:r>
    </w:p>
    <w:p w14:paraId="2FBC12F9">
      <w:pPr>
        <w:spacing w:line="480" w:lineRule="auto"/>
        <w:ind w:firstLine="480" w:firstLineChars="200"/>
        <w:rPr>
          <w:rStyle w:val="70"/>
          <w:rFonts w:hint="eastAsia" w:ascii="宋体" w:hAnsi="宋体" w:eastAsia="宋体" w:cs="宋体"/>
          <w:color w:val="auto"/>
          <w:kern w:val="0"/>
          <w:sz w:val="24"/>
          <w:szCs w:val="24"/>
          <w:highlight w:val="none"/>
        </w:rPr>
      </w:pPr>
    </w:p>
    <w:p w14:paraId="49713E9E">
      <w:pPr>
        <w:spacing w:line="480" w:lineRule="auto"/>
        <w:ind w:firstLine="480" w:firstLineChars="200"/>
        <w:rPr>
          <w:rStyle w:val="70"/>
          <w:rFonts w:hint="eastAsia" w:ascii="宋体" w:hAnsi="宋体" w:eastAsia="宋体" w:cs="宋体"/>
          <w:color w:val="auto"/>
          <w:kern w:val="0"/>
          <w:sz w:val="24"/>
          <w:szCs w:val="24"/>
          <w:highlight w:val="none"/>
        </w:rPr>
      </w:pPr>
      <w:r>
        <w:rPr>
          <w:rStyle w:val="70"/>
          <w:rFonts w:hint="eastAsia" w:ascii="宋体" w:hAnsi="宋体" w:eastAsia="宋体" w:cs="宋体"/>
          <w:color w:val="auto"/>
          <w:kern w:val="0"/>
          <w:sz w:val="24"/>
          <w:szCs w:val="24"/>
          <w:highlight w:val="none"/>
        </w:rPr>
        <w:t>特此承诺！</w:t>
      </w:r>
    </w:p>
    <w:p w14:paraId="239C6E8F">
      <w:pPr>
        <w:spacing w:line="480" w:lineRule="auto"/>
        <w:rPr>
          <w:rStyle w:val="70"/>
          <w:rFonts w:hint="eastAsia" w:ascii="宋体" w:hAnsi="宋体" w:eastAsia="宋体" w:cs="宋体"/>
          <w:color w:val="auto"/>
          <w:kern w:val="0"/>
          <w:sz w:val="24"/>
          <w:szCs w:val="24"/>
          <w:highlight w:val="none"/>
        </w:rPr>
      </w:pPr>
    </w:p>
    <w:p w14:paraId="2DE13D2E">
      <w:pPr>
        <w:pStyle w:val="5"/>
        <w:ind w:firstLine="4080" w:firstLineChars="1700"/>
        <w:rPr>
          <w:rFonts w:hint="eastAsia" w:ascii="宋体" w:hAnsi="宋体" w:eastAsia="宋体" w:cs="宋体"/>
          <w:color w:val="auto"/>
          <w:sz w:val="24"/>
          <w:szCs w:val="24"/>
          <w:highlight w:val="none"/>
        </w:rPr>
      </w:pPr>
    </w:p>
    <w:p w14:paraId="504828C6">
      <w:pPr>
        <w:snapToGrid w:val="0"/>
        <w:spacing w:before="50" w:after="50" w:line="600" w:lineRule="exact"/>
        <w:ind w:firstLine="4200" w:firstLineChars="1500"/>
        <w:rPr>
          <w:rFonts w:hint="eastAsia" w:ascii="宋体" w:hAnsi="宋体" w:eastAsia="宋体" w:cs="宋体"/>
          <w:color w:val="auto"/>
          <w:spacing w:val="20"/>
          <w:sz w:val="24"/>
          <w:szCs w:val="24"/>
          <w:highlight w:val="none"/>
          <w:lang w:val="en-US" w:eastAsia="zh-CN"/>
        </w:rPr>
      </w:pPr>
    </w:p>
    <w:p w14:paraId="1B66EF67">
      <w:pPr>
        <w:snapToGrid w:val="0"/>
        <w:spacing w:before="50" w:after="50" w:line="600" w:lineRule="exact"/>
        <w:ind w:firstLine="4284" w:firstLineChars="1700"/>
        <w:rPr>
          <w:rFonts w:hint="eastAsia" w:ascii="宋体" w:hAnsi="宋体" w:eastAsia="宋体" w:cs="宋体"/>
          <w:color w:val="auto"/>
          <w:spacing w:val="20"/>
          <w:sz w:val="24"/>
          <w:szCs w:val="24"/>
          <w:highlight w:val="none"/>
        </w:rPr>
      </w:pPr>
      <w:r>
        <w:rPr>
          <w:rFonts w:hint="eastAsia" w:ascii="宋体" w:hAnsi="宋体" w:eastAsia="宋体" w:cs="宋体"/>
          <w:color w:val="auto"/>
          <w:spacing w:val="6"/>
          <w:kern w:val="0"/>
          <w:sz w:val="24"/>
          <w:szCs w:val="24"/>
          <w:highlight w:val="none"/>
          <w:lang w:val="en-US" w:eastAsia="zh-CN" w:bidi="ar-SA"/>
        </w:rPr>
        <w:t>投标人(电子签名)</w:t>
      </w:r>
      <w:r>
        <w:rPr>
          <w:rFonts w:hint="eastAsia" w:ascii="宋体" w:hAnsi="宋体" w:eastAsia="宋体" w:cs="宋体"/>
          <w:color w:val="auto"/>
          <w:spacing w:val="6"/>
          <w:sz w:val="24"/>
          <w:szCs w:val="24"/>
          <w:highlight w:val="none"/>
        </w:rPr>
        <w:t>：</w:t>
      </w:r>
    </w:p>
    <w:p w14:paraId="51B50FBE">
      <w:pPr>
        <w:snapToGrid w:val="0"/>
        <w:spacing w:line="540" w:lineRule="exact"/>
        <w:ind w:firstLine="4200" w:firstLineChars="1500"/>
        <w:rPr>
          <w:rFonts w:hint="eastAsia" w:ascii="宋体" w:hAnsi="宋体" w:eastAsia="宋体" w:cs="宋体"/>
          <w:color w:val="auto"/>
          <w:spacing w:val="20"/>
          <w:sz w:val="24"/>
          <w:szCs w:val="24"/>
          <w:highlight w:val="none"/>
          <w:lang w:val="en-US" w:eastAsia="zh-CN"/>
        </w:rPr>
      </w:pPr>
      <w:r>
        <w:rPr>
          <w:rFonts w:hint="eastAsia" w:ascii="宋体" w:hAnsi="宋体" w:eastAsia="宋体" w:cs="宋体"/>
          <w:color w:val="auto"/>
          <w:spacing w:val="20"/>
          <w:sz w:val="24"/>
          <w:szCs w:val="24"/>
          <w:highlight w:val="none"/>
        </w:rPr>
        <w:t>日 期：</w:t>
      </w:r>
      <w:r>
        <w:rPr>
          <w:rFonts w:hint="eastAsia" w:ascii="宋体" w:hAnsi="宋体" w:eastAsia="宋体" w:cs="宋体"/>
          <w:color w:val="auto"/>
          <w:spacing w:val="20"/>
          <w:sz w:val="24"/>
          <w:szCs w:val="24"/>
          <w:highlight w:val="none"/>
          <w:lang w:val="en-US" w:eastAsia="zh-CN"/>
        </w:rPr>
        <w:t xml:space="preserve">   年 月 日</w:t>
      </w:r>
    </w:p>
    <w:p w14:paraId="056583F2">
      <w:pPr>
        <w:keepNext w:val="0"/>
        <w:keepLines w:val="0"/>
        <w:pageBreakBefore w:val="0"/>
        <w:widowControl w:val="0"/>
        <w:kinsoku/>
        <w:wordWrap/>
        <w:overflowPunct/>
        <w:topLinePunct w:val="0"/>
        <w:autoSpaceDE/>
        <w:autoSpaceDN/>
        <w:bidi w:val="0"/>
        <w:adjustRightInd w:val="0"/>
        <w:snapToGrid w:val="0"/>
        <w:spacing w:before="625" w:beforeLines="200" w:line="360" w:lineRule="auto"/>
        <w:ind w:right="482"/>
        <w:jc w:val="center"/>
        <w:textAlignment w:val="auto"/>
        <w:rPr>
          <w:rFonts w:hint="eastAsia" w:ascii="宋体" w:hAnsi="宋体" w:eastAsia="宋体" w:cs="宋体"/>
          <w:b/>
          <w:color w:val="auto"/>
          <w:kern w:val="0"/>
          <w:sz w:val="32"/>
          <w:szCs w:val="32"/>
          <w:highlight w:val="none"/>
          <w:lang w:val="en-US" w:eastAsia="zh-CN"/>
        </w:rPr>
      </w:pPr>
    </w:p>
    <w:p w14:paraId="16407400">
      <w:pPr>
        <w:keepNext w:val="0"/>
        <w:keepLines w:val="0"/>
        <w:pageBreakBefore w:val="0"/>
        <w:widowControl w:val="0"/>
        <w:kinsoku/>
        <w:wordWrap/>
        <w:overflowPunct/>
        <w:topLinePunct w:val="0"/>
        <w:autoSpaceDE/>
        <w:autoSpaceDN/>
        <w:bidi w:val="0"/>
        <w:adjustRightInd w:val="0"/>
        <w:snapToGrid w:val="0"/>
        <w:spacing w:before="625" w:beforeLines="200" w:line="360" w:lineRule="auto"/>
        <w:ind w:right="482"/>
        <w:jc w:val="both"/>
        <w:textAlignment w:val="auto"/>
        <w:rPr>
          <w:rFonts w:hint="eastAsia" w:ascii="宋体" w:hAnsi="宋体" w:eastAsia="宋体" w:cs="宋体"/>
          <w:b/>
          <w:color w:val="auto"/>
          <w:kern w:val="0"/>
          <w:sz w:val="32"/>
          <w:szCs w:val="32"/>
          <w:highlight w:val="none"/>
          <w:lang w:val="en-US" w:eastAsia="zh-CN"/>
        </w:rPr>
      </w:pPr>
    </w:p>
    <w:p w14:paraId="4CD06A6E">
      <w:pPr>
        <w:keepNext w:val="0"/>
        <w:keepLines w:val="0"/>
        <w:pageBreakBefore w:val="0"/>
        <w:widowControl w:val="0"/>
        <w:kinsoku/>
        <w:wordWrap/>
        <w:overflowPunct/>
        <w:topLinePunct w:val="0"/>
        <w:autoSpaceDE/>
        <w:autoSpaceDN/>
        <w:bidi w:val="0"/>
        <w:adjustRightInd w:val="0"/>
        <w:snapToGrid w:val="0"/>
        <w:spacing w:line="360" w:lineRule="auto"/>
        <w:ind w:right="482"/>
        <w:jc w:val="both"/>
        <w:textAlignment w:val="auto"/>
        <w:rPr>
          <w:rFonts w:hint="eastAsia" w:ascii="宋体" w:hAnsi="宋体" w:eastAsia="宋体" w:cs="宋体"/>
          <w:b/>
          <w:color w:val="auto"/>
          <w:kern w:val="0"/>
          <w:sz w:val="32"/>
          <w:szCs w:val="32"/>
          <w:highlight w:val="none"/>
          <w:lang w:val="en-US" w:eastAsia="zh-CN"/>
        </w:rPr>
      </w:pPr>
    </w:p>
    <w:p w14:paraId="33ECC3CE">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rPr>
          <w:rFonts w:hint="eastAsia" w:ascii="宋体" w:hAnsi="宋体" w:eastAsia="宋体" w:cs="宋体"/>
          <w:b/>
          <w:color w:val="auto"/>
          <w:kern w:val="0"/>
          <w:sz w:val="32"/>
          <w:szCs w:val="32"/>
          <w:highlight w:val="none"/>
          <w:lang w:val="en-US" w:eastAsia="zh-CN"/>
        </w:rPr>
      </w:pPr>
    </w:p>
    <w:p w14:paraId="77ABBDEF">
      <w:pPr>
        <w:keepNext w:val="0"/>
        <w:keepLines w:val="0"/>
        <w:pageBreakBefore w:val="0"/>
        <w:widowControl w:val="0"/>
        <w:kinsoku/>
        <w:wordWrap/>
        <w:overflowPunct/>
        <w:topLinePunct w:val="0"/>
        <w:autoSpaceDE/>
        <w:autoSpaceDN/>
        <w:bidi w:val="0"/>
        <w:adjustRightInd w:val="0"/>
        <w:snapToGrid w:val="0"/>
        <w:spacing w:line="360" w:lineRule="auto"/>
        <w:ind w:right="482"/>
        <w:jc w:val="center"/>
        <w:textAlignment w:val="auto"/>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符合参加采购活动应当具备的一般条件的承诺函</w:t>
      </w:r>
    </w:p>
    <w:p w14:paraId="76848F8D">
      <w:pPr>
        <w:keepNext w:val="0"/>
        <w:keepLines w:val="0"/>
        <w:pageBreakBefore w:val="0"/>
        <w:widowControl w:val="0"/>
        <w:kinsoku/>
        <w:wordWrap/>
        <w:overflowPunct/>
        <w:topLinePunct w:val="0"/>
        <w:autoSpaceDE/>
        <w:autoSpaceDN/>
        <w:bidi w:val="0"/>
        <w:adjustRightInd/>
        <w:spacing w:line="48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（采购</w:t>
      </w:r>
      <w:r>
        <w:rPr>
          <w:rFonts w:hint="eastAsia" w:ascii="宋体" w:hAnsi="宋体" w:eastAsia="宋体" w:cs="宋体"/>
          <w:color w:val="auto"/>
          <w:sz w:val="24"/>
          <w:szCs w:val="24"/>
          <w:highlight w:val="none"/>
          <w:u w:val="single"/>
          <w:lang w:val="en-US" w:eastAsia="zh-CN"/>
        </w:rPr>
        <w:t>人</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lang w:val="en-US" w:eastAsia="zh-CN"/>
        </w:rPr>
        <w:t>采购代理机构）</w:t>
      </w:r>
      <w:r>
        <w:rPr>
          <w:rFonts w:hint="eastAsia" w:ascii="宋体" w:hAnsi="宋体" w:eastAsia="宋体" w:cs="宋体"/>
          <w:color w:val="auto"/>
          <w:sz w:val="24"/>
          <w:szCs w:val="24"/>
          <w:highlight w:val="none"/>
          <w:u w:val="single"/>
        </w:rPr>
        <w:t>：</w:t>
      </w:r>
    </w:p>
    <w:p w14:paraId="476B7963">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Style w:val="70"/>
          <w:rFonts w:hint="eastAsia" w:ascii="宋体" w:hAnsi="宋体" w:eastAsia="宋体" w:cs="宋体"/>
          <w:color w:val="auto"/>
          <w:kern w:val="0"/>
          <w:sz w:val="24"/>
          <w:szCs w:val="24"/>
          <w:highlight w:val="none"/>
          <w:u w:val="single" w:color="000000"/>
        </w:rPr>
        <w:t xml:space="preserve">（          项目名称     项目编号   </w:t>
      </w:r>
      <w:r>
        <w:rPr>
          <w:rStyle w:val="70"/>
          <w:rFonts w:hint="eastAsia" w:ascii="宋体" w:hAnsi="宋体" w:eastAsia="宋体" w:cs="宋体"/>
          <w:color w:val="auto"/>
          <w:kern w:val="0"/>
          <w:sz w:val="24"/>
          <w:szCs w:val="24"/>
          <w:highlight w:val="none"/>
        </w:rPr>
        <w:t>）</w:t>
      </w:r>
      <w:r>
        <w:rPr>
          <w:rFonts w:hint="eastAsia" w:ascii="宋体" w:hAnsi="宋体" w:eastAsia="宋体" w:cs="宋体"/>
          <w:color w:val="auto"/>
          <w:sz w:val="24"/>
          <w:highlight w:val="none"/>
        </w:rPr>
        <w:t>采购活动，郑重承诺：</w:t>
      </w:r>
    </w:p>
    <w:p w14:paraId="410A2A62">
      <w:pPr>
        <w:keepNext w:val="0"/>
        <w:keepLines w:val="0"/>
        <w:pageBreakBefore w:val="0"/>
        <w:widowControl w:val="0"/>
        <w:kinsoku/>
        <w:wordWrap/>
        <w:overflowPunct/>
        <w:topLinePunct w:val="0"/>
        <w:autoSpaceDE/>
        <w:autoSpaceDN/>
        <w:bidi w:val="0"/>
        <w:adjustRightInd/>
        <w:snapToGrid w:val="0"/>
        <w:spacing w:line="480" w:lineRule="exact"/>
        <w:ind w:firstLine="360" w:firstLineChars="15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w:t>
      </w:r>
      <w:r>
        <w:rPr>
          <w:rFonts w:hint="eastAsia" w:ascii="宋体" w:hAnsi="宋体" w:eastAsia="宋体" w:cs="宋体"/>
          <w:color w:val="auto"/>
          <w:sz w:val="24"/>
          <w:highlight w:val="none"/>
          <w:lang w:val="en-US" w:eastAsia="zh-CN"/>
        </w:rPr>
        <w:t>以下</w:t>
      </w:r>
      <w:r>
        <w:rPr>
          <w:rFonts w:hint="eastAsia" w:ascii="宋体" w:hAnsi="宋体" w:eastAsia="宋体" w:cs="宋体"/>
          <w:color w:val="auto"/>
          <w:sz w:val="24"/>
          <w:highlight w:val="none"/>
        </w:rPr>
        <w:t>条件：</w:t>
      </w:r>
    </w:p>
    <w:p w14:paraId="2FD54B90">
      <w:pPr>
        <w:keepNext w:val="0"/>
        <w:keepLines w:val="0"/>
        <w:pageBreakBefore w:val="0"/>
        <w:widowControl w:val="0"/>
        <w:shd w:val="clear" w:color="auto" w:fill="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具有独立承担民事责任的能力。</w:t>
      </w:r>
    </w:p>
    <w:p w14:paraId="54B48064">
      <w:pPr>
        <w:keepNext w:val="0"/>
        <w:keepLines w:val="0"/>
        <w:pageBreakBefore w:val="0"/>
        <w:widowControl w:val="0"/>
        <w:shd w:val="clear" w:color="auto" w:fill="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rPr>
        <w:t>2.具有良好的商业信誉。</w:t>
      </w:r>
    </w:p>
    <w:p w14:paraId="3A8C2EA3">
      <w:pPr>
        <w:keepNext w:val="0"/>
        <w:keepLines w:val="0"/>
        <w:pageBreakBefore w:val="0"/>
        <w:widowControl w:val="0"/>
        <w:shd w:val="clear" w:color="auto" w:fill="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3.具有履行合同所必需的设备和专业技术、售后保障等能力。</w:t>
      </w:r>
    </w:p>
    <w:p w14:paraId="4FC7FA73">
      <w:pPr>
        <w:keepNext w:val="0"/>
        <w:keepLines w:val="0"/>
        <w:pageBreakBefore w:val="0"/>
        <w:widowControl w:val="0"/>
        <w:shd w:val="clear" w:color="auto" w:fill="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4.有依法缴纳税收和社会保障资金的良好记录。</w:t>
      </w:r>
    </w:p>
    <w:p w14:paraId="0261BCC0">
      <w:pPr>
        <w:keepNext w:val="0"/>
        <w:keepLines w:val="0"/>
        <w:pageBreakBefore w:val="0"/>
        <w:widowControl w:val="0"/>
        <w:shd w:val="clear" w:color="auto" w:fill="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5.参加采购活动前三年内，没有重大违法记录、严重失信行为和行贿记录。</w:t>
      </w:r>
    </w:p>
    <w:p w14:paraId="54C38748">
      <w:pPr>
        <w:keepNext w:val="0"/>
        <w:keepLines w:val="0"/>
        <w:pageBreakBefore w:val="0"/>
        <w:widowControl w:val="0"/>
        <w:shd w:val="clear" w:color="auto" w:fill="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6.法律、行政法规规定的其他条件。</w:t>
      </w:r>
    </w:p>
    <w:p w14:paraId="674D93E7">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3D4B4ADF">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60FAA66B">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1、单位负责人为同一人或者存在直接控股、管理关系的不同供应商参加同一合同项下的采购活动的；</w:t>
      </w:r>
    </w:p>
    <w:p w14:paraId="0793A9BD">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6902A102">
      <w:pPr>
        <w:keepNext w:val="0"/>
        <w:keepLines w:val="0"/>
        <w:pageBreakBefore w:val="0"/>
        <w:widowControl w:val="0"/>
        <w:kinsoku/>
        <w:wordWrap/>
        <w:overflowPunct/>
        <w:topLinePunct w:val="0"/>
        <w:autoSpaceDE/>
        <w:autoSpaceDN/>
        <w:bidi w:val="0"/>
        <w:adjustRightInd/>
        <w:snapToGrid w:val="0"/>
        <w:spacing w:line="480" w:lineRule="exact"/>
        <w:ind w:firstLine="5520" w:firstLineChars="2300"/>
        <w:textAlignment w:val="auto"/>
        <w:rPr>
          <w:rFonts w:hint="eastAsia" w:ascii="宋体" w:hAnsi="宋体" w:eastAsia="宋体" w:cs="宋体"/>
          <w:color w:val="auto"/>
          <w:kern w:val="0"/>
          <w:sz w:val="24"/>
          <w:highlight w:val="none"/>
          <w:lang w:val="zh-CN"/>
        </w:rPr>
      </w:pPr>
    </w:p>
    <w:p w14:paraId="7157B341">
      <w:pPr>
        <w:keepNext w:val="0"/>
        <w:keepLines w:val="0"/>
        <w:pageBreakBefore w:val="0"/>
        <w:widowControl w:val="0"/>
        <w:kinsoku/>
        <w:wordWrap/>
        <w:overflowPunct/>
        <w:topLinePunct w:val="0"/>
        <w:autoSpaceDE/>
        <w:autoSpaceDN/>
        <w:bidi w:val="0"/>
        <w:adjustRightInd/>
        <w:snapToGrid w:val="0"/>
        <w:spacing w:line="480" w:lineRule="exact"/>
        <w:jc w:val="center"/>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SA"/>
        </w:rPr>
        <w:t xml:space="preserve">                                投标人(电子签名)</w:t>
      </w:r>
      <w:r>
        <w:rPr>
          <w:rFonts w:hint="eastAsia" w:ascii="宋体" w:hAnsi="宋体" w:eastAsia="宋体" w:cs="宋体"/>
          <w:color w:val="auto"/>
          <w:spacing w:val="6"/>
          <w:sz w:val="24"/>
          <w:szCs w:val="24"/>
          <w:highlight w:val="none"/>
        </w:rPr>
        <w:t>：</w:t>
      </w:r>
    </w:p>
    <w:p w14:paraId="7A5F6631">
      <w:pPr>
        <w:keepNext w:val="0"/>
        <w:keepLines w:val="0"/>
        <w:pageBreakBefore w:val="0"/>
        <w:widowControl w:val="0"/>
        <w:kinsoku/>
        <w:wordWrap/>
        <w:overflowPunct/>
        <w:topLinePunct w:val="0"/>
        <w:autoSpaceDE/>
        <w:autoSpaceDN/>
        <w:bidi w:val="0"/>
        <w:adjustRightInd/>
        <w:snapToGrid w:val="0"/>
        <w:spacing w:line="48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503E3F96">
      <w:pPr>
        <w:widowControl/>
        <w:spacing w:line="360" w:lineRule="auto"/>
        <w:jc w:val="both"/>
        <w:rPr>
          <w:rFonts w:hint="eastAsia" w:ascii="宋体" w:hAnsi="宋体" w:eastAsia="宋体" w:cs="宋体"/>
          <w:b/>
          <w:color w:val="auto"/>
          <w:kern w:val="0"/>
          <w:sz w:val="32"/>
          <w:szCs w:val="32"/>
          <w:highlight w:val="none"/>
          <w:lang w:val="en-US" w:eastAsia="zh-CN"/>
        </w:rPr>
      </w:pPr>
    </w:p>
    <w:p w14:paraId="797B5D09">
      <w:pPr>
        <w:widowControl/>
        <w:spacing w:line="360" w:lineRule="auto"/>
        <w:ind w:left="150"/>
        <w:jc w:val="center"/>
        <w:rPr>
          <w:rFonts w:hint="eastAsia" w:ascii="宋体" w:hAnsi="宋体" w:eastAsia="宋体" w:cs="宋体"/>
          <w:b/>
          <w:bCs w:val="0"/>
          <w:color w:val="auto"/>
          <w:kern w:val="0"/>
          <w:sz w:val="32"/>
          <w:szCs w:val="32"/>
          <w:highlight w:val="none"/>
          <w:lang w:val="en-US" w:eastAsia="zh-CN"/>
        </w:rPr>
      </w:pPr>
    </w:p>
    <w:p w14:paraId="008A4DF9">
      <w:pPr>
        <w:pStyle w:val="6"/>
        <w:rPr>
          <w:rFonts w:hint="eastAsia" w:ascii="宋体" w:hAnsi="宋体" w:eastAsia="宋体" w:cs="宋体"/>
          <w:b/>
          <w:bCs w:val="0"/>
          <w:color w:val="auto"/>
          <w:kern w:val="0"/>
          <w:sz w:val="32"/>
          <w:szCs w:val="32"/>
          <w:highlight w:val="none"/>
          <w:lang w:val="en-US" w:eastAsia="zh-CN"/>
        </w:rPr>
      </w:pPr>
    </w:p>
    <w:p w14:paraId="29F432D0">
      <w:pPr>
        <w:pStyle w:val="5"/>
        <w:rPr>
          <w:rFonts w:hint="eastAsia" w:ascii="宋体" w:hAnsi="宋体" w:eastAsia="宋体" w:cs="宋体"/>
          <w:color w:val="auto"/>
          <w:highlight w:val="none"/>
          <w:lang w:val="en-US" w:eastAsia="zh-CN"/>
        </w:rPr>
      </w:pPr>
    </w:p>
    <w:p w14:paraId="4341CFB6">
      <w:pPr>
        <w:pStyle w:val="24"/>
        <w:rPr>
          <w:rFonts w:hint="eastAsia" w:ascii="宋体" w:hAnsi="宋体" w:eastAsia="宋体" w:cs="宋体"/>
          <w:color w:val="auto"/>
          <w:highlight w:val="none"/>
          <w:lang w:val="en-US" w:eastAsia="zh-CN"/>
        </w:rPr>
      </w:pPr>
    </w:p>
    <w:p w14:paraId="7BAFC63F">
      <w:pPr>
        <w:rPr>
          <w:rFonts w:hint="eastAsia" w:ascii="宋体" w:hAnsi="宋体" w:eastAsia="宋体" w:cs="宋体"/>
          <w:color w:val="auto"/>
          <w:highlight w:val="none"/>
          <w:lang w:val="en-US" w:eastAsia="zh-CN"/>
        </w:rPr>
      </w:pPr>
    </w:p>
    <w:p w14:paraId="230B52A9">
      <w:pPr>
        <w:pStyle w:val="2"/>
        <w:rPr>
          <w:rFonts w:hint="eastAsia" w:ascii="宋体" w:hAnsi="宋体" w:eastAsia="宋体" w:cs="宋体"/>
          <w:color w:val="auto"/>
          <w:highlight w:val="none"/>
          <w:lang w:val="en-US" w:eastAsia="zh-CN"/>
        </w:rPr>
      </w:pPr>
    </w:p>
    <w:p w14:paraId="2D79D62B">
      <w:pPr>
        <w:widowControl/>
        <w:spacing w:line="360" w:lineRule="auto"/>
        <w:jc w:val="both"/>
        <w:rPr>
          <w:rFonts w:hint="eastAsia" w:ascii="宋体" w:hAnsi="宋体" w:eastAsia="宋体" w:cs="宋体"/>
          <w:b/>
          <w:color w:val="auto"/>
          <w:kern w:val="0"/>
          <w:sz w:val="32"/>
          <w:szCs w:val="32"/>
          <w:highlight w:val="none"/>
          <w:lang w:eastAsia="zh-CN"/>
        </w:rPr>
      </w:pPr>
    </w:p>
    <w:p w14:paraId="1F32409D">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四</w:t>
      </w:r>
      <w:r>
        <w:rPr>
          <w:rFonts w:hint="eastAsia" w:ascii="宋体" w:hAnsi="宋体" w:eastAsia="宋体" w:cs="宋体"/>
          <w:b/>
          <w:color w:val="auto"/>
          <w:kern w:val="0"/>
          <w:sz w:val="32"/>
          <w:szCs w:val="32"/>
          <w:highlight w:val="none"/>
        </w:rPr>
        <w:t>、本项目的特定资格要求</w:t>
      </w:r>
    </w:p>
    <w:p w14:paraId="3D377E32">
      <w:pPr>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（根据</w:t>
      </w:r>
      <w:r>
        <w:rPr>
          <w:rFonts w:hint="eastAsia" w:ascii="宋体" w:hAnsi="宋体" w:eastAsia="宋体" w:cs="宋体"/>
          <w:b/>
          <w:bCs/>
          <w:color w:val="auto"/>
          <w:sz w:val="24"/>
          <w:highlight w:val="none"/>
          <w:lang w:val="en-US" w:eastAsia="zh-CN"/>
        </w:rPr>
        <w:t>招标</w:t>
      </w:r>
      <w:r>
        <w:rPr>
          <w:rFonts w:hint="eastAsia" w:ascii="宋体" w:hAnsi="宋体" w:eastAsia="宋体" w:cs="宋体"/>
          <w:b/>
          <w:bCs/>
          <w:color w:val="auto"/>
          <w:sz w:val="24"/>
          <w:highlight w:val="none"/>
        </w:rPr>
        <w:t>公告本项目的特定资格要求提供相应的材料</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如果本项目没有设置特定资格条件，则不需要提供）</w:t>
      </w:r>
    </w:p>
    <w:p w14:paraId="607FA926">
      <w:pPr>
        <w:spacing w:line="360" w:lineRule="auto"/>
        <w:jc w:val="center"/>
        <w:rPr>
          <w:rFonts w:hint="eastAsia" w:ascii="宋体" w:hAnsi="宋体" w:eastAsia="宋体" w:cs="宋体"/>
          <w:b/>
          <w:bCs/>
          <w:color w:val="auto"/>
          <w:sz w:val="24"/>
          <w:highlight w:val="none"/>
          <w:lang w:val="zh-CN"/>
        </w:rPr>
      </w:pPr>
    </w:p>
    <w:p w14:paraId="07253F16">
      <w:pPr>
        <w:pStyle w:val="6"/>
        <w:rPr>
          <w:rFonts w:hint="eastAsia" w:ascii="宋体" w:hAnsi="宋体" w:eastAsia="宋体" w:cs="宋体"/>
          <w:color w:val="auto"/>
          <w:kern w:val="0"/>
          <w:sz w:val="24"/>
          <w:highlight w:val="none"/>
          <w:lang w:val="zh-CN"/>
        </w:rPr>
      </w:pPr>
    </w:p>
    <w:p w14:paraId="19A59CD6">
      <w:pPr>
        <w:pStyle w:val="5"/>
        <w:rPr>
          <w:rFonts w:hint="eastAsia" w:ascii="宋体" w:hAnsi="宋体" w:eastAsia="宋体" w:cs="宋体"/>
          <w:color w:val="auto"/>
          <w:kern w:val="0"/>
          <w:sz w:val="24"/>
          <w:highlight w:val="none"/>
          <w:lang w:val="zh-CN"/>
        </w:rPr>
      </w:pPr>
    </w:p>
    <w:p w14:paraId="694751A3">
      <w:pPr>
        <w:pStyle w:val="24"/>
        <w:rPr>
          <w:rFonts w:hint="eastAsia" w:ascii="宋体" w:hAnsi="宋体" w:eastAsia="宋体" w:cs="宋体"/>
          <w:color w:val="auto"/>
          <w:kern w:val="0"/>
          <w:sz w:val="24"/>
          <w:highlight w:val="none"/>
          <w:lang w:val="zh-CN"/>
        </w:rPr>
      </w:pPr>
    </w:p>
    <w:p w14:paraId="3E2277ED">
      <w:pPr>
        <w:rPr>
          <w:rFonts w:hint="eastAsia" w:ascii="宋体" w:hAnsi="宋体" w:eastAsia="宋体" w:cs="宋体"/>
          <w:color w:val="auto"/>
          <w:kern w:val="0"/>
          <w:sz w:val="24"/>
          <w:highlight w:val="none"/>
          <w:lang w:val="zh-CN"/>
        </w:rPr>
      </w:pPr>
    </w:p>
    <w:p w14:paraId="4BAC9D38">
      <w:pPr>
        <w:pStyle w:val="6"/>
        <w:rPr>
          <w:rFonts w:hint="eastAsia" w:ascii="宋体" w:hAnsi="宋体" w:eastAsia="宋体" w:cs="宋体"/>
          <w:color w:val="auto"/>
          <w:kern w:val="0"/>
          <w:sz w:val="24"/>
          <w:highlight w:val="none"/>
          <w:lang w:val="zh-CN"/>
        </w:rPr>
      </w:pPr>
    </w:p>
    <w:p w14:paraId="3BD701E6">
      <w:pPr>
        <w:pStyle w:val="5"/>
        <w:rPr>
          <w:rFonts w:hint="eastAsia" w:ascii="宋体" w:hAnsi="宋体" w:eastAsia="宋体" w:cs="宋体"/>
          <w:color w:val="auto"/>
          <w:kern w:val="0"/>
          <w:sz w:val="24"/>
          <w:highlight w:val="none"/>
          <w:lang w:val="zh-CN"/>
        </w:rPr>
      </w:pPr>
    </w:p>
    <w:p w14:paraId="658AE695">
      <w:pPr>
        <w:pStyle w:val="24"/>
        <w:rPr>
          <w:rFonts w:hint="eastAsia" w:ascii="宋体" w:hAnsi="宋体" w:eastAsia="宋体" w:cs="宋体"/>
          <w:color w:val="auto"/>
          <w:kern w:val="0"/>
          <w:sz w:val="24"/>
          <w:highlight w:val="none"/>
          <w:lang w:val="zh-CN"/>
        </w:rPr>
      </w:pPr>
    </w:p>
    <w:p w14:paraId="40AC11E4">
      <w:pPr>
        <w:rPr>
          <w:rFonts w:hint="eastAsia" w:ascii="宋体" w:hAnsi="宋体" w:eastAsia="宋体" w:cs="宋体"/>
          <w:color w:val="auto"/>
          <w:kern w:val="0"/>
          <w:sz w:val="24"/>
          <w:highlight w:val="none"/>
          <w:lang w:val="zh-CN"/>
        </w:rPr>
      </w:pPr>
    </w:p>
    <w:p w14:paraId="6AD36BF7">
      <w:pPr>
        <w:pStyle w:val="40"/>
        <w:spacing w:line="336" w:lineRule="auto"/>
        <w:rPr>
          <w:rFonts w:hint="eastAsia" w:ascii="宋体" w:hAnsi="宋体" w:eastAsia="宋体" w:cs="宋体"/>
          <w:color w:val="auto"/>
          <w:highlight w:val="none"/>
          <w:lang w:val="zh-CN"/>
        </w:rPr>
      </w:pPr>
    </w:p>
    <w:p w14:paraId="22D571F0">
      <w:pPr>
        <w:pStyle w:val="41"/>
        <w:rPr>
          <w:rFonts w:hint="eastAsia" w:ascii="宋体" w:hAnsi="宋体" w:eastAsia="宋体" w:cs="宋体"/>
          <w:color w:val="auto"/>
          <w:highlight w:val="none"/>
          <w:lang w:val="zh-CN"/>
        </w:rPr>
      </w:pPr>
    </w:p>
    <w:p w14:paraId="381B13AC">
      <w:pPr>
        <w:rPr>
          <w:rFonts w:hint="eastAsia" w:ascii="宋体" w:hAnsi="宋体" w:eastAsia="宋体" w:cs="宋体"/>
          <w:color w:val="auto"/>
          <w:highlight w:val="none"/>
          <w:lang w:val="zh-CN"/>
        </w:rPr>
      </w:pPr>
    </w:p>
    <w:p w14:paraId="75F84EFE">
      <w:pPr>
        <w:rPr>
          <w:rFonts w:hint="eastAsia" w:ascii="宋体" w:hAnsi="宋体" w:eastAsia="宋体" w:cs="宋体"/>
          <w:color w:val="auto"/>
          <w:highlight w:val="none"/>
          <w:lang w:val="zh-CN"/>
        </w:rPr>
      </w:pPr>
    </w:p>
    <w:p w14:paraId="30F8D494">
      <w:pPr>
        <w:rPr>
          <w:rFonts w:hint="eastAsia" w:ascii="宋体" w:hAnsi="宋体" w:eastAsia="宋体" w:cs="宋体"/>
          <w:color w:val="auto"/>
          <w:highlight w:val="none"/>
          <w:lang w:val="zh-CN"/>
        </w:rPr>
      </w:pPr>
    </w:p>
    <w:p w14:paraId="5BFA9806">
      <w:pPr>
        <w:rPr>
          <w:rFonts w:hint="eastAsia" w:ascii="宋体" w:hAnsi="宋体" w:eastAsia="宋体" w:cs="宋体"/>
          <w:color w:val="auto"/>
          <w:highlight w:val="none"/>
          <w:lang w:val="zh-CN"/>
        </w:rPr>
      </w:pPr>
    </w:p>
    <w:p w14:paraId="58BC0788">
      <w:pPr>
        <w:rPr>
          <w:rFonts w:hint="eastAsia" w:ascii="宋体" w:hAnsi="宋体" w:eastAsia="宋体" w:cs="宋体"/>
          <w:color w:val="auto"/>
          <w:highlight w:val="none"/>
          <w:lang w:val="zh-CN"/>
        </w:rPr>
      </w:pPr>
    </w:p>
    <w:p w14:paraId="293F6ADF">
      <w:pPr>
        <w:rPr>
          <w:rFonts w:hint="eastAsia" w:ascii="宋体" w:hAnsi="宋体" w:eastAsia="宋体" w:cs="宋体"/>
          <w:color w:val="auto"/>
          <w:highlight w:val="none"/>
          <w:lang w:val="zh-CN"/>
        </w:rPr>
      </w:pPr>
    </w:p>
    <w:p w14:paraId="114E51B1">
      <w:pPr>
        <w:rPr>
          <w:rFonts w:hint="eastAsia" w:ascii="宋体" w:hAnsi="宋体" w:eastAsia="宋体" w:cs="宋体"/>
          <w:color w:val="auto"/>
          <w:highlight w:val="none"/>
          <w:lang w:val="zh-CN"/>
        </w:rPr>
      </w:pPr>
    </w:p>
    <w:p w14:paraId="2CAAFF12">
      <w:pPr>
        <w:rPr>
          <w:rFonts w:hint="eastAsia" w:ascii="宋体" w:hAnsi="宋体" w:eastAsia="宋体" w:cs="宋体"/>
          <w:color w:val="auto"/>
          <w:highlight w:val="none"/>
          <w:lang w:val="zh-CN"/>
        </w:rPr>
      </w:pPr>
    </w:p>
    <w:p w14:paraId="306A21DA">
      <w:pPr>
        <w:rPr>
          <w:rFonts w:hint="eastAsia" w:ascii="宋体" w:hAnsi="宋体" w:eastAsia="宋体" w:cs="宋体"/>
          <w:color w:val="auto"/>
          <w:highlight w:val="none"/>
          <w:lang w:val="zh-CN"/>
        </w:rPr>
      </w:pPr>
    </w:p>
    <w:p w14:paraId="4C4CC6BA">
      <w:pPr>
        <w:rPr>
          <w:rFonts w:hint="eastAsia" w:ascii="宋体" w:hAnsi="宋体" w:eastAsia="宋体" w:cs="宋体"/>
          <w:color w:val="auto"/>
          <w:highlight w:val="none"/>
          <w:lang w:val="zh-CN"/>
        </w:rPr>
      </w:pPr>
    </w:p>
    <w:p w14:paraId="10750D58">
      <w:pPr>
        <w:rPr>
          <w:rFonts w:hint="eastAsia" w:ascii="宋体" w:hAnsi="宋体" w:eastAsia="宋体" w:cs="宋体"/>
          <w:color w:val="auto"/>
          <w:highlight w:val="none"/>
          <w:lang w:val="zh-CN"/>
        </w:rPr>
      </w:pPr>
    </w:p>
    <w:p w14:paraId="47F4EEB3">
      <w:pPr>
        <w:rPr>
          <w:rFonts w:hint="eastAsia" w:ascii="宋体" w:hAnsi="宋体" w:eastAsia="宋体" w:cs="宋体"/>
          <w:color w:val="auto"/>
          <w:highlight w:val="none"/>
          <w:lang w:val="zh-CN"/>
        </w:rPr>
      </w:pPr>
    </w:p>
    <w:p w14:paraId="7B98F818">
      <w:pPr>
        <w:rPr>
          <w:rFonts w:hint="eastAsia" w:ascii="宋体" w:hAnsi="宋体" w:eastAsia="宋体" w:cs="宋体"/>
          <w:color w:val="auto"/>
          <w:highlight w:val="none"/>
          <w:lang w:val="zh-CN"/>
        </w:rPr>
      </w:pPr>
    </w:p>
    <w:p w14:paraId="139C8394">
      <w:pPr>
        <w:rPr>
          <w:rFonts w:hint="eastAsia" w:ascii="宋体" w:hAnsi="宋体" w:eastAsia="宋体" w:cs="宋体"/>
          <w:color w:val="auto"/>
          <w:highlight w:val="none"/>
          <w:lang w:val="zh-CN"/>
        </w:rPr>
      </w:pPr>
    </w:p>
    <w:p w14:paraId="0D95E101">
      <w:pPr>
        <w:rPr>
          <w:rFonts w:hint="eastAsia" w:ascii="宋体" w:hAnsi="宋体" w:eastAsia="宋体" w:cs="宋体"/>
          <w:color w:val="auto"/>
          <w:highlight w:val="none"/>
          <w:lang w:val="zh-CN"/>
        </w:rPr>
      </w:pPr>
    </w:p>
    <w:p w14:paraId="10EF5D8A">
      <w:pPr>
        <w:rPr>
          <w:rFonts w:hint="eastAsia" w:ascii="宋体" w:hAnsi="宋体" w:eastAsia="宋体" w:cs="宋体"/>
          <w:color w:val="auto"/>
          <w:highlight w:val="none"/>
          <w:lang w:val="zh-CN"/>
        </w:rPr>
      </w:pPr>
    </w:p>
    <w:p w14:paraId="3A7CC782">
      <w:pPr>
        <w:rPr>
          <w:rFonts w:hint="eastAsia" w:ascii="宋体" w:hAnsi="宋体" w:eastAsia="宋体" w:cs="宋体"/>
          <w:color w:val="auto"/>
          <w:highlight w:val="none"/>
          <w:lang w:val="zh-CN"/>
        </w:rPr>
      </w:pPr>
    </w:p>
    <w:p w14:paraId="56A4BE17">
      <w:pPr>
        <w:rPr>
          <w:rFonts w:hint="eastAsia" w:ascii="宋体" w:hAnsi="宋体" w:eastAsia="宋体" w:cs="宋体"/>
          <w:color w:val="auto"/>
          <w:highlight w:val="none"/>
          <w:lang w:val="zh-CN"/>
        </w:rPr>
      </w:pPr>
    </w:p>
    <w:p w14:paraId="276232B1">
      <w:pPr>
        <w:rPr>
          <w:rFonts w:hint="eastAsia" w:ascii="宋体" w:hAnsi="宋体" w:eastAsia="宋体" w:cs="宋体"/>
          <w:color w:val="auto"/>
          <w:highlight w:val="none"/>
          <w:lang w:val="zh-CN"/>
        </w:rPr>
      </w:pPr>
    </w:p>
    <w:p w14:paraId="1AD54026">
      <w:pPr>
        <w:rPr>
          <w:rFonts w:hint="eastAsia" w:ascii="宋体" w:hAnsi="宋体" w:eastAsia="宋体" w:cs="宋体"/>
          <w:color w:val="auto"/>
          <w:highlight w:val="none"/>
          <w:lang w:val="zh-CN"/>
        </w:rPr>
      </w:pPr>
    </w:p>
    <w:p w14:paraId="7E014F9E">
      <w:pPr>
        <w:rPr>
          <w:rFonts w:hint="eastAsia" w:ascii="宋体" w:hAnsi="宋体" w:eastAsia="宋体" w:cs="宋体"/>
          <w:color w:val="auto"/>
          <w:highlight w:val="none"/>
          <w:lang w:val="zh-CN"/>
        </w:rPr>
      </w:pPr>
    </w:p>
    <w:p w14:paraId="590B1FDC">
      <w:pPr>
        <w:jc w:val="center"/>
        <w:rPr>
          <w:rFonts w:hint="eastAsia" w:ascii="宋体" w:hAnsi="宋体" w:eastAsia="宋体" w:cs="宋体"/>
          <w:b/>
          <w:color w:val="auto"/>
          <w:kern w:val="0"/>
          <w:sz w:val="36"/>
          <w:szCs w:val="36"/>
          <w:highlight w:val="none"/>
        </w:rPr>
      </w:pPr>
    </w:p>
    <w:p w14:paraId="662A84D3">
      <w:pPr>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7E2FCC9C">
      <w:pPr>
        <w:pStyle w:val="41"/>
        <w:ind w:left="0" w:leftChars="0" w:firstLine="0" w:firstLineChars="0"/>
        <w:rPr>
          <w:rFonts w:hint="eastAsia" w:ascii="宋体" w:hAnsi="宋体" w:eastAsia="宋体" w:cs="宋体"/>
          <w:color w:val="auto"/>
          <w:highlight w:val="none"/>
          <w:lang w:val="zh-CN"/>
        </w:rPr>
      </w:pPr>
    </w:p>
    <w:p w14:paraId="0957A4A7">
      <w:pPr>
        <w:spacing w:line="336"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w:t>
      </w:r>
      <w:r>
        <w:rPr>
          <w:rFonts w:hint="eastAsia" w:ascii="宋体" w:hAnsi="宋体" w:eastAsia="宋体" w:cs="宋体"/>
          <w:b/>
          <w:color w:val="auto"/>
          <w:kern w:val="0"/>
          <w:sz w:val="28"/>
          <w:szCs w:val="28"/>
          <w:highlight w:val="none"/>
          <w:lang w:val="en-US" w:eastAsia="zh-CN"/>
        </w:rPr>
        <w:t xml:space="preserve"> </w:t>
      </w:r>
      <w:r>
        <w:rPr>
          <w:rFonts w:hint="eastAsia" w:ascii="宋体" w:hAnsi="宋体" w:eastAsia="宋体" w:cs="宋体"/>
          <w:b/>
          <w:color w:val="auto"/>
          <w:kern w:val="0"/>
          <w:sz w:val="28"/>
          <w:szCs w:val="28"/>
          <w:highlight w:val="none"/>
        </w:rPr>
        <w:t>录</w:t>
      </w:r>
    </w:p>
    <w:p w14:paraId="4CC3B2EF">
      <w:pPr>
        <w:pStyle w:val="41"/>
        <w:keepNext w:val="0"/>
        <w:keepLines w:val="0"/>
        <w:pageBreakBefore w:val="0"/>
        <w:kinsoku/>
        <w:overflowPunct/>
        <w:topLinePunct w:val="0"/>
        <w:autoSpaceDE/>
        <w:autoSpaceDN/>
        <w:bidi w:val="0"/>
        <w:snapToGrid/>
        <w:spacing w:line="480" w:lineRule="exact"/>
        <w:textAlignment w:val="auto"/>
        <w:rPr>
          <w:rFonts w:hint="eastAsia" w:ascii="宋体" w:hAnsi="宋体" w:eastAsia="宋体" w:cs="宋体"/>
          <w:color w:val="auto"/>
          <w:highlight w:val="none"/>
          <w:lang w:val="zh-CN"/>
        </w:rPr>
      </w:pPr>
    </w:p>
    <w:p w14:paraId="4DDCD76B">
      <w:pPr>
        <w:pStyle w:val="85"/>
        <w:keepNext w:val="0"/>
        <w:keepLines w:val="0"/>
        <w:pageBreakBefore w:val="0"/>
        <w:widowControl w:val="0"/>
        <w:numPr>
          <w:ilvl w:val="0"/>
          <w:numId w:val="7"/>
        </w:numPr>
        <w:kinsoku/>
        <w:wordWrap/>
        <w:overflowPunct/>
        <w:topLinePunct w:val="0"/>
        <w:autoSpaceDE/>
        <w:autoSpaceDN/>
        <w:bidi w:val="0"/>
        <w:snapToGrid/>
        <w:spacing w:line="480" w:lineRule="exact"/>
        <w:ind w:left="0" w:firstLine="0" w:firstLineChars="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投标函</w:t>
      </w:r>
      <w:r>
        <w:rPr>
          <w:rFonts w:hint="eastAsia" w:ascii="宋体" w:hAnsi="宋体" w:eastAsia="宋体" w:cs="宋体"/>
          <w:color w:val="auto"/>
          <w:highlight w:val="none"/>
        </w:rPr>
        <w:t>…………………………………………………………………………（页码）</w:t>
      </w:r>
    </w:p>
    <w:p w14:paraId="12FAAC2F">
      <w:pPr>
        <w:pStyle w:val="85"/>
        <w:keepNext w:val="0"/>
        <w:keepLines w:val="0"/>
        <w:pageBreakBefore w:val="0"/>
        <w:widowControl w:val="0"/>
        <w:numPr>
          <w:ilvl w:val="0"/>
          <w:numId w:val="7"/>
        </w:numPr>
        <w:kinsoku/>
        <w:wordWrap/>
        <w:overflowPunct/>
        <w:topLinePunct w:val="0"/>
        <w:autoSpaceDE/>
        <w:autoSpaceDN/>
        <w:bidi w:val="0"/>
        <w:snapToGrid/>
        <w:spacing w:line="480" w:lineRule="exact"/>
        <w:ind w:left="0" w:firstLine="0" w:firstLineChars="0"/>
        <w:jc w:val="both"/>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rPr>
        <w:t>法定代表人身份证明书</w:t>
      </w:r>
      <w:r>
        <w:rPr>
          <w:rFonts w:hint="eastAsia" w:ascii="宋体" w:hAnsi="宋体" w:eastAsia="宋体" w:cs="宋体"/>
          <w:color w:val="auto"/>
          <w:highlight w:val="none"/>
        </w:rPr>
        <w:t>………………………………………………………（页码）</w:t>
      </w:r>
    </w:p>
    <w:p w14:paraId="286FDC42">
      <w:pPr>
        <w:pStyle w:val="85"/>
        <w:keepNext w:val="0"/>
        <w:keepLines w:val="0"/>
        <w:pageBreakBefore w:val="0"/>
        <w:widowControl w:val="0"/>
        <w:numPr>
          <w:ilvl w:val="0"/>
          <w:numId w:val="7"/>
        </w:numPr>
        <w:kinsoku/>
        <w:wordWrap/>
        <w:overflowPunct/>
        <w:topLinePunct w:val="0"/>
        <w:autoSpaceDE/>
        <w:autoSpaceDN/>
        <w:bidi w:val="0"/>
        <w:snapToGrid/>
        <w:spacing w:line="480" w:lineRule="exact"/>
        <w:ind w:left="0" w:firstLine="0" w:firstLineChars="0"/>
        <w:jc w:val="both"/>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lang w:eastAsia="zh-CN"/>
        </w:rPr>
        <w:t>法定代表人授权委托书</w:t>
      </w:r>
      <w:r>
        <w:rPr>
          <w:rFonts w:hint="eastAsia" w:ascii="宋体" w:hAnsi="宋体" w:eastAsia="宋体" w:cs="宋体"/>
          <w:color w:val="auto"/>
          <w:sz w:val="24"/>
          <w:highlight w:val="none"/>
          <w:lang w:val="en-US" w:eastAsia="zh-CN"/>
        </w:rPr>
        <w:t>及</w:t>
      </w:r>
      <w:r>
        <w:rPr>
          <w:rFonts w:hint="eastAsia" w:ascii="宋体" w:hAnsi="宋体" w:eastAsia="宋体" w:cs="宋体"/>
          <w:color w:val="auto"/>
          <w:sz w:val="24"/>
          <w:highlight w:val="none"/>
          <w:lang w:eastAsia="zh-CN"/>
        </w:rPr>
        <w:t>授权代表社保证明（</w:t>
      </w:r>
      <w:r>
        <w:rPr>
          <w:rFonts w:hint="eastAsia" w:ascii="宋体" w:hAnsi="宋体" w:eastAsia="宋体" w:cs="宋体"/>
          <w:color w:val="auto"/>
          <w:sz w:val="24"/>
          <w:highlight w:val="none"/>
          <w:lang w:val="en-US" w:eastAsia="zh-CN"/>
        </w:rPr>
        <w:t>若委托</w:t>
      </w:r>
      <w:r>
        <w:rPr>
          <w:rFonts w:hint="eastAsia" w:ascii="宋体" w:hAnsi="宋体" w:eastAsia="宋体" w:cs="宋体"/>
          <w:color w:val="auto"/>
          <w:sz w:val="24"/>
          <w:highlight w:val="none"/>
          <w:lang w:eastAsia="zh-CN"/>
        </w:rPr>
        <w:t>）</w:t>
      </w:r>
      <w:r>
        <w:rPr>
          <w:rFonts w:hint="eastAsia" w:ascii="宋体" w:hAnsi="宋体" w:eastAsia="宋体" w:cs="宋体"/>
          <w:color w:val="auto"/>
          <w:highlight w:val="none"/>
        </w:rPr>
        <w:t>…………………（页码）</w:t>
      </w:r>
    </w:p>
    <w:p w14:paraId="106B3C8E">
      <w:pPr>
        <w:pStyle w:val="85"/>
        <w:keepNext w:val="0"/>
        <w:keepLines w:val="0"/>
        <w:pageBreakBefore w:val="0"/>
        <w:widowControl w:val="0"/>
        <w:numPr>
          <w:ilvl w:val="0"/>
          <w:numId w:val="7"/>
        </w:numPr>
        <w:kinsoku/>
        <w:wordWrap/>
        <w:overflowPunct/>
        <w:topLinePunct w:val="0"/>
        <w:autoSpaceDE/>
        <w:autoSpaceDN/>
        <w:bidi w:val="0"/>
        <w:snapToGrid/>
        <w:spacing w:line="480" w:lineRule="exact"/>
        <w:ind w:left="0" w:firstLine="0" w:firstLineChars="0"/>
        <w:jc w:val="both"/>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法定代表人及其授权代表身份证复印件（正反面）</w:t>
      </w:r>
      <w:r>
        <w:rPr>
          <w:rFonts w:hint="eastAsia" w:ascii="宋体" w:hAnsi="宋体" w:eastAsia="宋体" w:cs="宋体"/>
          <w:color w:val="auto"/>
          <w:highlight w:val="none"/>
        </w:rPr>
        <w:t>………………………（页码）</w:t>
      </w:r>
    </w:p>
    <w:p w14:paraId="520AC240">
      <w:pPr>
        <w:pStyle w:val="85"/>
        <w:keepNext w:val="0"/>
        <w:keepLines w:val="0"/>
        <w:pageBreakBefore w:val="0"/>
        <w:widowControl w:val="0"/>
        <w:numPr>
          <w:ilvl w:val="0"/>
          <w:numId w:val="7"/>
        </w:numPr>
        <w:kinsoku/>
        <w:wordWrap/>
        <w:overflowPunct/>
        <w:topLinePunct w:val="0"/>
        <w:autoSpaceDE/>
        <w:autoSpaceDN/>
        <w:bidi w:val="0"/>
        <w:snapToGrid/>
        <w:spacing w:line="480" w:lineRule="exact"/>
        <w:ind w:left="0" w:firstLine="0" w:firstLineChars="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评分索引表</w:t>
      </w:r>
      <w:r>
        <w:rPr>
          <w:rFonts w:hint="eastAsia" w:ascii="宋体" w:hAnsi="宋体" w:eastAsia="宋体" w:cs="宋体"/>
          <w:color w:val="auto"/>
          <w:highlight w:val="none"/>
        </w:rPr>
        <w:t>……………………………………………………………………（页码）</w:t>
      </w:r>
    </w:p>
    <w:p w14:paraId="01D94AD9">
      <w:pPr>
        <w:pStyle w:val="85"/>
        <w:keepNext w:val="0"/>
        <w:keepLines w:val="0"/>
        <w:pageBreakBefore w:val="0"/>
        <w:widowControl w:val="0"/>
        <w:numPr>
          <w:ilvl w:val="0"/>
          <w:numId w:val="7"/>
        </w:numPr>
        <w:kinsoku/>
        <w:wordWrap/>
        <w:overflowPunct/>
        <w:topLinePunct w:val="0"/>
        <w:autoSpaceDE/>
        <w:autoSpaceDN/>
        <w:bidi w:val="0"/>
        <w:snapToGrid/>
        <w:spacing w:line="480" w:lineRule="exact"/>
        <w:ind w:left="0" w:firstLine="0" w:firstLineChars="0"/>
        <w:jc w:val="both"/>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商务偏离表</w:t>
      </w:r>
      <w:r>
        <w:rPr>
          <w:rFonts w:hint="eastAsia" w:ascii="宋体" w:hAnsi="宋体" w:eastAsia="宋体" w:cs="宋体"/>
          <w:color w:val="auto"/>
          <w:highlight w:val="none"/>
        </w:rPr>
        <w:t>……………………………………………………………………（页码）</w:t>
      </w:r>
    </w:p>
    <w:p w14:paraId="1727BEFC">
      <w:pPr>
        <w:pStyle w:val="85"/>
        <w:keepNext w:val="0"/>
        <w:keepLines w:val="0"/>
        <w:pageBreakBefore w:val="0"/>
        <w:widowControl w:val="0"/>
        <w:numPr>
          <w:ilvl w:val="0"/>
          <w:numId w:val="7"/>
        </w:numPr>
        <w:kinsoku/>
        <w:wordWrap/>
        <w:overflowPunct/>
        <w:topLinePunct w:val="0"/>
        <w:autoSpaceDE/>
        <w:autoSpaceDN/>
        <w:bidi w:val="0"/>
        <w:snapToGrid/>
        <w:spacing w:line="480" w:lineRule="exact"/>
        <w:ind w:left="0" w:firstLine="0" w:firstLineChars="0"/>
        <w:jc w:val="both"/>
        <w:textAlignment w:val="auto"/>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highlight w:val="none"/>
          <w:lang w:val="en-US" w:eastAsia="zh-CN"/>
        </w:rPr>
        <w:t>技术偏离表</w:t>
      </w:r>
      <w:r>
        <w:rPr>
          <w:rFonts w:hint="eastAsia" w:ascii="宋体" w:hAnsi="宋体" w:eastAsia="宋体" w:cs="宋体"/>
          <w:color w:val="auto"/>
          <w:highlight w:val="none"/>
        </w:rPr>
        <w:t>……………………………………………………………………（页码）</w:t>
      </w:r>
    </w:p>
    <w:p w14:paraId="6CFA7163">
      <w:pPr>
        <w:keepNext w:val="0"/>
        <w:keepLines w:val="0"/>
        <w:pageBreakBefore w:val="0"/>
        <w:widowControl w:val="0"/>
        <w:numPr>
          <w:ilvl w:val="0"/>
          <w:numId w:val="0"/>
        </w:numPr>
        <w:kinsoku/>
        <w:wordWrap/>
        <w:overflowPunct/>
        <w:topLinePunct w:val="0"/>
        <w:autoSpaceDE/>
        <w:autoSpaceDN/>
        <w:bidi w:val="0"/>
        <w:adjustRightInd w:val="0"/>
        <w:snapToGrid/>
        <w:spacing w:line="480" w:lineRule="exact"/>
        <w:jc w:val="both"/>
        <w:textAlignment w:val="auto"/>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kern w:val="2"/>
          <w:sz w:val="24"/>
          <w:highlight w:val="none"/>
          <w:lang w:val="en-US" w:eastAsia="zh-CN" w:bidi="ar-SA"/>
        </w:rPr>
        <w:t>（</w:t>
      </w:r>
      <w:r>
        <w:rPr>
          <w:rFonts w:hint="eastAsia" w:ascii="宋体" w:hAnsi="宋体" w:cs="宋体"/>
          <w:color w:val="auto"/>
          <w:kern w:val="2"/>
          <w:sz w:val="24"/>
          <w:highlight w:val="none"/>
          <w:lang w:val="en-US" w:eastAsia="zh-CN" w:bidi="ar-SA"/>
        </w:rPr>
        <w:t>8</w:t>
      </w:r>
      <w:r>
        <w:rPr>
          <w:rFonts w:hint="eastAsia" w:ascii="宋体" w:hAnsi="宋体" w:eastAsia="宋体" w:cs="宋体"/>
          <w:color w:val="auto"/>
          <w:kern w:val="2"/>
          <w:sz w:val="24"/>
          <w:highlight w:val="none"/>
          <w:lang w:val="en-US" w:eastAsia="zh-CN" w:bidi="ar-SA"/>
        </w:rPr>
        <w:t>）同类</w:t>
      </w:r>
      <w:r>
        <w:rPr>
          <w:rFonts w:hint="eastAsia" w:ascii="宋体" w:hAnsi="宋体" w:eastAsia="宋体" w:cs="宋体"/>
          <w:color w:val="auto"/>
          <w:kern w:val="2"/>
          <w:sz w:val="24"/>
          <w:highlight w:val="none"/>
          <w:lang w:val="zh-CN" w:eastAsia="zh-CN" w:bidi="ar-SA"/>
        </w:rPr>
        <w:t>业绩证明</w:t>
      </w:r>
      <w:r>
        <w:rPr>
          <w:rFonts w:hint="eastAsia" w:ascii="宋体" w:hAnsi="宋体" w:eastAsia="宋体" w:cs="宋体"/>
          <w:color w:val="auto"/>
          <w:highlight w:val="none"/>
        </w:rPr>
        <w:t>…………………………………………………………………（页码）</w:t>
      </w:r>
    </w:p>
    <w:p w14:paraId="38B64F94">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val="en-US" w:eastAsia="zh-CN"/>
        </w:rPr>
        <w:t>）供应商廉洁自律承诺书</w:t>
      </w:r>
      <w:r>
        <w:rPr>
          <w:rFonts w:hint="eastAsia" w:ascii="宋体" w:hAnsi="宋体" w:eastAsia="宋体" w:cs="宋体"/>
          <w:color w:val="auto"/>
          <w:highlight w:val="none"/>
        </w:rPr>
        <w:t>………………………………………………………（页码）</w:t>
      </w:r>
    </w:p>
    <w:p w14:paraId="536B4DEB">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szCs w:val="24"/>
          <w:highlight w:val="none"/>
        </w:rPr>
        <w:t>综合评价</w:t>
      </w:r>
      <w:r>
        <w:rPr>
          <w:rFonts w:hint="eastAsia" w:ascii="宋体" w:hAnsi="宋体" w:eastAsia="宋体" w:cs="宋体"/>
          <w:color w:val="auto"/>
          <w:sz w:val="24"/>
          <w:highlight w:val="none"/>
          <w:lang w:val="en-US" w:eastAsia="zh-CN"/>
        </w:rPr>
        <w:t>………………………………………………………………………（页码）</w:t>
      </w:r>
    </w:p>
    <w:p w14:paraId="63B258E4">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szCs w:val="24"/>
          <w:highlight w:val="none"/>
        </w:rPr>
        <w:t>认证证书</w:t>
      </w:r>
      <w:r>
        <w:rPr>
          <w:rFonts w:hint="eastAsia" w:ascii="宋体" w:hAnsi="宋体" w:eastAsia="宋体" w:cs="宋体"/>
          <w:color w:val="auto"/>
          <w:sz w:val="24"/>
          <w:highlight w:val="none"/>
          <w:lang w:val="en-US" w:eastAsia="zh-CN"/>
        </w:rPr>
        <w:t>………………………………………………………………………（页码）</w:t>
      </w:r>
    </w:p>
    <w:p w14:paraId="02977BAF">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szCs w:val="24"/>
          <w:highlight w:val="none"/>
        </w:rPr>
        <w:t>企业荣誉</w:t>
      </w:r>
      <w:r>
        <w:rPr>
          <w:rFonts w:hint="eastAsia" w:ascii="宋体" w:hAnsi="宋体" w:eastAsia="宋体" w:cs="宋体"/>
          <w:color w:val="auto"/>
          <w:sz w:val="24"/>
          <w:highlight w:val="none"/>
          <w:lang w:val="en-US" w:eastAsia="zh-CN"/>
        </w:rPr>
        <w:t>………………………………………………………………………（页码）</w:t>
      </w:r>
    </w:p>
    <w:p w14:paraId="29F8BA97">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highlight w:val="none"/>
          <w:lang w:val="en-US" w:eastAsia="zh-CN" w:bidi="ar-SA"/>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szCs w:val="24"/>
          <w:highlight w:val="none"/>
          <w:lang w:val="en-US" w:eastAsia="zh-CN"/>
        </w:rPr>
        <w:t>产品性能指标</w:t>
      </w:r>
      <w:r>
        <w:rPr>
          <w:rFonts w:hint="eastAsia" w:ascii="宋体" w:hAnsi="宋体" w:eastAsia="宋体" w:cs="宋体"/>
          <w:color w:val="auto"/>
          <w:sz w:val="24"/>
          <w:highlight w:val="none"/>
          <w:lang w:val="en-US" w:eastAsia="zh-CN"/>
        </w:rPr>
        <w:t>…………………………………………………………………（页码）</w:t>
      </w:r>
    </w:p>
    <w:p w14:paraId="637979BF">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highlight w:val="none"/>
          <w:lang w:val="en-US" w:eastAsia="zh-CN" w:bidi="ar-SA"/>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质保期</w:t>
      </w:r>
      <w:r>
        <w:rPr>
          <w:rFonts w:hint="eastAsia" w:ascii="宋体" w:hAnsi="宋体" w:eastAsia="宋体" w:cs="宋体"/>
          <w:color w:val="auto"/>
          <w:sz w:val="24"/>
          <w:highlight w:val="none"/>
          <w:lang w:val="en-US" w:eastAsia="zh-CN"/>
        </w:rPr>
        <w:t>…………………………………………………………………………（页码）</w:t>
      </w:r>
    </w:p>
    <w:p w14:paraId="6CADE026">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szCs w:val="24"/>
          <w:highlight w:val="none"/>
        </w:rPr>
        <w:t>特约服务网点</w:t>
      </w:r>
      <w:r>
        <w:rPr>
          <w:rFonts w:hint="eastAsia" w:ascii="宋体" w:hAnsi="宋体" w:eastAsia="宋体" w:cs="宋体"/>
          <w:color w:val="auto"/>
          <w:sz w:val="24"/>
          <w:highlight w:val="none"/>
          <w:lang w:val="en-US" w:eastAsia="zh-CN"/>
        </w:rPr>
        <w:t>…………………………………………………………………（页码）</w:t>
      </w:r>
    </w:p>
    <w:p w14:paraId="5A721416">
      <w:pPr>
        <w:pStyle w:val="85"/>
        <w:keepNext w:val="0"/>
        <w:keepLines w:val="0"/>
        <w:pageBreakBefore w:val="0"/>
        <w:widowControl w:val="0"/>
        <w:numPr>
          <w:ilvl w:val="0"/>
          <w:numId w:val="0"/>
        </w:numPr>
        <w:kinsoku/>
        <w:wordWrap/>
        <w:overflowPunct/>
        <w:topLinePunct w:val="0"/>
        <w:autoSpaceDE/>
        <w:autoSpaceDN/>
        <w:bidi w:val="0"/>
        <w:snapToGrid/>
        <w:spacing w:line="480" w:lineRule="exact"/>
        <w:ind w:leftChars="0"/>
        <w:jc w:val="both"/>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szCs w:val="24"/>
          <w:highlight w:val="none"/>
        </w:rPr>
        <w:t>售后服务方案</w:t>
      </w:r>
      <w:r>
        <w:rPr>
          <w:rFonts w:hint="eastAsia" w:ascii="宋体" w:hAnsi="宋体" w:eastAsia="宋体" w:cs="宋体"/>
          <w:color w:val="auto"/>
          <w:sz w:val="24"/>
          <w:highlight w:val="none"/>
          <w:lang w:val="en-US" w:eastAsia="zh-CN"/>
        </w:rPr>
        <w:t>…………………………………………………………………（页码）</w:t>
      </w:r>
    </w:p>
    <w:p w14:paraId="4C24EC0B">
      <w:pPr>
        <w:keepNext w:val="0"/>
        <w:keepLines w:val="0"/>
        <w:pageBreakBefore w:val="0"/>
        <w:kinsoku/>
        <w:overflowPunct/>
        <w:topLinePunct w:val="0"/>
        <w:autoSpaceDE/>
        <w:autoSpaceDN/>
        <w:bidi w:val="0"/>
        <w:snapToGrid/>
        <w:spacing w:line="480" w:lineRule="exact"/>
        <w:jc w:val="both"/>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7</w:t>
      </w:r>
      <w:r>
        <w:rPr>
          <w:rFonts w:hint="eastAsia" w:ascii="宋体" w:hAnsi="宋体" w:eastAsia="宋体" w:cs="宋体"/>
          <w:color w:val="auto"/>
          <w:kern w:val="2"/>
          <w:sz w:val="24"/>
          <w:szCs w:val="24"/>
          <w:highlight w:val="none"/>
          <w:lang w:val="en-US" w:eastAsia="zh-CN" w:bidi="ar-SA"/>
        </w:rPr>
        <w:t>) 应急响应方案…………………………………………………………………（页码）</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lang w:val="en-US" w:eastAsia="zh-CN"/>
        </w:rPr>
        <w:t>）投标人认为需要说明的其他文件和说明（若有）…………………………（页码）</w:t>
      </w:r>
    </w:p>
    <w:p w14:paraId="445ED001">
      <w:pPr>
        <w:keepNext w:val="0"/>
        <w:keepLines w:val="0"/>
        <w:pageBreakBefore w:val="0"/>
        <w:kinsoku/>
        <w:wordWrap/>
        <w:overflowPunct/>
        <w:topLinePunct w:val="0"/>
        <w:autoSpaceDE/>
        <w:autoSpaceDN/>
        <w:bidi w:val="0"/>
        <w:spacing w:line="440" w:lineRule="exact"/>
        <w:jc w:val="center"/>
        <w:textAlignment w:val="auto"/>
        <w:rPr>
          <w:rFonts w:hint="eastAsia" w:ascii="宋体" w:hAnsi="宋体" w:eastAsia="宋体" w:cs="宋体"/>
          <w:color w:val="auto"/>
          <w:highlight w:val="none"/>
        </w:rPr>
      </w:pPr>
    </w:p>
    <w:p w14:paraId="4AFCC601">
      <w:pPr>
        <w:keepNext w:val="0"/>
        <w:keepLines w:val="0"/>
        <w:pageBreakBefore w:val="0"/>
        <w:kinsoku/>
        <w:wordWrap/>
        <w:overflowPunct/>
        <w:topLinePunct w:val="0"/>
        <w:autoSpaceDE/>
        <w:autoSpaceDN/>
        <w:bidi w:val="0"/>
        <w:spacing w:line="440" w:lineRule="exact"/>
        <w:jc w:val="center"/>
        <w:textAlignment w:val="auto"/>
        <w:rPr>
          <w:rFonts w:hint="eastAsia" w:ascii="宋体" w:hAnsi="宋体" w:eastAsia="宋体" w:cs="宋体"/>
          <w:color w:val="auto"/>
          <w:highlight w:val="none"/>
        </w:rPr>
      </w:pPr>
    </w:p>
    <w:p w14:paraId="75E057E7">
      <w:pPr>
        <w:keepNext w:val="0"/>
        <w:keepLines w:val="0"/>
        <w:pageBreakBefore w:val="0"/>
        <w:kinsoku/>
        <w:wordWrap/>
        <w:overflowPunct/>
        <w:topLinePunct w:val="0"/>
        <w:autoSpaceDE/>
        <w:autoSpaceDN/>
        <w:bidi w:val="0"/>
        <w:spacing w:line="440" w:lineRule="exact"/>
        <w:jc w:val="center"/>
        <w:textAlignment w:val="auto"/>
        <w:rPr>
          <w:rFonts w:hint="eastAsia" w:ascii="宋体" w:hAnsi="宋体" w:eastAsia="宋体" w:cs="宋体"/>
          <w:color w:val="auto"/>
          <w:highlight w:val="none"/>
        </w:rPr>
      </w:pPr>
    </w:p>
    <w:p w14:paraId="779F183C">
      <w:pPr>
        <w:pStyle w:val="42"/>
        <w:ind w:left="0" w:leftChars="0" w:firstLine="0" w:firstLineChars="0"/>
        <w:rPr>
          <w:rFonts w:hint="eastAsia" w:ascii="宋体" w:hAnsi="宋体" w:eastAsia="宋体" w:cs="宋体"/>
          <w:b/>
          <w:color w:val="auto"/>
          <w:kern w:val="0"/>
          <w:sz w:val="32"/>
          <w:szCs w:val="32"/>
          <w:highlight w:val="none"/>
          <w:lang w:val="en-US" w:eastAsia="zh-CN"/>
        </w:rPr>
      </w:pPr>
    </w:p>
    <w:p w14:paraId="131CB3A9">
      <w:pPr>
        <w:keepNext w:val="0"/>
        <w:keepLines w:val="0"/>
        <w:pageBreakBefore w:val="0"/>
        <w:kinsoku/>
        <w:wordWrap/>
        <w:overflowPunct/>
        <w:topLinePunct w:val="0"/>
        <w:autoSpaceDE/>
        <w:autoSpaceDN/>
        <w:bidi w:val="0"/>
        <w:adjustRightInd/>
        <w:snapToGrid w:val="0"/>
        <w:spacing w:line="480" w:lineRule="exact"/>
        <w:jc w:val="center"/>
        <w:textAlignment w:val="auto"/>
        <w:outlineLvl w:val="0"/>
        <w:rPr>
          <w:rFonts w:hint="eastAsia" w:ascii="宋体" w:hAnsi="宋体" w:eastAsia="宋体" w:cs="宋体"/>
          <w:b/>
          <w:color w:val="auto"/>
          <w:kern w:val="0"/>
          <w:sz w:val="32"/>
          <w:szCs w:val="32"/>
          <w:highlight w:val="none"/>
        </w:rPr>
      </w:pPr>
    </w:p>
    <w:p w14:paraId="26EAAE9D">
      <w:pPr>
        <w:keepNext w:val="0"/>
        <w:keepLines w:val="0"/>
        <w:pageBreakBefore w:val="0"/>
        <w:kinsoku/>
        <w:wordWrap/>
        <w:overflowPunct/>
        <w:topLinePunct w:val="0"/>
        <w:autoSpaceDE/>
        <w:autoSpaceDN/>
        <w:bidi w:val="0"/>
        <w:adjustRightInd/>
        <w:snapToGrid w:val="0"/>
        <w:spacing w:line="480" w:lineRule="exact"/>
        <w:jc w:val="center"/>
        <w:textAlignment w:val="auto"/>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7263A0F8">
      <w:pPr>
        <w:pStyle w:val="82"/>
        <w:keepNext w:val="0"/>
        <w:keepLines w:val="0"/>
        <w:pageBreakBefore w:val="0"/>
        <w:widowControl/>
        <w:kinsoku/>
        <w:wordWrap/>
        <w:overflowPunct/>
        <w:topLinePunct w:val="0"/>
        <w:autoSpaceDE/>
        <w:autoSpaceDN/>
        <w:bidi w:val="0"/>
        <w:adjustRightInd/>
        <w:snapToGrid w:val="0"/>
        <w:spacing w:afterLines="0" w:line="480" w:lineRule="exact"/>
        <w:ind w:firstLine="0" w:firstLineChars="0"/>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致：</w:t>
      </w:r>
      <w:r>
        <w:rPr>
          <w:rFonts w:hint="eastAsia" w:ascii="宋体" w:hAnsi="宋体" w:eastAsia="宋体" w:cs="宋体"/>
          <w:color w:val="auto"/>
          <w:szCs w:val="24"/>
          <w:highlight w:val="none"/>
          <w:u w:val="single"/>
          <w:lang w:val="en-US" w:eastAsia="zh-CN"/>
        </w:rPr>
        <w:t xml:space="preserve">             </w:t>
      </w:r>
      <w:r>
        <w:rPr>
          <w:rFonts w:hint="eastAsia" w:ascii="宋体" w:hAnsi="宋体" w:eastAsia="宋体" w:cs="宋体"/>
          <w:color w:val="auto"/>
          <w:szCs w:val="21"/>
          <w:highlight w:val="none"/>
        </w:rPr>
        <w:t>（采购</w:t>
      </w:r>
      <w:r>
        <w:rPr>
          <w:rFonts w:hint="eastAsia" w:ascii="宋体" w:hAnsi="宋体" w:eastAsia="宋体" w:cs="宋体"/>
          <w:color w:val="auto"/>
          <w:szCs w:val="21"/>
          <w:highlight w:val="none"/>
          <w:lang w:val="en-US" w:eastAsia="zh-CN"/>
        </w:rPr>
        <w:t>人</w:t>
      </w:r>
      <w:r>
        <w:rPr>
          <w:rFonts w:hint="eastAsia" w:ascii="宋体" w:hAnsi="宋体" w:eastAsia="宋体" w:cs="宋体"/>
          <w:color w:val="auto"/>
          <w:szCs w:val="21"/>
          <w:highlight w:val="none"/>
        </w:rPr>
        <w:t>名称）</w:t>
      </w:r>
    </w:p>
    <w:p w14:paraId="6498EA8B">
      <w:pPr>
        <w:pStyle w:val="82"/>
        <w:keepNext w:val="0"/>
        <w:keepLines w:val="0"/>
        <w:pageBreakBefore w:val="0"/>
        <w:kinsoku/>
        <w:wordWrap/>
        <w:overflowPunct/>
        <w:topLinePunct w:val="0"/>
        <w:autoSpaceDE/>
        <w:autoSpaceDN/>
        <w:bidi w:val="0"/>
        <w:adjustRightInd/>
        <w:snapToGrid w:val="0"/>
        <w:spacing w:afterLines="0" w:line="48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根据贵方（</w:t>
      </w:r>
      <w:r>
        <w:rPr>
          <w:rFonts w:hint="eastAsia" w:ascii="宋体" w:hAnsi="宋体" w:eastAsia="宋体" w:cs="宋体"/>
          <w:b/>
          <w:color w:val="auto"/>
          <w:szCs w:val="24"/>
          <w:highlight w:val="none"/>
          <w:u w:val="single"/>
        </w:rPr>
        <w:t>填写项目名称</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val="en-US" w:eastAsia="zh-CN"/>
        </w:rPr>
        <w:t>采购</w:t>
      </w:r>
      <w:r>
        <w:rPr>
          <w:rFonts w:hint="eastAsia" w:ascii="宋体" w:hAnsi="宋体" w:eastAsia="宋体" w:cs="宋体"/>
          <w:color w:val="auto"/>
          <w:szCs w:val="24"/>
          <w:highlight w:val="none"/>
        </w:rPr>
        <w:t>文件的要求，正式授权</w:t>
      </w:r>
      <w:r>
        <w:rPr>
          <w:rFonts w:hint="eastAsia" w:ascii="宋体" w:hAnsi="宋体" w:eastAsia="宋体" w:cs="宋体"/>
          <w:b/>
          <w:color w:val="auto"/>
          <w:szCs w:val="24"/>
          <w:highlight w:val="none"/>
          <w:u w:val="single"/>
        </w:rPr>
        <w:t>（全权代表姓名 、单位  、职务   ）</w:t>
      </w:r>
      <w:r>
        <w:rPr>
          <w:rFonts w:hint="eastAsia" w:ascii="宋体" w:hAnsi="宋体" w:eastAsia="宋体" w:cs="宋体"/>
          <w:color w:val="auto"/>
          <w:szCs w:val="24"/>
          <w:highlight w:val="none"/>
        </w:rPr>
        <w:t>代表投标人</w:t>
      </w:r>
      <w:r>
        <w:rPr>
          <w:rFonts w:hint="eastAsia" w:ascii="宋体" w:hAnsi="宋体" w:eastAsia="宋体" w:cs="宋体"/>
          <w:color w:val="auto"/>
          <w:szCs w:val="24"/>
          <w:highlight w:val="none"/>
          <w:u w:val="single"/>
        </w:rPr>
        <w:t>（</w:t>
      </w:r>
      <w:r>
        <w:rPr>
          <w:rFonts w:hint="eastAsia" w:ascii="宋体" w:hAnsi="宋体" w:eastAsia="宋体" w:cs="宋体"/>
          <w:b/>
          <w:color w:val="auto"/>
          <w:szCs w:val="24"/>
          <w:highlight w:val="none"/>
          <w:u w:val="single"/>
        </w:rPr>
        <w:t xml:space="preserve">填写单位 、地址 </w:t>
      </w:r>
      <w:r>
        <w:rPr>
          <w:rFonts w:hint="eastAsia" w:ascii="宋体" w:hAnsi="宋体" w:eastAsia="宋体" w:cs="宋体"/>
          <w:color w:val="auto"/>
          <w:szCs w:val="24"/>
          <w:highlight w:val="none"/>
          <w:u w:val="single"/>
        </w:rPr>
        <w:t>）</w:t>
      </w:r>
      <w:r>
        <w:rPr>
          <w:rFonts w:hint="eastAsia" w:ascii="宋体" w:hAnsi="宋体" w:eastAsia="宋体" w:cs="宋体"/>
          <w:color w:val="auto"/>
          <w:szCs w:val="24"/>
          <w:highlight w:val="none"/>
        </w:rPr>
        <w:t>提交投标文件。</w:t>
      </w:r>
    </w:p>
    <w:p w14:paraId="26C19DCD">
      <w:pPr>
        <w:pStyle w:val="82"/>
        <w:keepNext w:val="0"/>
        <w:keepLines w:val="0"/>
        <w:pageBreakBefore w:val="0"/>
        <w:kinsoku/>
        <w:wordWrap/>
        <w:overflowPunct/>
        <w:topLinePunct w:val="0"/>
        <w:autoSpaceDE/>
        <w:autoSpaceDN/>
        <w:bidi w:val="0"/>
        <w:adjustRightInd/>
        <w:spacing w:afterLines="0" w:line="50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我方已完全明白</w:t>
      </w:r>
      <w:r>
        <w:rPr>
          <w:rFonts w:hint="eastAsia" w:ascii="宋体" w:hAnsi="宋体" w:eastAsia="宋体" w:cs="宋体"/>
          <w:color w:val="auto"/>
          <w:szCs w:val="24"/>
          <w:highlight w:val="none"/>
          <w:lang w:val="en-US" w:eastAsia="zh-CN"/>
        </w:rPr>
        <w:t>采购</w:t>
      </w:r>
      <w:r>
        <w:rPr>
          <w:rFonts w:hint="eastAsia" w:ascii="宋体" w:hAnsi="宋体" w:eastAsia="宋体" w:cs="宋体"/>
          <w:color w:val="auto"/>
          <w:szCs w:val="24"/>
          <w:highlight w:val="none"/>
        </w:rPr>
        <w:t>文件的所有条款要求，兹声明同意如下：</w:t>
      </w:r>
    </w:p>
    <w:p w14:paraId="64F486A6">
      <w:pPr>
        <w:pStyle w:val="7"/>
        <w:keepNext w:val="0"/>
        <w:keepLines w:val="0"/>
        <w:pageBreakBefore w:val="0"/>
        <w:kinsoku/>
        <w:wordWrap/>
        <w:overflowPunct/>
        <w:topLinePunct w:val="0"/>
        <w:autoSpaceDE/>
        <w:autoSpaceDN/>
        <w:bidi w:val="0"/>
        <w:adjustRightInd/>
        <w:spacing w:line="500" w:lineRule="exact"/>
        <w:ind w:left="0"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我方同意在投标人</w:t>
      </w:r>
      <w:r>
        <w:rPr>
          <w:rFonts w:hint="eastAsia" w:ascii="宋体" w:hAnsi="宋体" w:eastAsia="宋体" w:cs="宋体"/>
          <w:color w:val="auto"/>
          <w:kern w:val="44"/>
          <w:szCs w:val="24"/>
          <w:highlight w:val="none"/>
        </w:rPr>
        <w:t>须知</w:t>
      </w:r>
      <w:r>
        <w:rPr>
          <w:rFonts w:hint="eastAsia" w:ascii="宋体" w:hAnsi="宋体" w:eastAsia="宋体" w:cs="宋体"/>
          <w:color w:val="auto"/>
          <w:szCs w:val="24"/>
          <w:highlight w:val="none"/>
        </w:rPr>
        <w:t>规定的开标日期起遵守本投标文件中的承诺且在投标有效期满之前均具有约束力。</w:t>
      </w:r>
    </w:p>
    <w:p w14:paraId="0900F810">
      <w:pPr>
        <w:pStyle w:val="82"/>
        <w:keepNext w:val="0"/>
        <w:keepLines w:val="0"/>
        <w:pageBreakBefore w:val="0"/>
        <w:kinsoku/>
        <w:wordWrap/>
        <w:overflowPunct/>
        <w:topLinePunct w:val="0"/>
        <w:autoSpaceDE/>
        <w:autoSpaceDN/>
        <w:bidi w:val="0"/>
        <w:adjustRightInd/>
        <w:spacing w:afterLines="0" w:line="5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2.我方承诺已经具备</w:t>
      </w:r>
      <w:r>
        <w:rPr>
          <w:rFonts w:hint="eastAsia" w:ascii="宋体" w:hAnsi="宋体" w:eastAsia="宋体" w:cs="宋体"/>
          <w:color w:val="auto"/>
          <w:sz w:val="24"/>
          <w:szCs w:val="24"/>
          <w:highlight w:val="none"/>
          <w:lang w:val="en-US" w:eastAsia="zh-CN"/>
        </w:rPr>
        <w:t>采购</w:t>
      </w:r>
      <w:r>
        <w:rPr>
          <w:rFonts w:hint="eastAsia" w:ascii="宋体" w:hAnsi="宋体" w:eastAsia="宋体" w:cs="宋体"/>
          <w:color w:val="auto"/>
          <w:sz w:val="24"/>
          <w:szCs w:val="24"/>
          <w:highlight w:val="none"/>
          <w:lang w:eastAsia="zh-CN"/>
        </w:rPr>
        <w:t>文件</w:t>
      </w:r>
      <w:r>
        <w:rPr>
          <w:rFonts w:hint="eastAsia" w:ascii="宋体" w:hAnsi="宋体" w:eastAsia="宋体" w:cs="宋体"/>
          <w:color w:val="auto"/>
          <w:sz w:val="24"/>
          <w:szCs w:val="24"/>
          <w:highlight w:val="none"/>
        </w:rPr>
        <w:t>中规定的参加采购活动的供应商应当具备的条件。</w:t>
      </w:r>
    </w:p>
    <w:p w14:paraId="748AA331">
      <w:pPr>
        <w:pStyle w:val="7"/>
        <w:keepNext w:val="0"/>
        <w:keepLines w:val="0"/>
        <w:pageBreakBefore w:val="0"/>
        <w:numPr>
          <w:ilvl w:val="0"/>
          <w:numId w:val="0"/>
        </w:numPr>
        <w:kinsoku/>
        <w:wordWrap/>
        <w:overflowPunct/>
        <w:topLinePunct w:val="0"/>
        <w:autoSpaceDE/>
        <w:autoSpaceDN/>
        <w:bidi w:val="0"/>
        <w:adjustRightInd/>
        <w:spacing w:line="500" w:lineRule="exact"/>
        <w:ind w:left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5147FD4D">
      <w:pPr>
        <w:pStyle w:val="82"/>
        <w:keepNext w:val="0"/>
        <w:keepLines w:val="0"/>
        <w:pageBreakBefore w:val="0"/>
        <w:kinsoku/>
        <w:wordWrap/>
        <w:overflowPunct/>
        <w:topLinePunct w:val="0"/>
        <w:autoSpaceDE/>
        <w:autoSpaceDN/>
        <w:bidi w:val="0"/>
        <w:adjustRightInd/>
        <w:spacing w:afterLines="0" w:line="50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4.我方理解贵方将不受你们所收到的最低报价的约束。</w:t>
      </w:r>
    </w:p>
    <w:p w14:paraId="27C3474C">
      <w:pPr>
        <w:pStyle w:val="7"/>
        <w:keepNext w:val="0"/>
        <w:keepLines w:val="0"/>
        <w:pageBreakBefore w:val="0"/>
        <w:numPr>
          <w:ilvl w:val="0"/>
          <w:numId w:val="0"/>
        </w:numPr>
        <w:kinsoku/>
        <w:wordWrap/>
        <w:overflowPunct/>
        <w:topLinePunct w:val="0"/>
        <w:autoSpaceDE/>
        <w:autoSpaceDN/>
        <w:bidi w:val="0"/>
        <w:adjustRightInd/>
        <w:spacing w:line="50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5.本投标自开标之日（投标截止之日）起90天内有效。</w:t>
      </w:r>
    </w:p>
    <w:p w14:paraId="4D60D5C2">
      <w:pPr>
        <w:pStyle w:val="82"/>
        <w:keepNext w:val="0"/>
        <w:keepLines w:val="0"/>
        <w:pageBreakBefore w:val="0"/>
        <w:kinsoku/>
        <w:wordWrap/>
        <w:overflowPunct/>
        <w:topLinePunct w:val="0"/>
        <w:autoSpaceDE/>
        <w:autoSpaceDN/>
        <w:bidi w:val="0"/>
        <w:adjustRightInd/>
        <w:snapToGrid w:val="0"/>
        <w:spacing w:afterLines="0" w:line="48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6.</w:t>
      </w:r>
      <w:r>
        <w:rPr>
          <w:rFonts w:hint="eastAsia" w:ascii="宋体" w:hAnsi="宋体" w:eastAsia="宋体" w:cs="宋体"/>
          <w:color w:val="auto"/>
          <w:sz w:val="24"/>
          <w:highlight w:val="none"/>
        </w:rPr>
        <w:t>如在此有效期内，</w:t>
      </w:r>
      <w:r>
        <w:rPr>
          <w:rFonts w:hint="eastAsia" w:ascii="宋体" w:hAnsi="宋体" w:eastAsia="宋体" w:cs="宋体"/>
          <w:color w:val="auto"/>
          <w:sz w:val="24"/>
          <w:szCs w:val="24"/>
          <w:highlight w:val="none"/>
        </w:rPr>
        <w:t>我方出现下列行为之一者，同意无条件接受采购</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及上级部门的处罚。</w:t>
      </w:r>
    </w:p>
    <w:p w14:paraId="13CB0BCC">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a)提供虚假材料谋取中标、成交的；</w:t>
      </w:r>
    </w:p>
    <w:p w14:paraId="04A123A5">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b)采取不正当手段诋毁、排挤其他供应商的；</w:t>
      </w:r>
    </w:p>
    <w:p w14:paraId="3FDB2B4B">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c)与采购人、其它供应商或者采购代理机构恶意串通的；</w:t>
      </w:r>
    </w:p>
    <w:p w14:paraId="0F0630A1">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d)向采购人、采购代理机构行贿或者提供其他不正当利益的；</w:t>
      </w:r>
    </w:p>
    <w:p w14:paraId="1199B7A6">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e)在招标采购过程中与采购人进行协商谈判的；</w:t>
      </w:r>
    </w:p>
    <w:p w14:paraId="5A40100B">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f)拒绝有关部门监督检查或提供虚假情况的。</w:t>
      </w:r>
    </w:p>
    <w:p w14:paraId="02197B71">
      <w:pPr>
        <w:keepNext w:val="0"/>
        <w:keepLines w:val="0"/>
        <w:pageBreakBefore w:val="0"/>
        <w:kinsoku/>
        <w:wordWrap/>
        <w:overflowPunct/>
        <w:topLinePunct w:val="0"/>
        <w:autoSpaceDE/>
        <w:autoSpaceDN/>
        <w:bidi w:val="0"/>
        <w:adjustRightInd/>
        <w:snapToGrid w:val="0"/>
        <w:spacing w:line="480" w:lineRule="exact"/>
        <w:ind w:firstLine="480" w:firstLineChars="20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供应商有前款第a)至e)项情形之一的，中标、成交无效。</w:t>
      </w:r>
    </w:p>
    <w:p w14:paraId="696CB1AE">
      <w:pPr>
        <w:pStyle w:val="82"/>
        <w:keepNext w:val="0"/>
        <w:keepLines w:val="0"/>
        <w:pageBreakBefore w:val="0"/>
        <w:kinsoku/>
        <w:wordWrap/>
        <w:overflowPunct/>
        <w:topLinePunct w:val="0"/>
        <w:autoSpaceDE/>
        <w:autoSpaceDN/>
        <w:bidi w:val="0"/>
        <w:adjustRightInd/>
        <w:snapToGrid w:val="0"/>
        <w:spacing w:afterLines="0" w:line="48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地址：　　　　　　　　　　　　　　　邮政编码：</w:t>
      </w:r>
    </w:p>
    <w:p w14:paraId="62A651C4">
      <w:pPr>
        <w:pStyle w:val="82"/>
        <w:keepNext w:val="0"/>
        <w:keepLines w:val="0"/>
        <w:pageBreakBefore w:val="0"/>
        <w:kinsoku/>
        <w:wordWrap/>
        <w:overflowPunct/>
        <w:topLinePunct w:val="0"/>
        <w:autoSpaceDE/>
        <w:autoSpaceDN/>
        <w:bidi w:val="0"/>
        <w:adjustRightInd/>
        <w:snapToGrid w:val="0"/>
        <w:spacing w:afterLines="0" w:line="48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电话：                              传真：</w:t>
      </w:r>
    </w:p>
    <w:p w14:paraId="5C08CC87">
      <w:pPr>
        <w:pStyle w:val="82"/>
        <w:keepNext w:val="0"/>
        <w:keepLines w:val="0"/>
        <w:pageBreakBefore w:val="0"/>
        <w:kinsoku/>
        <w:wordWrap/>
        <w:overflowPunct/>
        <w:topLinePunct w:val="0"/>
        <w:autoSpaceDE/>
        <w:autoSpaceDN/>
        <w:bidi w:val="0"/>
        <w:adjustRightInd/>
        <w:snapToGrid w:val="0"/>
        <w:spacing w:afterLines="0" w:line="48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开户银行：                          帐号：</w:t>
      </w:r>
    </w:p>
    <w:p w14:paraId="5592670E">
      <w:pPr>
        <w:pStyle w:val="82"/>
        <w:keepNext w:val="0"/>
        <w:keepLines w:val="0"/>
        <w:pageBreakBefore w:val="0"/>
        <w:kinsoku/>
        <w:wordWrap/>
        <w:overflowPunct/>
        <w:topLinePunct w:val="0"/>
        <w:autoSpaceDE/>
        <w:autoSpaceDN/>
        <w:bidi w:val="0"/>
        <w:adjustRightInd/>
        <w:snapToGrid w:val="0"/>
        <w:spacing w:afterLines="0" w:line="480" w:lineRule="exact"/>
        <w:ind w:firstLine="480"/>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法定代表人或授权委托人</w:t>
      </w:r>
      <w:r>
        <w:rPr>
          <w:rFonts w:hint="eastAsia" w:ascii="宋体" w:hAnsi="宋体" w:eastAsia="宋体" w:cs="宋体"/>
          <w:color w:val="auto"/>
          <w:spacing w:val="20"/>
          <w:szCs w:val="24"/>
          <w:highlight w:val="none"/>
        </w:rPr>
        <w:t>签</w:t>
      </w:r>
      <w:r>
        <w:rPr>
          <w:rFonts w:hint="eastAsia" w:ascii="宋体" w:hAnsi="宋体" w:eastAsia="宋体" w:cs="宋体"/>
          <w:color w:val="auto"/>
          <w:spacing w:val="20"/>
          <w:szCs w:val="24"/>
          <w:highlight w:val="none"/>
          <w:lang w:val="en-US" w:eastAsia="zh-CN"/>
        </w:rPr>
        <w:t>字</w:t>
      </w:r>
      <w:r>
        <w:rPr>
          <w:rFonts w:hint="eastAsia" w:ascii="宋体" w:hAnsi="宋体" w:eastAsia="宋体" w:cs="宋体"/>
          <w:color w:val="auto"/>
          <w:spacing w:val="20"/>
          <w:szCs w:val="24"/>
          <w:highlight w:val="none"/>
        </w:rPr>
        <w:t>：</w:t>
      </w:r>
    </w:p>
    <w:p w14:paraId="63676EDC">
      <w:pPr>
        <w:keepNext w:val="0"/>
        <w:keepLines w:val="0"/>
        <w:pageBreakBefore w:val="0"/>
        <w:kinsoku/>
        <w:wordWrap/>
        <w:overflowPunct/>
        <w:topLinePunct w:val="0"/>
        <w:autoSpaceDE/>
        <w:autoSpaceDN/>
        <w:bidi w:val="0"/>
        <w:adjustRightInd/>
        <w:snapToGrid w:val="0"/>
        <w:spacing w:line="480" w:lineRule="exact"/>
        <w:ind w:firstLine="480" w:firstLineChars="200"/>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 xml:space="preserve">投标人(电子签名)：　　　　　　　　　日期：  </w:t>
      </w:r>
    </w:p>
    <w:p w14:paraId="6E0B498B">
      <w:pPr>
        <w:pStyle w:val="5"/>
        <w:keepNext w:val="0"/>
        <w:keepLines w:val="0"/>
        <w:pageBreakBefore w:val="0"/>
        <w:kinsoku/>
        <w:wordWrap/>
        <w:overflowPunct/>
        <w:topLinePunct w:val="0"/>
        <w:autoSpaceDE/>
        <w:autoSpaceDN/>
        <w:bidi w:val="0"/>
        <w:adjustRightInd/>
        <w:spacing w:after="0" w:line="500" w:lineRule="exact"/>
        <w:ind w:firstLine="480" w:firstLineChars="200"/>
        <w:textAlignment w:val="auto"/>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Cs w:val="24"/>
          <w:highlight w:val="none"/>
        </w:rPr>
        <w:t xml:space="preserve">  </w:t>
      </w:r>
    </w:p>
    <w:p w14:paraId="320695E0">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宋体" w:hAnsi="宋体" w:eastAsia="宋体" w:cs="宋体"/>
          <w:b/>
          <w:color w:val="auto"/>
          <w:kern w:val="0"/>
          <w:sz w:val="32"/>
          <w:szCs w:val="32"/>
          <w:highlight w:val="none"/>
          <w:lang w:val="en-US" w:eastAsia="zh-CN"/>
        </w:rPr>
      </w:pPr>
    </w:p>
    <w:p w14:paraId="2BFE0565">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宋体" w:hAnsi="宋体" w:eastAsia="宋体" w:cs="宋体"/>
          <w:color w:val="auto"/>
          <w:sz w:val="24"/>
          <w:highlight w:val="none"/>
        </w:rPr>
      </w:pPr>
      <w:r>
        <w:rPr>
          <w:rFonts w:hint="eastAsia" w:ascii="宋体" w:hAnsi="宋体" w:eastAsia="宋体" w:cs="宋体"/>
          <w:b/>
          <w:color w:val="auto"/>
          <w:kern w:val="0"/>
          <w:sz w:val="32"/>
          <w:szCs w:val="32"/>
          <w:highlight w:val="none"/>
          <w:lang w:val="en-US" w:eastAsia="zh-CN"/>
        </w:rPr>
        <w:t>二、法定代表人身份证明书</w:t>
      </w:r>
    </w:p>
    <w:p w14:paraId="1D0400C1">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p>
    <w:p w14:paraId="611001E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 标 人：</w:t>
      </w:r>
      <w:r>
        <w:rPr>
          <w:rFonts w:hint="eastAsia" w:ascii="宋体" w:hAnsi="宋体" w:eastAsia="宋体" w:cs="宋体"/>
          <w:color w:val="auto"/>
          <w:sz w:val="24"/>
          <w:highlight w:val="none"/>
          <w:u w:val="single"/>
        </w:rPr>
        <w:t xml:space="preserve">                          </w:t>
      </w:r>
    </w:p>
    <w:p w14:paraId="1764AB11">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single"/>
        </w:rPr>
        <w:t xml:space="preserve">                          </w:t>
      </w:r>
    </w:p>
    <w:p w14:paraId="75BE02DA">
      <w:pPr>
        <w:keepNext w:val="0"/>
        <w:keepLines w:val="0"/>
        <w:pageBreakBefore w:val="0"/>
        <w:widowControl w:val="0"/>
        <w:kinsoku/>
        <w:wordWrap/>
        <w:overflowPunct/>
        <w:topLinePunct w:val="0"/>
        <w:autoSpaceDE/>
        <w:autoSpaceDN/>
        <w:bidi w:val="0"/>
        <w:adjustRightInd w:val="0"/>
        <w:spacing w:line="360" w:lineRule="auto"/>
        <w:ind w:right="322" w:rightChars="134"/>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姓    名：</w:t>
      </w:r>
      <w:r>
        <w:rPr>
          <w:rFonts w:hint="eastAsia" w:ascii="宋体" w:hAnsi="宋体" w:eastAsia="宋体" w:cs="宋体"/>
          <w:color w:val="auto"/>
          <w:sz w:val="24"/>
          <w:highlight w:val="none"/>
          <w:u w:val="single"/>
        </w:rPr>
        <w:t xml:space="preserve">                          </w:t>
      </w:r>
    </w:p>
    <w:p w14:paraId="49B8D936">
      <w:pPr>
        <w:keepNext w:val="0"/>
        <w:keepLines w:val="0"/>
        <w:pageBreakBefore w:val="0"/>
        <w:widowControl w:val="0"/>
        <w:kinsoku/>
        <w:wordWrap/>
        <w:overflowPunct/>
        <w:topLinePunct w:val="0"/>
        <w:autoSpaceDE/>
        <w:autoSpaceDN/>
        <w:bidi w:val="0"/>
        <w:adjustRightInd w:val="0"/>
        <w:spacing w:line="360" w:lineRule="auto"/>
        <w:ind w:right="322" w:rightChars="134"/>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身份证号码：</w:t>
      </w:r>
      <w:r>
        <w:rPr>
          <w:rFonts w:hint="eastAsia" w:ascii="宋体" w:hAnsi="宋体" w:eastAsia="宋体" w:cs="宋体"/>
          <w:color w:val="auto"/>
          <w:sz w:val="24"/>
          <w:highlight w:val="none"/>
          <w:u w:val="single"/>
        </w:rPr>
        <w:t xml:space="preserve">                        </w:t>
      </w:r>
    </w:p>
    <w:p w14:paraId="389AB8EA">
      <w:pPr>
        <w:keepNext w:val="0"/>
        <w:keepLines w:val="0"/>
        <w:pageBreakBefore w:val="0"/>
        <w:widowControl w:val="0"/>
        <w:kinsoku/>
        <w:wordWrap/>
        <w:overflowPunct/>
        <w:topLinePunct w:val="0"/>
        <w:autoSpaceDE/>
        <w:autoSpaceDN/>
        <w:bidi w:val="0"/>
        <w:adjustRightInd w:val="0"/>
        <w:spacing w:line="360" w:lineRule="auto"/>
        <w:ind w:right="322" w:rightChars="134"/>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职   务：</w:t>
      </w:r>
      <w:r>
        <w:rPr>
          <w:rFonts w:hint="eastAsia" w:ascii="宋体" w:hAnsi="宋体" w:eastAsia="宋体" w:cs="宋体"/>
          <w:color w:val="auto"/>
          <w:sz w:val="24"/>
          <w:highlight w:val="none"/>
          <w:u w:val="single"/>
        </w:rPr>
        <w:t xml:space="preserve">                           </w:t>
      </w:r>
    </w:p>
    <w:p w14:paraId="4DEAAEC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（填写</w:t>
      </w:r>
      <w:r>
        <w:rPr>
          <w:rFonts w:hint="eastAsia" w:ascii="宋体" w:hAnsi="宋体" w:cs="宋体"/>
          <w:color w:val="auto"/>
          <w:sz w:val="24"/>
          <w:highlight w:val="none"/>
          <w:u w:val="single"/>
          <w:lang w:val="en-US" w:eastAsia="zh-CN"/>
        </w:rPr>
        <w:t>投标人</w:t>
      </w:r>
      <w:r>
        <w:rPr>
          <w:rFonts w:hint="eastAsia" w:ascii="宋体" w:hAnsi="宋体" w:eastAsia="宋体" w:cs="宋体"/>
          <w:color w:val="auto"/>
          <w:sz w:val="24"/>
          <w:highlight w:val="none"/>
          <w:u w:val="single"/>
        </w:rPr>
        <w:t>名称）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的法定代表人。</w:t>
      </w:r>
    </w:p>
    <w:p w14:paraId="1B0239E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14:paraId="685FB60C">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p>
    <w:p w14:paraId="7FFD09D9">
      <w:pPr>
        <w:keepNext w:val="0"/>
        <w:keepLines w:val="0"/>
        <w:pageBreakBefore w:val="0"/>
        <w:widowControl w:val="0"/>
        <w:kinsoku/>
        <w:wordWrap/>
        <w:overflowPunct/>
        <w:topLinePunct w:val="0"/>
        <w:autoSpaceDE/>
        <w:autoSpaceDN/>
        <w:bidi w:val="0"/>
        <w:adjustRightInd w:val="0"/>
        <w:snapToGrid w:val="0"/>
        <w:spacing w:line="360" w:lineRule="auto"/>
        <w:ind w:right="480"/>
        <w:jc w:val="righ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kern w:val="0"/>
          <w:sz w:val="24"/>
          <w:szCs w:val="24"/>
          <w:highlight w:val="none"/>
          <w:lang w:val="en-US" w:eastAsia="zh-CN" w:bidi="ar-SA"/>
        </w:rPr>
        <w:t>投标人(电子签名)</w:t>
      </w:r>
      <w:r>
        <w:rPr>
          <w:rFonts w:hint="eastAsia" w:ascii="宋体" w:hAnsi="宋体" w:eastAsia="宋体" w:cs="宋体"/>
          <w:color w:val="auto"/>
          <w:sz w:val="24"/>
          <w:highlight w:val="none"/>
          <w:lang w:val="en-US" w:eastAsia="zh-CN"/>
        </w:rPr>
        <w:t xml:space="preserve">            </w:t>
      </w:r>
    </w:p>
    <w:p w14:paraId="6357426C">
      <w:pPr>
        <w:keepNext w:val="0"/>
        <w:keepLines w:val="0"/>
        <w:pageBreakBefore w:val="0"/>
        <w:widowControl w:val="0"/>
        <w:kinsoku/>
        <w:wordWrap/>
        <w:overflowPunct/>
        <w:topLinePunct w:val="0"/>
        <w:autoSpaceDE/>
        <w:autoSpaceDN/>
        <w:bidi w:val="0"/>
        <w:adjustRightInd w:val="0"/>
        <w:snapToGrid w:val="0"/>
        <w:spacing w:line="360" w:lineRule="auto"/>
        <w:ind w:right="480"/>
        <w:jc w:val="right"/>
        <w:textAlignment w:val="auto"/>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年   月   日</w:t>
      </w:r>
    </w:p>
    <w:p w14:paraId="46FC0CD2">
      <w:pPr>
        <w:snapToGrid w:val="0"/>
        <w:spacing w:line="360" w:lineRule="auto"/>
        <w:ind w:right="480"/>
        <w:jc w:val="center"/>
        <w:rPr>
          <w:rFonts w:hint="eastAsia" w:ascii="宋体" w:hAnsi="宋体" w:eastAsia="宋体" w:cs="宋体"/>
          <w:b/>
          <w:color w:val="auto"/>
          <w:kern w:val="0"/>
          <w:sz w:val="32"/>
          <w:szCs w:val="32"/>
          <w:highlight w:val="none"/>
          <w:lang w:val="en-US" w:eastAsia="zh-CN"/>
        </w:rPr>
      </w:pPr>
    </w:p>
    <w:p w14:paraId="619E2AD8">
      <w:pPr>
        <w:snapToGrid w:val="0"/>
        <w:spacing w:line="360" w:lineRule="auto"/>
        <w:ind w:right="480"/>
        <w:jc w:val="center"/>
        <w:rPr>
          <w:rFonts w:hint="eastAsia" w:ascii="宋体" w:hAnsi="宋体" w:eastAsia="宋体" w:cs="宋体"/>
          <w:b/>
          <w:color w:val="auto"/>
          <w:kern w:val="0"/>
          <w:sz w:val="32"/>
          <w:szCs w:val="32"/>
          <w:highlight w:val="none"/>
          <w:lang w:val="en-US" w:eastAsia="zh-CN"/>
        </w:rPr>
      </w:pPr>
    </w:p>
    <w:p w14:paraId="5B29F8DE">
      <w:pPr>
        <w:snapToGrid w:val="0"/>
        <w:spacing w:line="360" w:lineRule="auto"/>
        <w:ind w:right="480"/>
        <w:jc w:val="center"/>
        <w:rPr>
          <w:rFonts w:hint="eastAsia" w:ascii="宋体" w:hAnsi="宋体" w:eastAsia="宋体" w:cs="宋体"/>
          <w:b/>
          <w:color w:val="auto"/>
          <w:kern w:val="0"/>
          <w:sz w:val="32"/>
          <w:szCs w:val="32"/>
          <w:highlight w:val="none"/>
          <w:lang w:val="en-US" w:eastAsia="zh-CN"/>
        </w:rPr>
      </w:pPr>
    </w:p>
    <w:p w14:paraId="1E7B7C0F">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 xml:space="preserve"> </w:t>
      </w:r>
    </w:p>
    <w:p w14:paraId="595A82CD">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宋体" w:hAnsi="宋体" w:eastAsia="宋体" w:cs="宋体"/>
          <w:b/>
          <w:color w:val="auto"/>
          <w:kern w:val="0"/>
          <w:sz w:val="32"/>
          <w:szCs w:val="32"/>
          <w:highlight w:val="none"/>
          <w:lang w:val="en-US" w:eastAsia="zh-CN"/>
        </w:rPr>
      </w:pPr>
    </w:p>
    <w:p w14:paraId="7ECFBE5D">
      <w:pPr>
        <w:pStyle w:val="111"/>
        <w:rPr>
          <w:rFonts w:hint="eastAsia" w:ascii="宋体" w:hAnsi="宋体" w:eastAsia="宋体" w:cs="宋体"/>
          <w:color w:val="auto"/>
          <w:highlight w:val="none"/>
          <w:lang w:val="en-US" w:eastAsia="zh-CN"/>
        </w:rPr>
      </w:pPr>
    </w:p>
    <w:p w14:paraId="6C588C48">
      <w:pPr>
        <w:pStyle w:val="111"/>
        <w:rPr>
          <w:rFonts w:hint="eastAsia" w:ascii="宋体" w:hAnsi="宋体" w:eastAsia="宋体" w:cs="宋体"/>
          <w:color w:val="auto"/>
          <w:highlight w:val="none"/>
          <w:lang w:val="en-US" w:eastAsia="zh-CN"/>
        </w:rPr>
      </w:pPr>
    </w:p>
    <w:p w14:paraId="6FD56A4A">
      <w:pPr>
        <w:pStyle w:val="111"/>
        <w:rPr>
          <w:rFonts w:hint="eastAsia" w:ascii="宋体" w:hAnsi="宋体" w:eastAsia="宋体" w:cs="宋体"/>
          <w:color w:val="auto"/>
          <w:highlight w:val="none"/>
          <w:lang w:val="en-US" w:eastAsia="zh-CN"/>
        </w:rPr>
      </w:pPr>
    </w:p>
    <w:p w14:paraId="2A08992B">
      <w:pPr>
        <w:pStyle w:val="111"/>
        <w:rPr>
          <w:rFonts w:hint="eastAsia" w:ascii="宋体" w:hAnsi="宋体" w:eastAsia="宋体" w:cs="宋体"/>
          <w:color w:val="auto"/>
          <w:highlight w:val="none"/>
          <w:lang w:val="en-US" w:eastAsia="zh-CN"/>
        </w:rPr>
      </w:pPr>
    </w:p>
    <w:p w14:paraId="6D44C7A7">
      <w:pPr>
        <w:pStyle w:val="111"/>
        <w:rPr>
          <w:rFonts w:hint="eastAsia" w:ascii="宋体" w:hAnsi="宋体" w:eastAsia="宋体" w:cs="宋体"/>
          <w:color w:val="auto"/>
          <w:highlight w:val="none"/>
          <w:lang w:val="en-US" w:eastAsia="zh-CN"/>
        </w:rPr>
      </w:pPr>
    </w:p>
    <w:p w14:paraId="137F98CC">
      <w:pPr>
        <w:pStyle w:val="111"/>
        <w:rPr>
          <w:rFonts w:hint="eastAsia" w:ascii="宋体" w:hAnsi="宋体" w:eastAsia="宋体" w:cs="宋体"/>
          <w:color w:val="auto"/>
          <w:highlight w:val="none"/>
          <w:lang w:val="en-US" w:eastAsia="zh-CN"/>
        </w:rPr>
      </w:pPr>
    </w:p>
    <w:p w14:paraId="1E6A1177">
      <w:pPr>
        <w:pStyle w:val="111"/>
        <w:rPr>
          <w:rFonts w:hint="eastAsia" w:ascii="宋体" w:hAnsi="宋体" w:eastAsia="宋体" w:cs="宋体"/>
          <w:color w:val="auto"/>
          <w:highlight w:val="none"/>
          <w:lang w:val="en-US" w:eastAsia="zh-CN"/>
        </w:rPr>
      </w:pPr>
    </w:p>
    <w:p w14:paraId="6BC4E561">
      <w:pPr>
        <w:pStyle w:val="111"/>
        <w:rPr>
          <w:rFonts w:hint="eastAsia" w:ascii="宋体" w:hAnsi="宋体" w:eastAsia="宋体" w:cs="宋体"/>
          <w:color w:val="auto"/>
          <w:highlight w:val="none"/>
          <w:lang w:val="en-US" w:eastAsia="zh-CN"/>
        </w:rPr>
      </w:pPr>
    </w:p>
    <w:p w14:paraId="391D3BDD">
      <w:pPr>
        <w:pStyle w:val="111"/>
        <w:rPr>
          <w:rFonts w:hint="eastAsia" w:ascii="宋体" w:hAnsi="宋体" w:eastAsia="宋体" w:cs="宋体"/>
          <w:color w:val="auto"/>
          <w:highlight w:val="none"/>
          <w:lang w:val="en-US" w:eastAsia="zh-CN"/>
        </w:rPr>
      </w:pPr>
    </w:p>
    <w:p w14:paraId="104276F8">
      <w:pPr>
        <w:pStyle w:val="111"/>
        <w:rPr>
          <w:rFonts w:hint="eastAsia" w:ascii="宋体" w:hAnsi="宋体" w:eastAsia="宋体" w:cs="宋体"/>
          <w:color w:val="auto"/>
          <w:highlight w:val="none"/>
          <w:lang w:val="en-US" w:eastAsia="zh-CN"/>
        </w:rPr>
      </w:pPr>
    </w:p>
    <w:p w14:paraId="217AD410">
      <w:pPr>
        <w:pStyle w:val="111"/>
        <w:rPr>
          <w:rFonts w:hint="eastAsia" w:ascii="宋体" w:hAnsi="宋体" w:eastAsia="宋体" w:cs="宋体"/>
          <w:color w:val="auto"/>
          <w:highlight w:val="none"/>
          <w:lang w:val="en-US" w:eastAsia="zh-CN"/>
        </w:rPr>
      </w:pPr>
    </w:p>
    <w:p w14:paraId="5A7F091B">
      <w:pPr>
        <w:keepNext w:val="0"/>
        <w:keepLines w:val="0"/>
        <w:pageBreakBefore w:val="0"/>
        <w:widowControl w:val="0"/>
        <w:kinsoku/>
        <w:wordWrap/>
        <w:overflowPunct/>
        <w:topLinePunct w:val="0"/>
        <w:autoSpaceDE/>
        <w:autoSpaceDN/>
        <w:bidi w:val="0"/>
        <w:adjustRightInd w:val="0"/>
        <w:snapToGrid w:val="0"/>
        <w:spacing w:line="360" w:lineRule="auto"/>
        <w:ind w:right="480"/>
        <w:jc w:val="both"/>
        <w:textAlignment w:val="auto"/>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 xml:space="preserve">   </w:t>
      </w:r>
    </w:p>
    <w:p w14:paraId="3A3667FA">
      <w:pPr>
        <w:keepNext w:val="0"/>
        <w:keepLines w:val="0"/>
        <w:pageBreakBefore w:val="0"/>
        <w:widowControl w:val="0"/>
        <w:kinsoku/>
        <w:wordWrap/>
        <w:overflowPunct/>
        <w:topLinePunct w:val="0"/>
        <w:autoSpaceDE/>
        <w:autoSpaceDN/>
        <w:bidi w:val="0"/>
        <w:adjustRightInd w:val="0"/>
        <w:snapToGrid w:val="0"/>
        <w:spacing w:line="360" w:lineRule="auto"/>
        <w:ind w:right="480"/>
        <w:jc w:val="center"/>
        <w:textAlignment w:val="auto"/>
        <w:rPr>
          <w:rFonts w:hint="eastAsia" w:ascii="宋体" w:hAnsi="宋体" w:eastAsia="宋体" w:cs="宋体"/>
          <w:color w:val="auto"/>
          <w:sz w:val="24"/>
          <w:highlight w:val="none"/>
        </w:rPr>
      </w:pPr>
      <w:r>
        <w:rPr>
          <w:rFonts w:hint="eastAsia" w:ascii="宋体" w:hAnsi="宋体" w:eastAsia="宋体" w:cs="宋体"/>
          <w:b/>
          <w:color w:val="auto"/>
          <w:kern w:val="0"/>
          <w:sz w:val="32"/>
          <w:szCs w:val="32"/>
          <w:highlight w:val="none"/>
          <w:lang w:val="en-US" w:eastAsia="zh-CN"/>
        </w:rPr>
        <w:t>三、法定代表人授权委托书及授权代表社保证明（若委托）</w:t>
      </w:r>
    </w:p>
    <w:p w14:paraId="396EC9E3">
      <w:pPr>
        <w:snapToGrid w:val="0"/>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本授权委托书声明：我</w:t>
      </w:r>
      <w:r>
        <w:rPr>
          <w:rFonts w:hint="eastAsia" w:ascii="宋体" w:hAnsi="宋体" w:eastAsia="宋体" w:cs="宋体"/>
          <w:color w:val="auto"/>
          <w:sz w:val="24"/>
          <w:highlight w:val="none"/>
          <w:u w:val="single"/>
        </w:rPr>
        <w:t xml:space="preserve">         (填写姓名)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（填写</w:t>
      </w:r>
      <w:r>
        <w:rPr>
          <w:rFonts w:hint="eastAsia" w:ascii="宋体" w:hAnsi="宋体" w:eastAsia="宋体" w:cs="宋体"/>
          <w:color w:val="auto"/>
          <w:sz w:val="24"/>
          <w:highlight w:val="none"/>
          <w:u w:val="single"/>
          <w:lang w:val="en-US" w:eastAsia="zh-CN"/>
        </w:rPr>
        <w:t>供应商</w:t>
      </w:r>
      <w:r>
        <w:rPr>
          <w:rFonts w:hint="eastAsia" w:ascii="宋体" w:hAnsi="宋体" w:eastAsia="宋体" w:cs="宋体"/>
          <w:color w:val="auto"/>
          <w:sz w:val="24"/>
          <w:highlight w:val="none"/>
          <w:u w:val="single"/>
        </w:rPr>
        <w:t>单位全称）</w:t>
      </w:r>
      <w:r>
        <w:rPr>
          <w:rFonts w:hint="eastAsia" w:ascii="宋体" w:hAnsi="宋体" w:eastAsia="宋体" w:cs="宋体"/>
          <w:color w:val="auto"/>
          <w:sz w:val="24"/>
          <w:highlight w:val="none"/>
        </w:rPr>
        <w:t>的法定代表人，现授权委托</w:t>
      </w:r>
      <w:r>
        <w:rPr>
          <w:rFonts w:hint="eastAsia" w:ascii="宋体" w:hAnsi="宋体" w:eastAsia="宋体" w:cs="宋体"/>
          <w:color w:val="auto"/>
          <w:sz w:val="24"/>
          <w:highlight w:val="none"/>
          <w:u w:val="single"/>
        </w:rPr>
        <w:t xml:space="preserve">                  （填写单位全称）</w:t>
      </w:r>
      <w:r>
        <w:rPr>
          <w:rFonts w:hint="eastAsia" w:ascii="宋体" w:hAnsi="宋体" w:eastAsia="宋体" w:cs="宋体"/>
          <w:color w:val="auto"/>
          <w:sz w:val="24"/>
          <w:highlight w:val="none"/>
        </w:rPr>
        <w:t>的（填写姓名）为我公司授权代表，</w:t>
      </w:r>
      <w:r>
        <w:rPr>
          <w:rFonts w:hint="eastAsia" w:ascii="宋体" w:hAnsi="宋体" w:eastAsia="宋体" w:cs="宋体"/>
          <w:color w:val="auto"/>
          <w:sz w:val="24"/>
          <w:highlight w:val="none"/>
          <w:u w:val="single"/>
        </w:rPr>
        <w:t>（填写身份证号码：                       ）</w:t>
      </w:r>
      <w:r>
        <w:rPr>
          <w:rFonts w:hint="eastAsia" w:ascii="宋体" w:hAnsi="宋体" w:eastAsia="宋体" w:cs="宋体"/>
          <w:color w:val="auto"/>
          <w:sz w:val="24"/>
          <w:highlight w:val="none"/>
        </w:rPr>
        <w:t>。以本公司的名义参加</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组织的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活动。授权代表在开标、评标、合同谈判过程中所签署的一切文件和处理与之有关的一切事务，我均予以承认。</w:t>
      </w:r>
    </w:p>
    <w:p w14:paraId="6E62DA75">
      <w:pPr>
        <w:snapToGrid w:val="0"/>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在撤销授权的书面通知以前，本授权书一直有效。全权代表在授权书有效期内签署的所有文件不因授权的撤销而失效。</w:t>
      </w:r>
    </w:p>
    <w:p w14:paraId="79EAA9D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授权代表无转委托权。特此委托。</w:t>
      </w:r>
    </w:p>
    <w:p w14:paraId="31D24177">
      <w:pPr>
        <w:snapToGrid w:val="0"/>
        <w:spacing w:line="600" w:lineRule="exact"/>
        <w:jc w:val="left"/>
        <w:rPr>
          <w:rFonts w:hint="eastAsia" w:ascii="宋体" w:hAnsi="宋体" w:eastAsia="宋体" w:cs="宋体"/>
          <w:color w:val="auto"/>
          <w:sz w:val="24"/>
          <w:highlight w:val="none"/>
        </w:rPr>
      </w:pPr>
    </w:p>
    <w:p w14:paraId="2F61AF04">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授权代表（签字或盖章）：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性别：               年龄：</w:t>
      </w:r>
    </w:p>
    <w:p w14:paraId="4D1FC6B0">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单位：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部门：               职务：</w:t>
      </w:r>
    </w:p>
    <w:p w14:paraId="110BF1C7">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办公地址：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联系电话：           传真：</w:t>
      </w:r>
    </w:p>
    <w:p w14:paraId="221F6965">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p>
    <w:p w14:paraId="79407F21">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szCs w:val="24"/>
          <w:highlight w:val="none"/>
          <w:lang w:val="en-US" w:eastAsia="zh-CN" w:bidi="ar-SA"/>
        </w:rPr>
        <w:t>投标人</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电子签名</w:t>
      </w:r>
      <w:r>
        <w:rPr>
          <w:rFonts w:hint="eastAsia" w:ascii="宋体" w:hAnsi="宋体" w:eastAsia="宋体" w:cs="宋体"/>
          <w:color w:val="auto"/>
          <w:sz w:val="24"/>
          <w:highlight w:val="none"/>
        </w:rPr>
        <w:t>）：</w:t>
      </w:r>
    </w:p>
    <w:p w14:paraId="2BCF7CF7">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p>
    <w:p w14:paraId="7440DD9C">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法定代表人（签字或盖章）：</w:t>
      </w:r>
    </w:p>
    <w:p w14:paraId="4BFE6623">
      <w:pPr>
        <w:spacing w:line="360" w:lineRule="exact"/>
        <w:rPr>
          <w:rFonts w:hint="eastAsia" w:ascii="宋体" w:hAnsi="宋体" w:eastAsia="宋体" w:cs="宋体"/>
          <w:color w:val="auto"/>
          <w:sz w:val="24"/>
          <w:highlight w:val="none"/>
        </w:rPr>
      </w:pPr>
    </w:p>
    <w:p w14:paraId="24F43327">
      <w:pPr>
        <w:spacing w:line="360" w:lineRule="exact"/>
        <w:rPr>
          <w:rFonts w:hint="eastAsia" w:ascii="宋体" w:hAnsi="宋体" w:eastAsia="宋体" w:cs="宋体"/>
          <w:color w:val="auto"/>
          <w:sz w:val="24"/>
          <w:highlight w:val="none"/>
        </w:rPr>
      </w:pPr>
    </w:p>
    <w:p w14:paraId="1D4695B7">
      <w:pPr>
        <w:snapToGrid w:val="0"/>
        <w:spacing w:line="360" w:lineRule="auto"/>
        <w:ind w:right="480"/>
        <w:jc w:val="right"/>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 w:val="24"/>
          <w:highlight w:val="none"/>
        </w:rPr>
        <w:t>日期：    年   月   日</w:t>
      </w:r>
    </w:p>
    <w:p w14:paraId="0281E2AC">
      <w:pPr>
        <w:snapToGrid w:val="0"/>
        <w:spacing w:line="360" w:lineRule="auto"/>
        <w:ind w:right="480"/>
        <w:jc w:val="both"/>
        <w:rPr>
          <w:rFonts w:hint="eastAsia" w:ascii="宋体" w:hAnsi="宋体" w:eastAsia="宋体" w:cs="宋体"/>
          <w:b/>
          <w:color w:val="auto"/>
          <w:kern w:val="0"/>
          <w:sz w:val="32"/>
          <w:szCs w:val="32"/>
          <w:highlight w:val="none"/>
          <w:lang w:val="en-US" w:eastAsia="zh-CN"/>
        </w:rPr>
      </w:pPr>
    </w:p>
    <w:p w14:paraId="15253D39">
      <w:pPr>
        <w:pStyle w:val="6"/>
        <w:rPr>
          <w:rFonts w:hint="eastAsia"/>
          <w:color w:val="auto"/>
          <w:highlight w:val="none"/>
          <w:lang w:val="en-US" w:eastAsia="zh-CN"/>
        </w:rPr>
      </w:pPr>
    </w:p>
    <w:p w14:paraId="76EE306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default" w:ascii="宋体" w:hAnsi="宋体" w:eastAsia="宋体" w:cs="宋体"/>
          <w:color w:val="auto"/>
          <w:highlight w:val="none"/>
          <w:lang w:val="en-US"/>
        </w:rPr>
      </w:pPr>
      <w:r>
        <w:rPr>
          <w:rFonts w:hint="eastAsia" w:ascii="宋体" w:hAnsi="宋体" w:eastAsia="宋体" w:cs="宋体"/>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提供由社保机构出具的该授权代表的社保证明（1.如该授权代表为离退休返聘人员的，需提供退休证明及单位聘用证明;2.如由第三方代理社保事项的，则需提供加盖供应商公章的委托代理协议扫描件）</w:t>
      </w:r>
      <w:r>
        <w:rPr>
          <w:rFonts w:hint="eastAsia" w:ascii="宋体" w:hAnsi="宋体" w:cs="宋体"/>
          <w:b/>
          <w:bCs w:val="0"/>
          <w:color w:val="auto"/>
          <w:kern w:val="0"/>
          <w:sz w:val="24"/>
          <w:szCs w:val="24"/>
          <w:highlight w:val="none"/>
          <w:lang w:val="en-US" w:eastAsia="zh-CN"/>
        </w:rPr>
        <w:t>及法定代表人及其授权代表身份证复印件（正反面）</w:t>
      </w:r>
    </w:p>
    <w:p w14:paraId="340AB929">
      <w:pPr>
        <w:jc w:val="both"/>
        <w:rPr>
          <w:rFonts w:hint="eastAsia" w:ascii="宋体" w:hAnsi="宋体" w:eastAsia="宋体" w:cs="宋体"/>
          <w:b/>
          <w:color w:val="auto"/>
          <w:kern w:val="0"/>
          <w:sz w:val="32"/>
          <w:szCs w:val="32"/>
          <w:highlight w:val="none"/>
        </w:rPr>
      </w:pPr>
    </w:p>
    <w:p w14:paraId="1DF98AB3">
      <w:pPr>
        <w:jc w:val="center"/>
        <w:rPr>
          <w:rFonts w:hint="eastAsia" w:ascii="宋体" w:hAnsi="宋体" w:eastAsia="宋体" w:cs="宋体"/>
          <w:b/>
          <w:bCs w:val="0"/>
          <w:color w:val="auto"/>
          <w:kern w:val="0"/>
          <w:sz w:val="32"/>
          <w:szCs w:val="32"/>
          <w:highlight w:val="none"/>
          <w:lang w:val="en-US" w:eastAsia="zh-CN"/>
        </w:rPr>
      </w:pPr>
    </w:p>
    <w:p w14:paraId="6094879A">
      <w:pPr>
        <w:jc w:val="center"/>
        <w:rPr>
          <w:rFonts w:hint="eastAsia" w:ascii="宋体" w:hAnsi="宋体" w:eastAsia="宋体" w:cs="宋体"/>
          <w:b/>
          <w:bCs w:val="0"/>
          <w:color w:val="auto"/>
          <w:kern w:val="0"/>
          <w:sz w:val="32"/>
          <w:szCs w:val="32"/>
          <w:highlight w:val="none"/>
          <w:lang w:val="en-US" w:eastAsia="zh-CN"/>
        </w:rPr>
      </w:pPr>
      <w:r>
        <w:rPr>
          <w:rFonts w:hint="eastAsia" w:ascii="宋体" w:hAnsi="宋体" w:eastAsia="宋体" w:cs="宋体"/>
          <w:b/>
          <w:bCs w:val="0"/>
          <w:color w:val="auto"/>
          <w:kern w:val="0"/>
          <w:sz w:val="32"/>
          <w:szCs w:val="32"/>
          <w:highlight w:val="none"/>
          <w:lang w:val="en-US" w:eastAsia="zh-CN"/>
        </w:rPr>
        <w:t>四、法定代表人及其授权代表身份证复印件（正反面）</w:t>
      </w:r>
    </w:p>
    <w:p w14:paraId="5A2654FD">
      <w:pPr>
        <w:rPr>
          <w:rFonts w:hint="eastAsia" w:ascii="宋体" w:hAnsi="宋体" w:eastAsia="宋体" w:cs="宋体"/>
          <w:color w:val="auto"/>
          <w:highlight w:val="none"/>
          <w:lang w:val="en-US" w:eastAsia="zh-CN"/>
        </w:rPr>
      </w:pPr>
    </w:p>
    <w:p w14:paraId="21FC8DA4">
      <w:pPr>
        <w:pStyle w:val="40"/>
        <w:rPr>
          <w:rFonts w:hint="eastAsia"/>
          <w:color w:val="auto"/>
          <w:highlight w:val="none"/>
          <w:lang w:val="en-US" w:eastAsia="zh-CN"/>
        </w:rPr>
      </w:pPr>
    </w:p>
    <w:p w14:paraId="331D9E1D">
      <w:pPr>
        <w:pStyle w:val="41"/>
        <w:rPr>
          <w:rFonts w:hint="eastAsia"/>
          <w:color w:val="auto"/>
          <w:highlight w:val="none"/>
          <w:lang w:val="en-US" w:eastAsia="zh-CN"/>
        </w:rPr>
      </w:pPr>
    </w:p>
    <w:p w14:paraId="6C1F6F27">
      <w:pPr>
        <w:rPr>
          <w:rFonts w:hint="eastAsia"/>
          <w:lang w:val="en-US" w:eastAsia="zh-CN"/>
        </w:rPr>
      </w:pPr>
    </w:p>
    <w:p w14:paraId="2421B6DB">
      <w:pPr>
        <w:rPr>
          <w:rFonts w:hint="eastAsia"/>
          <w:color w:val="auto"/>
          <w:highlight w:val="none"/>
          <w:lang w:val="en-US" w:eastAsia="zh-CN"/>
        </w:rPr>
      </w:pPr>
    </w:p>
    <w:p w14:paraId="37DE59B8">
      <w:pPr>
        <w:rPr>
          <w:rFonts w:hint="eastAsia"/>
          <w:color w:val="auto"/>
          <w:highlight w:val="none"/>
          <w:lang w:val="en-US" w:eastAsia="zh-CN"/>
        </w:rPr>
      </w:pPr>
    </w:p>
    <w:p w14:paraId="06A53F19">
      <w:pPr>
        <w:jc w:val="center"/>
        <w:rPr>
          <w:rFonts w:hint="eastAsia" w:ascii="宋体" w:hAnsi="宋体" w:eastAsia="宋体" w:cs="宋体"/>
          <w:b/>
          <w:color w:val="auto"/>
          <w:kern w:val="0"/>
          <w:sz w:val="32"/>
          <w:szCs w:val="32"/>
          <w:highlight w:val="none"/>
          <w:lang w:val="en-US" w:eastAsia="zh-CN"/>
        </w:rPr>
      </w:pPr>
      <w:r>
        <w:rPr>
          <w:rFonts w:hint="eastAsia" w:ascii="宋体" w:hAnsi="宋体" w:cs="宋体"/>
          <w:b/>
          <w:bCs w:val="0"/>
          <w:color w:val="auto"/>
          <w:kern w:val="0"/>
          <w:sz w:val="32"/>
          <w:szCs w:val="32"/>
          <w:highlight w:val="none"/>
          <w:lang w:val="en-US" w:eastAsia="zh-CN"/>
        </w:rPr>
        <w:t>五</w:t>
      </w:r>
      <w:r>
        <w:rPr>
          <w:rFonts w:hint="eastAsia" w:ascii="宋体" w:hAnsi="宋体" w:eastAsia="宋体" w:cs="宋体"/>
          <w:b/>
          <w:bCs w:val="0"/>
          <w:color w:val="auto"/>
          <w:kern w:val="0"/>
          <w:sz w:val="32"/>
          <w:szCs w:val="32"/>
          <w:highlight w:val="none"/>
          <w:lang w:val="en-US" w:eastAsia="zh-CN"/>
        </w:rPr>
        <w:t>、评分索引表</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650"/>
        <w:gridCol w:w="2476"/>
        <w:gridCol w:w="992"/>
        <w:gridCol w:w="1276"/>
        <w:gridCol w:w="1134"/>
      </w:tblGrid>
      <w:tr w14:paraId="4AE09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exact"/>
          <w:jc w:val="center"/>
        </w:trPr>
        <w:tc>
          <w:tcPr>
            <w:tcW w:w="944" w:type="dxa"/>
            <w:noWrap w:val="0"/>
            <w:vAlign w:val="center"/>
          </w:tcPr>
          <w:p w14:paraId="7E136DCD">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650" w:type="dxa"/>
            <w:noWrap w:val="0"/>
            <w:vAlign w:val="center"/>
          </w:tcPr>
          <w:p w14:paraId="597157F4">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评审内容</w:t>
            </w:r>
          </w:p>
        </w:tc>
        <w:tc>
          <w:tcPr>
            <w:tcW w:w="2476" w:type="dxa"/>
            <w:noWrap w:val="0"/>
            <w:vAlign w:val="center"/>
          </w:tcPr>
          <w:p w14:paraId="774D7E1C">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评分细则及要求</w:t>
            </w:r>
          </w:p>
        </w:tc>
        <w:tc>
          <w:tcPr>
            <w:tcW w:w="992" w:type="dxa"/>
            <w:noWrap w:val="0"/>
            <w:vAlign w:val="center"/>
          </w:tcPr>
          <w:p w14:paraId="1FECE1E7">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1276" w:type="dxa"/>
            <w:noWrap w:val="0"/>
            <w:vAlign w:val="center"/>
          </w:tcPr>
          <w:p w14:paraId="2E975B66">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对应页码</w:t>
            </w:r>
          </w:p>
        </w:tc>
        <w:tc>
          <w:tcPr>
            <w:tcW w:w="1134" w:type="dxa"/>
            <w:noWrap w:val="0"/>
            <w:vAlign w:val="center"/>
          </w:tcPr>
          <w:p w14:paraId="61DF96A1">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自评分</w:t>
            </w:r>
          </w:p>
        </w:tc>
      </w:tr>
      <w:tr w14:paraId="470AA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944" w:type="dxa"/>
            <w:noWrap w:val="0"/>
            <w:vAlign w:val="center"/>
          </w:tcPr>
          <w:p w14:paraId="3C6F28B2">
            <w:pPr>
              <w:adjustRightInd/>
              <w:spacing w:line="380" w:lineRule="exact"/>
              <w:jc w:val="center"/>
              <w:outlineLvl w:val="9"/>
              <w:rPr>
                <w:rFonts w:hint="eastAsia" w:ascii="宋体" w:hAnsi="宋体" w:eastAsia="宋体" w:cs="宋体"/>
                <w:color w:val="auto"/>
                <w:sz w:val="24"/>
                <w:szCs w:val="24"/>
                <w:highlight w:val="none"/>
              </w:rPr>
            </w:pPr>
          </w:p>
        </w:tc>
        <w:tc>
          <w:tcPr>
            <w:tcW w:w="1650" w:type="dxa"/>
            <w:noWrap w:val="0"/>
            <w:vAlign w:val="center"/>
          </w:tcPr>
          <w:p w14:paraId="0935DD60">
            <w:pPr>
              <w:adjustRightInd/>
              <w:spacing w:line="380" w:lineRule="exact"/>
              <w:jc w:val="center"/>
              <w:outlineLvl w:val="9"/>
              <w:rPr>
                <w:rFonts w:hint="eastAsia" w:ascii="宋体" w:hAnsi="宋体" w:eastAsia="宋体" w:cs="宋体"/>
                <w:color w:val="auto"/>
                <w:sz w:val="24"/>
                <w:szCs w:val="24"/>
                <w:highlight w:val="none"/>
              </w:rPr>
            </w:pPr>
          </w:p>
        </w:tc>
        <w:tc>
          <w:tcPr>
            <w:tcW w:w="2476" w:type="dxa"/>
            <w:noWrap w:val="0"/>
            <w:vAlign w:val="center"/>
          </w:tcPr>
          <w:p w14:paraId="0C6E72E1">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6B5C7936">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0C52585D">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26FA6CAD">
            <w:pPr>
              <w:adjustRightInd/>
              <w:spacing w:line="380" w:lineRule="exact"/>
              <w:jc w:val="center"/>
              <w:outlineLvl w:val="9"/>
              <w:rPr>
                <w:rFonts w:hint="eastAsia" w:ascii="宋体" w:hAnsi="宋体" w:eastAsia="宋体" w:cs="宋体"/>
                <w:color w:val="auto"/>
                <w:sz w:val="24"/>
                <w:szCs w:val="24"/>
                <w:highlight w:val="none"/>
              </w:rPr>
            </w:pPr>
          </w:p>
        </w:tc>
      </w:tr>
      <w:tr w14:paraId="34A04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944" w:type="dxa"/>
            <w:noWrap w:val="0"/>
            <w:vAlign w:val="center"/>
          </w:tcPr>
          <w:p w14:paraId="71287057">
            <w:pPr>
              <w:adjustRightInd/>
              <w:spacing w:line="380" w:lineRule="exact"/>
              <w:jc w:val="center"/>
              <w:outlineLvl w:val="9"/>
              <w:rPr>
                <w:rFonts w:hint="eastAsia" w:ascii="宋体" w:hAnsi="宋体" w:eastAsia="宋体" w:cs="宋体"/>
                <w:color w:val="auto"/>
                <w:sz w:val="24"/>
                <w:szCs w:val="24"/>
                <w:highlight w:val="none"/>
              </w:rPr>
            </w:pPr>
          </w:p>
        </w:tc>
        <w:tc>
          <w:tcPr>
            <w:tcW w:w="1650" w:type="dxa"/>
            <w:noWrap w:val="0"/>
            <w:vAlign w:val="center"/>
          </w:tcPr>
          <w:p w14:paraId="0EAD1691">
            <w:pPr>
              <w:adjustRightInd/>
              <w:spacing w:line="380" w:lineRule="exact"/>
              <w:jc w:val="center"/>
              <w:outlineLvl w:val="9"/>
              <w:rPr>
                <w:rFonts w:hint="eastAsia" w:ascii="宋体" w:hAnsi="宋体" w:eastAsia="宋体" w:cs="宋体"/>
                <w:color w:val="auto"/>
                <w:sz w:val="24"/>
                <w:szCs w:val="24"/>
                <w:highlight w:val="none"/>
              </w:rPr>
            </w:pPr>
          </w:p>
        </w:tc>
        <w:tc>
          <w:tcPr>
            <w:tcW w:w="2476" w:type="dxa"/>
            <w:noWrap w:val="0"/>
            <w:vAlign w:val="center"/>
          </w:tcPr>
          <w:p w14:paraId="784F428A">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36F69B76">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0ECA82DF">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18F02999">
            <w:pPr>
              <w:adjustRightInd/>
              <w:spacing w:line="380" w:lineRule="exact"/>
              <w:jc w:val="center"/>
              <w:outlineLvl w:val="9"/>
              <w:rPr>
                <w:rFonts w:hint="eastAsia" w:ascii="宋体" w:hAnsi="宋体" w:eastAsia="宋体" w:cs="宋体"/>
                <w:color w:val="auto"/>
                <w:sz w:val="24"/>
                <w:szCs w:val="24"/>
                <w:highlight w:val="none"/>
              </w:rPr>
            </w:pPr>
          </w:p>
        </w:tc>
      </w:tr>
      <w:tr w14:paraId="0674C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944" w:type="dxa"/>
            <w:noWrap w:val="0"/>
            <w:vAlign w:val="center"/>
          </w:tcPr>
          <w:p w14:paraId="6F840A44">
            <w:pPr>
              <w:adjustRightInd/>
              <w:spacing w:line="380" w:lineRule="exact"/>
              <w:jc w:val="center"/>
              <w:outlineLvl w:val="9"/>
              <w:rPr>
                <w:rFonts w:hint="eastAsia" w:ascii="宋体" w:hAnsi="宋体" w:eastAsia="宋体" w:cs="宋体"/>
                <w:color w:val="auto"/>
                <w:sz w:val="24"/>
                <w:szCs w:val="24"/>
                <w:highlight w:val="none"/>
              </w:rPr>
            </w:pPr>
          </w:p>
        </w:tc>
        <w:tc>
          <w:tcPr>
            <w:tcW w:w="1650" w:type="dxa"/>
            <w:noWrap w:val="0"/>
            <w:vAlign w:val="center"/>
          </w:tcPr>
          <w:p w14:paraId="2E11CA86">
            <w:pPr>
              <w:adjustRightInd/>
              <w:spacing w:line="380" w:lineRule="exact"/>
              <w:jc w:val="center"/>
              <w:outlineLvl w:val="9"/>
              <w:rPr>
                <w:rFonts w:hint="eastAsia" w:ascii="宋体" w:hAnsi="宋体" w:eastAsia="宋体" w:cs="宋体"/>
                <w:color w:val="auto"/>
                <w:sz w:val="24"/>
                <w:szCs w:val="24"/>
                <w:highlight w:val="none"/>
              </w:rPr>
            </w:pPr>
          </w:p>
        </w:tc>
        <w:tc>
          <w:tcPr>
            <w:tcW w:w="2476" w:type="dxa"/>
            <w:noWrap w:val="0"/>
            <w:vAlign w:val="center"/>
          </w:tcPr>
          <w:p w14:paraId="7AC6CCC1">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0F6F05B6">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0295B8EB">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4CBA0856">
            <w:pPr>
              <w:adjustRightInd/>
              <w:spacing w:line="380" w:lineRule="exact"/>
              <w:jc w:val="center"/>
              <w:outlineLvl w:val="9"/>
              <w:rPr>
                <w:rFonts w:hint="eastAsia" w:ascii="宋体" w:hAnsi="宋体" w:eastAsia="宋体" w:cs="宋体"/>
                <w:color w:val="auto"/>
                <w:sz w:val="24"/>
                <w:szCs w:val="24"/>
                <w:highlight w:val="none"/>
              </w:rPr>
            </w:pPr>
          </w:p>
        </w:tc>
      </w:tr>
      <w:tr w14:paraId="329F8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944" w:type="dxa"/>
            <w:noWrap w:val="0"/>
            <w:vAlign w:val="center"/>
          </w:tcPr>
          <w:p w14:paraId="5968F410">
            <w:pPr>
              <w:adjustRightInd/>
              <w:spacing w:line="380" w:lineRule="exact"/>
              <w:jc w:val="center"/>
              <w:outlineLvl w:val="9"/>
              <w:rPr>
                <w:rFonts w:hint="eastAsia" w:ascii="宋体" w:hAnsi="宋体" w:eastAsia="宋体" w:cs="宋体"/>
                <w:color w:val="auto"/>
                <w:sz w:val="24"/>
                <w:szCs w:val="24"/>
                <w:highlight w:val="none"/>
              </w:rPr>
            </w:pPr>
          </w:p>
        </w:tc>
        <w:tc>
          <w:tcPr>
            <w:tcW w:w="1650" w:type="dxa"/>
            <w:noWrap w:val="0"/>
            <w:vAlign w:val="center"/>
          </w:tcPr>
          <w:p w14:paraId="3653995E">
            <w:pPr>
              <w:adjustRightInd/>
              <w:spacing w:line="380" w:lineRule="exact"/>
              <w:jc w:val="center"/>
              <w:outlineLvl w:val="9"/>
              <w:rPr>
                <w:rFonts w:hint="eastAsia" w:ascii="宋体" w:hAnsi="宋体" w:eastAsia="宋体" w:cs="宋体"/>
                <w:color w:val="auto"/>
                <w:sz w:val="24"/>
                <w:szCs w:val="24"/>
                <w:highlight w:val="none"/>
              </w:rPr>
            </w:pPr>
          </w:p>
        </w:tc>
        <w:tc>
          <w:tcPr>
            <w:tcW w:w="2476" w:type="dxa"/>
            <w:noWrap w:val="0"/>
            <w:vAlign w:val="center"/>
          </w:tcPr>
          <w:p w14:paraId="70F26217">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295BDC95">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04AF54E7">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07EF42D4">
            <w:pPr>
              <w:adjustRightInd/>
              <w:spacing w:line="380" w:lineRule="exact"/>
              <w:jc w:val="center"/>
              <w:outlineLvl w:val="9"/>
              <w:rPr>
                <w:rFonts w:hint="eastAsia" w:ascii="宋体" w:hAnsi="宋体" w:eastAsia="宋体" w:cs="宋体"/>
                <w:color w:val="auto"/>
                <w:sz w:val="24"/>
                <w:szCs w:val="24"/>
                <w:highlight w:val="none"/>
              </w:rPr>
            </w:pPr>
          </w:p>
        </w:tc>
      </w:tr>
      <w:tr w14:paraId="19EFD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944" w:type="dxa"/>
            <w:noWrap w:val="0"/>
            <w:vAlign w:val="center"/>
          </w:tcPr>
          <w:p w14:paraId="3B3A7DFC">
            <w:pPr>
              <w:adjustRightInd/>
              <w:spacing w:line="380" w:lineRule="exact"/>
              <w:jc w:val="center"/>
              <w:outlineLvl w:val="9"/>
              <w:rPr>
                <w:rFonts w:hint="eastAsia" w:ascii="宋体" w:hAnsi="宋体" w:eastAsia="宋体" w:cs="宋体"/>
                <w:color w:val="auto"/>
                <w:sz w:val="24"/>
                <w:szCs w:val="24"/>
                <w:highlight w:val="none"/>
              </w:rPr>
            </w:pPr>
          </w:p>
        </w:tc>
        <w:tc>
          <w:tcPr>
            <w:tcW w:w="1650" w:type="dxa"/>
            <w:noWrap w:val="0"/>
            <w:vAlign w:val="center"/>
          </w:tcPr>
          <w:p w14:paraId="1C59C9E5">
            <w:pPr>
              <w:adjustRightInd/>
              <w:spacing w:line="380" w:lineRule="exact"/>
              <w:jc w:val="center"/>
              <w:outlineLvl w:val="9"/>
              <w:rPr>
                <w:rFonts w:hint="eastAsia" w:ascii="宋体" w:hAnsi="宋体" w:eastAsia="宋体" w:cs="宋体"/>
                <w:color w:val="auto"/>
                <w:sz w:val="24"/>
                <w:szCs w:val="24"/>
                <w:highlight w:val="none"/>
              </w:rPr>
            </w:pPr>
          </w:p>
        </w:tc>
        <w:tc>
          <w:tcPr>
            <w:tcW w:w="2476" w:type="dxa"/>
            <w:noWrap w:val="0"/>
            <w:vAlign w:val="center"/>
          </w:tcPr>
          <w:p w14:paraId="4D5FF9C0">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7E0CC07B">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0D3848B1">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6FA93E61">
            <w:pPr>
              <w:adjustRightInd/>
              <w:spacing w:line="380" w:lineRule="exact"/>
              <w:jc w:val="center"/>
              <w:outlineLvl w:val="9"/>
              <w:rPr>
                <w:rFonts w:hint="eastAsia" w:ascii="宋体" w:hAnsi="宋体" w:eastAsia="宋体" w:cs="宋体"/>
                <w:color w:val="auto"/>
                <w:sz w:val="24"/>
                <w:szCs w:val="24"/>
                <w:highlight w:val="none"/>
              </w:rPr>
            </w:pPr>
          </w:p>
        </w:tc>
      </w:tr>
    </w:tbl>
    <w:p w14:paraId="0C3966B9">
      <w:pPr>
        <w:keepNext w:val="0"/>
        <w:keepLines w:val="0"/>
        <w:pageBreakBefore w:val="0"/>
        <w:widowControl w:val="0"/>
        <w:kinsoku/>
        <w:wordWrap/>
        <w:overflowPunct/>
        <w:topLinePunct w:val="0"/>
        <w:autoSpaceDE/>
        <w:autoSpaceDN/>
        <w:bidi w:val="0"/>
        <w:adjustRightInd w:val="0"/>
        <w:snapToGrid/>
        <w:spacing w:line="360" w:lineRule="auto"/>
        <w:ind w:firstLine="240" w:firstLineChars="100"/>
        <w:jc w:val="both"/>
        <w:textAlignment w:val="auto"/>
        <w:rPr>
          <w:rFonts w:hint="eastAsia"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对应第四部分评标方法及标准（报价除外）</w:t>
      </w:r>
    </w:p>
    <w:p w14:paraId="7856BD20">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宋体" w:hAnsi="宋体" w:eastAsia="宋体" w:cs="宋体"/>
          <w:b/>
          <w:color w:val="auto"/>
          <w:kern w:val="0"/>
          <w:sz w:val="32"/>
          <w:szCs w:val="32"/>
          <w:highlight w:val="none"/>
          <w:lang w:eastAsia="zh-CN"/>
        </w:rPr>
      </w:pPr>
    </w:p>
    <w:p w14:paraId="7333B96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eastAsia="zh-CN"/>
        </w:rPr>
      </w:pPr>
    </w:p>
    <w:p w14:paraId="05DDB28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3C36399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223D082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5E39A3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2B5015E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3E2263A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7140478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244C839D">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en-US" w:eastAsia="zh-CN"/>
        </w:rPr>
        <w:t>六、</w:t>
      </w:r>
      <w:r>
        <w:rPr>
          <w:rFonts w:hint="eastAsia" w:ascii="宋体" w:hAnsi="宋体" w:eastAsia="宋体" w:cs="宋体"/>
          <w:b/>
          <w:color w:val="auto"/>
          <w:kern w:val="0"/>
          <w:sz w:val="32"/>
          <w:szCs w:val="32"/>
          <w:highlight w:val="none"/>
        </w:rPr>
        <w:t>商务</w:t>
      </w:r>
      <w:r>
        <w:rPr>
          <w:rFonts w:hint="eastAsia" w:ascii="宋体" w:hAnsi="宋体" w:eastAsia="宋体" w:cs="宋体"/>
          <w:b/>
          <w:color w:val="auto"/>
          <w:kern w:val="0"/>
          <w:sz w:val="32"/>
          <w:szCs w:val="32"/>
          <w:highlight w:val="none"/>
          <w:lang w:val="en-US" w:eastAsia="zh-CN"/>
        </w:rPr>
        <w:t>偏离</w:t>
      </w:r>
      <w:r>
        <w:rPr>
          <w:rFonts w:hint="eastAsia" w:ascii="宋体" w:hAnsi="宋体" w:eastAsia="宋体" w:cs="宋体"/>
          <w:b/>
          <w:color w:val="auto"/>
          <w:kern w:val="0"/>
          <w:sz w:val="32"/>
          <w:szCs w:val="32"/>
          <w:highlight w:val="none"/>
        </w:rPr>
        <w:t>表</w:t>
      </w:r>
    </w:p>
    <w:p w14:paraId="31967C11">
      <w:pPr>
        <w:pStyle w:val="6"/>
        <w:numPr>
          <w:ilvl w:val="0"/>
          <w:numId w:val="0"/>
        </w:numPr>
        <w:rPr>
          <w:rFonts w:hint="eastAsia" w:ascii="宋体" w:hAnsi="宋体" w:eastAsia="宋体" w:cs="宋体"/>
          <w:color w:val="auto"/>
          <w:highlight w:val="none"/>
        </w:rPr>
      </w:pPr>
    </w:p>
    <w:tbl>
      <w:tblPr>
        <w:tblStyle w:val="3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75B7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141280FE">
            <w:pPr>
              <w:keepNext w:val="0"/>
              <w:keepLines w:val="0"/>
              <w:suppressLineNumbers w:val="0"/>
              <w:adjustRightInd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vAlign w:val="center"/>
          </w:tcPr>
          <w:p w14:paraId="3B024A2A">
            <w:pPr>
              <w:keepNext w:val="0"/>
              <w:keepLines w:val="0"/>
              <w:suppressLineNumbers w:val="0"/>
              <w:adjustRightInd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vAlign w:val="center"/>
          </w:tcPr>
          <w:p w14:paraId="2678A0B6">
            <w:pPr>
              <w:keepNext w:val="0"/>
              <w:keepLines w:val="0"/>
              <w:suppressLineNumbers w:val="0"/>
              <w:adjustRightInd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vAlign w:val="center"/>
          </w:tcPr>
          <w:p w14:paraId="411AE3B8">
            <w:pPr>
              <w:keepNext w:val="0"/>
              <w:keepLines w:val="0"/>
              <w:suppressLineNumbers w:val="0"/>
              <w:adjustRightInd w:val="0"/>
              <w:spacing w:before="0" w:beforeAutospacing="0" w:after="0" w:afterAutospacing="0"/>
              <w:ind w:left="0" w:right="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2CD3B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5D9F09AF">
            <w:pPr>
              <w:keepNext w:val="0"/>
              <w:keepLines w:val="0"/>
              <w:suppressLineNumbers w:val="0"/>
              <w:adjustRightInd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vAlign w:val="center"/>
          </w:tcPr>
          <w:p w14:paraId="49F59A56">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546" w:type="dxa"/>
            <w:vAlign w:val="center"/>
          </w:tcPr>
          <w:p w14:paraId="216D6B81">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76" w:type="dxa"/>
            <w:vAlign w:val="center"/>
          </w:tcPr>
          <w:p w14:paraId="69DB9B1A">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r w14:paraId="57F69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3A858DBE">
            <w:pPr>
              <w:keepNext w:val="0"/>
              <w:keepLines w:val="0"/>
              <w:suppressLineNumbers w:val="0"/>
              <w:adjustRightInd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vAlign w:val="center"/>
          </w:tcPr>
          <w:p w14:paraId="52C5E5E5">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546" w:type="dxa"/>
            <w:vAlign w:val="center"/>
          </w:tcPr>
          <w:p w14:paraId="096F75EC">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76" w:type="dxa"/>
            <w:vAlign w:val="center"/>
          </w:tcPr>
          <w:p w14:paraId="28623B70">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r w14:paraId="058AE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12E6626B">
            <w:pPr>
              <w:keepNext w:val="0"/>
              <w:keepLines w:val="0"/>
              <w:suppressLineNumbers w:val="0"/>
              <w:adjustRightInd w:val="0"/>
              <w:spacing w:before="0" w:beforeAutospacing="0" w:after="0" w:afterAutospacing="0"/>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vAlign w:val="center"/>
          </w:tcPr>
          <w:p w14:paraId="0356AD4A">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3546" w:type="dxa"/>
            <w:vAlign w:val="center"/>
          </w:tcPr>
          <w:p w14:paraId="39B0BBBB">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c>
          <w:tcPr>
            <w:tcW w:w="1276" w:type="dxa"/>
            <w:vAlign w:val="center"/>
          </w:tcPr>
          <w:p w14:paraId="55617BEE">
            <w:pPr>
              <w:keepNext w:val="0"/>
              <w:keepLines w:val="0"/>
              <w:suppressLineNumbers w:val="0"/>
              <w:adjustRightInd w:val="0"/>
              <w:spacing w:before="0" w:beforeAutospacing="0" w:after="0" w:afterAutospacing="0"/>
              <w:ind w:left="0" w:right="0"/>
              <w:jc w:val="center"/>
              <w:rPr>
                <w:rFonts w:hint="eastAsia" w:ascii="宋体" w:hAnsi="宋体" w:eastAsia="宋体" w:cs="宋体"/>
                <w:b/>
                <w:color w:val="auto"/>
                <w:kern w:val="0"/>
                <w:sz w:val="32"/>
                <w:szCs w:val="32"/>
                <w:highlight w:val="none"/>
              </w:rPr>
            </w:pPr>
          </w:p>
        </w:tc>
      </w:tr>
    </w:tbl>
    <w:p w14:paraId="40BFB9BC">
      <w:pPr>
        <w:keepNext w:val="0"/>
        <w:keepLines w:val="0"/>
        <w:pageBreakBefore w:val="0"/>
        <w:widowControl w:val="0"/>
        <w:kinsoku/>
        <w:wordWrap/>
        <w:overflowPunct/>
        <w:topLinePunct w:val="0"/>
        <w:autoSpaceDE/>
        <w:autoSpaceDN/>
        <w:bidi w:val="0"/>
        <w:adjustRightInd w:val="0"/>
        <w:snapToGrid/>
        <w:spacing w:before="157" w:beforeLines="50"/>
        <w:jc w:val="left"/>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投标人保证：除商务技术偏离表列出的偏离外，投标人响应招标文件的全部要求</w:t>
      </w:r>
      <w:r>
        <w:rPr>
          <w:rFonts w:hint="eastAsia" w:ascii="宋体" w:hAnsi="宋体" w:eastAsia="宋体" w:cs="宋体"/>
          <w:color w:val="auto"/>
          <w:kern w:val="0"/>
          <w:sz w:val="24"/>
          <w:highlight w:val="none"/>
          <w:lang w:eastAsia="zh-CN"/>
        </w:rPr>
        <w:t>。</w:t>
      </w:r>
    </w:p>
    <w:p w14:paraId="5310214E">
      <w:pPr>
        <w:adjustRightInd w:val="0"/>
        <w:jc w:val="center"/>
        <w:rPr>
          <w:rFonts w:hint="eastAsia" w:ascii="宋体" w:hAnsi="宋体" w:eastAsia="宋体" w:cs="宋体"/>
          <w:b/>
          <w:color w:val="auto"/>
          <w:kern w:val="0"/>
          <w:sz w:val="32"/>
          <w:szCs w:val="32"/>
          <w:highlight w:val="none"/>
        </w:rPr>
      </w:pPr>
    </w:p>
    <w:p w14:paraId="1F5FA8F7">
      <w:pPr>
        <w:snapToGrid w:val="0"/>
        <w:spacing w:beforeLines="50" w:line="360" w:lineRule="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注：按本格式和要求提供。</w:t>
      </w:r>
    </w:p>
    <w:p w14:paraId="46671ED2">
      <w:pPr>
        <w:snapToGrid w:val="0"/>
        <w:spacing w:before="50" w:after="50" w:line="600" w:lineRule="exact"/>
        <w:rPr>
          <w:rFonts w:hint="eastAsia" w:ascii="宋体" w:hAnsi="宋体" w:eastAsia="宋体" w:cs="宋体"/>
          <w:color w:val="auto"/>
          <w:spacing w:val="20"/>
          <w:szCs w:val="21"/>
          <w:highlight w:val="none"/>
          <w:u w:val="single"/>
        </w:rPr>
      </w:pPr>
      <w:r>
        <w:rPr>
          <w:rFonts w:hint="eastAsia" w:ascii="宋体" w:hAnsi="宋体" w:eastAsia="宋体" w:cs="宋体"/>
          <w:color w:val="auto"/>
          <w:szCs w:val="21"/>
          <w:highlight w:val="none"/>
        </w:rPr>
        <w:t xml:space="preserve"> </w:t>
      </w:r>
    </w:p>
    <w:p w14:paraId="6797AE0A">
      <w:pPr>
        <w:snapToGrid w:val="0"/>
        <w:spacing w:before="50" w:after="50" w:line="600" w:lineRule="exact"/>
        <w:rPr>
          <w:rFonts w:hint="eastAsia" w:ascii="宋体" w:hAnsi="宋体" w:cs="宋体"/>
          <w:color w:val="auto"/>
          <w:szCs w:val="21"/>
          <w:highlight w:val="none"/>
          <w:lang w:val="en-US" w:eastAsia="zh-CN"/>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 xml:space="preserve">                                          </w:t>
      </w:r>
    </w:p>
    <w:p w14:paraId="0C3EE76B">
      <w:pPr>
        <w:snapToGrid w:val="0"/>
        <w:spacing w:before="50" w:after="50" w:line="600" w:lineRule="exact"/>
        <w:rPr>
          <w:rFonts w:hint="eastAsia" w:ascii="宋体" w:hAnsi="宋体" w:cs="宋体"/>
          <w:color w:val="auto"/>
          <w:szCs w:val="21"/>
          <w:highlight w:val="none"/>
          <w:lang w:val="en-US" w:eastAsia="zh-CN"/>
        </w:rPr>
      </w:pPr>
    </w:p>
    <w:p w14:paraId="3E0B08E0">
      <w:pPr>
        <w:snapToGrid w:val="0"/>
        <w:spacing w:before="50" w:after="50" w:line="600" w:lineRule="exact"/>
        <w:ind w:firstLine="5280" w:firstLineChars="2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电子签名</w:t>
      </w:r>
      <w:r>
        <w:rPr>
          <w:rFonts w:hint="eastAsia" w:ascii="宋体" w:hAnsi="宋体" w:eastAsia="宋体" w:cs="宋体"/>
          <w:color w:val="auto"/>
          <w:szCs w:val="21"/>
          <w:highlight w:val="none"/>
        </w:rPr>
        <w:t>）：</w:t>
      </w:r>
    </w:p>
    <w:p w14:paraId="64E7630A">
      <w:pPr>
        <w:snapToGrid w:val="0"/>
        <w:spacing w:before="50" w:after="50" w:line="600" w:lineRule="exact"/>
        <w:rPr>
          <w:rFonts w:hint="eastAsia" w:ascii="宋体" w:hAnsi="宋体" w:eastAsia="宋体" w:cs="宋体"/>
          <w:color w:val="auto"/>
          <w:szCs w:val="21"/>
          <w:highlight w:val="none"/>
        </w:rPr>
      </w:pPr>
      <w:r>
        <w:rPr>
          <w:rFonts w:hint="eastAsia" w:ascii="宋体" w:hAnsi="宋体" w:eastAsia="宋体" w:cs="宋体"/>
          <w:color w:val="auto"/>
          <w:spacing w:val="20"/>
          <w:szCs w:val="21"/>
          <w:highlight w:val="none"/>
        </w:rPr>
        <w:t xml:space="preserve">  </w:t>
      </w:r>
      <w:r>
        <w:rPr>
          <w:rFonts w:hint="eastAsia" w:ascii="宋体" w:hAnsi="宋体" w:cs="宋体"/>
          <w:color w:val="auto"/>
          <w:spacing w:val="20"/>
          <w:szCs w:val="21"/>
          <w:highlight w:val="none"/>
          <w:lang w:val="en-US" w:eastAsia="zh-CN"/>
        </w:rPr>
        <w:t xml:space="preserve">                               </w:t>
      </w:r>
      <w:r>
        <w:rPr>
          <w:rFonts w:hint="eastAsia" w:ascii="宋体" w:hAnsi="宋体" w:eastAsia="宋体" w:cs="宋体"/>
          <w:color w:val="auto"/>
          <w:spacing w:val="20"/>
          <w:szCs w:val="21"/>
          <w:highlight w:val="none"/>
        </w:rPr>
        <w:t>日         期：</w:t>
      </w:r>
    </w:p>
    <w:p w14:paraId="4064F21E">
      <w:pPr>
        <w:spacing w:line="360" w:lineRule="auto"/>
        <w:rPr>
          <w:rFonts w:hint="eastAsia" w:ascii="宋体" w:hAnsi="宋体" w:eastAsia="宋体" w:cs="宋体"/>
          <w:b/>
          <w:bCs/>
          <w:color w:val="auto"/>
          <w:szCs w:val="21"/>
          <w:highlight w:val="none"/>
        </w:rPr>
      </w:pPr>
    </w:p>
    <w:p w14:paraId="61F35A3D">
      <w:pPr>
        <w:spacing w:line="480" w:lineRule="exact"/>
        <w:ind w:right="-108" w:firstLine="720"/>
        <w:jc w:val="center"/>
        <w:rPr>
          <w:rFonts w:hint="eastAsia" w:ascii="宋体" w:hAnsi="宋体" w:eastAsia="宋体" w:cs="宋体"/>
          <w:color w:val="auto"/>
          <w:highlight w:val="none"/>
        </w:rPr>
      </w:pPr>
    </w:p>
    <w:p w14:paraId="2345AB9C">
      <w:pPr>
        <w:spacing w:line="360" w:lineRule="auto"/>
        <w:ind w:right="420"/>
        <w:rPr>
          <w:rFonts w:hint="eastAsia" w:ascii="宋体" w:hAnsi="宋体" w:eastAsia="宋体" w:cs="宋体"/>
          <w:b/>
          <w:bCs/>
          <w:color w:val="auto"/>
          <w:sz w:val="32"/>
          <w:szCs w:val="32"/>
          <w:highlight w:val="none"/>
        </w:rPr>
      </w:pPr>
    </w:p>
    <w:p w14:paraId="6465241B">
      <w:pPr>
        <w:widowControl/>
        <w:adjustRightInd/>
        <w:jc w:val="left"/>
        <w:rPr>
          <w:rFonts w:hint="eastAsia" w:ascii="宋体" w:hAnsi="宋体" w:eastAsia="宋体" w:cs="宋体"/>
          <w:b/>
          <w:bCs/>
          <w:color w:val="auto"/>
          <w:sz w:val="32"/>
          <w:szCs w:val="32"/>
          <w:highlight w:val="none"/>
          <w:lang w:eastAsia="zh-CN"/>
        </w:rPr>
      </w:pPr>
    </w:p>
    <w:p w14:paraId="7428E7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6AEE15D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p>
    <w:p w14:paraId="626C0EF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ascii="宋体" w:hAnsi="宋体" w:eastAsia="宋体" w:cs="宋体"/>
          <w:b/>
          <w:color w:val="auto"/>
          <w:kern w:val="0"/>
          <w:sz w:val="32"/>
          <w:szCs w:val="32"/>
          <w:highlight w:val="none"/>
          <w:lang w:val="en-US" w:eastAsia="zh-CN"/>
        </w:rPr>
      </w:pPr>
    </w:p>
    <w:p w14:paraId="00B485F6">
      <w:pPr>
        <w:jc w:val="center"/>
        <w:rPr>
          <w:rFonts w:hint="eastAsia" w:ascii="宋体" w:hAnsi="宋体" w:eastAsia="宋体" w:cs="宋体"/>
          <w:b/>
          <w:color w:val="auto"/>
          <w:kern w:val="0"/>
          <w:sz w:val="32"/>
          <w:szCs w:val="32"/>
          <w:highlight w:val="none"/>
        </w:rPr>
      </w:pPr>
    </w:p>
    <w:p w14:paraId="6A85A798">
      <w:pPr>
        <w:jc w:val="center"/>
        <w:rPr>
          <w:rFonts w:hint="eastAsia" w:ascii="宋体" w:hAnsi="宋体" w:eastAsia="宋体" w:cs="宋体"/>
          <w:b/>
          <w:color w:val="auto"/>
          <w:kern w:val="0"/>
          <w:sz w:val="32"/>
          <w:szCs w:val="32"/>
          <w:highlight w:val="none"/>
          <w:lang w:val="en-US" w:eastAsia="zh-CN"/>
        </w:rPr>
      </w:pPr>
    </w:p>
    <w:p w14:paraId="366D78FD">
      <w:pPr>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七、技术偏离表</w:t>
      </w:r>
    </w:p>
    <w:tbl>
      <w:tblPr>
        <w:tblStyle w:val="3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F40A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725E7D5F">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vAlign w:val="center"/>
          </w:tcPr>
          <w:p w14:paraId="7E0EF5C5">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招标文件章节及具体内容</w:t>
            </w:r>
          </w:p>
        </w:tc>
        <w:tc>
          <w:tcPr>
            <w:tcW w:w="3546" w:type="dxa"/>
            <w:vAlign w:val="center"/>
          </w:tcPr>
          <w:p w14:paraId="66771617">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投标文件章节及具体内容</w:t>
            </w:r>
          </w:p>
        </w:tc>
        <w:tc>
          <w:tcPr>
            <w:tcW w:w="1276" w:type="dxa"/>
            <w:vAlign w:val="center"/>
          </w:tcPr>
          <w:p w14:paraId="4BA4FBE0">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2E122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5893084F">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vAlign w:val="center"/>
          </w:tcPr>
          <w:p w14:paraId="0C820776">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72153608">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5C5A788F">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5A44B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7577902">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vAlign w:val="center"/>
          </w:tcPr>
          <w:p w14:paraId="41ECC0B5">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3B5C3CBF">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6E8EF5FE">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338F3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3520B95">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4EC395C7">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155EB2EC">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626C98F8">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3FF85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455EC9D4">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2106A9C8">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27B959A3">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5CFAFFB5">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4E47E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4258EB02">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0A6ED65B">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7480343C">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783D2FBE">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7D295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712BD102">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40036EA6">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2B445D61">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74DF7CE5">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084EB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2A4E6E1C">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3927B999">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0A61CD9E">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6C30D500">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32671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3D0BAD8A">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2B006BDB">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44A0159D">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788F94F8">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29EE8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0E044C69">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1BB18415">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64A4F1C1">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4451BD8E">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4A5A4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5D411C14">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p>
        </w:tc>
        <w:tc>
          <w:tcPr>
            <w:tcW w:w="3683" w:type="dxa"/>
            <w:vAlign w:val="center"/>
          </w:tcPr>
          <w:p w14:paraId="586E3D71">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1A5DF4FB">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54966EE1">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r w14:paraId="312C7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59B1498E">
            <w:pPr>
              <w:keepNext w:val="0"/>
              <w:keepLines w:val="0"/>
              <w:pageBreakBefore w:val="0"/>
              <w:widowControl w:val="0"/>
              <w:kinsoku/>
              <w:wordWrap/>
              <w:overflowPunct/>
              <w:topLinePunct w:val="0"/>
              <w:bidi w:val="0"/>
              <w:adjustRightInd w:val="0"/>
              <w:snapToGrid/>
              <w:spacing w:line="560" w:lineRule="exact"/>
              <w:jc w:val="center"/>
              <w:textAlignment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vAlign w:val="center"/>
          </w:tcPr>
          <w:p w14:paraId="687F8324">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3546" w:type="dxa"/>
            <w:vAlign w:val="center"/>
          </w:tcPr>
          <w:p w14:paraId="5FF7333E">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c>
          <w:tcPr>
            <w:tcW w:w="1276" w:type="dxa"/>
            <w:vAlign w:val="center"/>
          </w:tcPr>
          <w:p w14:paraId="16D873F7">
            <w:pPr>
              <w:keepNext w:val="0"/>
              <w:keepLines w:val="0"/>
              <w:pageBreakBefore w:val="0"/>
              <w:widowControl w:val="0"/>
              <w:tabs>
                <w:tab w:val="left" w:pos="432"/>
              </w:tabs>
              <w:kinsoku/>
              <w:wordWrap/>
              <w:overflowPunct/>
              <w:topLinePunct w:val="0"/>
              <w:bidi w:val="0"/>
              <w:adjustRightInd w:val="0"/>
              <w:snapToGrid/>
              <w:spacing w:line="560" w:lineRule="exact"/>
              <w:jc w:val="center"/>
              <w:textAlignment w:val="center"/>
              <w:outlineLvl w:val="0"/>
              <w:rPr>
                <w:rFonts w:hint="eastAsia" w:ascii="宋体" w:hAnsi="宋体" w:eastAsia="宋体" w:cs="宋体"/>
                <w:b/>
                <w:color w:val="auto"/>
                <w:kern w:val="0"/>
                <w:sz w:val="32"/>
                <w:szCs w:val="32"/>
                <w:highlight w:val="none"/>
              </w:rPr>
            </w:pPr>
          </w:p>
        </w:tc>
      </w:tr>
    </w:tbl>
    <w:p w14:paraId="7CB9A2DB">
      <w:pPr>
        <w:spacing w:line="440" w:lineRule="exact"/>
        <w:ind w:firstLine="482"/>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注：1.</w:t>
      </w:r>
      <w:r>
        <w:rPr>
          <w:rFonts w:hint="eastAsia" w:ascii="宋体" w:hAnsi="宋体" w:eastAsia="宋体" w:cs="宋体"/>
          <w:b/>
          <w:color w:val="auto"/>
          <w:sz w:val="24"/>
          <w:highlight w:val="none"/>
        </w:rPr>
        <w:t>投标人应对照招标文件要求在“偏离情况”栏注明“正偏离”、“负偏离”或“无偏离”。</w:t>
      </w:r>
    </w:p>
    <w:p w14:paraId="0ABA1484">
      <w:pPr>
        <w:autoSpaceDE w:val="0"/>
        <w:autoSpaceDN w:val="0"/>
        <w:spacing w:line="440" w:lineRule="exact"/>
        <w:ind w:firstLine="506" w:firstLineChars="200"/>
        <w:rPr>
          <w:rFonts w:hint="eastAsia" w:ascii="宋体" w:hAnsi="宋体" w:eastAsia="宋体" w:cs="宋体"/>
          <w:b/>
          <w:color w:val="auto"/>
          <w:kern w:val="0"/>
          <w:sz w:val="24"/>
          <w:highlight w:val="none"/>
        </w:rPr>
      </w:pPr>
      <w:r>
        <w:rPr>
          <w:rFonts w:hint="eastAsia" w:ascii="宋体" w:hAnsi="宋体" w:eastAsia="宋体" w:cs="宋体"/>
          <w:b/>
          <w:color w:val="auto"/>
          <w:spacing w:val="6"/>
          <w:sz w:val="24"/>
          <w:highlight w:val="none"/>
        </w:rPr>
        <w:t>2.</w:t>
      </w:r>
      <w:r>
        <w:rPr>
          <w:rFonts w:hint="eastAsia" w:ascii="宋体" w:hAnsi="宋体" w:eastAsia="宋体" w:cs="宋体"/>
          <w:b/>
          <w:color w:val="auto"/>
          <w:sz w:val="24"/>
          <w:highlight w:val="none"/>
        </w:rPr>
        <w:t xml:space="preserve"> </w:t>
      </w:r>
      <w:r>
        <w:rPr>
          <w:rFonts w:hint="eastAsia" w:ascii="宋体" w:hAnsi="宋体" w:eastAsia="宋体" w:cs="宋体"/>
          <w:color w:val="auto"/>
          <w:sz w:val="24"/>
          <w:highlight w:val="none"/>
        </w:rPr>
        <w:t>投标人若不填写，则视为完全响应招标文件要求。</w:t>
      </w:r>
    </w:p>
    <w:p w14:paraId="2234F4E1">
      <w:pPr>
        <w:autoSpaceDE w:val="0"/>
        <w:autoSpaceDN w:val="0"/>
        <w:spacing w:line="360" w:lineRule="auto"/>
        <w:ind w:firstLine="4560" w:firstLineChars="1900"/>
        <w:rPr>
          <w:rFonts w:hint="eastAsia" w:ascii="仿宋" w:hAnsi="仿宋" w:eastAsia="仿宋" w:cs="仿宋"/>
          <w:color w:val="auto"/>
          <w:kern w:val="0"/>
          <w:sz w:val="24"/>
          <w:highlight w:val="none"/>
        </w:rPr>
      </w:pPr>
    </w:p>
    <w:p w14:paraId="57C3A50D">
      <w:pPr>
        <w:pStyle w:val="40"/>
        <w:rPr>
          <w:rFonts w:hint="eastAsia" w:ascii="仿宋" w:hAnsi="仿宋" w:eastAsia="仿宋" w:cs="仿宋"/>
          <w:color w:val="auto"/>
          <w:highlight w:val="none"/>
        </w:rPr>
      </w:pPr>
    </w:p>
    <w:p w14:paraId="1070A1E5">
      <w:pPr>
        <w:spacing w:line="440" w:lineRule="exact"/>
        <w:ind w:firstLine="4080" w:firstLineChars="1700"/>
        <w:rPr>
          <w:rFonts w:hint="eastAsia" w:ascii="仿宋" w:hAnsi="仿宋" w:eastAsia="仿宋" w:cs="仿宋"/>
          <w:color w:val="auto"/>
          <w:sz w:val="24"/>
          <w:highlight w:val="none"/>
        </w:rPr>
      </w:pPr>
    </w:p>
    <w:p w14:paraId="2006DEDE">
      <w:pPr>
        <w:spacing w:line="440" w:lineRule="exact"/>
        <w:ind w:firstLine="4080" w:firstLineChars="1700"/>
        <w:rPr>
          <w:rFonts w:hint="eastAsia" w:ascii="仿宋" w:hAnsi="仿宋" w:eastAsia="仿宋" w:cs="仿宋"/>
          <w:color w:val="auto"/>
          <w:sz w:val="24"/>
          <w:highlight w:val="none"/>
        </w:rPr>
      </w:pPr>
    </w:p>
    <w:p w14:paraId="3E56B6E2">
      <w:pPr>
        <w:snapToGrid w:val="0"/>
        <w:spacing w:before="50" w:after="50" w:line="600" w:lineRule="exact"/>
        <w:ind w:firstLine="5280" w:firstLineChars="2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电子签名</w:t>
      </w:r>
      <w:r>
        <w:rPr>
          <w:rFonts w:hint="eastAsia" w:ascii="宋体" w:hAnsi="宋体" w:eastAsia="宋体" w:cs="宋体"/>
          <w:color w:val="auto"/>
          <w:szCs w:val="21"/>
          <w:highlight w:val="none"/>
        </w:rPr>
        <w:t>）：</w:t>
      </w:r>
    </w:p>
    <w:p w14:paraId="6BE82EE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pacing w:val="20"/>
          <w:szCs w:val="21"/>
          <w:highlight w:val="none"/>
        </w:rPr>
        <w:t xml:space="preserve">  </w:t>
      </w:r>
      <w:r>
        <w:rPr>
          <w:rFonts w:hint="eastAsia" w:ascii="宋体" w:hAnsi="宋体" w:cs="宋体"/>
          <w:color w:val="auto"/>
          <w:spacing w:val="20"/>
          <w:szCs w:val="21"/>
          <w:highlight w:val="none"/>
          <w:lang w:val="en-US" w:eastAsia="zh-CN"/>
        </w:rPr>
        <w:t xml:space="preserve">                               </w:t>
      </w:r>
      <w:r>
        <w:rPr>
          <w:rFonts w:hint="eastAsia" w:ascii="宋体" w:hAnsi="宋体" w:eastAsia="宋体" w:cs="宋体"/>
          <w:color w:val="auto"/>
          <w:spacing w:val="20"/>
          <w:szCs w:val="21"/>
          <w:highlight w:val="none"/>
        </w:rPr>
        <w:t>日         期：</w:t>
      </w:r>
    </w:p>
    <w:p w14:paraId="65E9751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32"/>
          <w:szCs w:val="32"/>
          <w:highlight w:val="none"/>
          <w:lang w:val="en-US" w:eastAsia="zh-CN"/>
        </w:rPr>
      </w:pPr>
    </w:p>
    <w:p w14:paraId="6513B15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32"/>
          <w:szCs w:val="32"/>
          <w:highlight w:val="none"/>
          <w:lang w:val="en-US" w:eastAsia="zh-CN"/>
        </w:rPr>
      </w:pPr>
    </w:p>
    <w:p w14:paraId="2268E20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cs="宋体"/>
          <w:b/>
          <w:color w:val="auto"/>
          <w:kern w:val="0"/>
          <w:sz w:val="32"/>
          <w:szCs w:val="32"/>
          <w:highlight w:val="none"/>
          <w:lang w:val="en-US" w:eastAsia="zh-CN"/>
        </w:rPr>
      </w:pPr>
    </w:p>
    <w:p w14:paraId="2CE1628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八</w:t>
      </w:r>
      <w:r>
        <w:rPr>
          <w:rFonts w:hint="eastAsia" w:ascii="宋体" w:hAnsi="宋体" w:eastAsia="宋体" w:cs="宋体"/>
          <w:b/>
          <w:color w:val="auto"/>
          <w:kern w:val="0"/>
          <w:sz w:val="32"/>
          <w:szCs w:val="32"/>
          <w:highlight w:val="none"/>
          <w:lang w:val="en-US" w:eastAsia="zh-CN"/>
        </w:rPr>
        <w:t>、同类</w:t>
      </w:r>
      <w:r>
        <w:rPr>
          <w:rFonts w:hint="eastAsia" w:ascii="宋体" w:hAnsi="宋体" w:eastAsia="宋体" w:cs="宋体"/>
          <w:b/>
          <w:color w:val="auto"/>
          <w:kern w:val="0"/>
          <w:sz w:val="32"/>
          <w:szCs w:val="32"/>
          <w:highlight w:val="none"/>
          <w:lang w:val="zh-CN" w:eastAsia="zh-CN"/>
        </w:rPr>
        <w:t>业绩证明</w:t>
      </w:r>
    </w:p>
    <w:tbl>
      <w:tblPr>
        <w:tblStyle w:val="31"/>
        <w:tblW w:w="8634" w:type="dxa"/>
        <w:tblInd w:w="108" w:type="dxa"/>
        <w:tblLayout w:type="fixed"/>
        <w:tblCellMar>
          <w:top w:w="0" w:type="dxa"/>
          <w:left w:w="108" w:type="dxa"/>
          <w:bottom w:w="0" w:type="dxa"/>
          <w:right w:w="108" w:type="dxa"/>
        </w:tblCellMar>
      </w:tblPr>
      <w:tblGrid>
        <w:gridCol w:w="1438"/>
        <w:gridCol w:w="834"/>
        <w:gridCol w:w="1400"/>
        <w:gridCol w:w="1183"/>
        <w:gridCol w:w="1965"/>
        <w:gridCol w:w="757"/>
        <w:gridCol w:w="1057"/>
      </w:tblGrid>
      <w:tr w14:paraId="18E44B27">
        <w:tblPrEx>
          <w:tblCellMar>
            <w:top w:w="0" w:type="dxa"/>
            <w:left w:w="108" w:type="dxa"/>
            <w:bottom w:w="0" w:type="dxa"/>
            <w:right w:w="108" w:type="dxa"/>
          </w:tblCellMar>
        </w:tblPrEx>
        <w:trPr>
          <w:trHeight w:val="692" w:hRule="atLeast"/>
        </w:trPr>
        <w:tc>
          <w:tcPr>
            <w:tcW w:w="1438" w:type="dxa"/>
            <w:vMerge w:val="restart"/>
            <w:tcBorders>
              <w:top w:val="single" w:color="auto" w:sz="6" w:space="0"/>
              <w:left w:val="single" w:color="auto" w:sz="6" w:space="0"/>
              <w:right w:val="single" w:color="auto" w:sz="6" w:space="0"/>
            </w:tcBorders>
            <w:vAlign w:val="center"/>
          </w:tcPr>
          <w:p w14:paraId="7C02F2A1">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834" w:type="dxa"/>
            <w:vMerge w:val="restart"/>
            <w:tcBorders>
              <w:top w:val="single" w:color="auto" w:sz="6" w:space="0"/>
              <w:left w:val="single" w:color="auto" w:sz="6" w:space="0"/>
              <w:right w:val="single" w:color="auto" w:sz="6" w:space="0"/>
            </w:tcBorders>
            <w:vAlign w:val="center"/>
          </w:tcPr>
          <w:p w14:paraId="474DBC25">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p w14:paraId="29D68856">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类型</w:t>
            </w:r>
          </w:p>
        </w:tc>
        <w:tc>
          <w:tcPr>
            <w:tcW w:w="1400" w:type="dxa"/>
            <w:vMerge w:val="restart"/>
            <w:tcBorders>
              <w:top w:val="single" w:color="auto" w:sz="6" w:space="0"/>
              <w:left w:val="single" w:color="auto" w:sz="6" w:space="0"/>
              <w:right w:val="single" w:color="auto" w:sz="6" w:space="0"/>
            </w:tcBorders>
            <w:vAlign w:val="center"/>
          </w:tcPr>
          <w:p w14:paraId="2617498A">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简要描述</w:t>
            </w:r>
          </w:p>
        </w:tc>
        <w:tc>
          <w:tcPr>
            <w:tcW w:w="1183" w:type="dxa"/>
            <w:vMerge w:val="restart"/>
            <w:tcBorders>
              <w:top w:val="single" w:color="auto" w:sz="6" w:space="0"/>
              <w:left w:val="single" w:color="auto" w:sz="6" w:space="0"/>
              <w:right w:val="single" w:color="auto" w:sz="6" w:space="0"/>
            </w:tcBorders>
            <w:vAlign w:val="center"/>
          </w:tcPr>
          <w:p w14:paraId="0CA37BB5">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w:t>
            </w:r>
          </w:p>
          <w:p w14:paraId="341F15B4">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w:t>
            </w:r>
          </w:p>
          <w:p w14:paraId="7B69F38B">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（万元）</w:t>
            </w:r>
          </w:p>
        </w:tc>
        <w:tc>
          <w:tcPr>
            <w:tcW w:w="1965" w:type="dxa"/>
            <w:vMerge w:val="restart"/>
            <w:tcBorders>
              <w:top w:val="single" w:color="auto" w:sz="6" w:space="0"/>
              <w:left w:val="single" w:color="auto" w:sz="6" w:space="0"/>
              <w:right w:val="single" w:color="auto" w:sz="6" w:space="0"/>
            </w:tcBorders>
            <w:vAlign w:val="center"/>
          </w:tcPr>
          <w:p w14:paraId="0C351484">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项目地址与采购单位联系电话</w:t>
            </w:r>
          </w:p>
        </w:tc>
        <w:tc>
          <w:tcPr>
            <w:tcW w:w="757" w:type="dxa"/>
            <w:tcBorders>
              <w:top w:val="single" w:color="auto" w:sz="6" w:space="0"/>
              <w:left w:val="single" w:color="auto" w:sz="6" w:space="0"/>
              <w:bottom w:val="single" w:color="auto" w:sz="6" w:space="0"/>
              <w:right w:val="single" w:color="auto" w:sz="6" w:space="0"/>
            </w:tcBorders>
            <w:vAlign w:val="center"/>
          </w:tcPr>
          <w:p w14:paraId="7FD727BD">
            <w:pPr>
              <w:adjustRightInd/>
              <w:spacing w:line="380" w:lineRule="exact"/>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页码</w:t>
            </w:r>
          </w:p>
        </w:tc>
        <w:tc>
          <w:tcPr>
            <w:tcW w:w="1057" w:type="dxa"/>
            <w:vMerge w:val="restart"/>
            <w:tcBorders>
              <w:top w:val="single" w:color="auto" w:sz="6" w:space="0"/>
              <w:left w:val="single" w:color="auto" w:sz="6" w:space="0"/>
              <w:right w:val="single" w:color="auto" w:sz="6" w:space="0"/>
            </w:tcBorders>
            <w:vAlign w:val="center"/>
          </w:tcPr>
          <w:p w14:paraId="38E70CF7">
            <w:pPr>
              <w:adjustRightInd/>
              <w:spacing w:line="380" w:lineRule="exact"/>
              <w:jc w:val="center"/>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备注</w:t>
            </w:r>
          </w:p>
        </w:tc>
      </w:tr>
      <w:tr w14:paraId="0EDA16CB">
        <w:tblPrEx>
          <w:tblCellMar>
            <w:top w:w="0" w:type="dxa"/>
            <w:left w:w="108" w:type="dxa"/>
            <w:bottom w:w="0" w:type="dxa"/>
            <w:right w:w="108" w:type="dxa"/>
          </w:tblCellMar>
        </w:tblPrEx>
        <w:trPr>
          <w:trHeight w:val="692" w:hRule="atLeast"/>
        </w:trPr>
        <w:tc>
          <w:tcPr>
            <w:tcW w:w="1438" w:type="dxa"/>
            <w:vMerge w:val="continue"/>
            <w:tcBorders>
              <w:left w:val="single" w:color="auto" w:sz="6" w:space="0"/>
              <w:bottom w:val="single" w:color="auto" w:sz="6" w:space="0"/>
              <w:right w:val="single" w:color="auto" w:sz="6" w:space="0"/>
            </w:tcBorders>
            <w:vAlign w:val="center"/>
          </w:tcPr>
          <w:p w14:paraId="412EFEA8">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highlight w:val="none"/>
              </w:rPr>
            </w:pPr>
          </w:p>
        </w:tc>
        <w:tc>
          <w:tcPr>
            <w:tcW w:w="834" w:type="dxa"/>
            <w:vMerge w:val="continue"/>
            <w:tcBorders>
              <w:left w:val="single" w:color="auto" w:sz="6" w:space="0"/>
              <w:bottom w:val="single" w:color="auto" w:sz="6" w:space="0"/>
              <w:right w:val="single" w:color="auto" w:sz="6" w:space="0"/>
            </w:tcBorders>
            <w:vAlign w:val="center"/>
          </w:tcPr>
          <w:p w14:paraId="7125F1CB">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highlight w:val="none"/>
              </w:rPr>
            </w:pPr>
          </w:p>
        </w:tc>
        <w:tc>
          <w:tcPr>
            <w:tcW w:w="1400" w:type="dxa"/>
            <w:vMerge w:val="continue"/>
            <w:tcBorders>
              <w:left w:val="single" w:color="auto" w:sz="6" w:space="0"/>
              <w:bottom w:val="single" w:color="auto" w:sz="6" w:space="0"/>
              <w:right w:val="single" w:color="auto" w:sz="6" w:space="0"/>
            </w:tcBorders>
            <w:vAlign w:val="center"/>
          </w:tcPr>
          <w:p w14:paraId="32EE1BCA">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highlight w:val="none"/>
              </w:rPr>
            </w:pPr>
          </w:p>
        </w:tc>
        <w:tc>
          <w:tcPr>
            <w:tcW w:w="1183" w:type="dxa"/>
            <w:vMerge w:val="continue"/>
            <w:tcBorders>
              <w:left w:val="single" w:color="auto" w:sz="6" w:space="0"/>
              <w:bottom w:val="single" w:color="auto" w:sz="6" w:space="0"/>
              <w:right w:val="single" w:color="auto" w:sz="6" w:space="0"/>
            </w:tcBorders>
            <w:vAlign w:val="center"/>
          </w:tcPr>
          <w:p w14:paraId="267B2422">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highlight w:val="none"/>
              </w:rPr>
            </w:pPr>
          </w:p>
        </w:tc>
        <w:tc>
          <w:tcPr>
            <w:tcW w:w="1965" w:type="dxa"/>
            <w:vMerge w:val="continue"/>
            <w:tcBorders>
              <w:left w:val="single" w:color="auto" w:sz="6" w:space="0"/>
              <w:bottom w:val="single" w:color="auto" w:sz="6" w:space="0"/>
              <w:right w:val="single" w:color="auto" w:sz="6" w:space="0"/>
            </w:tcBorders>
            <w:vAlign w:val="center"/>
          </w:tcPr>
          <w:p w14:paraId="1A85C333">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highlight w:val="none"/>
              </w:rPr>
            </w:pPr>
          </w:p>
        </w:tc>
        <w:tc>
          <w:tcPr>
            <w:tcW w:w="757" w:type="dxa"/>
            <w:tcBorders>
              <w:top w:val="single" w:color="auto" w:sz="6" w:space="0"/>
              <w:left w:val="single" w:color="auto" w:sz="6" w:space="0"/>
              <w:bottom w:val="single" w:color="auto" w:sz="6" w:space="0"/>
              <w:right w:val="single" w:color="auto" w:sz="6" w:space="0"/>
            </w:tcBorders>
            <w:vAlign w:val="center"/>
          </w:tcPr>
          <w:p w14:paraId="47F8F596">
            <w:pPr>
              <w:adjustRightInd/>
              <w:spacing w:line="380" w:lineRule="exact"/>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合同</w:t>
            </w:r>
          </w:p>
        </w:tc>
        <w:tc>
          <w:tcPr>
            <w:tcW w:w="1057" w:type="dxa"/>
            <w:vMerge w:val="continue"/>
            <w:tcBorders>
              <w:left w:val="single" w:color="auto" w:sz="6" w:space="0"/>
              <w:bottom w:val="single" w:color="auto" w:sz="6" w:space="0"/>
              <w:right w:val="single" w:color="auto" w:sz="6" w:space="0"/>
            </w:tcBorders>
            <w:vAlign w:val="center"/>
          </w:tcPr>
          <w:p w14:paraId="1EC274EE">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color w:val="auto"/>
                <w:sz w:val="24"/>
                <w:highlight w:val="none"/>
                <w:lang w:val="en-US" w:eastAsia="zh-CN"/>
              </w:rPr>
            </w:pPr>
          </w:p>
        </w:tc>
      </w:tr>
      <w:tr w14:paraId="792A1B0D">
        <w:tblPrEx>
          <w:tblCellMar>
            <w:top w:w="0" w:type="dxa"/>
            <w:left w:w="108" w:type="dxa"/>
            <w:bottom w:w="0" w:type="dxa"/>
            <w:right w:w="108" w:type="dxa"/>
          </w:tblCellMar>
        </w:tblPrEx>
        <w:trPr>
          <w:trHeight w:val="659" w:hRule="atLeast"/>
        </w:trPr>
        <w:tc>
          <w:tcPr>
            <w:tcW w:w="1438" w:type="dxa"/>
            <w:tcBorders>
              <w:top w:val="single" w:color="auto" w:sz="6" w:space="0"/>
              <w:left w:val="single" w:color="auto" w:sz="6" w:space="0"/>
              <w:bottom w:val="single" w:color="auto" w:sz="6" w:space="0"/>
              <w:right w:val="single" w:color="auto" w:sz="6" w:space="0"/>
            </w:tcBorders>
          </w:tcPr>
          <w:p w14:paraId="5BFA6A04">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834" w:type="dxa"/>
            <w:tcBorders>
              <w:top w:val="single" w:color="auto" w:sz="6" w:space="0"/>
              <w:left w:val="single" w:color="auto" w:sz="6" w:space="0"/>
              <w:bottom w:val="single" w:color="auto" w:sz="6" w:space="0"/>
              <w:right w:val="single" w:color="auto" w:sz="6" w:space="0"/>
            </w:tcBorders>
          </w:tcPr>
          <w:p w14:paraId="5E594ED2">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400" w:type="dxa"/>
            <w:tcBorders>
              <w:top w:val="single" w:color="auto" w:sz="6" w:space="0"/>
              <w:left w:val="single" w:color="auto" w:sz="6" w:space="0"/>
              <w:bottom w:val="single" w:color="auto" w:sz="6" w:space="0"/>
              <w:right w:val="single" w:color="auto" w:sz="6" w:space="0"/>
            </w:tcBorders>
          </w:tcPr>
          <w:p w14:paraId="1BA8FC3E">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183" w:type="dxa"/>
            <w:tcBorders>
              <w:top w:val="single" w:color="auto" w:sz="6" w:space="0"/>
              <w:left w:val="single" w:color="auto" w:sz="6" w:space="0"/>
              <w:bottom w:val="single" w:color="auto" w:sz="6" w:space="0"/>
              <w:right w:val="single" w:color="auto" w:sz="6" w:space="0"/>
            </w:tcBorders>
          </w:tcPr>
          <w:p w14:paraId="6A230CF3">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965" w:type="dxa"/>
            <w:tcBorders>
              <w:top w:val="single" w:color="auto" w:sz="6" w:space="0"/>
              <w:left w:val="single" w:color="auto" w:sz="6" w:space="0"/>
              <w:bottom w:val="single" w:color="auto" w:sz="6" w:space="0"/>
              <w:right w:val="single" w:color="auto" w:sz="6" w:space="0"/>
            </w:tcBorders>
          </w:tcPr>
          <w:p w14:paraId="2965FE8F">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757" w:type="dxa"/>
            <w:tcBorders>
              <w:top w:val="single" w:color="auto" w:sz="6" w:space="0"/>
              <w:left w:val="single" w:color="auto" w:sz="6" w:space="0"/>
              <w:bottom w:val="single" w:color="auto" w:sz="6" w:space="0"/>
              <w:right w:val="single" w:color="auto" w:sz="6" w:space="0"/>
            </w:tcBorders>
          </w:tcPr>
          <w:p w14:paraId="05566CEB">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057" w:type="dxa"/>
            <w:tcBorders>
              <w:top w:val="single" w:color="auto" w:sz="6" w:space="0"/>
              <w:left w:val="single" w:color="auto" w:sz="6" w:space="0"/>
              <w:bottom w:val="single" w:color="auto" w:sz="6" w:space="0"/>
              <w:right w:val="single" w:color="auto" w:sz="6" w:space="0"/>
            </w:tcBorders>
          </w:tcPr>
          <w:p w14:paraId="6EAC441D">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r>
      <w:tr w14:paraId="13ED9F96">
        <w:tblPrEx>
          <w:tblCellMar>
            <w:top w:w="0" w:type="dxa"/>
            <w:left w:w="108" w:type="dxa"/>
            <w:bottom w:w="0" w:type="dxa"/>
            <w:right w:w="108" w:type="dxa"/>
          </w:tblCellMar>
        </w:tblPrEx>
        <w:trPr>
          <w:trHeight w:val="697" w:hRule="atLeast"/>
        </w:trPr>
        <w:tc>
          <w:tcPr>
            <w:tcW w:w="1438" w:type="dxa"/>
            <w:tcBorders>
              <w:top w:val="single" w:color="auto" w:sz="6" w:space="0"/>
              <w:left w:val="single" w:color="auto" w:sz="6" w:space="0"/>
              <w:bottom w:val="single" w:color="auto" w:sz="6" w:space="0"/>
              <w:right w:val="single" w:color="auto" w:sz="6" w:space="0"/>
            </w:tcBorders>
          </w:tcPr>
          <w:p w14:paraId="47010F5F">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834" w:type="dxa"/>
            <w:tcBorders>
              <w:top w:val="single" w:color="auto" w:sz="6" w:space="0"/>
              <w:left w:val="single" w:color="auto" w:sz="6" w:space="0"/>
              <w:bottom w:val="single" w:color="auto" w:sz="6" w:space="0"/>
              <w:right w:val="single" w:color="auto" w:sz="6" w:space="0"/>
            </w:tcBorders>
          </w:tcPr>
          <w:p w14:paraId="31D3E3D5">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400" w:type="dxa"/>
            <w:tcBorders>
              <w:top w:val="single" w:color="auto" w:sz="6" w:space="0"/>
              <w:left w:val="single" w:color="auto" w:sz="6" w:space="0"/>
              <w:bottom w:val="single" w:color="auto" w:sz="6" w:space="0"/>
              <w:right w:val="single" w:color="auto" w:sz="6" w:space="0"/>
            </w:tcBorders>
          </w:tcPr>
          <w:p w14:paraId="4A1BF7E8">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183" w:type="dxa"/>
            <w:tcBorders>
              <w:top w:val="single" w:color="auto" w:sz="6" w:space="0"/>
              <w:left w:val="single" w:color="auto" w:sz="6" w:space="0"/>
              <w:bottom w:val="single" w:color="auto" w:sz="6" w:space="0"/>
              <w:right w:val="single" w:color="auto" w:sz="6" w:space="0"/>
            </w:tcBorders>
          </w:tcPr>
          <w:p w14:paraId="15699186">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965" w:type="dxa"/>
            <w:tcBorders>
              <w:top w:val="single" w:color="auto" w:sz="6" w:space="0"/>
              <w:left w:val="single" w:color="auto" w:sz="6" w:space="0"/>
              <w:bottom w:val="single" w:color="auto" w:sz="6" w:space="0"/>
              <w:right w:val="single" w:color="auto" w:sz="6" w:space="0"/>
            </w:tcBorders>
          </w:tcPr>
          <w:p w14:paraId="1DCCED67">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757" w:type="dxa"/>
            <w:tcBorders>
              <w:top w:val="single" w:color="auto" w:sz="6" w:space="0"/>
              <w:left w:val="single" w:color="auto" w:sz="6" w:space="0"/>
              <w:bottom w:val="single" w:color="auto" w:sz="6" w:space="0"/>
              <w:right w:val="single" w:color="auto" w:sz="6" w:space="0"/>
            </w:tcBorders>
          </w:tcPr>
          <w:p w14:paraId="099F8BEF">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057" w:type="dxa"/>
            <w:tcBorders>
              <w:top w:val="single" w:color="auto" w:sz="6" w:space="0"/>
              <w:left w:val="single" w:color="auto" w:sz="6" w:space="0"/>
              <w:bottom w:val="single" w:color="auto" w:sz="6" w:space="0"/>
              <w:right w:val="single" w:color="auto" w:sz="6" w:space="0"/>
            </w:tcBorders>
          </w:tcPr>
          <w:p w14:paraId="62A27958">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r>
      <w:tr w14:paraId="58258911">
        <w:tblPrEx>
          <w:tblCellMar>
            <w:top w:w="0" w:type="dxa"/>
            <w:left w:w="108" w:type="dxa"/>
            <w:bottom w:w="0" w:type="dxa"/>
            <w:right w:w="108" w:type="dxa"/>
          </w:tblCellMar>
        </w:tblPrEx>
        <w:trPr>
          <w:trHeight w:val="693" w:hRule="atLeast"/>
        </w:trPr>
        <w:tc>
          <w:tcPr>
            <w:tcW w:w="1438" w:type="dxa"/>
            <w:tcBorders>
              <w:top w:val="single" w:color="auto" w:sz="6" w:space="0"/>
              <w:left w:val="single" w:color="auto" w:sz="6" w:space="0"/>
              <w:bottom w:val="single" w:color="auto" w:sz="6" w:space="0"/>
              <w:right w:val="single" w:color="auto" w:sz="6" w:space="0"/>
            </w:tcBorders>
          </w:tcPr>
          <w:p w14:paraId="1CE6E02B">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834" w:type="dxa"/>
            <w:tcBorders>
              <w:top w:val="single" w:color="auto" w:sz="6" w:space="0"/>
              <w:left w:val="single" w:color="auto" w:sz="6" w:space="0"/>
              <w:bottom w:val="single" w:color="auto" w:sz="6" w:space="0"/>
              <w:right w:val="single" w:color="auto" w:sz="6" w:space="0"/>
            </w:tcBorders>
          </w:tcPr>
          <w:p w14:paraId="29F37928">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400" w:type="dxa"/>
            <w:tcBorders>
              <w:top w:val="single" w:color="auto" w:sz="6" w:space="0"/>
              <w:left w:val="single" w:color="auto" w:sz="6" w:space="0"/>
              <w:bottom w:val="single" w:color="auto" w:sz="6" w:space="0"/>
              <w:right w:val="single" w:color="auto" w:sz="6" w:space="0"/>
            </w:tcBorders>
          </w:tcPr>
          <w:p w14:paraId="54662267">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183" w:type="dxa"/>
            <w:tcBorders>
              <w:top w:val="single" w:color="auto" w:sz="6" w:space="0"/>
              <w:left w:val="single" w:color="auto" w:sz="6" w:space="0"/>
              <w:bottom w:val="single" w:color="auto" w:sz="6" w:space="0"/>
              <w:right w:val="single" w:color="auto" w:sz="6" w:space="0"/>
            </w:tcBorders>
          </w:tcPr>
          <w:p w14:paraId="4075FD7A">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965" w:type="dxa"/>
            <w:tcBorders>
              <w:top w:val="single" w:color="auto" w:sz="6" w:space="0"/>
              <w:left w:val="single" w:color="auto" w:sz="6" w:space="0"/>
              <w:bottom w:val="single" w:color="auto" w:sz="6" w:space="0"/>
              <w:right w:val="single" w:color="auto" w:sz="6" w:space="0"/>
            </w:tcBorders>
          </w:tcPr>
          <w:p w14:paraId="1936056A">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757" w:type="dxa"/>
            <w:tcBorders>
              <w:top w:val="single" w:color="auto" w:sz="6" w:space="0"/>
              <w:left w:val="single" w:color="auto" w:sz="6" w:space="0"/>
              <w:bottom w:val="single" w:color="auto" w:sz="6" w:space="0"/>
              <w:right w:val="single" w:color="auto" w:sz="6" w:space="0"/>
            </w:tcBorders>
          </w:tcPr>
          <w:p w14:paraId="23E664BF">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057" w:type="dxa"/>
            <w:tcBorders>
              <w:top w:val="single" w:color="auto" w:sz="6" w:space="0"/>
              <w:left w:val="single" w:color="auto" w:sz="6" w:space="0"/>
              <w:bottom w:val="single" w:color="auto" w:sz="6" w:space="0"/>
              <w:right w:val="single" w:color="auto" w:sz="6" w:space="0"/>
            </w:tcBorders>
          </w:tcPr>
          <w:p w14:paraId="2740C0B9">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r>
      <w:tr w14:paraId="39B8A370">
        <w:tblPrEx>
          <w:tblCellMar>
            <w:top w:w="0" w:type="dxa"/>
            <w:left w:w="108" w:type="dxa"/>
            <w:bottom w:w="0" w:type="dxa"/>
            <w:right w:w="108" w:type="dxa"/>
          </w:tblCellMar>
        </w:tblPrEx>
        <w:trPr>
          <w:trHeight w:val="693" w:hRule="atLeast"/>
        </w:trPr>
        <w:tc>
          <w:tcPr>
            <w:tcW w:w="1438" w:type="dxa"/>
            <w:tcBorders>
              <w:top w:val="single" w:color="auto" w:sz="6" w:space="0"/>
              <w:left w:val="single" w:color="auto" w:sz="6" w:space="0"/>
              <w:bottom w:val="single" w:color="auto" w:sz="6" w:space="0"/>
              <w:right w:val="single" w:color="auto" w:sz="6" w:space="0"/>
            </w:tcBorders>
          </w:tcPr>
          <w:p w14:paraId="39C32148">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834" w:type="dxa"/>
            <w:tcBorders>
              <w:top w:val="single" w:color="auto" w:sz="6" w:space="0"/>
              <w:left w:val="single" w:color="auto" w:sz="6" w:space="0"/>
              <w:bottom w:val="single" w:color="auto" w:sz="6" w:space="0"/>
              <w:right w:val="single" w:color="auto" w:sz="6" w:space="0"/>
            </w:tcBorders>
          </w:tcPr>
          <w:p w14:paraId="5C90212A">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400" w:type="dxa"/>
            <w:tcBorders>
              <w:top w:val="single" w:color="auto" w:sz="6" w:space="0"/>
              <w:left w:val="single" w:color="auto" w:sz="6" w:space="0"/>
              <w:bottom w:val="single" w:color="auto" w:sz="6" w:space="0"/>
              <w:right w:val="single" w:color="auto" w:sz="6" w:space="0"/>
            </w:tcBorders>
          </w:tcPr>
          <w:p w14:paraId="051B318F">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183" w:type="dxa"/>
            <w:tcBorders>
              <w:top w:val="single" w:color="auto" w:sz="6" w:space="0"/>
              <w:left w:val="single" w:color="auto" w:sz="6" w:space="0"/>
              <w:bottom w:val="single" w:color="auto" w:sz="6" w:space="0"/>
              <w:right w:val="single" w:color="auto" w:sz="6" w:space="0"/>
            </w:tcBorders>
          </w:tcPr>
          <w:p w14:paraId="32D3B61B">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965" w:type="dxa"/>
            <w:tcBorders>
              <w:top w:val="single" w:color="auto" w:sz="6" w:space="0"/>
              <w:left w:val="single" w:color="auto" w:sz="6" w:space="0"/>
              <w:bottom w:val="single" w:color="auto" w:sz="6" w:space="0"/>
              <w:right w:val="single" w:color="auto" w:sz="6" w:space="0"/>
            </w:tcBorders>
          </w:tcPr>
          <w:p w14:paraId="722B0A81">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757" w:type="dxa"/>
            <w:tcBorders>
              <w:top w:val="single" w:color="auto" w:sz="6" w:space="0"/>
              <w:left w:val="single" w:color="auto" w:sz="6" w:space="0"/>
              <w:bottom w:val="single" w:color="auto" w:sz="6" w:space="0"/>
              <w:right w:val="single" w:color="auto" w:sz="6" w:space="0"/>
            </w:tcBorders>
          </w:tcPr>
          <w:p w14:paraId="0C31F20C">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057" w:type="dxa"/>
            <w:tcBorders>
              <w:top w:val="single" w:color="auto" w:sz="6" w:space="0"/>
              <w:left w:val="single" w:color="auto" w:sz="6" w:space="0"/>
              <w:bottom w:val="single" w:color="auto" w:sz="6" w:space="0"/>
              <w:right w:val="single" w:color="auto" w:sz="6" w:space="0"/>
            </w:tcBorders>
          </w:tcPr>
          <w:p w14:paraId="177D0550">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r>
      <w:tr w14:paraId="156DBE7D">
        <w:tblPrEx>
          <w:tblCellMar>
            <w:top w:w="0" w:type="dxa"/>
            <w:left w:w="108" w:type="dxa"/>
            <w:bottom w:w="0" w:type="dxa"/>
            <w:right w:w="108" w:type="dxa"/>
          </w:tblCellMar>
        </w:tblPrEx>
        <w:trPr>
          <w:trHeight w:val="693" w:hRule="atLeast"/>
        </w:trPr>
        <w:tc>
          <w:tcPr>
            <w:tcW w:w="1438" w:type="dxa"/>
            <w:tcBorders>
              <w:top w:val="single" w:color="auto" w:sz="6" w:space="0"/>
              <w:left w:val="single" w:color="auto" w:sz="6" w:space="0"/>
              <w:bottom w:val="single" w:color="auto" w:sz="6" w:space="0"/>
              <w:right w:val="single" w:color="auto" w:sz="6" w:space="0"/>
            </w:tcBorders>
          </w:tcPr>
          <w:p w14:paraId="23E7F41A">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834" w:type="dxa"/>
            <w:tcBorders>
              <w:top w:val="single" w:color="auto" w:sz="6" w:space="0"/>
              <w:left w:val="single" w:color="auto" w:sz="6" w:space="0"/>
              <w:bottom w:val="single" w:color="auto" w:sz="6" w:space="0"/>
              <w:right w:val="single" w:color="auto" w:sz="6" w:space="0"/>
            </w:tcBorders>
          </w:tcPr>
          <w:p w14:paraId="7000C27D">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400" w:type="dxa"/>
            <w:tcBorders>
              <w:top w:val="single" w:color="auto" w:sz="6" w:space="0"/>
              <w:left w:val="single" w:color="auto" w:sz="6" w:space="0"/>
              <w:bottom w:val="single" w:color="auto" w:sz="6" w:space="0"/>
              <w:right w:val="single" w:color="auto" w:sz="6" w:space="0"/>
            </w:tcBorders>
          </w:tcPr>
          <w:p w14:paraId="078237A2">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183" w:type="dxa"/>
            <w:tcBorders>
              <w:top w:val="single" w:color="auto" w:sz="6" w:space="0"/>
              <w:left w:val="single" w:color="auto" w:sz="6" w:space="0"/>
              <w:bottom w:val="single" w:color="auto" w:sz="6" w:space="0"/>
              <w:right w:val="single" w:color="auto" w:sz="6" w:space="0"/>
            </w:tcBorders>
          </w:tcPr>
          <w:p w14:paraId="206DDEA6">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965" w:type="dxa"/>
            <w:tcBorders>
              <w:top w:val="single" w:color="auto" w:sz="6" w:space="0"/>
              <w:left w:val="single" w:color="auto" w:sz="6" w:space="0"/>
              <w:bottom w:val="single" w:color="auto" w:sz="6" w:space="0"/>
              <w:right w:val="single" w:color="auto" w:sz="6" w:space="0"/>
            </w:tcBorders>
          </w:tcPr>
          <w:p w14:paraId="5A115E52">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757" w:type="dxa"/>
            <w:tcBorders>
              <w:top w:val="single" w:color="auto" w:sz="6" w:space="0"/>
              <w:left w:val="single" w:color="auto" w:sz="6" w:space="0"/>
              <w:bottom w:val="single" w:color="auto" w:sz="6" w:space="0"/>
              <w:right w:val="single" w:color="auto" w:sz="6" w:space="0"/>
            </w:tcBorders>
          </w:tcPr>
          <w:p w14:paraId="7914B7F2">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057" w:type="dxa"/>
            <w:tcBorders>
              <w:top w:val="single" w:color="auto" w:sz="6" w:space="0"/>
              <w:left w:val="single" w:color="auto" w:sz="6" w:space="0"/>
              <w:bottom w:val="single" w:color="auto" w:sz="6" w:space="0"/>
              <w:right w:val="single" w:color="auto" w:sz="6" w:space="0"/>
            </w:tcBorders>
          </w:tcPr>
          <w:p w14:paraId="0DE27FA1">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r>
      <w:tr w14:paraId="600D8891">
        <w:tblPrEx>
          <w:tblCellMar>
            <w:top w:w="0" w:type="dxa"/>
            <w:left w:w="108" w:type="dxa"/>
            <w:bottom w:w="0" w:type="dxa"/>
            <w:right w:w="108" w:type="dxa"/>
          </w:tblCellMar>
        </w:tblPrEx>
        <w:trPr>
          <w:trHeight w:val="693" w:hRule="atLeast"/>
        </w:trPr>
        <w:tc>
          <w:tcPr>
            <w:tcW w:w="1438" w:type="dxa"/>
            <w:tcBorders>
              <w:top w:val="single" w:color="auto" w:sz="6" w:space="0"/>
              <w:left w:val="single" w:color="auto" w:sz="6" w:space="0"/>
              <w:bottom w:val="single" w:color="auto" w:sz="6" w:space="0"/>
              <w:right w:val="single" w:color="auto" w:sz="6" w:space="0"/>
            </w:tcBorders>
          </w:tcPr>
          <w:p w14:paraId="466860BE">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834" w:type="dxa"/>
            <w:tcBorders>
              <w:top w:val="single" w:color="auto" w:sz="6" w:space="0"/>
              <w:left w:val="single" w:color="auto" w:sz="6" w:space="0"/>
              <w:bottom w:val="single" w:color="auto" w:sz="6" w:space="0"/>
              <w:right w:val="single" w:color="auto" w:sz="6" w:space="0"/>
            </w:tcBorders>
          </w:tcPr>
          <w:p w14:paraId="5ED5E08B">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400" w:type="dxa"/>
            <w:tcBorders>
              <w:top w:val="single" w:color="auto" w:sz="6" w:space="0"/>
              <w:left w:val="single" w:color="auto" w:sz="6" w:space="0"/>
              <w:bottom w:val="single" w:color="auto" w:sz="6" w:space="0"/>
              <w:right w:val="single" w:color="auto" w:sz="6" w:space="0"/>
            </w:tcBorders>
          </w:tcPr>
          <w:p w14:paraId="079C630D">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183" w:type="dxa"/>
            <w:tcBorders>
              <w:top w:val="single" w:color="auto" w:sz="6" w:space="0"/>
              <w:left w:val="single" w:color="auto" w:sz="6" w:space="0"/>
              <w:bottom w:val="single" w:color="auto" w:sz="6" w:space="0"/>
              <w:right w:val="single" w:color="auto" w:sz="6" w:space="0"/>
            </w:tcBorders>
          </w:tcPr>
          <w:p w14:paraId="631AEE94">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965" w:type="dxa"/>
            <w:tcBorders>
              <w:top w:val="single" w:color="auto" w:sz="6" w:space="0"/>
              <w:left w:val="single" w:color="auto" w:sz="6" w:space="0"/>
              <w:bottom w:val="single" w:color="auto" w:sz="6" w:space="0"/>
              <w:right w:val="single" w:color="auto" w:sz="6" w:space="0"/>
            </w:tcBorders>
          </w:tcPr>
          <w:p w14:paraId="43549147">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757" w:type="dxa"/>
            <w:tcBorders>
              <w:top w:val="single" w:color="auto" w:sz="6" w:space="0"/>
              <w:left w:val="single" w:color="auto" w:sz="6" w:space="0"/>
              <w:bottom w:val="single" w:color="auto" w:sz="6" w:space="0"/>
              <w:right w:val="single" w:color="auto" w:sz="6" w:space="0"/>
            </w:tcBorders>
          </w:tcPr>
          <w:p w14:paraId="282FD246">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c>
          <w:tcPr>
            <w:tcW w:w="1057" w:type="dxa"/>
            <w:tcBorders>
              <w:top w:val="single" w:color="auto" w:sz="6" w:space="0"/>
              <w:left w:val="single" w:color="auto" w:sz="6" w:space="0"/>
              <w:bottom w:val="single" w:color="auto" w:sz="6" w:space="0"/>
              <w:right w:val="single" w:color="auto" w:sz="6" w:space="0"/>
            </w:tcBorders>
          </w:tcPr>
          <w:p w14:paraId="7B4A6DDD">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color w:val="auto"/>
                <w:sz w:val="24"/>
                <w:highlight w:val="none"/>
              </w:rPr>
            </w:pPr>
          </w:p>
        </w:tc>
      </w:tr>
    </w:tbl>
    <w:p w14:paraId="510D5913">
      <w:pPr>
        <w:autoSpaceDE w:val="0"/>
        <w:autoSpaceDN w:val="0"/>
        <w:spacing w:line="360" w:lineRule="auto"/>
        <w:rPr>
          <w:rFonts w:hint="eastAsia" w:ascii="宋体" w:hAnsi="宋体" w:eastAsia="宋体" w:cs="宋体"/>
          <w:b/>
          <w:color w:val="auto"/>
          <w:sz w:val="24"/>
          <w:highlight w:val="none"/>
        </w:rPr>
      </w:pPr>
    </w:p>
    <w:p w14:paraId="0C5FBF35">
      <w:pPr>
        <w:pStyle w:val="2"/>
        <w:rPr>
          <w:rFonts w:hint="eastAsia" w:ascii="宋体" w:hAnsi="宋体" w:eastAsia="宋体" w:cs="宋体"/>
          <w:color w:val="auto"/>
          <w:highlight w:val="none"/>
        </w:rPr>
      </w:pPr>
    </w:p>
    <w:p w14:paraId="46D57F57">
      <w:pPr>
        <w:autoSpaceDE w:val="0"/>
        <w:autoSpaceDN w:val="0"/>
        <w:spacing w:line="360" w:lineRule="auto"/>
        <w:jc w:val="right"/>
        <w:rPr>
          <w:rFonts w:hint="eastAsia" w:ascii="宋体" w:hAnsi="宋体" w:eastAsia="宋体" w:cs="宋体"/>
          <w:color w:val="auto"/>
          <w:sz w:val="24"/>
          <w:highlight w:val="none"/>
        </w:rPr>
      </w:pPr>
    </w:p>
    <w:p w14:paraId="61CC2B1B">
      <w:pPr>
        <w:spacing w:line="336" w:lineRule="auto"/>
        <w:ind w:firstLine="3600" w:firstLineChars="1500"/>
        <w:jc w:val="righ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highlight w:val="none"/>
        </w:rPr>
        <w:t xml:space="preserve">                          </w:t>
      </w:r>
    </w:p>
    <w:p w14:paraId="3CFA02EB">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期：  年   月   日</w:t>
      </w:r>
    </w:p>
    <w:p w14:paraId="1ABDD7AB">
      <w:pPr>
        <w:pStyle w:val="10"/>
        <w:rPr>
          <w:rFonts w:hint="eastAsia" w:ascii="宋体" w:hAnsi="宋体" w:eastAsia="宋体" w:cs="宋体"/>
          <w:b/>
          <w:bCs/>
          <w:color w:val="auto"/>
          <w:sz w:val="32"/>
          <w:szCs w:val="32"/>
          <w:highlight w:val="none"/>
          <w:lang w:val="en-US" w:eastAsia="zh-CN"/>
        </w:rPr>
      </w:pPr>
    </w:p>
    <w:p w14:paraId="6215C3ED">
      <w:pPr>
        <w:pStyle w:val="11"/>
        <w:rPr>
          <w:rFonts w:hint="eastAsia" w:ascii="宋体" w:hAnsi="宋体" w:eastAsia="宋体" w:cs="宋体"/>
          <w:b/>
          <w:bCs/>
          <w:color w:val="auto"/>
          <w:sz w:val="32"/>
          <w:szCs w:val="32"/>
          <w:highlight w:val="none"/>
          <w:lang w:val="en-US" w:eastAsia="zh-CN"/>
        </w:rPr>
      </w:pPr>
    </w:p>
    <w:p w14:paraId="3B8253DF">
      <w:pPr>
        <w:rPr>
          <w:rFonts w:hint="eastAsia" w:ascii="宋体" w:hAnsi="宋体" w:eastAsia="宋体" w:cs="宋体"/>
          <w:color w:val="auto"/>
          <w:highlight w:val="none"/>
          <w:lang w:val="en-US" w:eastAsia="zh-CN"/>
        </w:rPr>
      </w:pPr>
    </w:p>
    <w:p w14:paraId="41E7A12A">
      <w:pPr>
        <w:widowControl/>
        <w:adjustRightInd/>
        <w:jc w:val="center"/>
        <w:rPr>
          <w:rFonts w:hint="eastAsia" w:ascii="宋体" w:hAnsi="宋体" w:eastAsia="宋体" w:cs="宋体"/>
          <w:b/>
          <w:color w:val="auto"/>
          <w:kern w:val="0"/>
          <w:sz w:val="32"/>
          <w:szCs w:val="32"/>
          <w:highlight w:val="none"/>
          <w:lang w:val="en-US" w:eastAsia="zh-CN"/>
        </w:rPr>
      </w:pPr>
    </w:p>
    <w:p w14:paraId="1ED6E608">
      <w:pPr>
        <w:widowControl/>
        <w:adjustRightInd/>
        <w:jc w:val="center"/>
        <w:rPr>
          <w:rFonts w:hint="eastAsia" w:ascii="宋体" w:hAnsi="宋体" w:eastAsia="宋体" w:cs="宋体"/>
          <w:b/>
          <w:color w:val="auto"/>
          <w:kern w:val="0"/>
          <w:sz w:val="32"/>
          <w:szCs w:val="32"/>
          <w:highlight w:val="none"/>
          <w:lang w:val="en-US" w:eastAsia="zh-CN"/>
        </w:rPr>
      </w:pPr>
    </w:p>
    <w:p w14:paraId="3D04D38E">
      <w:pPr>
        <w:widowControl/>
        <w:adjustRightInd/>
        <w:jc w:val="center"/>
        <w:rPr>
          <w:rFonts w:hint="eastAsia" w:ascii="宋体" w:hAnsi="宋体" w:eastAsia="宋体" w:cs="宋体"/>
          <w:b/>
          <w:color w:val="auto"/>
          <w:kern w:val="0"/>
          <w:sz w:val="32"/>
          <w:szCs w:val="32"/>
          <w:highlight w:val="none"/>
          <w:lang w:val="en-US" w:eastAsia="zh-CN"/>
        </w:rPr>
      </w:pPr>
    </w:p>
    <w:p w14:paraId="79F9E4AC">
      <w:pPr>
        <w:widowControl/>
        <w:adjustRightInd/>
        <w:jc w:val="center"/>
        <w:rPr>
          <w:rFonts w:hint="eastAsia" w:ascii="宋体" w:hAnsi="宋体" w:eastAsia="宋体" w:cs="宋体"/>
          <w:b/>
          <w:color w:val="auto"/>
          <w:kern w:val="0"/>
          <w:sz w:val="32"/>
          <w:szCs w:val="32"/>
          <w:highlight w:val="none"/>
          <w:lang w:val="en-US" w:eastAsia="zh-CN"/>
        </w:rPr>
      </w:pPr>
    </w:p>
    <w:p w14:paraId="01B42CB8">
      <w:pPr>
        <w:widowControl/>
        <w:adjustRightInd/>
        <w:jc w:val="center"/>
        <w:rPr>
          <w:rFonts w:hint="eastAsia" w:ascii="宋体" w:hAnsi="宋体" w:eastAsia="宋体" w:cs="宋体"/>
          <w:b/>
          <w:color w:val="auto"/>
          <w:kern w:val="0"/>
          <w:sz w:val="32"/>
          <w:szCs w:val="32"/>
          <w:highlight w:val="none"/>
          <w:lang w:val="en-US" w:eastAsia="zh-CN"/>
        </w:rPr>
      </w:pPr>
    </w:p>
    <w:p w14:paraId="610EAE73">
      <w:pPr>
        <w:widowControl/>
        <w:adjustRightInd/>
        <w:jc w:val="center"/>
        <w:rPr>
          <w:rFonts w:hint="eastAsia" w:ascii="宋体" w:hAnsi="宋体" w:eastAsia="宋体" w:cs="宋体"/>
          <w:b/>
          <w:color w:val="auto"/>
          <w:kern w:val="0"/>
          <w:sz w:val="32"/>
          <w:szCs w:val="32"/>
          <w:highlight w:val="none"/>
          <w:lang w:val="en-US" w:eastAsia="zh-CN"/>
        </w:rPr>
      </w:pPr>
    </w:p>
    <w:p w14:paraId="6AE093AF">
      <w:pPr>
        <w:widowControl/>
        <w:adjustRightInd/>
        <w:jc w:val="center"/>
        <w:rPr>
          <w:rFonts w:hint="eastAsia" w:ascii="宋体" w:hAnsi="宋体" w:eastAsia="宋体" w:cs="宋体"/>
          <w:b/>
          <w:color w:val="auto"/>
          <w:kern w:val="0"/>
          <w:sz w:val="32"/>
          <w:szCs w:val="32"/>
          <w:highlight w:val="none"/>
          <w:lang w:val="en-US" w:eastAsia="zh-CN"/>
        </w:rPr>
      </w:pPr>
    </w:p>
    <w:p w14:paraId="2CF9961D">
      <w:pPr>
        <w:widowControl/>
        <w:adjustRightInd/>
        <w:jc w:val="center"/>
        <w:rPr>
          <w:rFonts w:hint="eastAsia" w:ascii="宋体" w:hAnsi="宋体" w:eastAsia="宋体" w:cs="宋体"/>
          <w:b/>
          <w:color w:val="auto"/>
          <w:kern w:val="0"/>
          <w:sz w:val="32"/>
          <w:szCs w:val="32"/>
          <w:highlight w:val="none"/>
          <w:lang w:val="en-US" w:eastAsia="zh-CN"/>
        </w:rPr>
      </w:pPr>
    </w:p>
    <w:p w14:paraId="7F668C55">
      <w:pPr>
        <w:widowControl/>
        <w:adjustRightInd/>
        <w:jc w:val="center"/>
        <w:rPr>
          <w:rFonts w:hint="eastAsia" w:ascii="宋体" w:hAnsi="宋体" w:eastAsia="宋体" w:cs="宋体"/>
          <w:b/>
          <w:color w:val="auto"/>
          <w:kern w:val="0"/>
          <w:sz w:val="32"/>
          <w:szCs w:val="32"/>
          <w:highlight w:val="none"/>
          <w:lang w:val="en-US" w:eastAsia="zh-CN"/>
        </w:rPr>
      </w:pPr>
    </w:p>
    <w:p w14:paraId="7EAD4892">
      <w:pPr>
        <w:widowControl/>
        <w:adjustRightInd/>
        <w:jc w:val="center"/>
        <w:rPr>
          <w:rFonts w:hint="eastAsia" w:ascii="宋体" w:hAnsi="宋体" w:cs="宋体"/>
          <w:b/>
          <w:color w:val="auto"/>
          <w:kern w:val="0"/>
          <w:sz w:val="32"/>
          <w:szCs w:val="32"/>
          <w:highlight w:val="none"/>
          <w:lang w:val="en-US" w:eastAsia="zh-CN"/>
        </w:rPr>
      </w:pPr>
    </w:p>
    <w:p w14:paraId="04A0C17E">
      <w:pPr>
        <w:widowControl/>
        <w:adjustRightInd/>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九</w:t>
      </w:r>
      <w:r>
        <w:rPr>
          <w:rFonts w:hint="eastAsia" w:ascii="宋体" w:hAnsi="宋体" w:eastAsia="宋体" w:cs="宋体"/>
          <w:b/>
          <w:color w:val="auto"/>
          <w:kern w:val="0"/>
          <w:sz w:val="32"/>
          <w:szCs w:val="32"/>
          <w:highlight w:val="none"/>
        </w:rPr>
        <w:t>、</w:t>
      </w:r>
      <w:r>
        <w:rPr>
          <w:rFonts w:hint="eastAsia" w:ascii="宋体" w:hAnsi="宋体" w:eastAsia="宋体" w:cs="宋体"/>
          <w:b/>
          <w:color w:val="auto"/>
          <w:kern w:val="0"/>
          <w:sz w:val="32"/>
          <w:szCs w:val="32"/>
          <w:highlight w:val="none"/>
          <w:lang w:val="zh-CN"/>
        </w:rPr>
        <w:t>供应商廉洁自律承诺书</w:t>
      </w:r>
    </w:p>
    <w:p w14:paraId="36656D85">
      <w:pPr>
        <w:snapToGrid w:val="0"/>
        <w:spacing w:line="360" w:lineRule="auto"/>
        <w:rPr>
          <w:rFonts w:hint="eastAsia" w:ascii="宋体" w:hAnsi="宋体" w:eastAsia="宋体" w:cs="宋体"/>
          <w:color w:val="auto"/>
          <w:sz w:val="24"/>
          <w:highlight w:val="none"/>
        </w:rPr>
      </w:pPr>
    </w:p>
    <w:p w14:paraId="68FBF7E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7DE1CF93">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4698B9C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33C88866">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7F62FBA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3176A654">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7E65EAF7">
      <w:pPr>
        <w:autoSpaceDE w:val="0"/>
        <w:autoSpaceDN w:val="0"/>
        <w:spacing w:line="360" w:lineRule="auto"/>
        <w:ind w:left="550"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6823765D">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1B11294C">
      <w:pPr>
        <w:autoSpaceDE w:val="0"/>
        <w:autoSpaceDN w:val="0"/>
        <w:spacing w:line="360" w:lineRule="auto"/>
        <w:ind w:left="550"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2469945B">
      <w:pPr>
        <w:autoSpaceDE w:val="0"/>
        <w:autoSpaceDN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 xml:space="preserve">等法律法规，诚实守信，合法经营，坚决抵制各种违法违纪行为。 </w:t>
      </w:r>
    </w:p>
    <w:p w14:paraId="04207226">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3736E498">
      <w:pPr>
        <w:autoSpaceDE w:val="0"/>
        <w:autoSpaceDN w:val="0"/>
        <w:spacing w:line="360" w:lineRule="auto"/>
        <w:ind w:left="2"/>
        <w:jc w:val="left"/>
        <w:rPr>
          <w:rFonts w:hint="eastAsia" w:ascii="宋体" w:hAnsi="宋体" w:eastAsia="宋体" w:cs="宋体"/>
          <w:color w:val="auto"/>
          <w:kern w:val="0"/>
          <w:sz w:val="24"/>
          <w:highlight w:val="none"/>
          <w:lang w:val="zh-CN"/>
        </w:rPr>
      </w:pPr>
    </w:p>
    <w:p w14:paraId="47315644">
      <w:pPr>
        <w:autoSpaceDE w:val="0"/>
        <w:autoSpaceDN w:val="0"/>
        <w:spacing w:line="360" w:lineRule="auto"/>
        <w:ind w:left="2"/>
        <w:jc w:val="left"/>
        <w:rPr>
          <w:rFonts w:hint="eastAsia" w:ascii="宋体" w:hAnsi="宋体" w:eastAsia="宋体" w:cs="宋体"/>
          <w:color w:val="auto"/>
          <w:kern w:val="0"/>
          <w:sz w:val="24"/>
          <w:highlight w:val="none"/>
          <w:lang w:val="zh-CN"/>
        </w:rPr>
      </w:pPr>
    </w:p>
    <w:p w14:paraId="7DF70251">
      <w:pPr>
        <w:autoSpaceDE w:val="0"/>
        <w:autoSpaceDN w:val="0"/>
        <w:spacing w:line="360" w:lineRule="auto"/>
        <w:ind w:left="2"/>
        <w:jc w:val="left"/>
        <w:rPr>
          <w:rFonts w:hint="eastAsia" w:ascii="宋体" w:hAnsi="宋体" w:eastAsia="宋体" w:cs="宋体"/>
          <w:color w:val="auto"/>
          <w:kern w:val="0"/>
          <w:sz w:val="24"/>
          <w:highlight w:val="none"/>
          <w:lang w:val="zh-CN"/>
        </w:rPr>
      </w:pPr>
    </w:p>
    <w:p w14:paraId="252D0870">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04CCCAD4">
      <w:pPr>
        <w:spacing w:line="360" w:lineRule="auto"/>
        <w:ind w:firstLine="4560" w:firstLineChars="19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6E9EA5DB">
      <w:pPr>
        <w:spacing w:line="360" w:lineRule="auto"/>
        <w:jc w:val="center"/>
        <w:rPr>
          <w:rFonts w:hint="eastAsia" w:ascii="宋体" w:hAnsi="宋体" w:eastAsia="宋体" w:cs="宋体"/>
          <w:b/>
          <w:bCs/>
          <w:color w:val="auto"/>
          <w:sz w:val="24"/>
          <w:highlight w:val="none"/>
        </w:rPr>
      </w:pPr>
    </w:p>
    <w:p w14:paraId="4FF8EC17">
      <w:pPr>
        <w:spacing w:line="360" w:lineRule="auto"/>
        <w:jc w:val="center"/>
        <w:rPr>
          <w:rFonts w:hint="eastAsia" w:ascii="宋体" w:hAnsi="宋体" w:eastAsia="宋体" w:cs="宋体"/>
          <w:b/>
          <w:bCs/>
          <w:color w:val="auto"/>
          <w:sz w:val="24"/>
          <w:highlight w:val="none"/>
        </w:rPr>
      </w:pPr>
    </w:p>
    <w:p w14:paraId="09D49397">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7C26505E">
      <w:pPr>
        <w:rPr>
          <w:rFonts w:hint="eastAsia" w:ascii="宋体" w:hAnsi="宋体" w:eastAsia="宋体" w:cs="宋体"/>
          <w:b/>
          <w:bCs/>
          <w:color w:val="auto"/>
          <w:sz w:val="32"/>
          <w:szCs w:val="32"/>
          <w:highlight w:val="none"/>
          <w:lang w:val="en-US" w:eastAsia="zh-CN"/>
        </w:rPr>
      </w:pPr>
    </w:p>
    <w:p w14:paraId="0BE64DDB">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cs="宋体"/>
          <w:b/>
          <w:bCs/>
          <w:color w:val="auto"/>
          <w:sz w:val="32"/>
          <w:szCs w:val="32"/>
          <w:highlight w:val="none"/>
          <w:lang w:val="en-US" w:eastAsia="zh-CN"/>
        </w:rPr>
      </w:pPr>
    </w:p>
    <w:p w14:paraId="760009D4">
      <w:pPr>
        <w:keepNext w:val="0"/>
        <w:keepLines w:val="0"/>
        <w:pageBreakBefore w:val="0"/>
        <w:widowControl w:val="0"/>
        <w:kinsoku/>
        <w:wordWrap/>
        <w:overflowPunct/>
        <w:topLinePunct w:val="0"/>
        <w:bidi w:val="0"/>
        <w:snapToGrid/>
        <w:spacing w:line="480" w:lineRule="exact"/>
        <w:jc w:val="center"/>
        <w:textAlignment w:val="auto"/>
        <w:rPr>
          <w:rFonts w:hint="default" w:ascii="宋体" w:hAnsi="宋体" w:eastAsia="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t>十</w:t>
      </w:r>
      <w:r>
        <w:rPr>
          <w:rFonts w:hint="eastAsia" w:ascii="宋体" w:hAnsi="宋体" w:eastAsia="宋体" w:cs="宋体"/>
          <w:b/>
          <w:bCs/>
          <w:color w:val="auto"/>
          <w:sz w:val="32"/>
          <w:szCs w:val="32"/>
          <w:highlight w:val="none"/>
          <w:lang w:val="en-US" w:eastAsia="zh-CN"/>
        </w:rPr>
        <w:t>、</w:t>
      </w:r>
      <w:r>
        <w:rPr>
          <w:rFonts w:hint="eastAsia" w:ascii="宋体" w:hAnsi="宋体" w:cs="宋体"/>
          <w:b/>
          <w:bCs/>
          <w:color w:val="auto"/>
          <w:sz w:val="32"/>
          <w:szCs w:val="32"/>
          <w:highlight w:val="none"/>
          <w:lang w:val="en-US" w:eastAsia="zh-CN"/>
        </w:rPr>
        <w:t>综合评价</w:t>
      </w:r>
    </w:p>
    <w:p w14:paraId="7E91B62C">
      <w:pPr>
        <w:keepNext w:val="0"/>
        <w:keepLines w:val="0"/>
        <w:pageBreakBefore w:val="0"/>
        <w:widowControl w:val="0"/>
        <w:kinsoku/>
        <w:wordWrap/>
        <w:overflowPunct/>
        <w:topLinePunct w:val="0"/>
        <w:autoSpaceDE w:val="0"/>
        <w:autoSpaceDN w:val="0"/>
        <w:bidi w:val="0"/>
        <w:snapToGrid/>
        <w:spacing w:line="480" w:lineRule="exact"/>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38233092">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kern w:val="0"/>
          <w:sz w:val="24"/>
          <w:highlight w:val="none"/>
          <w:lang w:val="en-US" w:eastAsia="zh-CN"/>
        </w:rPr>
      </w:pPr>
    </w:p>
    <w:p w14:paraId="66DE8897">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0E5F4635">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07B0E768">
      <w:pPr>
        <w:keepNext w:val="0"/>
        <w:keepLines w:val="0"/>
        <w:pageBreakBefore w:val="0"/>
        <w:widowControl w:val="0"/>
        <w:kinsoku/>
        <w:wordWrap/>
        <w:overflowPunct/>
        <w:topLinePunct w:val="0"/>
        <w:bidi w:val="0"/>
        <w:snapToGrid/>
        <w:spacing w:line="480" w:lineRule="exact"/>
        <w:jc w:val="both"/>
        <w:textAlignment w:val="auto"/>
        <w:rPr>
          <w:rFonts w:hint="eastAsia" w:ascii="宋体" w:hAnsi="宋体" w:eastAsia="宋体" w:cs="宋体"/>
          <w:b/>
          <w:bCs/>
          <w:color w:val="auto"/>
          <w:sz w:val="32"/>
          <w:szCs w:val="32"/>
          <w:highlight w:val="none"/>
          <w:lang w:eastAsia="zh-CN"/>
        </w:rPr>
      </w:pPr>
    </w:p>
    <w:p w14:paraId="6CAB430E">
      <w:pPr>
        <w:keepNext w:val="0"/>
        <w:keepLines w:val="0"/>
        <w:pageBreakBefore w:val="0"/>
        <w:widowControl w:val="0"/>
        <w:kinsoku/>
        <w:wordWrap/>
        <w:overflowPunct/>
        <w:topLinePunct w:val="0"/>
        <w:bidi w:val="0"/>
        <w:snapToGrid/>
        <w:spacing w:line="480" w:lineRule="exact"/>
        <w:jc w:val="both"/>
        <w:textAlignment w:val="auto"/>
        <w:rPr>
          <w:rFonts w:hint="eastAsia" w:ascii="宋体" w:hAnsi="宋体" w:eastAsia="宋体" w:cs="宋体"/>
          <w:b/>
          <w:bCs/>
          <w:color w:val="auto"/>
          <w:sz w:val="32"/>
          <w:szCs w:val="32"/>
          <w:highlight w:val="none"/>
          <w:lang w:eastAsia="zh-CN"/>
        </w:rPr>
      </w:pPr>
    </w:p>
    <w:p w14:paraId="75F2E4B9">
      <w:pPr>
        <w:keepNext w:val="0"/>
        <w:keepLines w:val="0"/>
        <w:pageBreakBefore w:val="0"/>
        <w:widowControl w:val="0"/>
        <w:kinsoku/>
        <w:wordWrap/>
        <w:overflowPunct/>
        <w:topLinePunct w:val="0"/>
        <w:bidi w:val="0"/>
        <w:snapToGrid/>
        <w:spacing w:line="480" w:lineRule="exact"/>
        <w:jc w:val="center"/>
        <w:textAlignment w:val="auto"/>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一</w:t>
      </w:r>
      <w:r>
        <w:rPr>
          <w:rFonts w:hint="eastAsia" w:ascii="宋体" w:hAnsi="宋体" w:eastAsia="宋体" w:cs="宋体"/>
          <w:b/>
          <w:bCs/>
          <w:color w:val="auto"/>
          <w:sz w:val="32"/>
          <w:szCs w:val="32"/>
          <w:highlight w:val="none"/>
          <w:lang w:val="en-US" w:eastAsia="zh-CN"/>
        </w:rPr>
        <w:t>、</w:t>
      </w:r>
      <w:r>
        <w:rPr>
          <w:rFonts w:hint="eastAsia" w:ascii="宋体" w:hAnsi="宋体" w:cs="宋体"/>
          <w:b/>
          <w:bCs/>
          <w:color w:val="auto"/>
          <w:sz w:val="32"/>
          <w:szCs w:val="32"/>
          <w:highlight w:val="none"/>
          <w:lang w:val="en-US" w:eastAsia="zh-CN"/>
        </w:rPr>
        <w:t>认证证书</w:t>
      </w:r>
    </w:p>
    <w:p w14:paraId="6D9859AB">
      <w:pPr>
        <w:keepNext w:val="0"/>
        <w:keepLines w:val="0"/>
        <w:pageBreakBefore w:val="0"/>
        <w:widowControl w:val="0"/>
        <w:kinsoku/>
        <w:wordWrap/>
        <w:overflowPunct/>
        <w:topLinePunct w:val="0"/>
        <w:autoSpaceDE w:val="0"/>
        <w:autoSpaceDN w:val="0"/>
        <w:bidi w:val="0"/>
        <w:snapToGrid/>
        <w:spacing w:line="480" w:lineRule="exact"/>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17239787">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kern w:val="0"/>
          <w:sz w:val="24"/>
          <w:highlight w:val="none"/>
          <w:lang w:val="en-US" w:eastAsia="zh-CN"/>
        </w:rPr>
      </w:pPr>
    </w:p>
    <w:p w14:paraId="00C1F208">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1A11280F">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3545F796">
      <w:pPr>
        <w:pStyle w:val="6"/>
        <w:keepNext w:val="0"/>
        <w:keepLines w:val="0"/>
        <w:pageBreakBefore w:val="0"/>
        <w:widowControl w:val="0"/>
        <w:kinsoku/>
        <w:wordWrap/>
        <w:overflowPunct/>
        <w:topLinePunct w:val="0"/>
        <w:bidi w:val="0"/>
        <w:snapToGrid/>
        <w:spacing w:after="0" w:line="480" w:lineRule="exact"/>
        <w:textAlignment w:val="auto"/>
        <w:rPr>
          <w:rFonts w:hint="eastAsia" w:ascii="宋体" w:hAnsi="宋体" w:eastAsia="宋体" w:cs="宋体"/>
          <w:color w:val="auto"/>
          <w:highlight w:val="none"/>
        </w:rPr>
      </w:pPr>
    </w:p>
    <w:p w14:paraId="2CB3E118">
      <w:pPr>
        <w:pStyle w:val="5"/>
        <w:rPr>
          <w:rFonts w:hint="eastAsia"/>
        </w:rPr>
      </w:pPr>
    </w:p>
    <w:p w14:paraId="41E61018">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二、企业荣誉</w:t>
      </w:r>
    </w:p>
    <w:p w14:paraId="250FCF22">
      <w:pPr>
        <w:keepNext w:val="0"/>
        <w:keepLines w:val="0"/>
        <w:pageBreakBefore w:val="0"/>
        <w:widowControl w:val="0"/>
        <w:kinsoku/>
        <w:wordWrap/>
        <w:overflowPunct/>
        <w:topLinePunct w:val="0"/>
        <w:autoSpaceDE w:val="0"/>
        <w:autoSpaceDN w:val="0"/>
        <w:bidi w:val="0"/>
        <w:snapToGrid/>
        <w:spacing w:line="480" w:lineRule="exact"/>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28E5156F">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kern w:val="0"/>
          <w:sz w:val="24"/>
          <w:highlight w:val="none"/>
          <w:lang w:val="en-US" w:eastAsia="zh-CN"/>
        </w:rPr>
      </w:pPr>
    </w:p>
    <w:p w14:paraId="554D517A">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0D927CF5">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06BE7E3F">
      <w:pPr>
        <w:keepNext w:val="0"/>
        <w:keepLines w:val="0"/>
        <w:pageBreakBefore w:val="0"/>
        <w:widowControl w:val="0"/>
        <w:kinsoku/>
        <w:wordWrap/>
        <w:overflowPunct/>
        <w:topLinePunct w:val="0"/>
        <w:bidi w:val="0"/>
        <w:snapToGrid/>
        <w:spacing w:line="480" w:lineRule="exact"/>
        <w:jc w:val="both"/>
        <w:textAlignment w:val="auto"/>
        <w:rPr>
          <w:rFonts w:hint="eastAsia" w:ascii="宋体" w:hAnsi="宋体" w:eastAsia="宋体" w:cs="宋体"/>
          <w:b/>
          <w:bCs/>
          <w:color w:val="auto"/>
          <w:sz w:val="32"/>
          <w:szCs w:val="32"/>
          <w:highlight w:val="none"/>
          <w:lang w:val="en-US" w:eastAsia="zh-CN"/>
        </w:rPr>
      </w:pPr>
    </w:p>
    <w:p w14:paraId="72DE656B">
      <w:pPr>
        <w:keepNext w:val="0"/>
        <w:keepLines w:val="0"/>
        <w:pageBreakBefore w:val="0"/>
        <w:widowControl w:val="0"/>
        <w:kinsoku/>
        <w:wordWrap/>
        <w:overflowPunct/>
        <w:topLinePunct w:val="0"/>
        <w:bidi w:val="0"/>
        <w:snapToGrid/>
        <w:spacing w:line="480" w:lineRule="exact"/>
        <w:jc w:val="both"/>
        <w:textAlignment w:val="auto"/>
        <w:rPr>
          <w:rFonts w:hint="eastAsia" w:ascii="宋体" w:hAnsi="宋体" w:eastAsia="宋体" w:cs="宋体"/>
          <w:b/>
          <w:bCs/>
          <w:color w:val="auto"/>
          <w:sz w:val="32"/>
          <w:szCs w:val="32"/>
          <w:highlight w:val="none"/>
          <w:lang w:val="en-US" w:eastAsia="zh-CN"/>
        </w:rPr>
      </w:pPr>
    </w:p>
    <w:p w14:paraId="3E70EFE1">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三</w:t>
      </w:r>
      <w:r>
        <w:rPr>
          <w:rFonts w:hint="eastAsia" w:ascii="宋体" w:hAnsi="宋体" w:eastAsia="宋体" w:cs="宋体"/>
          <w:b/>
          <w:bCs/>
          <w:color w:val="auto"/>
          <w:sz w:val="32"/>
          <w:szCs w:val="32"/>
          <w:highlight w:val="none"/>
          <w:lang w:val="en-US" w:eastAsia="zh-CN"/>
        </w:rPr>
        <w:t>、产品性能指标</w:t>
      </w:r>
    </w:p>
    <w:p w14:paraId="5C6980D1">
      <w:pPr>
        <w:keepNext w:val="0"/>
        <w:keepLines w:val="0"/>
        <w:pageBreakBefore w:val="0"/>
        <w:widowControl w:val="0"/>
        <w:kinsoku/>
        <w:wordWrap/>
        <w:overflowPunct/>
        <w:topLinePunct w:val="0"/>
        <w:autoSpaceDE w:val="0"/>
        <w:autoSpaceDN w:val="0"/>
        <w:bidi w:val="0"/>
        <w:snapToGrid/>
        <w:spacing w:line="480" w:lineRule="exact"/>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54637F29">
      <w:pPr>
        <w:keepNext w:val="0"/>
        <w:keepLines w:val="0"/>
        <w:pageBreakBefore w:val="0"/>
        <w:widowControl w:val="0"/>
        <w:kinsoku/>
        <w:wordWrap/>
        <w:overflowPunct/>
        <w:topLinePunct w:val="0"/>
        <w:autoSpaceDE/>
        <w:autoSpaceDN/>
        <w:bidi w:val="0"/>
        <w:adjustRightInd w:val="0"/>
        <w:snapToGrid/>
        <w:spacing w:line="480" w:lineRule="exact"/>
        <w:textAlignment w:val="auto"/>
        <w:rPr>
          <w:rFonts w:hint="eastAsia" w:ascii="宋体" w:hAnsi="宋体" w:eastAsia="宋体" w:cs="宋体"/>
          <w:color w:val="auto"/>
          <w:sz w:val="24"/>
          <w:highlight w:val="none"/>
          <w:lang w:val="en-US" w:eastAsia="zh-CN"/>
        </w:rPr>
      </w:pPr>
    </w:p>
    <w:p w14:paraId="7A6136FB">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186DB3A4">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eastAsia="宋体" w:cs="宋体"/>
          <w:b/>
          <w:bCs/>
          <w:color w:val="auto"/>
          <w:sz w:val="32"/>
          <w:szCs w:val="32"/>
          <w:highlight w:val="none"/>
          <w:lang w:eastAsia="zh-CN"/>
        </w:rPr>
      </w:pPr>
      <w:r>
        <w:rPr>
          <w:rFonts w:hint="eastAsia" w:ascii="宋体" w:hAnsi="宋体" w:eastAsia="宋体" w:cs="宋体"/>
          <w:color w:val="auto"/>
          <w:sz w:val="24"/>
          <w:highlight w:val="none"/>
        </w:rPr>
        <w:t xml:space="preserve">     日期：  年   月   日</w:t>
      </w:r>
    </w:p>
    <w:p w14:paraId="711E7D54">
      <w:pPr>
        <w:keepNext w:val="0"/>
        <w:keepLines w:val="0"/>
        <w:pageBreakBefore w:val="0"/>
        <w:widowControl w:val="0"/>
        <w:kinsoku/>
        <w:wordWrap/>
        <w:overflowPunct/>
        <w:topLinePunct w:val="0"/>
        <w:bidi w:val="0"/>
        <w:snapToGrid/>
        <w:spacing w:line="480" w:lineRule="exact"/>
        <w:jc w:val="both"/>
        <w:textAlignment w:val="auto"/>
        <w:rPr>
          <w:rFonts w:hint="eastAsia" w:ascii="宋体" w:hAnsi="宋体" w:eastAsia="宋体" w:cs="宋体"/>
          <w:b/>
          <w:bCs/>
          <w:color w:val="auto"/>
          <w:sz w:val="32"/>
          <w:szCs w:val="32"/>
          <w:highlight w:val="none"/>
          <w:lang w:val="en-US" w:eastAsia="zh-CN"/>
        </w:rPr>
      </w:pPr>
    </w:p>
    <w:p w14:paraId="2A52DFE3">
      <w:pPr>
        <w:keepNext w:val="0"/>
        <w:keepLines w:val="0"/>
        <w:pageBreakBefore w:val="0"/>
        <w:widowControl w:val="0"/>
        <w:kinsoku/>
        <w:wordWrap/>
        <w:overflowPunct/>
        <w:topLinePunct w:val="0"/>
        <w:bidi w:val="0"/>
        <w:snapToGrid/>
        <w:spacing w:line="480" w:lineRule="exact"/>
        <w:ind w:firstLine="964" w:firstLineChars="300"/>
        <w:jc w:val="center"/>
        <w:textAlignment w:val="auto"/>
        <w:rPr>
          <w:rFonts w:hint="eastAsia" w:ascii="宋体" w:hAnsi="宋体" w:eastAsia="宋体" w:cs="宋体"/>
          <w:b/>
          <w:bCs/>
          <w:color w:val="auto"/>
          <w:sz w:val="32"/>
          <w:szCs w:val="32"/>
          <w:highlight w:val="none"/>
          <w:lang w:val="en-US" w:eastAsia="zh-CN"/>
        </w:rPr>
      </w:pPr>
    </w:p>
    <w:p w14:paraId="1D45FF97">
      <w:pPr>
        <w:keepNext w:val="0"/>
        <w:keepLines w:val="0"/>
        <w:pageBreakBefore w:val="0"/>
        <w:widowControl w:val="0"/>
        <w:kinsoku/>
        <w:wordWrap/>
        <w:overflowPunct/>
        <w:topLinePunct w:val="0"/>
        <w:bidi w:val="0"/>
        <w:snapToGrid/>
        <w:spacing w:line="480" w:lineRule="exact"/>
        <w:ind w:firstLine="964" w:firstLineChars="300"/>
        <w:jc w:val="center"/>
        <w:textAlignment w:val="auto"/>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四</w:t>
      </w:r>
      <w:r>
        <w:rPr>
          <w:rFonts w:hint="eastAsia" w:ascii="宋体" w:hAnsi="宋体" w:eastAsia="宋体" w:cs="宋体"/>
          <w:b/>
          <w:bCs/>
          <w:color w:val="auto"/>
          <w:sz w:val="32"/>
          <w:szCs w:val="32"/>
          <w:highlight w:val="none"/>
          <w:lang w:val="en-US" w:eastAsia="zh-CN"/>
        </w:rPr>
        <w:t>、</w:t>
      </w:r>
      <w:r>
        <w:rPr>
          <w:rFonts w:hint="eastAsia" w:ascii="宋体" w:hAnsi="宋体" w:cs="宋体"/>
          <w:b/>
          <w:bCs/>
          <w:color w:val="auto"/>
          <w:sz w:val="32"/>
          <w:szCs w:val="32"/>
          <w:highlight w:val="none"/>
          <w:lang w:val="en-US" w:eastAsia="zh-CN"/>
        </w:rPr>
        <w:t>质保期</w:t>
      </w:r>
    </w:p>
    <w:p w14:paraId="7E69906D">
      <w:pPr>
        <w:keepNext w:val="0"/>
        <w:keepLines w:val="0"/>
        <w:pageBreakBefore w:val="0"/>
        <w:widowControl w:val="0"/>
        <w:kinsoku/>
        <w:wordWrap/>
        <w:overflowPunct/>
        <w:topLinePunct w:val="0"/>
        <w:autoSpaceDE w:val="0"/>
        <w:autoSpaceDN w:val="0"/>
        <w:bidi w:val="0"/>
        <w:snapToGrid/>
        <w:spacing w:line="480" w:lineRule="exact"/>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4FB4493F">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kern w:val="0"/>
          <w:sz w:val="24"/>
          <w:highlight w:val="none"/>
          <w:lang w:val="en-US" w:eastAsia="zh-CN"/>
        </w:rPr>
      </w:pPr>
    </w:p>
    <w:p w14:paraId="340A5CE9">
      <w:pPr>
        <w:keepNext w:val="0"/>
        <w:keepLines w:val="0"/>
        <w:pageBreakBefore w:val="0"/>
        <w:widowControl w:val="0"/>
        <w:kinsoku/>
        <w:wordWrap/>
        <w:overflowPunct/>
        <w:topLinePunct w:val="0"/>
        <w:autoSpaceDE/>
        <w:autoSpaceDN/>
        <w:bidi w:val="0"/>
        <w:adjustRightInd w:val="0"/>
        <w:snapToGrid/>
        <w:spacing w:line="480" w:lineRule="exact"/>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34798EAA">
      <w:pPr>
        <w:keepNext w:val="0"/>
        <w:keepLines w:val="0"/>
        <w:pageBreakBefore w:val="0"/>
        <w:widowControl w:val="0"/>
        <w:kinsoku/>
        <w:wordWrap/>
        <w:overflowPunct/>
        <w:topLinePunct w:val="0"/>
        <w:bidi w:val="0"/>
        <w:snapToGrid/>
        <w:spacing w:line="480" w:lineRule="exact"/>
        <w:jc w:val="center"/>
        <w:textAlignment w:val="auto"/>
        <w:rPr>
          <w:rFonts w:hint="eastAsia" w:ascii="宋体" w:hAnsi="宋体" w:eastAsia="宋体" w:cs="宋体"/>
          <w:b/>
          <w:bCs/>
          <w:color w:val="auto"/>
          <w:sz w:val="32"/>
          <w:szCs w:val="32"/>
          <w:highlight w:val="none"/>
          <w:lang w:val="en-US" w:eastAsia="zh-CN"/>
        </w:rPr>
      </w:pPr>
      <w:r>
        <w:rPr>
          <w:rFonts w:hint="eastAsia" w:ascii="宋体" w:hAnsi="宋体" w:eastAsia="宋体" w:cs="宋体"/>
          <w:color w:val="auto"/>
          <w:sz w:val="24"/>
          <w:highlight w:val="none"/>
        </w:rPr>
        <w:t xml:space="preserve">     日期：  年   月   日</w:t>
      </w:r>
    </w:p>
    <w:p w14:paraId="5B43AB74">
      <w:pPr>
        <w:keepNext w:val="0"/>
        <w:keepLines w:val="0"/>
        <w:pageBreakBefore w:val="0"/>
        <w:widowControl w:val="0"/>
        <w:kinsoku/>
        <w:wordWrap/>
        <w:overflowPunct/>
        <w:topLinePunct w:val="0"/>
        <w:bidi w:val="0"/>
        <w:snapToGrid/>
        <w:spacing w:line="480" w:lineRule="exact"/>
        <w:jc w:val="both"/>
        <w:textAlignment w:val="auto"/>
        <w:rPr>
          <w:rFonts w:hint="eastAsia" w:ascii="宋体" w:hAnsi="宋体" w:cs="宋体"/>
          <w:b/>
          <w:bCs/>
          <w:color w:val="auto"/>
          <w:sz w:val="32"/>
          <w:szCs w:val="32"/>
          <w:highlight w:val="none"/>
          <w:lang w:val="en-US" w:eastAsia="zh-CN"/>
        </w:rPr>
      </w:pPr>
    </w:p>
    <w:p w14:paraId="7273A9FF">
      <w:pPr>
        <w:keepNext w:val="0"/>
        <w:keepLines w:val="0"/>
        <w:pageBreakBefore w:val="0"/>
        <w:widowControl w:val="0"/>
        <w:kinsoku/>
        <w:wordWrap/>
        <w:overflowPunct/>
        <w:topLinePunct w:val="0"/>
        <w:bidi w:val="0"/>
        <w:snapToGrid/>
        <w:spacing w:line="480" w:lineRule="exact"/>
        <w:ind w:firstLine="964" w:firstLineChars="300"/>
        <w:jc w:val="center"/>
        <w:textAlignment w:val="auto"/>
        <w:rPr>
          <w:rFonts w:hint="eastAsia" w:ascii="宋体" w:hAnsi="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t>十五、特约服务网点</w:t>
      </w:r>
    </w:p>
    <w:p w14:paraId="553A32F1">
      <w:pPr>
        <w:autoSpaceDE w:val="0"/>
        <w:autoSpaceDN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40518120">
      <w:pPr>
        <w:keepNext w:val="0"/>
        <w:keepLines w:val="0"/>
        <w:pageBreakBefore w:val="0"/>
        <w:widowControl w:val="0"/>
        <w:kinsoku/>
        <w:wordWrap/>
        <w:overflowPunct/>
        <w:topLinePunct w:val="0"/>
        <w:autoSpaceDE/>
        <w:autoSpaceDN/>
        <w:bidi w:val="0"/>
        <w:adjustRightInd w:val="0"/>
        <w:snapToGrid/>
        <w:spacing w:line="336" w:lineRule="auto"/>
        <w:ind w:firstLine="3600" w:firstLineChars="1500"/>
        <w:textAlignment w:val="auto"/>
        <w:rPr>
          <w:rFonts w:hint="eastAsia" w:ascii="宋体" w:hAnsi="宋体" w:eastAsia="宋体" w:cs="宋体"/>
          <w:color w:val="auto"/>
          <w:kern w:val="0"/>
          <w:sz w:val="24"/>
          <w:highlight w:val="none"/>
          <w:lang w:val="en-US" w:eastAsia="zh-CN"/>
        </w:rPr>
      </w:pPr>
    </w:p>
    <w:p w14:paraId="75257C23">
      <w:pPr>
        <w:keepNext w:val="0"/>
        <w:keepLines w:val="0"/>
        <w:pageBreakBefore w:val="0"/>
        <w:widowControl w:val="0"/>
        <w:kinsoku/>
        <w:wordWrap/>
        <w:overflowPunct/>
        <w:topLinePunct w:val="0"/>
        <w:autoSpaceDE/>
        <w:autoSpaceDN/>
        <w:bidi w:val="0"/>
        <w:adjustRightInd w:val="0"/>
        <w:snapToGrid/>
        <w:spacing w:line="336" w:lineRule="auto"/>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6B9B1BB8">
      <w:pPr>
        <w:spacing w:line="336" w:lineRule="auto"/>
        <w:jc w:val="center"/>
        <w:rPr>
          <w:rFonts w:hint="eastAsia" w:ascii="宋体" w:hAnsi="宋体" w:eastAsia="宋体" w:cs="宋体"/>
          <w:b/>
          <w:bCs/>
          <w:color w:val="auto"/>
          <w:sz w:val="32"/>
          <w:szCs w:val="32"/>
          <w:highlight w:val="none"/>
          <w:lang w:val="en-US" w:eastAsia="zh-CN"/>
        </w:rPr>
      </w:pPr>
      <w:r>
        <w:rPr>
          <w:rFonts w:hint="eastAsia" w:ascii="宋体" w:hAnsi="宋体" w:eastAsia="宋体" w:cs="宋体"/>
          <w:color w:val="auto"/>
          <w:sz w:val="24"/>
          <w:highlight w:val="none"/>
        </w:rPr>
        <w:t xml:space="preserve">     日期：  年   月   日</w:t>
      </w:r>
    </w:p>
    <w:p w14:paraId="1042F605">
      <w:pPr>
        <w:spacing w:line="360" w:lineRule="auto"/>
        <w:ind w:firstLine="964" w:firstLineChars="300"/>
        <w:jc w:val="center"/>
        <w:rPr>
          <w:rFonts w:hint="eastAsia" w:ascii="宋体" w:hAnsi="宋体" w:eastAsia="宋体" w:cs="宋体"/>
          <w:b/>
          <w:bCs/>
          <w:color w:val="auto"/>
          <w:sz w:val="32"/>
          <w:szCs w:val="32"/>
          <w:highlight w:val="none"/>
          <w:lang w:val="en-US" w:eastAsia="zh-CN"/>
        </w:rPr>
      </w:pPr>
    </w:p>
    <w:p w14:paraId="61A8F944">
      <w:pPr>
        <w:spacing w:line="360" w:lineRule="auto"/>
        <w:ind w:firstLine="964" w:firstLineChars="300"/>
        <w:jc w:val="center"/>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六</w:t>
      </w:r>
      <w:r>
        <w:rPr>
          <w:rFonts w:hint="eastAsia" w:ascii="宋体" w:hAnsi="宋体" w:eastAsia="宋体" w:cs="宋体"/>
          <w:b/>
          <w:bCs/>
          <w:color w:val="auto"/>
          <w:sz w:val="32"/>
          <w:szCs w:val="32"/>
          <w:highlight w:val="none"/>
          <w:lang w:val="en-US" w:eastAsia="zh-CN"/>
        </w:rPr>
        <w:t>、售后服务方案</w:t>
      </w:r>
    </w:p>
    <w:p w14:paraId="1BD8095D">
      <w:pPr>
        <w:autoSpaceDE w:val="0"/>
        <w:autoSpaceDN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7E969255">
      <w:pPr>
        <w:keepNext w:val="0"/>
        <w:keepLines w:val="0"/>
        <w:pageBreakBefore w:val="0"/>
        <w:widowControl w:val="0"/>
        <w:kinsoku/>
        <w:wordWrap/>
        <w:overflowPunct/>
        <w:topLinePunct w:val="0"/>
        <w:autoSpaceDE/>
        <w:autoSpaceDN/>
        <w:bidi w:val="0"/>
        <w:adjustRightInd w:val="0"/>
        <w:snapToGrid/>
        <w:spacing w:line="336" w:lineRule="auto"/>
        <w:ind w:firstLine="3600" w:firstLineChars="1500"/>
        <w:textAlignment w:val="auto"/>
        <w:rPr>
          <w:rFonts w:hint="eastAsia" w:ascii="宋体" w:hAnsi="宋体" w:eastAsia="宋体" w:cs="宋体"/>
          <w:color w:val="auto"/>
          <w:kern w:val="0"/>
          <w:sz w:val="24"/>
          <w:highlight w:val="none"/>
          <w:lang w:val="en-US" w:eastAsia="zh-CN"/>
        </w:rPr>
      </w:pPr>
    </w:p>
    <w:p w14:paraId="6C5A6804">
      <w:pPr>
        <w:keepNext w:val="0"/>
        <w:keepLines w:val="0"/>
        <w:pageBreakBefore w:val="0"/>
        <w:widowControl w:val="0"/>
        <w:kinsoku/>
        <w:wordWrap/>
        <w:overflowPunct/>
        <w:topLinePunct w:val="0"/>
        <w:autoSpaceDE/>
        <w:autoSpaceDN/>
        <w:bidi w:val="0"/>
        <w:adjustRightInd w:val="0"/>
        <w:snapToGrid/>
        <w:spacing w:line="336" w:lineRule="auto"/>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65D8EA99">
      <w:pPr>
        <w:spacing w:line="336" w:lineRule="auto"/>
        <w:jc w:val="center"/>
        <w:rPr>
          <w:rFonts w:hint="eastAsia" w:ascii="宋体" w:hAnsi="宋体" w:eastAsia="宋体" w:cs="宋体"/>
          <w:b/>
          <w:bCs/>
          <w:color w:val="auto"/>
          <w:sz w:val="32"/>
          <w:szCs w:val="32"/>
          <w:highlight w:val="none"/>
          <w:lang w:val="en-US" w:eastAsia="zh-CN"/>
        </w:rPr>
      </w:pPr>
      <w:r>
        <w:rPr>
          <w:rFonts w:hint="eastAsia" w:ascii="宋体" w:hAnsi="宋体" w:eastAsia="宋体" w:cs="宋体"/>
          <w:color w:val="auto"/>
          <w:sz w:val="24"/>
          <w:highlight w:val="none"/>
        </w:rPr>
        <w:t xml:space="preserve">     日期：  年   月   日</w:t>
      </w:r>
    </w:p>
    <w:p w14:paraId="40DAD13C">
      <w:pPr>
        <w:keepNext w:val="0"/>
        <w:keepLines w:val="0"/>
        <w:pageBreakBefore w:val="0"/>
        <w:widowControl w:val="0"/>
        <w:kinsoku/>
        <w:wordWrap/>
        <w:overflowPunct/>
        <w:topLinePunct w:val="0"/>
        <w:autoSpaceDE/>
        <w:autoSpaceDN/>
        <w:bidi w:val="0"/>
        <w:adjustRightInd/>
        <w:snapToGrid/>
        <w:spacing w:before="313" w:beforeLines="100" w:line="360" w:lineRule="auto"/>
        <w:ind w:firstLine="964" w:firstLineChars="300"/>
        <w:jc w:val="center"/>
        <w:textAlignment w:val="auto"/>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七</w:t>
      </w:r>
      <w:r>
        <w:rPr>
          <w:rFonts w:hint="eastAsia" w:ascii="宋体" w:hAnsi="宋体" w:eastAsia="宋体" w:cs="宋体"/>
          <w:b/>
          <w:bCs/>
          <w:color w:val="auto"/>
          <w:sz w:val="32"/>
          <w:szCs w:val="32"/>
          <w:highlight w:val="none"/>
          <w:lang w:val="en-US" w:eastAsia="zh-CN"/>
        </w:rPr>
        <w:t>、应急响应方案</w:t>
      </w:r>
    </w:p>
    <w:p w14:paraId="252E97F7">
      <w:pPr>
        <w:autoSpaceDE w:val="0"/>
        <w:autoSpaceDN w:val="0"/>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（由</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根据采购需求及</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评分</w:t>
      </w:r>
      <w:r>
        <w:rPr>
          <w:rFonts w:hint="eastAsia" w:ascii="宋体" w:hAnsi="宋体" w:eastAsia="宋体" w:cs="宋体"/>
          <w:color w:val="auto"/>
          <w:sz w:val="24"/>
          <w:highlight w:val="none"/>
        </w:rPr>
        <w:t>要求编制）</w:t>
      </w:r>
    </w:p>
    <w:p w14:paraId="69007069">
      <w:pPr>
        <w:keepNext w:val="0"/>
        <w:keepLines w:val="0"/>
        <w:pageBreakBefore w:val="0"/>
        <w:widowControl w:val="0"/>
        <w:kinsoku/>
        <w:wordWrap/>
        <w:overflowPunct/>
        <w:topLinePunct w:val="0"/>
        <w:autoSpaceDE/>
        <w:autoSpaceDN/>
        <w:bidi w:val="0"/>
        <w:adjustRightInd w:val="0"/>
        <w:snapToGrid/>
        <w:spacing w:line="336" w:lineRule="auto"/>
        <w:ind w:firstLine="3600" w:firstLineChars="1500"/>
        <w:textAlignment w:val="auto"/>
        <w:rPr>
          <w:rFonts w:hint="eastAsia" w:ascii="宋体" w:hAnsi="宋体" w:eastAsia="宋体" w:cs="宋体"/>
          <w:color w:val="auto"/>
          <w:kern w:val="0"/>
          <w:sz w:val="24"/>
          <w:highlight w:val="none"/>
          <w:lang w:val="en-US" w:eastAsia="zh-CN"/>
        </w:rPr>
      </w:pPr>
    </w:p>
    <w:p w14:paraId="2EECA165">
      <w:pPr>
        <w:keepNext w:val="0"/>
        <w:keepLines w:val="0"/>
        <w:pageBreakBefore w:val="0"/>
        <w:widowControl w:val="0"/>
        <w:kinsoku/>
        <w:wordWrap/>
        <w:overflowPunct/>
        <w:topLinePunct w:val="0"/>
        <w:autoSpaceDE/>
        <w:autoSpaceDN/>
        <w:bidi w:val="0"/>
        <w:adjustRightInd w:val="0"/>
        <w:snapToGrid/>
        <w:spacing w:line="336" w:lineRule="auto"/>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7EA1CDF6">
      <w:pPr>
        <w:spacing w:line="336" w:lineRule="auto"/>
        <w:jc w:val="center"/>
        <w:rPr>
          <w:rFonts w:hint="eastAsia"/>
          <w:color w:val="auto"/>
          <w:highlight w:val="none"/>
          <w:lang w:eastAsia="zh-CN"/>
        </w:rPr>
      </w:pPr>
      <w:r>
        <w:rPr>
          <w:rFonts w:hint="eastAsia" w:ascii="宋体" w:hAnsi="宋体" w:eastAsia="宋体" w:cs="宋体"/>
          <w:color w:val="auto"/>
          <w:sz w:val="24"/>
          <w:highlight w:val="none"/>
        </w:rPr>
        <w:t xml:space="preserve">     日期：  年   月   日</w:t>
      </w:r>
    </w:p>
    <w:p w14:paraId="7403B4F9">
      <w:pPr>
        <w:spacing w:line="360" w:lineRule="auto"/>
        <w:jc w:val="both"/>
        <w:rPr>
          <w:rFonts w:hint="eastAsia" w:ascii="宋体" w:hAnsi="宋体" w:eastAsia="宋体" w:cs="宋体"/>
          <w:b/>
          <w:bCs/>
          <w:color w:val="auto"/>
          <w:sz w:val="32"/>
          <w:szCs w:val="32"/>
          <w:highlight w:val="none"/>
          <w:lang w:val="en-US" w:eastAsia="zh-CN"/>
        </w:rPr>
      </w:pPr>
    </w:p>
    <w:p w14:paraId="13009984">
      <w:pPr>
        <w:spacing w:line="360" w:lineRule="auto"/>
        <w:ind w:firstLine="964" w:firstLineChars="300"/>
        <w:jc w:val="both"/>
        <w:rPr>
          <w:rFonts w:hint="eastAsia" w:ascii="宋体" w:hAnsi="宋体" w:eastAsia="宋体" w:cs="宋体"/>
          <w:color w:val="auto"/>
          <w:sz w:val="24"/>
          <w:highlight w:val="none"/>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八</w:t>
      </w:r>
      <w:r>
        <w:rPr>
          <w:rFonts w:hint="eastAsia" w:ascii="宋体" w:hAnsi="宋体" w:eastAsia="宋体" w:cs="宋体"/>
          <w:b/>
          <w:bCs/>
          <w:color w:val="auto"/>
          <w:sz w:val="32"/>
          <w:szCs w:val="32"/>
          <w:highlight w:val="none"/>
        </w:rPr>
        <w:t>、</w:t>
      </w:r>
      <w:r>
        <w:rPr>
          <w:rFonts w:hint="eastAsia" w:ascii="宋体" w:hAnsi="宋体" w:eastAsia="宋体" w:cs="宋体"/>
          <w:b/>
          <w:bCs/>
          <w:color w:val="auto"/>
          <w:sz w:val="32"/>
          <w:szCs w:val="32"/>
          <w:highlight w:val="none"/>
          <w:lang w:val="en-US" w:eastAsia="zh-CN"/>
        </w:rPr>
        <w:t>投标人认为</w:t>
      </w:r>
      <w:r>
        <w:rPr>
          <w:rFonts w:hint="eastAsia" w:ascii="宋体" w:hAnsi="宋体" w:eastAsia="宋体" w:cs="宋体"/>
          <w:b/>
          <w:bCs/>
          <w:color w:val="auto"/>
          <w:sz w:val="32"/>
          <w:szCs w:val="32"/>
          <w:highlight w:val="none"/>
        </w:rPr>
        <w:t>需要说明的其他文件和说明（若有）</w:t>
      </w:r>
    </w:p>
    <w:p w14:paraId="040844D6">
      <w:pPr>
        <w:keepNext w:val="0"/>
        <w:keepLines w:val="0"/>
        <w:pageBreakBefore w:val="0"/>
        <w:widowControl w:val="0"/>
        <w:kinsoku/>
        <w:wordWrap/>
        <w:overflowPunct/>
        <w:topLinePunct w:val="0"/>
        <w:autoSpaceDE/>
        <w:autoSpaceDN/>
        <w:bidi w:val="0"/>
        <w:adjustRightInd w:val="0"/>
        <w:snapToGrid/>
        <w:spacing w:before="282" w:beforeLines="90" w:line="336" w:lineRule="auto"/>
        <w:ind w:firstLine="3600" w:firstLineChars="15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 xml:space="preserve">名称（电子签名）：                          </w:t>
      </w:r>
    </w:p>
    <w:p w14:paraId="4C50DBA7">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612D9018">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47F77DC3">
      <w:pPr>
        <w:spacing w:line="336" w:lineRule="auto"/>
        <w:jc w:val="center"/>
        <w:outlineLvl w:val="0"/>
        <w:rPr>
          <w:rFonts w:hint="eastAsia" w:ascii="宋体" w:hAnsi="宋体" w:eastAsia="宋体" w:cs="宋体"/>
          <w:b/>
          <w:color w:val="auto"/>
          <w:kern w:val="0"/>
          <w:sz w:val="36"/>
          <w:szCs w:val="36"/>
          <w:highlight w:val="none"/>
        </w:rPr>
      </w:pPr>
    </w:p>
    <w:p w14:paraId="4289514E">
      <w:pPr>
        <w:spacing w:line="336"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21439D29">
      <w:pPr>
        <w:spacing w:line="336"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79C6684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0"/>
          <w:sz w:val="24"/>
          <w:szCs w:val="24"/>
          <w:highlight w:val="none"/>
        </w:rPr>
      </w:pPr>
    </w:p>
    <w:p w14:paraId="24DC4357">
      <w:pPr>
        <w:pStyle w:val="40"/>
        <w:rPr>
          <w:rFonts w:hint="eastAsia" w:ascii="宋体" w:hAnsi="宋体" w:eastAsia="宋体" w:cs="宋体"/>
          <w:color w:val="auto"/>
          <w:highlight w:val="none"/>
        </w:rPr>
      </w:pPr>
    </w:p>
    <w:p w14:paraId="4E55BF2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highlight w:val="none"/>
        </w:rPr>
        <w:t>开标一览表</w:t>
      </w:r>
      <w:r>
        <w:rPr>
          <w:rFonts w:hint="eastAsia" w:ascii="宋体" w:hAnsi="宋体" w:eastAsia="宋体" w:cs="宋体"/>
          <w:color w:val="auto"/>
          <w:kern w:val="0"/>
          <w:sz w:val="24"/>
          <w:szCs w:val="24"/>
          <w:highlight w:val="none"/>
        </w:rPr>
        <w:t>………………………………………………………………（页码）</w:t>
      </w:r>
    </w:p>
    <w:p w14:paraId="53296C8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highlight w:val="none"/>
        </w:rPr>
        <w:t>投标人针对报价需要说明的其他文件和说明</w:t>
      </w:r>
      <w:r>
        <w:rPr>
          <w:rFonts w:hint="eastAsia" w:ascii="宋体" w:hAnsi="宋体" w:eastAsia="宋体" w:cs="宋体"/>
          <w:color w:val="auto"/>
          <w:kern w:val="0"/>
          <w:sz w:val="24"/>
          <w:szCs w:val="24"/>
          <w:highlight w:val="none"/>
        </w:rPr>
        <w:t>…………………………（页码）</w:t>
      </w:r>
    </w:p>
    <w:p w14:paraId="02EB500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kern w:val="0"/>
          <w:sz w:val="24"/>
          <w:szCs w:val="24"/>
          <w:highlight w:val="none"/>
          <w:lang w:val="zh-CN"/>
        </w:rPr>
      </w:pPr>
    </w:p>
    <w:p w14:paraId="5940703D">
      <w:pPr>
        <w:spacing w:line="360" w:lineRule="auto"/>
        <w:rPr>
          <w:rFonts w:hint="eastAsia" w:ascii="宋体" w:hAnsi="宋体" w:eastAsia="宋体" w:cs="宋体"/>
          <w:b/>
          <w:color w:val="auto"/>
          <w:spacing w:val="6"/>
          <w:sz w:val="28"/>
          <w:szCs w:val="28"/>
          <w:highlight w:val="none"/>
        </w:rPr>
      </w:pPr>
    </w:p>
    <w:p w14:paraId="00670BAE">
      <w:pPr>
        <w:spacing w:line="360" w:lineRule="auto"/>
        <w:ind w:firstLine="482"/>
        <w:rPr>
          <w:rFonts w:hint="eastAsia" w:ascii="宋体" w:hAnsi="宋体" w:eastAsia="宋体" w:cs="宋体"/>
          <w:color w:val="auto"/>
          <w:highlight w:val="none"/>
        </w:rPr>
      </w:pPr>
    </w:p>
    <w:p w14:paraId="505BC428">
      <w:pPr>
        <w:pStyle w:val="5"/>
        <w:spacing w:line="360" w:lineRule="auto"/>
        <w:ind w:firstLine="240"/>
        <w:rPr>
          <w:rFonts w:hint="eastAsia" w:ascii="宋体" w:hAnsi="宋体" w:eastAsia="宋体" w:cs="宋体"/>
          <w:color w:val="auto"/>
          <w:highlight w:val="none"/>
        </w:rPr>
      </w:pPr>
    </w:p>
    <w:p w14:paraId="37F77606">
      <w:pPr>
        <w:pStyle w:val="5"/>
        <w:spacing w:line="360" w:lineRule="auto"/>
        <w:ind w:firstLine="240"/>
        <w:rPr>
          <w:rFonts w:hint="eastAsia" w:ascii="宋体" w:hAnsi="宋体" w:eastAsia="宋体" w:cs="宋体"/>
          <w:color w:val="auto"/>
          <w:highlight w:val="none"/>
        </w:rPr>
      </w:pPr>
    </w:p>
    <w:p w14:paraId="055AFFB0">
      <w:pPr>
        <w:pStyle w:val="5"/>
        <w:spacing w:line="360" w:lineRule="auto"/>
        <w:ind w:firstLine="240"/>
        <w:rPr>
          <w:rFonts w:hint="eastAsia" w:ascii="宋体" w:hAnsi="宋体" w:eastAsia="宋体" w:cs="宋体"/>
          <w:color w:val="auto"/>
          <w:highlight w:val="none"/>
        </w:rPr>
      </w:pPr>
    </w:p>
    <w:p w14:paraId="05F3AA28">
      <w:pPr>
        <w:pStyle w:val="5"/>
        <w:spacing w:line="360" w:lineRule="auto"/>
        <w:ind w:firstLine="240"/>
        <w:rPr>
          <w:rFonts w:hint="eastAsia" w:ascii="宋体" w:hAnsi="宋体" w:eastAsia="宋体" w:cs="宋体"/>
          <w:color w:val="auto"/>
          <w:highlight w:val="none"/>
        </w:rPr>
      </w:pPr>
    </w:p>
    <w:p w14:paraId="78A88866">
      <w:pPr>
        <w:pStyle w:val="5"/>
        <w:spacing w:line="360" w:lineRule="auto"/>
        <w:ind w:firstLine="240"/>
        <w:rPr>
          <w:rFonts w:hint="eastAsia" w:ascii="宋体" w:hAnsi="宋体" w:eastAsia="宋体" w:cs="宋体"/>
          <w:color w:val="auto"/>
          <w:highlight w:val="none"/>
        </w:rPr>
      </w:pPr>
    </w:p>
    <w:p w14:paraId="50D6C01C">
      <w:pPr>
        <w:pStyle w:val="26"/>
        <w:spacing w:line="390" w:lineRule="exact"/>
        <w:ind w:firstLine="480" w:firstLineChars="200"/>
        <w:rPr>
          <w:rFonts w:hint="eastAsia" w:ascii="宋体" w:hAnsi="宋体" w:eastAsia="宋体" w:cs="宋体"/>
          <w:color w:val="auto"/>
          <w:szCs w:val="21"/>
          <w:highlight w:val="none"/>
        </w:rPr>
      </w:pPr>
    </w:p>
    <w:p w14:paraId="1F271460">
      <w:pPr>
        <w:spacing w:line="360" w:lineRule="auto"/>
        <w:rPr>
          <w:rFonts w:hint="eastAsia" w:ascii="宋体" w:hAnsi="宋体" w:eastAsia="宋体" w:cs="宋体"/>
          <w:b/>
          <w:color w:val="auto"/>
          <w:spacing w:val="6"/>
          <w:szCs w:val="21"/>
          <w:highlight w:val="none"/>
        </w:rPr>
      </w:pPr>
    </w:p>
    <w:p w14:paraId="278EB476">
      <w:pPr>
        <w:spacing w:line="360" w:lineRule="auto"/>
        <w:rPr>
          <w:rFonts w:hint="eastAsia" w:ascii="宋体" w:hAnsi="宋体" w:eastAsia="宋体" w:cs="宋体"/>
          <w:b/>
          <w:color w:val="auto"/>
          <w:spacing w:val="6"/>
          <w:szCs w:val="21"/>
          <w:highlight w:val="none"/>
        </w:rPr>
      </w:pPr>
    </w:p>
    <w:p w14:paraId="4D42AFE7">
      <w:pPr>
        <w:snapToGrid w:val="0"/>
        <w:spacing w:before="50" w:line="360" w:lineRule="auto"/>
        <w:jc w:val="center"/>
        <w:rPr>
          <w:rFonts w:hint="eastAsia" w:ascii="宋体" w:hAnsi="宋体" w:eastAsia="宋体" w:cs="宋体"/>
          <w:color w:val="auto"/>
          <w:szCs w:val="21"/>
          <w:highlight w:val="none"/>
        </w:rPr>
      </w:pPr>
    </w:p>
    <w:p w14:paraId="69E3E422">
      <w:pPr>
        <w:snapToGrid w:val="0"/>
        <w:spacing w:before="50" w:line="360" w:lineRule="auto"/>
        <w:jc w:val="center"/>
        <w:rPr>
          <w:rFonts w:hint="eastAsia" w:ascii="宋体" w:hAnsi="宋体" w:eastAsia="宋体" w:cs="宋体"/>
          <w:color w:val="auto"/>
          <w:szCs w:val="21"/>
          <w:highlight w:val="none"/>
        </w:rPr>
      </w:pPr>
    </w:p>
    <w:p w14:paraId="3A44851C">
      <w:pPr>
        <w:pStyle w:val="5"/>
        <w:ind w:firstLine="21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br w:type="page"/>
      </w:r>
    </w:p>
    <w:p w14:paraId="64E15051">
      <w:pPr>
        <w:pStyle w:val="112"/>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val="en-US" w:eastAsia="zh-CN"/>
        </w:rPr>
        <w:t>一、</w:t>
      </w:r>
      <w:r>
        <w:rPr>
          <w:rFonts w:hint="eastAsia" w:ascii="宋体" w:hAnsi="宋体" w:eastAsia="宋体" w:cs="宋体"/>
          <w:color w:val="auto"/>
          <w:kern w:val="2"/>
          <w:sz w:val="32"/>
          <w:szCs w:val="32"/>
          <w:highlight w:val="none"/>
        </w:rPr>
        <w:t>开标一览表（报价表）</w:t>
      </w:r>
    </w:p>
    <w:p w14:paraId="096FD3E5">
      <w:pPr>
        <w:spacing w:line="360" w:lineRule="auto"/>
        <w:jc w:val="right"/>
        <w:rPr>
          <w:rFonts w:hint="eastAsia" w:ascii="宋体" w:hAnsi="宋体" w:eastAsia="宋体" w:cs="宋体"/>
          <w:b/>
          <w:color w:val="auto"/>
          <w:kern w:val="0"/>
          <w:sz w:val="24"/>
          <w:szCs w:val="24"/>
          <w:highlight w:val="none"/>
          <w:lang w:val="zh-CN"/>
        </w:rPr>
      </w:pPr>
    </w:p>
    <w:tbl>
      <w:tblPr>
        <w:tblStyle w:val="31"/>
        <w:tblW w:w="8910" w:type="dxa"/>
        <w:tblInd w:w="1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3287"/>
        <w:gridCol w:w="859"/>
        <w:gridCol w:w="1445"/>
        <w:gridCol w:w="1510"/>
        <w:gridCol w:w="941"/>
      </w:tblGrid>
      <w:tr w14:paraId="34789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68" w:type="dxa"/>
            <w:noWrap w:val="0"/>
            <w:vAlign w:val="center"/>
          </w:tcPr>
          <w:p w14:paraId="7686B8CA">
            <w:pPr>
              <w:widowControl/>
              <w:spacing w:line="440" w:lineRule="exact"/>
              <w:ind w:left="60" w:leftChars="0" w:right="60" w:rightChars="0"/>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序号</w:t>
            </w:r>
          </w:p>
        </w:tc>
        <w:tc>
          <w:tcPr>
            <w:tcW w:w="3287" w:type="dxa"/>
            <w:noWrap w:val="0"/>
            <w:vAlign w:val="center"/>
          </w:tcPr>
          <w:p w14:paraId="4689A2C9">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2"/>
                <w:sz w:val="24"/>
                <w:szCs w:val="24"/>
                <w:highlight w:val="none"/>
                <w:lang w:val="en-US" w:eastAsia="zh-CN" w:bidi="ar-SA"/>
              </w:rPr>
              <w:t>名称</w:t>
            </w:r>
          </w:p>
        </w:tc>
        <w:tc>
          <w:tcPr>
            <w:tcW w:w="859" w:type="dxa"/>
            <w:noWrap w:val="0"/>
            <w:vAlign w:val="center"/>
          </w:tcPr>
          <w:p w14:paraId="6C89FF34">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2"/>
                <w:sz w:val="24"/>
                <w:szCs w:val="24"/>
                <w:highlight w:val="none"/>
                <w:lang w:val="en-US" w:eastAsia="zh-CN" w:bidi="ar-SA"/>
              </w:rPr>
              <w:t>数量</w:t>
            </w:r>
          </w:p>
        </w:tc>
        <w:tc>
          <w:tcPr>
            <w:tcW w:w="1445" w:type="dxa"/>
            <w:noWrap w:val="0"/>
            <w:vAlign w:val="center"/>
          </w:tcPr>
          <w:p w14:paraId="1F57368A">
            <w:pPr>
              <w:widowControl/>
              <w:spacing w:line="440" w:lineRule="exact"/>
              <w:ind w:left="60" w:leftChars="0" w:right="60" w:rightChars="0"/>
              <w:jc w:val="center"/>
              <w:rPr>
                <w:rFonts w:hint="eastAsia"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单价报价（元/辆）</w:t>
            </w:r>
          </w:p>
        </w:tc>
        <w:tc>
          <w:tcPr>
            <w:tcW w:w="1510" w:type="dxa"/>
            <w:noWrap w:val="0"/>
            <w:vAlign w:val="center"/>
          </w:tcPr>
          <w:p w14:paraId="0D481FB5">
            <w:pPr>
              <w:widowControl/>
              <w:spacing w:line="440" w:lineRule="exact"/>
              <w:ind w:left="60" w:leftChars="0" w:right="60" w:rightChars="0"/>
              <w:jc w:val="cente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kern w:val="0"/>
                <w:sz w:val="24"/>
                <w:szCs w:val="24"/>
                <w:highlight w:val="none"/>
                <w:lang w:val="en-US" w:eastAsia="zh-CN"/>
              </w:rPr>
              <w:t>投标总</w:t>
            </w:r>
            <w:r>
              <w:rPr>
                <w:rFonts w:hint="eastAsia" w:ascii="宋体" w:hAnsi="宋体" w:eastAsia="宋体" w:cs="宋体"/>
                <w:b w:val="0"/>
                <w:bCs/>
                <w:color w:val="auto"/>
                <w:kern w:val="0"/>
                <w:sz w:val="24"/>
                <w:szCs w:val="24"/>
                <w:highlight w:val="none"/>
                <w:lang w:val="zh-TW" w:eastAsia="zh-CN"/>
              </w:rPr>
              <w:t>价（元）</w:t>
            </w:r>
          </w:p>
        </w:tc>
        <w:tc>
          <w:tcPr>
            <w:tcW w:w="941" w:type="dxa"/>
            <w:noWrap w:val="0"/>
            <w:vAlign w:val="center"/>
          </w:tcPr>
          <w:p w14:paraId="0A1B5DA0">
            <w:pPr>
              <w:widowControl/>
              <w:spacing w:line="440" w:lineRule="exact"/>
              <w:ind w:left="60" w:leftChars="0" w:right="60" w:rightChars="0"/>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zh-TW"/>
              </w:rPr>
              <w:t>备</w:t>
            </w:r>
            <w:r>
              <w:rPr>
                <w:rFonts w:hint="eastAsia" w:ascii="宋体" w:hAnsi="宋体" w:eastAsia="宋体" w:cs="宋体"/>
                <w:b w:val="0"/>
                <w:bCs/>
                <w:color w:val="auto"/>
                <w:kern w:val="0"/>
                <w:sz w:val="24"/>
                <w:szCs w:val="24"/>
                <w:highlight w:val="none"/>
              </w:rPr>
              <w:t xml:space="preserve"> </w:t>
            </w:r>
            <w:r>
              <w:rPr>
                <w:rFonts w:hint="eastAsia" w:ascii="宋体" w:hAnsi="宋体" w:eastAsia="宋体" w:cs="宋体"/>
                <w:b w:val="0"/>
                <w:bCs/>
                <w:color w:val="auto"/>
                <w:kern w:val="0"/>
                <w:sz w:val="24"/>
                <w:szCs w:val="24"/>
                <w:highlight w:val="none"/>
                <w:lang w:val="zh-TW"/>
              </w:rPr>
              <w:t>注</w:t>
            </w:r>
          </w:p>
        </w:tc>
      </w:tr>
      <w:tr w14:paraId="333EF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868" w:type="dxa"/>
            <w:noWrap w:val="0"/>
            <w:vAlign w:val="center"/>
          </w:tcPr>
          <w:p w14:paraId="1A18511B">
            <w:pPr>
              <w:widowControl/>
              <w:spacing w:line="440" w:lineRule="exact"/>
              <w:ind w:left="60" w:leftChars="0" w:right="60" w:rightChars="0"/>
              <w:jc w:val="center"/>
              <w:rPr>
                <w:rFonts w:hint="eastAsia" w:ascii="宋体" w:hAnsi="宋体" w:eastAsia="宋体" w:cs="宋体"/>
                <w:b w:val="0"/>
                <w:bCs/>
                <w:color w:val="auto"/>
                <w:kern w:val="0"/>
                <w:sz w:val="24"/>
                <w:szCs w:val="24"/>
                <w:highlight w:val="none"/>
              </w:rPr>
            </w:pPr>
          </w:p>
        </w:tc>
        <w:tc>
          <w:tcPr>
            <w:tcW w:w="3287" w:type="dxa"/>
            <w:noWrap w:val="0"/>
            <w:vAlign w:val="center"/>
          </w:tcPr>
          <w:p w14:paraId="1D98A6F1">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val="0"/>
                <w:bCs/>
                <w:color w:val="auto"/>
                <w:kern w:val="0"/>
                <w:sz w:val="24"/>
                <w:szCs w:val="24"/>
                <w:highlight w:val="none"/>
              </w:rPr>
            </w:pPr>
          </w:p>
        </w:tc>
        <w:tc>
          <w:tcPr>
            <w:tcW w:w="859" w:type="dxa"/>
            <w:noWrap w:val="0"/>
            <w:vAlign w:val="center"/>
          </w:tcPr>
          <w:p w14:paraId="0C2EBA95">
            <w:pPr>
              <w:pStyle w:val="2"/>
              <w:keepNext w:val="0"/>
              <w:keepLines w:val="0"/>
              <w:tabs>
                <w:tab w:val="left" w:pos="480"/>
              </w:tabs>
              <w:autoSpaceDE w:val="0"/>
              <w:autoSpaceDN w:val="0"/>
              <w:snapToGrid w:val="0"/>
              <w:spacing w:before="0" w:after="0" w:line="240" w:lineRule="auto"/>
              <w:ind w:left="0" w:leftChars="0" w:firstLine="0" w:firstLineChars="0"/>
              <w:jc w:val="center"/>
              <w:rPr>
                <w:rFonts w:hint="eastAsia" w:ascii="宋体" w:hAnsi="宋体" w:eastAsia="宋体" w:cs="宋体"/>
                <w:b w:val="0"/>
                <w:bCs/>
                <w:color w:val="auto"/>
                <w:sz w:val="24"/>
                <w:szCs w:val="24"/>
                <w:highlight w:val="none"/>
              </w:rPr>
            </w:pPr>
          </w:p>
        </w:tc>
        <w:tc>
          <w:tcPr>
            <w:tcW w:w="1445" w:type="dxa"/>
            <w:noWrap w:val="0"/>
            <w:vAlign w:val="center"/>
          </w:tcPr>
          <w:p w14:paraId="1EB06EA9">
            <w:pPr>
              <w:widowControl/>
              <w:spacing w:line="440" w:lineRule="exact"/>
              <w:ind w:right="60" w:rightChars="0"/>
              <w:jc w:val="center"/>
              <w:rPr>
                <w:rFonts w:hint="eastAsia" w:ascii="宋体" w:hAnsi="宋体" w:eastAsia="宋体" w:cs="宋体"/>
                <w:b w:val="0"/>
                <w:bCs/>
                <w:color w:val="auto"/>
                <w:sz w:val="24"/>
                <w:szCs w:val="24"/>
                <w:highlight w:val="none"/>
              </w:rPr>
            </w:pPr>
          </w:p>
        </w:tc>
        <w:tc>
          <w:tcPr>
            <w:tcW w:w="1510" w:type="dxa"/>
            <w:noWrap w:val="0"/>
            <w:vAlign w:val="center"/>
          </w:tcPr>
          <w:p w14:paraId="2BF611E4">
            <w:pPr>
              <w:widowControl/>
              <w:spacing w:line="440" w:lineRule="exact"/>
              <w:ind w:right="60" w:rightChars="0"/>
              <w:jc w:val="center"/>
              <w:rPr>
                <w:rFonts w:hint="eastAsia" w:ascii="宋体" w:hAnsi="宋体" w:eastAsia="宋体" w:cs="宋体"/>
                <w:b w:val="0"/>
                <w:bCs/>
                <w:color w:val="auto"/>
                <w:sz w:val="24"/>
                <w:szCs w:val="24"/>
                <w:highlight w:val="none"/>
              </w:rPr>
            </w:pPr>
          </w:p>
        </w:tc>
        <w:tc>
          <w:tcPr>
            <w:tcW w:w="941" w:type="dxa"/>
            <w:noWrap w:val="0"/>
            <w:vAlign w:val="center"/>
          </w:tcPr>
          <w:p w14:paraId="114B6821">
            <w:pPr>
              <w:widowControl/>
              <w:spacing w:line="440" w:lineRule="exact"/>
              <w:ind w:right="60" w:rightChars="0"/>
              <w:rPr>
                <w:rFonts w:hint="eastAsia" w:ascii="宋体" w:hAnsi="宋体" w:eastAsia="宋体" w:cs="宋体"/>
                <w:b w:val="0"/>
                <w:bCs/>
                <w:color w:val="auto"/>
                <w:sz w:val="24"/>
                <w:szCs w:val="24"/>
                <w:highlight w:val="none"/>
              </w:rPr>
            </w:pPr>
          </w:p>
        </w:tc>
      </w:tr>
      <w:tr w14:paraId="7E2E2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910" w:type="dxa"/>
            <w:gridSpan w:val="6"/>
            <w:noWrap w:val="0"/>
            <w:vAlign w:val="center"/>
          </w:tcPr>
          <w:p w14:paraId="7F91D3F3">
            <w:pPr>
              <w:widowControl/>
              <w:spacing w:line="440" w:lineRule="exact"/>
              <w:ind w:right="60" w:rightChars="0"/>
              <w:rPr>
                <w:rFonts w:hint="eastAsia" w:ascii="宋体" w:hAnsi="宋体" w:eastAsia="宋体" w:cs="宋体"/>
                <w:b w:val="0"/>
                <w:bCs/>
                <w:color w:val="auto"/>
                <w:sz w:val="24"/>
                <w:szCs w:val="24"/>
                <w:highlight w:val="none"/>
              </w:rPr>
            </w:pPr>
            <w:r>
              <w:rPr>
                <w:rFonts w:hint="eastAsia" w:ascii="宋体" w:hAnsi="宋体" w:eastAsia="宋体" w:cs="宋体"/>
                <w:b w:val="0"/>
                <w:bCs/>
                <w:color w:val="auto"/>
                <w:kern w:val="0"/>
                <w:sz w:val="24"/>
                <w:szCs w:val="24"/>
                <w:highlight w:val="none"/>
                <w:lang w:val="en-US" w:eastAsia="zh-CN"/>
              </w:rPr>
              <w:t>投标</w:t>
            </w:r>
            <w:r>
              <w:rPr>
                <w:rFonts w:hint="eastAsia" w:ascii="宋体" w:hAnsi="宋体" w:eastAsia="宋体" w:cs="宋体"/>
                <w:b w:val="0"/>
                <w:bCs/>
                <w:color w:val="auto"/>
                <w:kern w:val="0"/>
                <w:sz w:val="24"/>
                <w:szCs w:val="24"/>
                <w:highlight w:val="none"/>
                <w:lang w:eastAsia="zh-CN"/>
              </w:rPr>
              <w:t>报价（大写）：</w:t>
            </w:r>
            <w:r>
              <w:rPr>
                <w:rFonts w:hint="eastAsia" w:ascii="宋体" w:hAnsi="宋体" w:eastAsia="宋体" w:cs="宋体"/>
                <w:b w:val="0"/>
                <w:bCs/>
                <w:color w:val="auto"/>
                <w:kern w:val="0"/>
                <w:sz w:val="24"/>
                <w:szCs w:val="24"/>
                <w:highlight w:val="none"/>
                <w:u w:val="single"/>
                <w:lang w:val="en-US" w:eastAsia="zh-CN"/>
              </w:rPr>
              <w:t xml:space="preserve">               </w:t>
            </w:r>
            <w:r>
              <w:rPr>
                <w:rFonts w:hint="eastAsia" w:ascii="宋体" w:hAnsi="宋体" w:eastAsia="宋体" w:cs="宋体"/>
                <w:b w:val="0"/>
                <w:bCs/>
                <w:color w:val="auto"/>
                <w:kern w:val="0"/>
                <w:sz w:val="24"/>
                <w:szCs w:val="24"/>
                <w:highlight w:val="none"/>
                <w:lang w:eastAsia="zh-CN"/>
              </w:rPr>
              <w:t>元整</w:t>
            </w:r>
          </w:p>
        </w:tc>
      </w:tr>
    </w:tbl>
    <w:p w14:paraId="73A5205F">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jc w:val="left"/>
        <w:textAlignment w:val="auto"/>
        <w:rPr>
          <w:rFonts w:hint="eastAsia" w:ascii="宋体" w:hAnsi="宋体" w:eastAsia="宋体" w:cs="宋体"/>
          <w:b/>
          <w:color w:val="auto"/>
          <w:sz w:val="24"/>
          <w:szCs w:val="24"/>
          <w:highlight w:val="none"/>
        </w:rPr>
      </w:pPr>
    </w:p>
    <w:p w14:paraId="3FB9EC1F">
      <w:pPr>
        <w:keepNext w:val="0"/>
        <w:keepLines w:val="0"/>
        <w:pageBreakBefore w:val="0"/>
        <w:widowControl w:val="0"/>
        <w:kinsoku/>
        <w:wordWrap/>
        <w:overflowPunct/>
        <w:topLinePunct w:val="0"/>
        <w:autoSpaceDE/>
        <w:autoSpaceDN/>
        <w:bidi w:val="0"/>
        <w:adjustRightInd/>
        <w:snapToGrid w:val="0"/>
        <w:spacing w:line="560" w:lineRule="exact"/>
        <w:ind w:left="0" w:leftChars="0" w:right="0" w:rightChars="0"/>
        <w:jc w:val="lef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注:  </w:t>
      </w:r>
    </w:p>
    <w:p w14:paraId="0A0F75FE">
      <w:pPr>
        <w:keepNext w:val="0"/>
        <w:keepLines w:val="0"/>
        <w:pageBreakBefore w:val="0"/>
        <w:widowControl w:val="0"/>
        <w:kinsoku/>
        <w:wordWrap/>
        <w:overflowPunct/>
        <w:topLinePunct w:val="0"/>
        <w:autoSpaceDE/>
        <w:autoSpaceDN/>
        <w:bidi w:val="0"/>
        <w:adjustRightInd/>
        <w:snapToGrid w:val="0"/>
        <w:spacing w:line="480" w:lineRule="exact"/>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1.报价一经涂改，应在涂改处加盖单位CA</w:t>
      </w:r>
      <w:r>
        <w:rPr>
          <w:rFonts w:hint="eastAsia" w:ascii="宋体" w:hAnsi="宋体" w:eastAsia="宋体" w:cs="宋体"/>
          <w:color w:val="auto"/>
          <w:sz w:val="24"/>
          <w:szCs w:val="24"/>
          <w:highlight w:val="none"/>
          <w:lang w:eastAsia="zh-CN"/>
        </w:rPr>
        <w:t>公章</w:t>
      </w:r>
      <w:r>
        <w:rPr>
          <w:rFonts w:hint="eastAsia" w:ascii="宋体" w:hAnsi="宋体" w:eastAsia="宋体" w:cs="宋体"/>
          <w:color w:val="auto"/>
          <w:sz w:val="24"/>
          <w:szCs w:val="24"/>
          <w:highlight w:val="none"/>
        </w:rPr>
        <w:t>或者由法定代表人或授权委托人签字或盖章，否则其投标作无效标处理。</w:t>
      </w:r>
    </w:p>
    <w:p w14:paraId="536C299B">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80" w:firstLineChars="200"/>
        <w:textAlignment w:val="auto"/>
        <w:rPr>
          <w:rFonts w:hint="eastAsia" w:ascii="宋体" w:hAnsi="宋体" w:eastAsia="宋体" w:cs="宋体"/>
          <w:bCs/>
          <w:color w:val="auto"/>
          <w:sz w:val="24"/>
          <w:szCs w:val="24"/>
          <w:highlight w:val="none"/>
          <w:u w:val="none"/>
        </w:rPr>
      </w:pPr>
      <w:r>
        <w:rPr>
          <w:rFonts w:hint="eastAsia" w:ascii="宋体" w:hAnsi="宋体" w:eastAsia="宋体" w:cs="宋体"/>
          <w:bCs/>
          <w:color w:val="auto"/>
          <w:sz w:val="24"/>
          <w:szCs w:val="24"/>
          <w:highlight w:val="none"/>
          <w:u w:val="none"/>
          <w:lang w:val="en-US" w:eastAsia="zh-CN"/>
        </w:rPr>
        <w:t>2.本项目</w:t>
      </w:r>
      <w:r>
        <w:rPr>
          <w:rFonts w:hint="eastAsia" w:ascii="宋体" w:hAnsi="宋体" w:eastAsia="宋体" w:cs="宋体"/>
          <w:bCs/>
          <w:color w:val="auto"/>
          <w:sz w:val="24"/>
          <w:szCs w:val="24"/>
          <w:highlight w:val="none"/>
          <w:u w:val="none"/>
        </w:rPr>
        <w:t>是指投标人在正确地完全履行合同义务后</w:t>
      </w:r>
      <w:r>
        <w:rPr>
          <w:rFonts w:hint="eastAsia" w:ascii="宋体" w:hAnsi="宋体" w:eastAsia="宋体" w:cs="宋体"/>
          <w:bCs/>
          <w:color w:val="auto"/>
          <w:sz w:val="24"/>
          <w:szCs w:val="24"/>
          <w:highlight w:val="none"/>
          <w:u w:val="none"/>
          <w:lang w:val="en-US" w:eastAsia="zh-CN"/>
        </w:rPr>
        <w:t>甲方</w:t>
      </w:r>
      <w:r>
        <w:rPr>
          <w:rFonts w:hint="eastAsia" w:ascii="宋体" w:hAnsi="宋体" w:eastAsia="宋体" w:cs="宋体"/>
          <w:bCs/>
          <w:color w:val="auto"/>
          <w:sz w:val="24"/>
          <w:szCs w:val="24"/>
          <w:highlight w:val="none"/>
          <w:u w:val="none"/>
        </w:rPr>
        <w:t>应支付给投标人的所有价款，包括设计、制造、货物款、</w:t>
      </w:r>
      <w:r>
        <w:rPr>
          <w:rFonts w:hint="eastAsia" w:ascii="宋体" w:hAnsi="宋体" w:eastAsia="宋体" w:cs="宋体"/>
          <w:bCs/>
          <w:color w:val="auto"/>
          <w:sz w:val="24"/>
          <w:szCs w:val="24"/>
          <w:highlight w:val="none"/>
          <w:u w:val="none"/>
          <w:lang w:val="en-US" w:eastAsia="zh-CN"/>
        </w:rPr>
        <w:t>标准附件、</w:t>
      </w:r>
      <w:r>
        <w:rPr>
          <w:rFonts w:hint="eastAsia" w:ascii="宋体" w:hAnsi="宋体" w:eastAsia="宋体" w:cs="宋体"/>
          <w:bCs/>
          <w:color w:val="auto"/>
          <w:sz w:val="24"/>
          <w:szCs w:val="24"/>
          <w:highlight w:val="none"/>
          <w:u w:val="none"/>
        </w:rPr>
        <w:t>质保期内所需耗材、专用工具、送车费（含送车保险）、</w:t>
      </w:r>
      <w:r>
        <w:rPr>
          <w:rFonts w:hint="eastAsia" w:ascii="宋体" w:hAnsi="宋体" w:eastAsia="宋体" w:cs="宋体"/>
          <w:bCs/>
          <w:color w:val="auto"/>
          <w:sz w:val="24"/>
          <w:szCs w:val="24"/>
          <w:highlight w:val="none"/>
          <w:u w:val="none"/>
          <w:lang w:eastAsia="zh-CN"/>
        </w:rPr>
        <w:t>税金（车辆销售税）、</w:t>
      </w:r>
      <w:r>
        <w:rPr>
          <w:rFonts w:hint="eastAsia" w:ascii="宋体" w:hAnsi="宋体" w:eastAsia="宋体" w:cs="宋体"/>
          <w:bCs/>
          <w:color w:val="auto"/>
          <w:sz w:val="24"/>
          <w:szCs w:val="24"/>
          <w:highlight w:val="none"/>
          <w:u w:val="none"/>
        </w:rPr>
        <w:t>包装、</w:t>
      </w:r>
      <w:r>
        <w:rPr>
          <w:rFonts w:hint="eastAsia" w:ascii="宋体" w:hAnsi="宋体" w:eastAsia="宋体" w:cs="宋体"/>
          <w:bCs/>
          <w:color w:val="auto"/>
          <w:sz w:val="24"/>
          <w:szCs w:val="24"/>
          <w:highlight w:val="none"/>
          <w:u w:val="none"/>
          <w:lang w:val="en-US" w:eastAsia="zh-CN"/>
        </w:rPr>
        <w:t>运输</w:t>
      </w:r>
      <w:r>
        <w:rPr>
          <w:rFonts w:hint="eastAsia" w:ascii="宋体" w:hAnsi="宋体" w:eastAsia="宋体" w:cs="宋体"/>
          <w:bCs/>
          <w:color w:val="auto"/>
          <w:sz w:val="24"/>
          <w:szCs w:val="24"/>
          <w:highlight w:val="none"/>
          <w:u w:val="none"/>
        </w:rPr>
        <w:t>装卸就位、安装调试、验收（含第三方验收）、</w:t>
      </w:r>
      <w:r>
        <w:rPr>
          <w:rFonts w:hint="eastAsia" w:ascii="宋体" w:hAnsi="宋体" w:eastAsia="宋体" w:cs="宋体"/>
          <w:bCs/>
          <w:color w:val="auto"/>
          <w:sz w:val="24"/>
          <w:szCs w:val="24"/>
          <w:highlight w:val="none"/>
          <w:u w:val="none"/>
          <w:lang w:val="en-US" w:eastAsia="zh-CN"/>
        </w:rPr>
        <w:t>管理、</w:t>
      </w:r>
      <w:r>
        <w:rPr>
          <w:rFonts w:hint="eastAsia" w:ascii="宋体" w:hAnsi="宋体" w:eastAsia="宋体" w:cs="宋体"/>
          <w:bCs/>
          <w:color w:val="auto"/>
          <w:sz w:val="24"/>
          <w:szCs w:val="24"/>
          <w:highlight w:val="none"/>
          <w:u w:val="none"/>
        </w:rPr>
        <w:t>交付使用、技术服务、培训、售后服务、质保期保障、招标代理服务费等全部费用</w:t>
      </w:r>
      <w:r>
        <w:rPr>
          <w:rFonts w:hint="eastAsia" w:ascii="宋体" w:hAnsi="宋体" w:eastAsia="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但</w:t>
      </w:r>
      <w:r>
        <w:rPr>
          <w:rFonts w:hint="eastAsia" w:ascii="宋体" w:hAnsi="宋体" w:eastAsia="宋体" w:cs="宋体"/>
          <w:bCs/>
          <w:color w:val="auto"/>
          <w:sz w:val="24"/>
          <w:szCs w:val="24"/>
          <w:highlight w:val="none"/>
          <w:u w:val="none"/>
        </w:rPr>
        <w:t>综合单价及总报价不包含保险费、购置税、上牌费、检测费等，国家补贴由投标企业自行申报、领取。</w:t>
      </w:r>
    </w:p>
    <w:p w14:paraId="487C8E2F">
      <w:pPr>
        <w:keepNext w:val="0"/>
        <w:keepLines w:val="0"/>
        <w:pageBreakBefore w:val="0"/>
        <w:widowControl w:val="0"/>
        <w:tabs>
          <w:tab w:val="left" w:pos="9180"/>
        </w:tabs>
        <w:kinsoku/>
        <w:wordWrap/>
        <w:overflowPunct/>
        <w:topLinePunct w:val="0"/>
        <w:autoSpaceDE/>
        <w:autoSpaceDN/>
        <w:bidi w:val="0"/>
        <w:adjustRightInd/>
        <w:spacing w:line="480" w:lineRule="exact"/>
        <w:ind w:left="0" w:leftChars="0" w:right="0" w:rightChars="0" w:firstLine="480" w:firstLineChars="200"/>
        <w:textAlignment w:val="auto"/>
        <w:rPr>
          <w:rFonts w:hint="eastAsia" w:ascii="宋体" w:hAnsi="宋体" w:eastAsia="宋体" w:cs="宋体"/>
          <w:b w:val="0"/>
          <w:bCs/>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3.按国家规定由中标人缴纳的各种税收已包含在投标总价内，由中标人向税务机关缴纳。</w:t>
      </w:r>
    </w:p>
    <w:p w14:paraId="2C2F1946">
      <w:pPr>
        <w:spacing w:line="336" w:lineRule="auto"/>
        <w:ind w:firstLine="3600" w:firstLineChars="1500"/>
        <w:rPr>
          <w:rFonts w:hint="eastAsia" w:ascii="宋体" w:hAnsi="宋体" w:eastAsia="宋体" w:cs="宋体"/>
          <w:color w:val="auto"/>
          <w:sz w:val="24"/>
          <w:highlight w:val="none"/>
        </w:rPr>
      </w:pPr>
    </w:p>
    <w:p w14:paraId="0B295263">
      <w:pPr>
        <w:spacing w:line="336" w:lineRule="auto"/>
        <w:ind w:firstLine="3600" w:firstLineChars="1500"/>
        <w:rPr>
          <w:rFonts w:hint="eastAsia" w:ascii="宋体" w:hAnsi="宋体" w:eastAsia="宋体" w:cs="宋体"/>
          <w:color w:val="auto"/>
          <w:sz w:val="24"/>
          <w:highlight w:val="none"/>
        </w:rPr>
      </w:pPr>
    </w:p>
    <w:p w14:paraId="5B47C619">
      <w:pPr>
        <w:spacing w:line="336" w:lineRule="auto"/>
        <w:ind w:firstLine="3600" w:firstLineChars="1500"/>
        <w:rPr>
          <w:rFonts w:hint="eastAsia" w:ascii="宋体" w:hAnsi="宋体" w:eastAsia="宋体" w:cs="宋体"/>
          <w:color w:val="auto"/>
          <w:sz w:val="24"/>
          <w:highlight w:val="none"/>
        </w:rPr>
      </w:pPr>
    </w:p>
    <w:p w14:paraId="28234FA8">
      <w:pPr>
        <w:spacing w:line="336" w:lineRule="auto"/>
        <w:ind w:firstLine="4320" w:firstLineChars="18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投标人名称（电子签名）：</w:t>
      </w:r>
    </w:p>
    <w:p w14:paraId="4ED18D8F">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日期：  年   月   日</w:t>
      </w:r>
    </w:p>
    <w:p w14:paraId="6EA8C95D">
      <w:pPr>
        <w:pStyle w:val="41"/>
        <w:rPr>
          <w:rFonts w:hint="eastAsia" w:ascii="宋体" w:hAnsi="宋体" w:eastAsia="宋体" w:cs="宋体"/>
          <w:color w:val="auto"/>
          <w:highlight w:val="none"/>
        </w:rPr>
        <w:sectPr>
          <w:headerReference r:id="rId7" w:type="default"/>
          <w:footerReference r:id="rId8" w:type="default"/>
          <w:pgSz w:w="11906" w:h="16838"/>
          <w:pgMar w:top="1587" w:right="1474" w:bottom="1587" w:left="1474" w:header="964" w:footer="680" w:gutter="0"/>
          <w:pgNumType w:fmt="decimal"/>
          <w:cols w:space="720" w:num="1"/>
          <w:docGrid w:linePitch="312" w:charSpace="0"/>
        </w:sectPr>
      </w:pPr>
    </w:p>
    <w:p w14:paraId="14A07375">
      <w:pPr>
        <w:snapToGrid w:val="0"/>
        <w:spacing w:line="360" w:lineRule="auto"/>
        <w:jc w:val="left"/>
        <w:rPr>
          <w:rFonts w:hint="eastAsia" w:ascii="宋体" w:hAnsi="宋体"/>
          <w:b/>
          <w:color w:val="auto"/>
          <w:spacing w:val="6"/>
          <w:sz w:val="32"/>
          <w:szCs w:val="32"/>
          <w:highlight w:val="none"/>
          <w:lang w:val="en-US" w:eastAsia="zh-CN"/>
        </w:rPr>
      </w:pPr>
    </w:p>
    <w:p w14:paraId="37CAE36C">
      <w:pPr>
        <w:snapToGrid w:val="0"/>
        <w:spacing w:line="360" w:lineRule="auto"/>
        <w:jc w:val="left"/>
        <w:rPr>
          <w:rFonts w:hint="eastAsia" w:ascii="宋体" w:hAnsi="宋体"/>
          <w:b/>
          <w:color w:val="auto"/>
          <w:spacing w:val="6"/>
          <w:sz w:val="32"/>
          <w:szCs w:val="32"/>
          <w:highlight w:val="none"/>
          <w:lang w:val="en-US" w:eastAsia="zh-CN"/>
        </w:rPr>
      </w:pPr>
    </w:p>
    <w:p w14:paraId="3D563526">
      <w:pPr>
        <w:snapToGrid w:val="0"/>
        <w:spacing w:line="360" w:lineRule="auto"/>
        <w:jc w:val="left"/>
        <w:rPr>
          <w:rFonts w:ascii="宋体" w:hAnsi="宋体"/>
          <w:b/>
          <w:color w:val="auto"/>
          <w:spacing w:val="6"/>
          <w:sz w:val="32"/>
          <w:szCs w:val="32"/>
          <w:highlight w:val="none"/>
        </w:rPr>
      </w:pPr>
      <w:r>
        <w:rPr>
          <w:rFonts w:hint="eastAsia" w:ascii="宋体" w:hAnsi="宋体"/>
          <w:b/>
          <w:color w:val="auto"/>
          <w:spacing w:val="6"/>
          <w:sz w:val="32"/>
          <w:szCs w:val="32"/>
          <w:highlight w:val="none"/>
          <w:lang w:val="en-US" w:eastAsia="zh-CN"/>
        </w:rPr>
        <w:t>二、</w:t>
      </w:r>
      <w:r>
        <w:rPr>
          <w:rFonts w:hint="eastAsia" w:ascii="宋体" w:hAnsi="宋体"/>
          <w:b/>
          <w:color w:val="auto"/>
          <w:spacing w:val="6"/>
          <w:sz w:val="32"/>
          <w:szCs w:val="32"/>
          <w:highlight w:val="none"/>
        </w:rPr>
        <w:t>投标人针对报价需要说明的其他文件和说明（格式自拟）</w:t>
      </w:r>
    </w:p>
    <w:p w14:paraId="31FBB676">
      <w:pPr>
        <w:spacing w:line="588" w:lineRule="exact"/>
        <w:rPr>
          <w:rFonts w:ascii="宋体"/>
          <w:color w:val="auto"/>
          <w:szCs w:val="21"/>
          <w:highlight w:val="none"/>
        </w:rPr>
      </w:pPr>
    </w:p>
    <w:p w14:paraId="0D99EBBC">
      <w:pPr>
        <w:rPr>
          <w:color w:val="auto"/>
          <w:highlight w:val="none"/>
        </w:rPr>
      </w:pPr>
    </w:p>
    <w:p w14:paraId="613ECA66">
      <w:pPr>
        <w:pStyle w:val="2"/>
        <w:rPr>
          <w:color w:val="auto"/>
          <w:highlight w:val="none"/>
        </w:rPr>
      </w:pPr>
    </w:p>
    <w:p w14:paraId="7CE36AD3">
      <w:pPr>
        <w:rPr>
          <w:color w:val="auto"/>
          <w:highlight w:val="none"/>
        </w:rPr>
      </w:pPr>
    </w:p>
    <w:p w14:paraId="226AB2C3">
      <w:pPr>
        <w:pStyle w:val="2"/>
        <w:rPr>
          <w:color w:val="auto"/>
          <w:highlight w:val="none"/>
        </w:rPr>
      </w:pPr>
    </w:p>
    <w:p w14:paraId="62B0CF51">
      <w:pPr>
        <w:rPr>
          <w:color w:val="auto"/>
          <w:highlight w:val="none"/>
        </w:rPr>
      </w:pPr>
    </w:p>
    <w:p w14:paraId="69F1B5D5">
      <w:pPr>
        <w:pStyle w:val="2"/>
        <w:rPr>
          <w:color w:val="auto"/>
          <w:highlight w:val="none"/>
        </w:rPr>
      </w:pPr>
    </w:p>
    <w:p w14:paraId="192A05B9">
      <w:pPr>
        <w:rPr>
          <w:color w:val="auto"/>
          <w:highlight w:val="none"/>
        </w:rPr>
      </w:pPr>
    </w:p>
    <w:p w14:paraId="41347793">
      <w:pPr>
        <w:pStyle w:val="2"/>
        <w:rPr>
          <w:color w:val="auto"/>
          <w:highlight w:val="none"/>
        </w:rPr>
      </w:pPr>
    </w:p>
    <w:p w14:paraId="19E6EE28">
      <w:pPr>
        <w:rPr>
          <w:color w:val="auto"/>
          <w:highlight w:val="none"/>
        </w:rPr>
      </w:pPr>
    </w:p>
    <w:p w14:paraId="0E857660">
      <w:pPr>
        <w:pStyle w:val="2"/>
        <w:rPr>
          <w:color w:val="auto"/>
          <w:highlight w:val="none"/>
        </w:rPr>
      </w:pPr>
    </w:p>
    <w:p w14:paraId="6E95CBD1">
      <w:pPr>
        <w:rPr>
          <w:color w:val="auto"/>
          <w:highlight w:val="none"/>
        </w:rPr>
      </w:pPr>
    </w:p>
    <w:p w14:paraId="1072A109">
      <w:pPr>
        <w:pStyle w:val="2"/>
        <w:rPr>
          <w:color w:val="auto"/>
          <w:highlight w:val="none"/>
        </w:rPr>
      </w:pPr>
    </w:p>
    <w:p w14:paraId="10D749BF">
      <w:pPr>
        <w:rPr>
          <w:color w:val="auto"/>
          <w:highlight w:val="none"/>
        </w:rPr>
      </w:pPr>
    </w:p>
    <w:p w14:paraId="7B5F9EA5">
      <w:pPr>
        <w:pStyle w:val="2"/>
        <w:rPr>
          <w:color w:val="auto"/>
          <w:highlight w:val="none"/>
        </w:rPr>
      </w:pPr>
    </w:p>
    <w:p w14:paraId="076EC5EC">
      <w:pPr>
        <w:rPr>
          <w:color w:val="auto"/>
          <w:highlight w:val="none"/>
        </w:rPr>
      </w:pPr>
    </w:p>
    <w:p w14:paraId="5D25629D">
      <w:pPr>
        <w:rPr>
          <w:color w:val="auto"/>
          <w:highlight w:val="none"/>
        </w:rPr>
      </w:pPr>
    </w:p>
    <w:p w14:paraId="17B68772">
      <w:pPr>
        <w:rPr>
          <w:color w:val="auto"/>
          <w:highlight w:val="none"/>
        </w:rPr>
      </w:pPr>
    </w:p>
    <w:p w14:paraId="7013FA35">
      <w:pPr>
        <w:rPr>
          <w:color w:val="auto"/>
          <w:highlight w:val="none"/>
        </w:rPr>
      </w:pPr>
    </w:p>
    <w:p w14:paraId="29A921BD">
      <w:pPr>
        <w:rPr>
          <w:color w:val="auto"/>
          <w:highlight w:val="none"/>
        </w:rPr>
      </w:pPr>
    </w:p>
    <w:p w14:paraId="3A664203">
      <w:pPr>
        <w:rPr>
          <w:color w:val="auto"/>
          <w:highlight w:val="none"/>
        </w:rPr>
      </w:pPr>
    </w:p>
    <w:p w14:paraId="78528D74">
      <w:pPr>
        <w:rPr>
          <w:color w:val="auto"/>
          <w:highlight w:val="none"/>
        </w:rPr>
      </w:pPr>
    </w:p>
    <w:p w14:paraId="29430000">
      <w:pPr>
        <w:rPr>
          <w:color w:val="auto"/>
          <w:highlight w:val="none"/>
        </w:rPr>
      </w:pPr>
    </w:p>
    <w:p w14:paraId="6EFCB16D">
      <w:pPr>
        <w:rPr>
          <w:color w:val="auto"/>
          <w:highlight w:val="none"/>
        </w:rPr>
      </w:pPr>
    </w:p>
    <w:p w14:paraId="70E213ED">
      <w:pPr>
        <w:rPr>
          <w:color w:val="auto"/>
          <w:highlight w:val="none"/>
        </w:rPr>
      </w:pPr>
    </w:p>
    <w:p w14:paraId="422513FD">
      <w:pPr>
        <w:rPr>
          <w:color w:val="auto"/>
          <w:highlight w:val="none"/>
        </w:rPr>
      </w:pPr>
    </w:p>
    <w:p w14:paraId="61EE4AB3">
      <w:pPr>
        <w:rPr>
          <w:color w:val="auto"/>
          <w:highlight w:val="none"/>
        </w:rPr>
      </w:pPr>
    </w:p>
    <w:p w14:paraId="619DE81C">
      <w:pPr>
        <w:rPr>
          <w:color w:val="auto"/>
          <w:highlight w:val="none"/>
        </w:rPr>
      </w:pPr>
    </w:p>
    <w:p w14:paraId="6AE941D9">
      <w:pPr>
        <w:rPr>
          <w:color w:val="auto"/>
          <w:highlight w:val="none"/>
        </w:rPr>
      </w:pPr>
    </w:p>
    <w:p w14:paraId="50B3918D">
      <w:pPr>
        <w:rPr>
          <w:color w:val="auto"/>
          <w:highlight w:val="none"/>
        </w:rPr>
      </w:pPr>
    </w:p>
    <w:p w14:paraId="34723467">
      <w:pPr>
        <w:pStyle w:val="5"/>
        <w:keepNext w:val="0"/>
        <w:keepLines w:val="0"/>
        <w:pageBreakBefore w:val="0"/>
        <w:widowControl w:val="0"/>
        <w:kinsoku/>
        <w:wordWrap/>
        <w:overflowPunct/>
        <w:topLinePunct w:val="0"/>
        <w:autoSpaceDE/>
        <w:autoSpaceDN/>
        <w:bidi w:val="0"/>
        <w:adjustRightInd/>
        <w:snapToGrid/>
        <w:spacing w:line="440" w:lineRule="exact"/>
        <w:ind w:firstLine="360"/>
        <w:jc w:val="center"/>
        <w:textAlignment w:val="auto"/>
        <w:rPr>
          <w:rFonts w:ascii="黑体" w:hAnsi="黑体" w:eastAsia="黑体" w:cs="黑体"/>
          <w:color w:val="auto"/>
          <w:sz w:val="36"/>
          <w:szCs w:val="36"/>
          <w:highlight w:val="none"/>
        </w:rPr>
      </w:pPr>
      <w:r>
        <w:rPr>
          <w:rFonts w:ascii="黑体" w:hAnsi="黑体" w:eastAsia="黑体" w:cs="黑体"/>
          <w:color w:val="auto"/>
          <w:sz w:val="36"/>
          <w:szCs w:val="36"/>
          <w:highlight w:val="none"/>
        </w:rPr>
        <w:t>采购活动现场确认声明书</w:t>
      </w:r>
    </w:p>
    <w:p w14:paraId="61B9956F">
      <w:pPr>
        <w:keepNext w:val="0"/>
        <w:keepLines w:val="0"/>
        <w:pageBreakBefore w:val="0"/>
        <w:widowControl w:val="0"/>
        <w:kinsoku/>
        <w:wordWrap/>
        <w:overflowPunct/>
        <w:topLinePunct w:val="0"/>
        <w:autoSpaceDE/>
        <w:autoSpaceDN/>
        <w:bidi w:val="0"/>
        <w:adjustRightInd/>
        <w:snapToGrid/>
        <w:spacing w:line="440" w:lineRule="exact"/>
        <w:textAlignment w:val="auto"/>
        <w:rPr>
          <w:color w:val="auto"/>
          <w:highlight w:val="none"/>
        </w:rPr>
      </w:pPr>
      <w:r>
        <w:rPr>
          <w:rFonts w:hint="eastAsia"/>
          <w:color w:val="auto"/>
          <w:highlight w:val="none"/>
        </w:rPr>
        <w:t>（此声明书投标文件中不用做，</w:t>
      </w:r>
      <w:r>
        <w:rPr>
          <w:color w:val="auto"/>
          <w:highlight w:val="none"/>
        </w:rPr>
        <w:t>开标后供应商通过邮件形式将经授权代表签署的《采购活动现场确认声明书》扫描件发至代理机构经办人邮箱</w:t>
      </w:r>
      <w:r>
        <w:rPr>
          <w:color w:val="auto"/>
          <w:highlight w:val="none"/>
        </w:rPr>
        <w:fldChar w:fldCharType="begin"/>
      </w:r>
      <w:r>
        <w:rPr>
          <w:color w:val="auto"/>
          <w:highlight w:val="none"/>
        </w:rPr>
        <w:instrText xml:space="preserve"> HYPERLINK "mailto:360745117@qq.com" \h </w:instrText>
      </w:r>
      <w:r>
        <w:rPr>
          <w:color w:val="auto"/>
          <w:highlight w:val="none"/>
        </w:rPr>
        <w:fldChar w:fldCharType="separate"/>
      </w:r>
      <w:r>
        <w:rPr>
          <w:rFonts w:hint="eastAsia"/>
          <w:color w:val="auto"/>
          <w:highlight w:val="none"/>
        </w:rPr>
        <w:t>1039652341</w:t>
      </w:r>
      <w:r>
        <w:rPr>
          <w:color w:val="auto"/>
          <w:highlight w:val="none"/>
        </w:rPr>
        <w:t>@qq.com</w:t>
      </w:r>
      <w:r>
        <w:rPr>
          <w:color w:val="auto"/>
          <w:highlight w:val="none"/>
        </w:rPr>
        <w:fldChar w:fldCharType="end"/>
      </w:r>
      <w:r>
        <w:rPr>
          <w:color w:val="auto"/>
          <w:highlight w:val="none"/>
        </w:rPr>
        <w:t>，联系人：任燕，电话：0575-</w:t>
      </w:r>
      <w:r>
        <w:rPr>
          <w:rFonts w:hint="eastAsia"/>
          <w:color w:val="auto"/>
          <w:highlight w:val="none"/>
        </w:rPr>
        <w:t>83338198</w:t>
      </w:r>
      <w:r>
        <w:rPr>
          <w:color w:val="auto"/>
          <w:highlight w:val="none"/>
        </w:rPr>
        <w:t>）</w:t>
      </w:r>
    </w:p>
    <w:p w14:paraId="6A6922B4">
      <w:pPr>
        <w:pStyle w:val="49"/>
        <w:keepNext w:val="0"/>
        <w:keepLines w:val="0"/>
        <w:pageBreakBefore w:val="0"/>
        <w:kinsoku/>
        <w:wordWrap/>
        <w:overflowPunct/>
        <w:topLinePunct w:val="0"/>
        <w:autoSpaceDE/>
        <w:autoSpaceDN/>
        <w:bidi w:val="0"/>
        <w:adjustRightInd/>
        <w:snapToGrid w:val="0"/>
        <w:spacing w:beforeLines="100" w:line="460" w:lineRule="exact"/>
        <w:textAlignment w:val="auto"/>
        <w:rPr>
          <w:rFonts w:hAnsi="宋体" w:cs="宋体"/>
          <w:b/>
          <w:color w:val="auto"/>
          <w:szCs w:val="24"/>
          <w:highlight w:val="none"/>
        </w:rPr>
      </w:pPr>
      <w:r>
        <w:rPr>
          <w:rFonts w:hAnsi="宋体" w:cs="宋体"/>
          <w:color w:val="auto"/>
          <w:kern w:val="0"/>
          <w:szCs w:val="24"/>
          <w:highlight w:val="none"/>
        </w:rPr>
        <w:t>（采</w:t>
      </w:r>
      <w:r>
        <w:rPr>
          <w:rFonts w:hint="eastAsia" w:hAnsi="宋体" w:cs="宋体"/>
          <w:color w:val="auto"/>
          <w:kern w:val="0"/>
          <w:szCs w:val="24"/>
          <w:highlight w:val="none"/>
          <w:lang w:val="en-US" w:eastAsia="zh-CN"/>
        </w:rPr>
        <w:t>购代理</w:t>
      </w:r>
      <w:r>
        <w:rPr>
          <w:rFonts w:hAnsi="宋体" w:cs="宋体"/>
          <w:color w:val="auto"/>
          <w:kern w:val="0"/>
          <w:szCs w:val="24"/>
          <w:highlight w:val="none"/>
        </w:rPr>
        <w:t>机构名称）：</w:t>
      </w:r>
    </w:p>
    <w:p w14:paraId="336B0BB8">
      <w:pPr>
        <w:keepNext w:val="0"/>
        <w:keepLines w:val="0"/>
        <w:pageBreakBefore w:val="0"/>
        <w:tabs>
          <w:tab w:val="left" w:pos="9640"/>
        </w:tabs>
        <w:kinsoku/>
        <w:wordWrap/>
        <w:overflowPunct/>
        <w:topLinePunct w:val="0"/>
        <w:autoSpaceDE/>
        <w:autoSpaceDN/>
        <w:bidi w:val="0"/>
        <w:adjustRightInd/>
        <w:spacing w:line="460" w:lineRule="exact"/>
        <w:ind w:firstLine="504"/>
        <w:jc w:val="left"/>
        <w:textAlignment w:val="auto"/>
        <w:rPr>
          <w:rFonts w:ascii="宋体" w:hAnsi="宋体" w:cs="宋体"/>
          <w:color w:val="auto"/>
          <w:spacing w:val="6"/>
          <w:highlight w:val="none"/>
        </w:rPr>
      </w:pPr>
      <w:r>
        <w:rPr>
          <w:rFonts w:hint="eastAsia" w:ascii="宋体" w:hAnsi="宋体" w:cs="宋体"/>
          <w:color w:val="auto"/>
          <w:spacing w:val="6"/>
          <w:highlight w:val="none"/>
        </w:rPr>
        <w:t xml:space="preserve"> 本人（授权代表姓名）经由（单位</w:t>
      </w:r>
      <w:r>
        <w:rPr>
          <w:rFonts w:hint="eastAsia" w:ascii="宋体" w:hAnsi="宋体" w:cs="宋体"/>
          <w:color w:val="auto"/>
          <w:spacing w:val="6"/>
          <w:highlight w:val="none"/>
          <w:lang w:val="en-US" w:eastAsia="zh-CN"/>
        </w:rPr>
        <w:t xml:space="preserve">         </w:t>
      </w:r>
      <w:r>
        <w:rPr>
          <w:rFonts w:hint="eastAsia" w:ascii="宋体" w:hAnsi="宋体" w:cs="宋体"/>
          <w:color w:val="auto"/>
          <w:spacing w:val="6"/>
          <w:highlight w:val="none"/>
        </w:rPr>
        <w:t>) （法定代表人姓名）合法授权参加</w:t>
      </w:r>
      <w:r>
        <w:rPr>
          <w:rFonts w:hint="eastAsia" w:ascii="宋体" w:hAnsi="宋体" w:cs="宋体"/>
          <w:color w:val="auto"/>
          <w:spacing w:val="6"/>
          <w:highlight w:val="none"/>
          <w:u w:val="single"/>
          <w:lang w:val="en-US" w:eastAsia="zh-CN"/>
        </w:rPr>
        <w:t xml:space="preserve">            </w:t>
      </w:r>
      <w:r>
        <w:rPr>
          <w:rFonts w:hint="eastAsia" w:cs="宋体"/>
          <w:color w:val="auto"/>
          <w:kern w:val="0"/>
          <w:highlight w:val="none"/>
          <w:u w:val="single"/>
        </w:rPr>
        <w:t>项目</w:t>
      </w:r>
      <w:r>
        <w:rPr>
          <w:rFonts w:hint="eastAsia" w:ascii="宋体" w:hAnsi="宋体" w:cs="宋体"/>
          <w:color w:val="auto"/>
          <w:spacing w:val="6"/>
          <w:highlight w:val="none"/>
        </w:rPr>
        <w:t>（</w:t>
      </w:r>
      <w:r>
        <w:rPr>
          <w:rFonts w:hint="eastAsia" w:ascii="宋体" w:hAnsi="宋体" w:cs="宋体"/>
          <w:color w:val="auto"/>
          <w:spacing w:val="6"/>
          <w:highlight w:val="none"/>
          <w:lang w:val="en-US" w:eastAsia="zh-CN"/>
        </w:rPr>
        <w:t>项目</w:t>
      </w:r>
      <w:r>
        <w:rPr>
          <w:rFonts w:hint="eastAsia" w:ascii="宋体" w:hAnsi="宋体" w:cs="宋体"/>
          <w:color w:val="auto"/>
          <w:spacing w:val="6"/>
          <w:highlight w:val="none"/>
        </w:rPr>
        <w:t>编号：</w:t>
      </w:r>
      <w:r>
        <w:rPr>
          <w:rFonts w:hint="eastAsia" w:ascii="宋体" w:hAnsi="宋体" w:cs="宋体"/>
          <w:color w:val="auto"/>
          <w:spacing w:val="6"/>
          <w:highlight w:val="none"/>
          <w:lang w:val="en-US" w:eastAsia="zh-CN"/>
        </w:rPr>
        <w:t xml:space="preserve">         </w:t>
      </w:r>
      <w:r>
        <w:rPr>
          <w:rFonts w:hint="eastAsia" w:ascii="宋体" w:hAnsi="宋体" w:cs="宋体"/>
          <w:color w:val="auto"/>
          <w:spacing w:val="6"/>
          <w:highlight w:val="none"/>
        </w:rPr>
        <w:t xml:space="preserve">）采购活动，经与本单位法人代表（负责人）联系确认，现就有关公平竞争事项郑重声明如下： </w:t>
      </w:r>
    </w:p>
    <w:p w14:paraId="540D0BB5">
      <w:pPr>
        <w:pStyle w:val="50"/>
        <w:keepNext w:val="0"/>
        <w:keepLines w:val="0"/>
        <w:pageBreakBefore w:val="0"/>
        <w:widowControl/>
        <w:numPr>
          <w:ilvl w:val="0"/>
          <w:numId w:val="8"/>
        </w:numPr>
        <w:kinsoku/>
        <w:wordWrap/>
        <w:overflowPunct/>
        <w:topLinePunct w:val="0"/>
        <w:autoSpaceDE/>
        <w:autoSpaceDN/>
        <w:bidi w:val="0"/>
        <w:adjustRightInd/>
        <w:snapToGrid w:val="0"/>
        <w:spacing w:line="460" w:lineRule="exact"/>
        <w:ind w:firstLine="453" w:firstLineChars="189"/>
        <w:textAlignment w:val="auto"/>
        <w:rPr>
          <w:rFonts w:ascii="宋体" w:hAnsi="宋体" w:cs="宋体"/>
          <w:color w:val="auto"/>
          <w:kern w:val="0"/>
          <w:szCs w:val="24"/>
          <w:highlight w:val="none"/>
        </w:rPr>
      </w:pPr>
      <w:r>
        <w:rPr>
          <w:rFonts w:ascii="宋体" w:hAnsi="宋体" w:cs="宋体"/>
          <w:color w:val="auto"/>
          <w:kern w:val="0"/>
          <w:szCs w:val="24"/>
          <w:highlight w:val="none"/>
        </w:rPr>
        <w:t xml:space="preserve">本单位与采购人之间 </w:t>
      </w:r>
      <w:r>
        <w:rPr>
          <w:rFonts w:hint="eastAsia" w:ascii="宋体" w:hAnsi="宋体" w:cs="宋体"/>
          <w:color w:val="auto"/>
          <w:kern w:val="0"/>
          <w:szCs w:val="24"/>
          <w:highlight w:val="none"/>
          <w:lang w:eastAsia="zh-CN"/>
        </w:rPr>
        <w:t>□</w:t>
      </w:r>
      <w:r>
        <w:rPr>
          <w:rFonts w:ascii="宋体" w:hAnsi="宋体" w:cs="宋体"/>
          <w:color w:val="auto"/>
          <w:kern w:val="0"/>
          <w:szCs w:val="24"/>
          <w:highlight w:val="none"/>
        </w:rPr>
        <w:t>不存在利害关系 □存在下列利害关系：</w:t>
      </w:r>
    </w:p>
    <w:p w14:paraId="06F0ECFB">
      <w:pPr>
        <w:pStyle w:val="50"/>
        <w:keepNext w:val="0"/>
        <w:keepLines w:val="0"/>
        <w:pageBreakBefore w:val="0"/>
        <w:widowControl/>
        <w:kinsoku/>
        <w:wordWrap/>
        <w:overflowPunct/>
        <w:topLinePunct w:val="0"/>
        <w:autoSpaceDE/>
        <w:autoSpaceDN/>
        <w:bidi w:val="0"/>
        <w:adjustRightInd/>
        <w:snapToGrid w:val="0"/>
        <w:spacing w:line="460" w:lineRule="exact"/>
        <w:textAlignment w:val="auto"/>
        <w:rPr>
          <w:rFonts w:ascii="宋体" w:hAnsi="宋体" w:cs="宋体"/>
          <w:color w:val="auto"/>
          <w:kern w:val="0"/>
          <w:szCs w:val="24"/>
          <w:highlight w:val="none"/>
        </w:rPr>
      </w:pPr>
      <w:r>
        <w:rPr>
          <w:rFonts w:ascii="宋体" w:hAnsi="宋体" w:cs="宋体"/>
          <w:color w:val="auto"/>
          <w:kern w:val="0"/>
          <w:szCs w:val="24"/>
          <w:highlight w:val="none"/>
        </w:rPr>
        <w:t xml:space="preserve">    A.投资关系    B.行政隶属关系    C.业务指导关系</w:t>
      </w:r>
    </w:p>
    <w:p w14:paraId="0AA13C8C">
      <w:pPr>
        <w:pStyle w:val="50"/>
        <w:keepNext w:val="0"/>
        <w:keepLines w:val="0"/>
        <w:pageBreakBefore w:val="0"/>
        <w:widowControl/>
        <w:kinsoku/>
        <w:wordWrap/>
        <w:overflowPunct/>
        <w:topLinePunct w:val="0"/>
        <w:autoSpaceDE/>
        <w:autoSpaceDN/>
        <w:bidi w:val="0"/>
        <w:adjustRightInd/>
        <w:snapToGrid w:val="0"/>
        <w:spacing w:line="460" w:lineRule="exact"/>
        <w:textAlignment w:val="auto"/>
        <w:rPr>
          <w:rFonts w:ascii="宋体" w:hAnsi="宋体" w:cs="宋体"/>
          <w:color w:val="auto"/>
          <w:kern w:val="0"/>
          <w:szCs w:val="24"/>
          <w:highlight w:val="none"/>
        </w:rPr>
      </w:pPr>
      <w:r>
        <w:rPr>
          <w:rFonts w:ascii="宋体" w:hAnsi="宋体" w:cs="宋体"/>
          <w:color w:val="auto"/>
          <w:kern w:val="0"/>
          <w:szCs w:val="24"/>
          <w:highlight w:val="none"/>
        </w:rPr>
        <w:t xml:space="preserve">    D.其他可能</w:t>
      </w:r>
      <w:r>
        <w:rPr>
          <w:rFonts w:ascii="宋体" w:hAnsi="宋体" w:cs="宋体"/>
          <w:color w:val="auto"/>
          <w:szCs w:val="24"/>
          <w:highlight w:val="none"/>
        </w:rPr>
        <w:t>影响采购公正的</w:t>
      </w:r>
      <w:r>
        <w:rPr>
          <w:rFonts w:ascii="宋体" w:hAnsi="宋体" w:cs="宋体"/>
          <w:color w:val="auto"/>
          <w:kern w:val="0"/>
          <w:szCs w:val="24"/>
          <w:highlight w:val="none"/>
        </w:rPr>
        <w:t>利害关系</w:t>
      </w:r>
      <w:r>
        <w:rPr>
          <w:rFonts w:ascii="宋体" w:hAnsi="宋体" w:cs="宋体"/>
          <w:color w:val="auto"/>
          <w:kern w:val="0"/>
          <w:szCs w:val="24"/>
          <w:highlight w:val="none"/>
          <w:u w:val="single"/>
        </w:rPr>
        <w:t>（如有，请如实说明）</w:t>
      </w:r>
      <w:r>
        <w:rPr>
          <w:rFonts w:ascii="宋体" w:hAnsi="宋体" w:cs="宋体"/>
          <w:color w:val="auto"/>
          <w:kern w:val="0"/>
          <w:szCs w:val="24"/>
          <w:highlight w:val="none"/>
        </w:rPr>
        <w:t>。</w:t>
      </w:r>
    </w:p>
    <w:p w14:paraId="36D85FDC">
      <w:pPr>
        <w:pStyle w:val="50"/>
        <w:keepNext w:val="0"/>
        <w:keepLines w:val="0"/>
        <w:pageBreakBefore w:val="0"/>
        <w:widowControl/>
        <w:kinsoku/>
        <w:wordWrap/>
        <w:overflowPunct/>
        <w:topLinePunct w:val="0"/>
        <w:autoSpaceDE/>
        <w:autoSpaceDN/>
        <w:bidi w:val="0"/>
        <w:adjustRightInd/>
        <w:snapToGrid w:val="0"/>
        <w:spacing w:line="460" w:lineRule="exact"/>
        <w:textAlignment w:val="auto"/>
        <w:rPr>
          <w:rFonts w:ascii="宋体" w:hAnsi="宋体" w:cs="宋体"/>
          <w:color w:val="auto"/>
          <w:kern w:val="0"/>
          <w:szCs w:val="24"/>
          <w:highlight w:val="none"/>
        </w:rPr>
      </w:pPr>
      <w:r>
        <w:rPr>
          <w:rFonts w:ascii="宋体" w:hAnsi="宋体" w:cs="宋体"/>
          <w:color w:val="auto"/>
          <w:spacing w:val="6"/>
          <w:szCs w:val="24"/>
          <w:highlight w:val="none"/>
        </w:rPr>
        <w:t xml:space="preserve">    二、</w:t>
      </w:r>
      <w:r>
        <w:rPr>
          <w:rFonts w:ascii="宋体" w:hAnsi="宋体" w:cs="宋体"/>
          <w:color w:val="auto"/>
          <w:kern w:val="0"/>
          <w:szCs w:val="24"/>
          <w:highlight w:val="none"/>
        </w:rPr>
        <w:t>现已清楚知道参加本项目采购活动的其他所有供应商名称，本单位□与其他所有供应商之间均不存在利害关系 □与</w:t>
      </w:r>
      <w:r>
        <w:rPr>
          <w:rFonts w:ascii="宋体" w:hAnsi="宋体" w:cs="宋体"/>
          <w:color w:val="auto"/>
          <w:kern w:val="0"/>
          <w:szCs w:val="24"/>
          <w:highlight w:val="none"/>
          <w:u w:val="single"/>
        </w:rPr>
        <w:t xml:space="preserve">                        （供应商名称) </w:t>
      </w:r>
      <w:r>
        <w:rPr>
          <w:rFonts w:ascii="宋体" w:hAnsi="宋体" w:cs="宋体"/>
          <w:color w:val="auto"/>
          <w:kern w:val="0"/>
          <w:szCs w:val="24"/>
          <w:highlight w:val="none"/>
        </w:rPr>
        <w:t>之间存在下列利害关系：</w:t>
      </w:r>
    </w:p>
    <w:p w14:paraId="7707C34E">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Ansi="宋体" w:cs="宋体"/>
          <w:color w:val="auto"/>
          <w:kern w:val="0"/>
          <w:szCs w:val="24"/>
          <w:highlight w:val="none"/>
        </w:rPr>
      </w:pPr>
      <w:r>
        <w:rPr>
          <w:rFonts w:hAnsi="宋体" w:cs="宋体"/>
          <w:color w:val="auto"/>
          <w:kern w:val="0"/>
          <w:szCs w:val="24"/>
          <w:highlight w:val="none"/>
        </w:rPr>
        <w:t xml:space="preserve">    A.法定代表人或负责人或实际控制人是同一人</w:t>
      </w:r>
    </w:p>
    <w:p w14:paraId="378CC105">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Ansi="宋体" w:cs="宋体"/>
          <w:color w:val="auto"/>
          <w:spacing w:val="6"/>
          <w:szCs w:val="24"/>
          <w:highlight w:val="none"/>
        </w:rPr>
      </w:pPr>
      <w:r>
        <w:rPr>
          <w:rFonts w:hAnsi="宋体" w:cs="宋体"/>
          <w:color w:val="auto"/>
          <w:kern w:val="0"/>
          <w:szCs w:val="24"/>
          <w:highlight w:val="none"/>
        </w:rPr>
        <w:t xml:space="preserve">    B.法定代表人或负责人或实际控制人是夫妻关系</w:t>
      </w:r>
    </w:p>
    <w:p w14:paraId="4AB4C575">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Ansi="宋体" w:cs="宋体"/>
          <w:color w:val="auto"/>
          <w:spacing w:val="6"/>
          <w:szCs w:val="24"/>
          <w:highlight w:val="none"/>
        </w:rPr>
      </w:pPr>
      <w:r>
        <w:rPr>
          <w:rFonts w:hAnsi="宋体" w:cs="宋体"/>
          <w:color w:val="auto"/>
          <w:kern w:val="0"/>
          <w:szCs w:val="24"/>
          <w:highlight w:val="none"/>
        </w:rPr>
        <w:t xml:space="preserve">    C.法定代表人或负责人或实际控制人是直系血亲关系</w:t>
      </w:r>
    </w:p>
    <w:p w14:paraId="167D2D20">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Ansi="宋体" w:cs="宋体"/>
          <w:color w:val="auto"/>
          <w:spacing w:val="6"/>
          <w:szCs w:val="24"/>
          <w:highlight w:val="none"/>
        </w:rPr>
      </w:pPr>
      <w:r>
        <w:rPr>
          <w:rFonts w:hAnsi="宋体" w:cs="宋体"/>
          <w:color w:val="auto"/>
          <w:kern w:val="0"/>
          <w:szCs w:val="24"/>
          <w:highlight w:val="none"/>
        </w:rPr>
        <w:t xml:space="preserve">    D.法定代表人或负责人或实际控制人存在三代以内旁系血亲关系</w:t>
      </w:r>
    </w:p>
    <w:p w14:paraId="62B5C0A2">
      <w:pPr>
        <w:pStyle w:val="49"/>
        <w:keepNext w:val="0"/>
        <w:keepLines w:val="0"/>
        <w:pageBreakBefore w:val="0"/>
        <w:widowControl w:val="0"/>
        <w:kinsoku/>
        <w:wordWrap/>
        <w:overflowPunct/>
        <w:topLinePunct w:val="0"/>
        <w:autoSpaceDE/>
        <w:autoSpaceDN/>
        <w:bidi w:val="0"/>
        <w:adjustRightInd/>
        <w:snapToGrid w:val="0"/>
        <w:spacing w:line="460" w:lineRule="exact"/>
        <w:ind w:firstLine="480" w:firstLineChars="200"/>
        <w:jc w:val="both"/>
        <w:textAlignment w:val="auto"/>
        <w:rPr>
          <w:rFonts w:hAnsi="宋体" w:cs="宋体"/>
          <w:color w:val="auto"/>
          <w:kern w:val="0"/>
          <w:szCs w:val="24"/>
          <w:highlight w:val="none"/>
        </w:rPr>
      </w:pPr>
      <w:r>
        <w:rPr>
          <w:rFonts w:hAnsi="宋体" w:cs="宋体"/>
          <w:color w:val="auto"/>
          <w:kern w:val="0"/>
          <w:szCs w:val="24"/>
          <w:highlight w:val="none"/>
        </w:rPr>
        <w:t>E.法定代表人或负责人或实际控制人存在近姻亲关系</w:t>
      </w:r>
    </w:p>
    <w:p w14:paraId="2DC6E4C6">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Ansi="宋体" w:cs="宋体"/>
          <w:color w:val="auto"/>
          <w:kern w:val="0"/>
          <w:szCs w:val="24"/>
          <w:highlight w:val="none"/>
        </w:rPr>
      </w:pPr>
      <w:r>
        <w:rPr>
          <w:rFonts w:hAnsi="宋体" w:cs="宋体"/>
          <w:color w:val="auto"/>
          <w:kern w:val="0"/>
          <w:szCs w:val="24"/>
          <w:highlight w:val="none"/>
        </w:rPr>
        <w:t xml:space="preserve">    F.法定代表人或负责人或实际控制人存在股份控制或实际控制关系</w:t>
      </w:r>
    </w:p>
    <w:p w14:paraId="76110D4C">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outlineLvl w:val="0"/>
        <w:rPr>
          <w:rFonts w:hAnsi="宋体" w:cs="宋体"/>
          <w:color w:val="auto"/>
          <w:kern w:val="0"/>
          <w:szCs w:val="24"/>
          <w:highlight w:val="none"/>
        </w:rPr>
      </w:pPr>
      <w:r>
        <w:rPr>
          <w:rFonts w:hAnsi="宋体" w:cs="宋体"/>
          <w:color w:val="auto"/>
          <w:kern w:val="0"/>
          <w:szCs w:val="24"/>
          <w:highlight w:val="none"/>
        </w:rPr>
        <w:t xml:space="preserve">    G.存在共同直接或间接投资设立子公司、联营企业和合营企业情况</w:t>
      </w:r>
    </w:p>
    <w:p w14:paraId="4E5E3BAD">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Ansi="宋体" w:cs="宋体"/>
          <w:color w:val="auto"/>
          <w:szCs w:val="24"/>
          <w:highlight w:val="none"/>
        </w:rPr>
      </w:pPr>
      <w:r>
        <w:rPr>
          <w:rFonts w:hAnsi="宋体" w:cs="宋体"/>
          <w:color w:val="auto"/>
          <w:kern w:val="0"/>
          <w:szCs w:val="24"/>
          <w:highlight w:val="none"/>
        </w:rPr>
        <w:t xml:space="preserve">    H.存在分级代理或代销关系、同一生产制造商关系、</w:t>
      </w:r>
      <w:r>
        <w:rPr>
          <w:rFonts w:hAnsi="宋体" w:cs="宋体"/>
          <w:color w:val="auto"/>
          <w:szCs w:val="24"/>
          <w:highlight w:val="none"/>
        </w:rPr>
        <w:t>管理关系、重要业务（占主营业务收入50%以上）或重要财务往来关系（如融资）等其他实质性控制关系</w:t>
      </w:r>
    </w:p>
    <w:p w14:paraId="2157F683">
      <w:pPr>
        <w:pStyle w:val="49"/>
        <w:keepNext w:val="0"/>
        <w:keepLines w:val="0"/>
        <w:pageBreakBefore w:val="0"/>
        <w:widowControl w:val="0"/>
        <w:kinsoku/>
        <w:wordWrap/>
        <w:overflowPunct/>
        <w:topLinePunct w:val="0"/>
        <w:autoSpaceDE/>
        <w:autoSpaceDN/>
        <w:bidi w:val="0"/>
        <w:adjustRightInd/>
        <w:snapToGrid w:val="0"/>
        <w:spacing w:line="460" w:lineRule="exact"/>
        <w:jc w:val="both"/>
        <w:textAlignment w:val="auto"/>
        <w:rPr>
          <w:rFonts w:hAnsi="宋体" w:cs="宋体"/>
          <w:color w:val="auto"/>
          <w:spacing w:val="6"/>
          <w:szCs w:val="24"/>
          <w:highlight w:val="none"/>
        </w:rPr>
      </w:pPr>
      <w:r>
        <w:rPr>
          <w:rFonts w:hAnsi="宋体" w:cs="宋体"/>
          <w:color w:val="auto"/>
          <w:szCs w:val="24"/>
          <w:highlight w:val="none"/>
        </w:rPr>
        <w:t xml:space="preserve">    I</w:t>
      </w:r>
      <w:r>
        <w:rPr>
          <w:rFonts w:hAnsi="宋体" w:cs="宋体"/>
          <w:color w:val="auto"/>
          <w:kern w:val="0"/>
          <w:szCs w:val="24"/>
          <w:highlight w:val="none"/>
        </w:rPr>
        <w:t>.</w:t>
      </w:r>
      <w:r>
        <w:rPr>
          <w:rFonts w:hAnsi="宋体" w:cs="宋体"/>
          <w:color w:val="auto"/>
          <w:szCs w:val="24"/>
          <w:highlight w:val="none"/>
        </w:rPr>
        <w:t>其他利害关系情况</w:t>
      </w:r>
      <w:r>
        <w:rPr>
          <w:rFonts w:hAnsi="宋体" w:cs="宋体"/>
          <w:color w:val="auto"/>
          <w:kern w:val="0"/>
          <w:szCs w:val="24"/>
          <w:highlight w:val="none"/>
        </w:rPr>
        <w:t>。</w:t>
      </w:r>
    </w:p>
    <w:p w14:paraId="732D6F7C">
      <w:pPr>
        <w:pStyle w:val="50"/>
        <w:keepNext w:val="0"/>
        <w:keepLines w:val="0"/>
        <w:pageBreakBefore w:val="0"/>
        <w:widowControl/>
        <w:numPr>
          <w:ilvl w:val="0"/>
          <w:numId w:val="9"/>
        </w:numPr>
        <w:kinsoku/>
        <w:wordWrap/>
        <w:overflowPunct/>
        <w:topLinePunct w:val="0"/>
        <w:autoSpaceDE/>
        <w:autoSpaceDN/>
        <w:bidi w:val="0"/>
        <w:adjustRightInd/>
        <w:snapToGrid w:val="0"/>
        <w:spacing w:line="460" w:lineRule="exact"/>
        <w:ind w:firstLine="453" w:firstLineChars="189"/>
        <w:textAlignment w:val="auto"/>
        <w:rPr>
          <w:rFonts w:ascii="宋体" w:hAnsi="宋体" w:cs="宋体"/>
          <w:color w:val="auto"/>
          <w:kern w:val="0"/>
          <w:szCs w:val="24"/>
          <w:highlight w:val="none"/>
        </w:rPr>
      </w:pPr>
      <w:r>
        <w:rPr>
          <w:rFonts w:ascii="宋体" w:hAnsi="宋体" w:cs="宋体"/>
          <w:color w:val="auto"/>
          <w:kern w:val="0"/>
          <w:szCs w:val="24"/>
          <w:highlight w:val="none"/>
        </w:rPr>
        <w:t>我发现</w:t>
      </w:r>
      <w:r>
        <w:rPr>
          <w:rFonts w:hint="eastAsia" w:ascii="宋体" w:hAnsi="宋体" w:cs="宋体"/>
          <w:color w:val="auto"/>
          <w:kern w:val="0"/>
          <w:szCs w:val="24"/>
          <w:highlight w:val="none"/>
          <w:u w:val="single"/>
          <w:lang w:val="en-US" w:eastAsia="zh-CN"/>
        </w:rPr>
        <w:t xml:space="preserve">        </w:t>
      </w:r>
      <w:r>
        <w:rPr>
          <w:rFonts w:ascii="宋体" w:hAnsi="宋体" w:cs="宋体"/>
          <w:color w:val="auto"/>
          <w:kern w:val="0"/>
          <w:szCs w:val="24"/>
          <w:highlight w:val="none"/>
        </w:rPr>
        <w:t>供应商之间存在或可能存在上述第二条第</w:t>
      </w:r>
      <w:r>
        <w:rPr>
          <w:rFonts w:hint="eastAsia" w:ascii="宋体" w:hAnsi="宋体" w:cs="宋体"/>
          <w:color w:val="auto"/>
          <w:kern w:val="0"/>
          <w:szCs w:val="24"/>
          <w:highlight w:val="none"/>
          <w:u w:val="single"/>
          <w:lang w:val="en-US" w:eastAsia="zh-CN"/>
        </w:rPr>
        <w:t xml:space="preserve">    </w:t>
      </w:r>
      <w:r>
        <w:rPr>
          <w:rFonts w:ascii="宋体" w:hAnsi="宋体" w:cs="宋体"/>
          <w:color w:val="auto"/>
          <w:kern w:val="0"/>
          <w:szCs w:val="24"/>
          <w:highlight w:val="none"/>
        </w:rPr>
        <w:t>项利害关系。</w:t>
      </w:r>
    </w:p>
    <w:p w14:paraId="7869509B">
      <w:pPr>
        <w:pStyle w:val="49"/>
        <w:widowControl w:val="0"/>
        <w:snapToGrid w:val="0"/>
        <w:spacing w:line="500" w:lineRule="exact"/>
        <w:ind w:firstLine="480" w:firstLineChars="200"/>
        <w:jc w:val="center"/>
        <w:rPr>
          <w:rFonts w:hAnsi="宋体" w:cs="宋体"/>
          <w:color w:val="auto"/>
          <w:szCs w:val="24"/>
          <w:highlight w:val="none"/>
        </w:rPr>
      </w:pPr>
    </w:p>
    <w:p w14:paraId="6C1A006D">
      <w:pPr>
        <w:pStyle w:val="49"/>
        <w:widowControl w:val="0"/>
        <w:snapToGrid w:val="0"/>
        <w:spacing w:line="500" w:lineRule="exact"/>
        <w:ind w:firstLine="480" w:firstLineChars="200"/>
        <w:jc w:val="center"/>
        <w:rPr>
          <w:rFonts w:hAnsi="宋体" w:cs="宋体"/>
          <w:color w:val="auto"/>
          <w:sz w:val="24"/>
          <w:szCs w:val="24"/>
          <w:highlight w:val="none"/>
        </w:rPr>
      </w:pPr>
      <w:r>
        <w:rPr>
          <w:rFonts w:hAnsi="宋体" w:cs="宋体"/>
          <w:color w:val="auto"/>
          <w:szCs w:val="24"/>
          <w:highlight w:val="none"/>
        </w:rPr>
        <w:t xml:space="preserve"> 供应商代表签名：</w:t>
      </w:r>
      <w:r>
        <w:rPr>
          <w:rFonts w:hAnsi="宋体" w:cs="宋体"/>
          <w:color w:val="auto"/>
          <w:sz w:val="24"/>
          <w:szCs w:val="24"/>
          <w:highlight w:val="none"/>
        </w:rPr>
        <w:t xml:space="preserve">    </w:t>
      </w:r>
      <w:bookmarkEnd w:id="39"/>
      <w:bookmarkEnd w:id="40"/>
      <w:bookmarkEnd w:id="41"/>
    </w:p>
    <w:p w14:paraId="7AD0FCD0">
      <w:pPr>
        <w:pStyle w:val="49"/>
        <w:widowControl w:val="0"/>
        <w:snapToGrid w:val="0"/>
        <w:spacing w:line="500" w:lineRule="exact"/>
        <w:ind w:firstLine="480" w:firstLineChars="200"/>
        <w:jc w:val="center"/>
        <w:rPr>
          <w:rFonts w:hAnsi="宋体" w:cs="宋体"/>
          <w:color w:val="auto"/>
          <w:sz w:val="24"/>
          <w:szCs w:val="24"/>
          <w:highlight w:val="none"/>
        </w:rPr>
      </w:pPr>
    </w:p>
    <w:p w14:paraId="66C00616">
      <w:pPr>
        <w:pStyle w:val="49"/>
        <w:widowControl w:val="0"/>
        <w:snapToGrid w:val="0"/>
        <w:spacing w:line="500" w:lineRule="exact"/>
        <w:ind w:firstLine="480" w:firstLineChars="200"/>
        <w:jc w:val="center"/>
        <w:rPr>
          <w:rFonts w:hAnsi="宋体" w:cs="宋体"/>
          <w:color w:val="auto"/>
          <w:sz w:val="24"/>
          <w:szCs w:val="24"/>
          <w:highlight w:val="none"/>
        </w:rPr>
      </w:pPr>
    </w:p>
    <w:p w14:paraId="3D7B21AC">
      <w:pPr>
        <w:adjustRightInd w:val="0"/>
        <w:ind w:firstLine="0" w:firstLineChars="0"/>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E95D3E6">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bCs/>
          <w:color w:val="auto"/>
          <w:sz w:val="24"/>
          <w:szCs w:val="24"/>
          <w:highlight w:val="none"/>
        </w:rPr>
      </w:pPr>
      <w:r>
        <w:rPr>
          <w:rFonts w:hint="eastAsia" w:ascii="仿宋" w:hAnsi="仿宋" w:eastAsia="仿宋" w:cs="仿宋"/>
          <w:bCs/>
          <w:color w:val="auto"/>
          <w:sz w:val="24"/>
          <w:szCs w:val="24"/>
          <w:highlight w:val="none"/>
        </w:rPr>
        <w:t>一、</w:t>
      </w:r>
      <w:r>
        <w:rPr>
          <w:rFonts w:hint="eastAsia" w:ascii="宋体" w:hAnsi="宋体" w:eastAsia="宋体" w:cs="宋体"/>
          <w:bCs/>
          <w:color w:val="auto"/>
          <w:sz w:val="24"/>
          <w:szCs w:val="24"/>
          <w:highlight w:val="none"/>
        </w:rPr>
        <w:t>质疑供应商基本信息</w:t>
      </w:r>
    </w:p>
    <w:p w14:paraId="463B2D01">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p>
    <w:p w14:paraId="4F7EA8AD">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地址：邮编：</w:t>
      </w:r>
    </w:p>
    <w:p w14:paraId="50BDCC7F">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联系人：联系电话：</w:t>
      </w:r>
    </w:p>
    <w:p w14:paraId="4384AD40">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p>
    <w:p w14:paraId="0340C4FE">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p w14:paraId="77AA1EF7">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地址：邮编：</w:t>
      </w:r>
    </w:p>
    <w:p w14:paraId="0E62CBCB">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23F24AAC">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p>
    <w:p w14:paraId="26305C1E">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质疑项目的编号：包号：</w:t>
      </w:r>
    </w:p>
    <w:p w14:paraId="4DCF9EC4">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采购人名称：</w:t>
      </w:r>
    </w:p>
    <w:p w14:paraId="3CC7636F">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采购文件获取日期：</w:t>
      </w:r>
    </w:p>
    <w:p w14:paraId="7D47759E">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62961BC8">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p>
    <w:p w14:paraId="4D9C49CC">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p>
    <w:p w14:paraId="56FBAE92">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法律依据：</w:t>
      </w:r>
    </w:p>
    <w:p w14:paraId="0FD78A17">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48ADC25C">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06C17E19">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5640FB30">
      <w:pPr>
        <w:keepNext w:val="0"/>
        <w:keepLines w:val="0"/>
        <w:pageBreakBefore w:val="0"/>
        <w:kinsoku/>
        <w:wordWrap/>
        <w:overflowPunct/>
        <w:topLinePunct w:val="0"/>
        <w:autoSpaceDE/>
        <w:autoSpaceDN/>
        <w:bidi w:val="0"/>
        <w:adjustRightInd w:val="0"/>
        <w:snapToGrid w:val="0"/>
        <w:spacing w:line="400" w:lineRule="exact"/>
        <w:ind w:firstLine="0" w:firstLine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请求：</w:t>
      </w:r>
    </w:p>
    <w:p w14:paraId="36CA3048">
      <w:pPr>
        <w:keepNext w:val="0"/>
        <w:keepLines w:val="0"/>
        <w:pageBreakBefore w:val="0"/>
        <w:kinsoku/>
        <w:wordWrap/>
        <w:overflowPunct/>
        <w:topLinePunct w:val="0"/>
        <w:autoSpaceDE/>
        <w:autoSpaceDN/>
        <w:bidi w:val="0"/>
        <w:adjustRightInd w:val="0"/>
        <w:spacing w:line="40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签字(签章)：公章：</w:t>
      </w:r>
    </w:p>
    <w:p w14:paraId="5A6781B8">
      <w:pPr>
        <w:keepNext w:val="0"/>
        <w:keepLines w:val="0"/>
        <w:pageBreakBefore w:val="0"/>
        <w:kinsoku/>
        <w:wordWrap/>
        <w:overflowPunct/>
        <w:topLinePunct w:val="0"/>
        <w:autoSpaceDE/>
        <w:autoSpaceDN/>
        <w:bidi w:val="0"/>
        <w:adjustRightInd w:val="0"/>
        <w:spacing w:line="40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日期：</w:t>
      </w:r>
    </w:p>
    <w:p w14:paraId="1A99514D">
      <w:pPr>
        <w:keepNext w:val="0"/>
        <w:keepLines w:val="0"/>
        <w:pageBreakBefore w:val="0"/>
        <w:kinsoku/>
        <w:wordWrap/>
        <w:overflowPunct/>
        <w:topLinePunct w:val="0"/>
        <w:autoSpaceDE/>
        <w:autoSpaceDN/>
        <w:bidi w:val="0"/>
        <w:adjustRightInd w:val="0"/>
        <w:spacing w:line="400" w:lineRule="exact"/>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1D439CAD">
      <w:pPr>
        <w:keepNext w:val="0"/>
        <w:keepLines w:val="0"/>
        <w:pageBreakBefore w:val="0"/>
        <w:widowControl/>
        <w:kinsoku/>
        <w:wordWrap/>
        <w:overflowPunct/>
        <w:topLinePunct w:val="0"/>
        <w:autoSpaceDE/>
        <w:autoSpaceDN/>
        <w:bidi w:val="0"/>
        <w:adjustRightInd w:val="0"/>
        <w:spacing w:line="40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5D3B772C">
      <w:pPr>
        <w:keepNext w:val="0"/>
        <w:keepLines w:val="0"/>
        <w:pageBreakBefore w:val="0"/>
        <w:widowControl/>
        <w:kinsoku/>
        <w:wordWrap/>
        <w:overflowPunct/>
        <w:topLinePunct w:val="0"/>
        <w:autoSpaceDE/>
        <w:autoSpaceDN/>
        <w:bidi w:val="0"/>
        <w:adjustRightInd w:val="0"/>
        <w:spacing w:line="40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2ECCF913">
      <w:pPr>
        <w:keepNext w:val="0"/>
        <w:keepLines w:val="0"/>
        <w:pageBreakBefore w:val="0"/>
        <w:widowControl/>
        <w:kinsoku/>
        <w:wordWrap/>
        <w:overflowPunct/>
        <w:topLinePunct w:val="0"/>
        <w:autoSpaceDE/>
        <w:autoSpaceDN/>
        <w:bidi w:val="0"/>
        <w:adjustRightInd w:val="0"/>
        <w:spacing w:line="40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3.质疑供应商若对项目的某一分包进行质疑，质疑函中应列明具体分包号。</w:t>
      </w:r>
    </w:p>
    <w:p w14:paraId="3C8CEFF6">
      <w:pPr>
        <w:keepNext w:val="0"/>
        <w:keepLines w:val="0"/>
        <w:pageBreakBefore w:val="0"/>
        <w:widowControl/>
        <w:kinsoku/>
        <w:wordWrap/>
        <w:overflowPunct/>
        <w:topLinePunct w:val="0"/>
        <w:autoSpaceDE/>
        <w:autoSpaceDN/>
        <w:bidi w:val="0"/>
        <w:adjustRightInd w:val="0"/>
        <w:spacing w:line="40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78A58D50">
      <w:pPr>
        <w:keepNext w:val="0"/>
        <w:keepLines w:val="0"/>
        <w:pageBreakBefore w:val="0"/>
        <w:widowControl/>
        <w:kinsoku/>
        <w:wordWrap/>
        <w:overflowPunct/>
        <w:topLinePunct w:val="0"/>
        <w:autoSpaceDE/>
        <w:autoSpaceDN/>
        <w:bidi w:val="0"/>
        <w:adjustRightInd w:val="0"/>
        <w:spacing w:line="400" w:lineRule="exact"/>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24E4DE16">
      <w:pPr>
        <w:keepNext w:val="0"/>
        <w:keepLines w:val="0"/>
        <w:pageBreakBefore w:val="0"/>
        <w:widowControl/>
        <w:kinsoku/>
        <w:wordWrap/>
        <w:overflowPunct/>
        <w:topLinePunct w:val="0"/>
        <w:autoSpaceDE/>
        <w:autoSpaceDN/>
        <w:bidi w:val="0"/>
        <w:adjustRightInd w:val="0"/>
        <w:spacing w:line="400" w:lineRule="exact"/>
        <w:ind w:firstLine="480"/>
        <w:jc w:val="left"/>
        <w:textAlignment w:val="auto"/>
        <w:rPr>
          <w:rFonts w:hAnsi="宋体" w:cs="宋体"/>
          <w:color w:val="auto"/>
          <w:sz w:val="24"/>
          <w:szCs w:val="24"/>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r>
        <w:rPr>
          <w:rFonts w:hAnsi="宋体" w:cs="宋体"/>
          <w:color w:val="auto"/>
          <w:sz w:val="24"/>
          <w:szCs w:val="24"/>
          <w:highlight w:val="none"/>
        </w:rPr>
        <w:t xml:space="preserve">    </w:t>
      </w:r>
    </w:p>
    <w:p w14:paraId="17C64C1B">
      <w:pPr>
        <w:pStyle w:val="40"/>
        <w:rPr>
          <w:rFonts w:hAnsi="宋体" w:cs="宋体"/>
          <w:color w:val="auto"/>
          <w:sz w:val="24"/>
          <w:szCs w:val="24"/>
          <w:highlight w:val="none"/>
        </w:rPr>
      </w:pPr>
    </w:p>
    <w:p w14:paraId="1BFF1721">
      <w:pPr>
        <w:pStyle w:val="41"/>
        <w:rPr>
          <w:rFonts w:hAnsi="宋体" w:cs="宋体"/>
          <w:color w:val="auto"/>
          <w:sz w:val="24"/>
          <w:szCs w:val="24"/>
          <w:highlight w:val="none"/>
        </w:rPr>
      </w:pPr>
    </w:p>
    <w:p w14:paraId="3A626465">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301E97D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一、投诉相关主体基本情况</w:t>
      </w:r>
    </w:p>
    <w:p w14:paraId="535D800B">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w:t>
      </w:r>
      <w:r>
        <w:rPr>
          <w:rFonts w:hint="eastAsia" w:ascii="宋体" w:hAnsi="宋体" w:eastAsia="宋体" w:cs="宋体"/>
          <w:color w:val="auto"/>
          <w:sz w:val="24"/>
          <w:highlight w:val="none"/>
          <w:u w:val="dotted"/>
        </w:rPr>
        <w:t xml:space="preserve">                                               </w:t>
      </w:r>
    </w:p>
    <w:p w14:paraId="5B9BF440">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A58D24E">
      <w:pPr>
        <w:tabs>
          <w:tab w:val="left" w:pos="6510"/>
        </w:tabs>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法定代表人/主要负责人：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464A02FA">
      <w:pPr>
        <w:tabs>
          <w:tab w:val="left" w:pos="6510"/>
        </w:tabs>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46D61C9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授权代表：</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p>
    <w:p w14:paraId="0B72628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dotted"/>
        </w:rPr>
        <w:t xml:space="preserve">                   </w:t>
      </w:r>
    </w:p>
    <w:p w14:paraId="41B0D93D">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被投诉人1：</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66BF66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0A9F6D0B">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2E31EEC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被投诉人2</w:t>
      </w:r>
    </w:p>
    <w:p w14:paraId="16F4AAF8">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10E755A7">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相关供应商：</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63B976B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邮编：</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54D91132">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36D48EF0">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二、投诉项目基本情况</w:t>
      </w:r>
    </w:p>
    <w:p w14:paraId="537CAD08">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采购项目名称：</w:t>
      </w:r>
      <w:r>
        <w:rPr>
          <w:rFonts w:hint="eastAsia" w:ascii="宋体" w:hAnsi="宋体" w:eastAsia="宋体" w:cs="宋体"/>
          <w:color w:val="auto"/>
          <w:sz w:val="24"/>
          <w:highlight w:val="none"/>
          <w:u w:val="dotted"/>
        </w:rPr>
        <w:t xml:space="preserve">                                        </w:t>
      </w:r>
    </w:p>
    <w:p w14:paraId="64D930B4">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采购项目编号：</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包号：</w:t>
      </w:r>
      <w:r>
        <w:rPr>
          <w:rFonts w:hint="eastAsia" w:ascii="宋体" w:hAnsi="宋体" w:eastAsia="宋体" w:cs="宋体"/>
          <w:color w:val="auto"/>
          <w:sz w:val="24"/>
          <w:highlight w:val="none"/>
          <w:u w:val="dotted"/>
        </w:rPr>
        <w:t xml:space="preserve">              </w:t>
      </w:r>
    </w:p>
    <w:p w14:paraId="77FB445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采购人名称：</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u w:val="single"/>
        </w:rPr>
        <w:t xml:space="preserve">  </w:t>
      </w:r>
    </w:p>
    <w:p w14:paraId="3D2F66D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代理机构名称：</w:t>
      </w:r>
      <w:r>
        <w:rPr>
          <w:rFonts w:hint="eastAsia" w:ascii="宋体" w:hAnsi="宋体" w:eastAsia="宋体" w:cs="宋体"/>
          <w:color w:val="auto"/>
          <w:sz w:val="24"/>
          <w:highlight w:val="none"/>
          <w:u w:val="dotted"/>
        </w:rPr>
        <w:t xml:space="preserve">                                         </w:t>
      </w:r>
    </w:p>
    <w:p w14:paraId="593A75C4">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采购文件公告: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694AE419">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采购结果公告:</w:t>
      </w:r>
      <w:r>
        <w:rPr>
          <w:rFonts w:hint="eastAsia" w:ascii="宋体" w:hAnsi="宋体" w:eastAsia="宋体" w:cs="宋体"/>
          <w:color w:val="auto"/>
          <w:sz w:val="24"/>
          <w:highlight w:val="none"/>
          <w:u w:val="dotted"/>
        </w:rPr>
        <w:t xml:space="preserve">是/否 </w:t>
      </w:r>
      <w:r>
        <w:rPr>
          <w:rFonts w:hint="eastAsia" w:ascii="宋体" w:hAnsi="宋体" w:eastAsia="宋体" w:cs="宋体"/>
          <w:color w:val="auto"/>
          <w:sz w:val="24"/>
          <w:highlight w:val="none"/>
        </w:rPr>
        <w:t>公告期限：</w:t>
      </w:r>
      <w:r>
        <w:rPr>
          <w:rFonts w:hint="eastAsia" w:ascii="宋体" w:hAnsi="宋体" w:eastAsia="宋体" w:cs="宋体"/>
          <w:color w:val="auto"/>
          <w:sz w:val="24"/>
          <w:highlight w:val="none"/>
          <w:u w:val="dotted"/>
        </w:rPr>
        <w:t xml:space="preserve">                        </w:t>
      </w:r>
    </w:p>
    <w:p w14:paraId="65E8221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三、质疑基本情况</w:t>
      </w:r>
    </w:p>
    <w:p w14:paraId="72558A7A">
      <w:pPr>
        <w:spacing w:line="360" w:lineRule="auto"/>
        <w:ind w:firstLine="480" w:firstLineChars="200"/>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投诉人于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日,向</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提出质疑，质疑事项为：</w:t>
      </w:r>
      <w:r>
        <w:rPr>
          <w:rFonts w:hint="eastAsia" w:ascii="宋体" w:hAnsi="宋体" w:eastAsia="宋体" w:cs="宋体"/>
          <w:color w:val="auto"/>
          <w:sz w:val="24"/>
          <w:highlight w:val="none"/>
          <w:u w:val="dotted"/>
        </w:rPr>
        <w:t xml:space="preserve">                                </w:t>
      </w:r>
    </w:p>
    <w:p w14:paraId="67A032A2">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7A1C88BC">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u w:val="dotted"/>
        </w:rPr>
        <w:t>采购人/代理机构</w:t>
      </w:r>
      <w:r>
        <w:rPr>
          <w:rFonts w:hint="eastAsia" w:ascii="宋体" w:hAnsi="宋体" w:eastAsia="宋体" w:cs="宋体"/>
          <w:color w:val="auto"/>
          <w:sz w:val="24"/>
          <w:highlight w:val="none"/>
        </w:rPr>
        <w:t>于</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日,就质疑事项作出了答复/没有在法定期限内作出答复。</w:t>
      </w:r>
    </w:p>
    <w:p w14:paraId="6C63262F">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四、投诉事项具体内容</w:t>
      </w:r>
    </w:p>
    <w:p w14:paraId="142DF748">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投诉事项 1：</w:t>
      </w:r>
      <w:r>
        <w:rPr>
          <w:rFonts w:hint="eastAsia" w:ascii="宋体" w:hAnsi="宋体" w:eastAsia="宋体" w:cs="宋体"/>
          <w:color w:val="auto"/>
          <w:sz w:val="24"/>
          <w:highlight w:val="none"/>
          <w:u w:val="dotted"/>
        </w:rPr>
        <w:t xml:space="preserve">                                       </w:t>
      </w:r>
    </w:p>
    <w:p w14:paraId="6269E6C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事实依据：</w:t>
      </w:r>
      <w:r>
        <w:rPr>
          <w:rFonts w:hint="eastAsia" w:ascii="宋体" w:hAnsi="宋体" w:eastAsia="宋体" w:cs="宋体"/>
          <w:color w:val="auto"/>
          <w:sz w:val="24"/>
          <w:highlight w:val="none"/>
          <w:u w:val="dotted"/>
        </w:rPr>
        <w:t xml:space="preserve">                                         </w:t>
      </w:r>
    </w:p>
    <w:p w14:paraId="4E8FFF00">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3C29E1CF">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法律依据：</w:t>
      </w:r>
      <w:r>
        <w:rPr>
          <w:rFonts w:hint="eastAsia" w:ascii="宋体" w:hAnsi="宋体" w:eastAsia="宋体" w:cs="宋体"/>
          <w:color w:val="auto"/>
          <w:sz w:val="24"/>
          <w:highlight w:val="none"/>
          <w:u w:val="dotted"/>
        </w:rPr>
        <w:t xml:space="preserve">                                          </w:t>
      </w:r>
    </w:p>
    <w:p w14:paraId="41BC4378">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u w:val="dotted"/>
        </w:rPr>
        <w:t xml:space="preserve">                                                      </w:t>
      </w:r>
    </w:p>
    <w:p w14:paraId="6236F71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投诉事项2</w:t>
      </w:r>
    </w:p>
    <w:p w14:paraId="1E8019CF">
      <w:pPr>
        <w:spacing w:line="360" w:lineRule="auto"/>
        <w:rPr>
          <w:rFonts w:hint="eastAsia" w:ascii="宋体" w:hAnsi="宋体" w:eastAsia="宋体" w:cs="宋体"/>
          <w:color w:val="auto"/>
          <w:sz w:val="24"/>
          <w:highlight w:val="none"/>
          <w:u w:val="dotted"/>
        </w:rPr>
      </w:pPr>
      <w:r>
        <w:rPr>
          <w:rFonts w:hint="eastAsia" w:ascii="宋体" w:hAnsi="宋体" w:eastAsia="宋体" w:cs="宋体"/>
          <w:color w:val="auto"/>
          <w:sz w:val="24"/>
          <w:highlight w:val="none"/>
        </w:rPr>
        <w:t>……</w:t>
      </w:r>
    </w:p>
    <w:p w14:paraId="6D48D1D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五、与投诉事项相关的投诉请求</w:t>
      </w:r>
    </w:p>
    <w:p w14:paraId="1ADDF63B">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请求：</w:t>
      </w:r>
      <w:r>
        <w:rPr>
          <w:rFonts w:hint="eastAsia" w:ascii="宋体" w:hAnsi="宋体" w:eastAsia="宋体" w:cs="宋体"/>
          <w:color w:val="auto"/>
          <w:sz w:val="24"/>
          <w:highlight w:val="none"/>
          <w:u w:val="dotted"/>
        </w:rPr>
        <w:t xml:space="preserve">                                              </w:t>
      </w:r>
      <w:r>
        <w:rPr>
          <w:rFonts w:hint="eastAsia" w:ascii="宋体" w:hAnsi="宋体" w:eastAsia="宋体" w:cs="宋体"/>
          <w:color w:val="auto"/>
          <w:sz w:val="24"/>
          <w:highlight w:val="none"/>
        </w:rPr>
        <w:t xml:space="preserve"> </w:t>
      </w:r>
    </w:p>
    <w:p w14:paraId="68C3BFDC">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p w14:paraId="2D80FAE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签字(签章)：                   公章：                      </w:t>
      </w:r>
    </w:p>
    <w:p w14:paraId="46870F4E">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14:paraId="2D107B77">
      <w:pPr>
        <w:spacing w:line="360" w:lineRule="auto"/>
        <w:rPr>
          <w:rFonts w:hint="eastAsia" w:ascii="宋体" w:hAnsi="宋体" w:eastAsia="宋体" w:cs="宋体"/>
          <w:b/>
          <w:color w:val="auto"/>
          <w:sz w:val="24"/>
          <w:highlight w:val="none"/>
        </w:rPr>
      </w:pPr>
    </w:p>
    <w:p w14:paraId="22FBCEC3">
      <w:pPr>
        <w:spacing w:line="360" w:lineRule="auto"/>
        <w:rPr>
          <w:rFonts w:hint="eastAsia" w:ascii="宋体" w:hAnsi="宋体" w:eastAsia="宋体" w:cs="宋体"/>
          <w:b/>
          <w:color w:val="auto"/>
          <w:sz w:val="24"/>
          <w:highlight w:val="none"/>
        </w:rPr>
      </w:pPr>
    </w:p>
    <w:p w14:paraId="6DBE59C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249DA802">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2CB79079">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3DF856CA">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241800FF">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16FDF79D">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716FFF4E">
      <w:pPr>
        <w:widowControl/>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24722333">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BC6A1EC">
      <w:pPr>
        <w:rPr>
          <w:rFonts w:hint="eastAsia" w:ascii="宋体" w:hAnsi="宋体" w:eastAsia="宋体" w:cs="宋体"/>
          <w:color w:val="auto"/>
          <w:highlight w:val="none"/>
        </w:rPr>
      </w:pPr>
    </w:p>
    <w:p w14:paraId="312E451C">
      <w:pPr>
        <w:pStyle w:val="49"/>
        <w:widowControl w:val="0"/>
        <w:snapToGrid w:val="0"/>
        <w:spacing w:line="500" w:lineRule="exact"/>
        <w:ind w:firstLine="480" w:firstLineChars="200"/>
        <w:jc w:val="center"/>
        <w:rPr>
          <w:rFonts w:hAnsi="宋体" w:cs="宋体"/>
          <w:color w:val="auto"/>
          <w:sz w:val="24"/>
          <w:szCs w:val="24"/>
          <w:highlight w:val="none"/>
        </w:rPr>
      </w:pPr>
    </w:p>
    <w:sectPr>
      <w:headerReference r:id="rId9" w:type="default"/>
      <w:footerReference r:id="rId10" w:type="default"/>
      <w:pgSz w:w="11906" w:h="16838"/>
      <w:pgMar w:top="1361" w:right="1289" w:bottom="1361" w:left="1570" w:header="851" w:footer="851"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00004FF" w:usb2="00000000" w:usb3="00000000" w:csb0="2000019F" w:csb1="00000000"/>
  </w:font>
  <w:font w:name="Arial Unicode MS">
    <w:panose1 w:val="020B0604020202020204"/>
    <w:charset w:val="86"/>
    <w:family w:val="swiss"/>
    <w:pitch w:val="default"/>
    <w:sig w:usb0="FFFFFFFF" w:usb1="E9FFFFFF" w:usb2="0000003F" w:usb3="00000000" w:csb0="603F01FF" w:csb1="FFFF0000"/>
  </w:font>
  <w:font w:name="??">
    <w:altName w:val="Tahoma"/>
    <w:panose1 w:val="00000000000000000000"/>
    <w:charset w:val="00"/>
    <w:family w:val="auto"/>
    <w:pitch w:val="default"/>
    <w:sig w:usb0="00000000" w:usb1="00000000" w:usb2="00000000" w:usb3="00000000" w:csb0="00000001" w:csb1="00000000"/>
  </w:font>
  <w:font w:name="Tahoma">
    <w:panose1 w:val="020B0604030504040204"/>
    <w:charset w:val="00"/>
    <w:family w:val="auto"/>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Helvetica">
    <w:altName w:val="Arial"/>
    <w:panose1 w:val="020B0504020202030204"/>
    <w:charset w:val="00"/>
    <w:family w:val="swiss"/>
    <w:pitch w:val="default"/>
    <w:sig w:usb0="00000000" w:usb1="00000000" w:usb2="00000000" w:usb3="00000000" w:csb0="00000093"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242E69">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E9203">
    <w:pPr>
      <w:pStyle w:val="20"/>
      <w:jc w:val="center"/>
      <w:rPr>
        <w:rFonts w:hint="default"/>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82021"/>
                            <w:docPartObj>
                              <w:docPartGallery w:val="autotext"/>
                            </w:docPartObj>
                          </w:sdtPr>
                          <w:sdtContent>
                            <w:p w14:paraId="29DBE061">
                              <w:pPr>
                                <w:pStyle w:val="20"/>
                                <w:jc w:val="center"/>
                              </w:pPr>
                              <w:r>
                                <w:fldChar w:fldCharType="begin"/>
                              </w:r>
                              <w:r>
                                <w:instrText xml:space="preserve"> PAGE   \* MERGEFORMAT </w:instrText>
                              </w:r>
                              <w:r>
                                <w:fldChar w:fldCharType="separate"/>
                              </w:r>
                              <w:r>
                                <w:rPr>
                                  <w:lang w:val="zh-CN"/>
                                </w:rPr>
                                <w:t>31</w:t>
                              </w:r>
                              <w:r>
                                <w:rPr>
                                  <w:lang w:val="zh-CN"/>
                                </w:rPr>
                                <w:fldChar w:fldCharType="end"/>
                              </w:r>
                            </w:p>
                          </w:sdtContent>
                        </w:sdt>
                        <w:p w14:paraId="3FC8BE51"/>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sdt>
                    <w:sdtPr>
                      <w:id w:val="147482021"/>
                      <w:docPartObj>
                        <w:docPartGallery w:val="autotext"/>
                      </w:docPartObj>
                    </w:sdtPr>
                    <w:sdtContent>
                      <w:p w14:paraId="29DBE061">
                        <w:pPr>
                          <w:pStyle w:val="20"/>
                          <w:jc w:val="center"/>
                        </w:pPr>
                        <w:r>
                          <w:fldChar w:fldCharType="begin"/>
                        </w:r>
                        <w:r>
                          <w:instrText xml:space="preserve"> PAGE   \* MERGEFORMAT </w:instrText>
                        </w:r>
                        <w:r>
                          <w:fldChar w:fldCharType="separate"/>
                        </w:r>
                        <w:r>
                          <w:rPr>
                            <w:lang w:val="zh-CN"/>
                          </w:rPr>
                          <w:t>31</w:t>
                        </w:r>
                        <w:r>
                          <w:rPr>
                            <w:lang w:val="zh-CN"/>
                          </w:rPr>
                          <w:fldChar w:fldCharType="end"/>
                        </w:r>
                      </w:p>
                    </w:sdtContent>
                  </w:sdt>
                  <w:p w14:paraId="3FC8BE51"/>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FFFB59">
    <w:pPr>
      <w:pStyle w:val="2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3B72D8">
                          <w:pPr>
                            <w:pStyle w:val="20"/>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E3B72D8">
                    <w:pPr>
                      <w:pStyle w:val="20"/>
                    </w:pPr>
                    <w:r>
                      <w:fldChar w:fldCharType="begin"/>
                    </w:r>
                    <w:r>
                      <w:instrText xml:space="preserve"> PAGE  \* MERGEFORMAT </w:instrText>
                    </w:r>
                    <w:r>
                      <w:fldChar w:fldCharType="separate"/>
                    </w:r>
                    <w:r>
                      <w:t>23</w:t>
                    </w:r>
                    <w: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F05B873"/>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zZjXE5AgAAc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e2ta3Z1&#10;/wBzaFnY6HvLY5oolbfLfYC0SfEoUK8KOhUPmMTUs/PWxFH/85yiHv8p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PzZjXE5AgAAcQQAAA4AAAAAAAAAAQAgAAAAHwEAAGRycy9lMm9Eb2Mu&#10;eG1sUEsFBgAAAAAGAAYAWQEAAMoFAAAAAA==&#10;">
              <v:fill on="f" focussize="0,0"/>
              <v:stroke on="f" weight="0.5pt"/>
              <v:imagedata o:title=""/>
              <o:lock v:ext="edit" aspectratio="f"/>
              <v:textbox inset="0mm,0mm,0mm,0mm" style="mso-fit-shape-to-text:t;">
                <w:txbxContent>
                  <w:p w14:paraId="1F05B873"/>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927EE">
    <w:pPr>
      <w:pStyle w:val="2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56B4E5">
                          <w:pPr>
                            <w:pStyle w:val="20"/>
                          </w:pPr>
                          <w:r>
                            <w:t xml:space="preserve">第 </w:t>
                          </w:r>
                          <w:r>
                            <w:fldChar w:fldCharType="begin"/>
                          </w:r>
                          <w:r>
                            <w:instrText xml:space="preserve"> PAGE  \* MERGEFORMAT </w:instrText>
                          </w:r>
                          <w:r>
                            <w:fldChar w:fldCharType="separate"/>
                          </w:r>
                          <w:r>
                            <w:t>42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0956B4E5">
                    <w:pPr>
                      <w:pStyle w:val="20"/>
                    </w:pPr>
                    <w:r>
                      <w:t xml:space="preserve">第 </w:t>
                    </w:r>
                    <w:r>
                      <w:fldChar w:fldCharType="begin"/>
                    </w:r>
                    <w:r>
                      <w:instrText xml:space="preserve"> PAGE  \* MERGEFORMAT </w:instrText>
                    </w:r>
                    <w:r>
                      <w:fldChar w:fldCharType="separate"/>
                    </w:r>
                    <w:r>
                      <w:t>42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02FEAD">
    <w:pPr>
      <w:pStyle w:val="2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1115BC">
                          <w:pPr>
                            <w:pStyle w:val="20"/>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31115BC">
                    <w:pPr>
                      <w:pStyle w:val="20"/>
                    </w:pPr>
                    <w:r>
                      <w:fldChar w:fldCharType="begin"/>
                    </w:r>
                    <w:r>
                      <w:instrText xml:space="preserve"> PAGE  \* MERGEFORMAT </w:instrText>
                    </w:r>
                    <w:r>
                      <w:fldChar w:fldCharType="separate"/>
                    </w:r>
                    <w:r>
                      <w:t>23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26ECB">
    <w:pPr>
      <w:pStyle w:val="21"/>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EF699">
    <w:pPr>
      <w:pStyle w:val="2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8DCD9">
    <w:pPr>
      <w:pStyle w:val="21"/>
      <w:widowControl w:val="0"/>
      <w:pBdr>
        <w:top w:val="none" w:color="auto" w:sz="0" w:space="1"/>
        <w:left w:val="none" w:color="auto" w:sz="0" w:space="4"/>
        <w:bottom w:val="none" w:color="auto" w:sz="0" w:space="1"/>
        <w:right w:val="none" w:color="auto" w:sz="0" w:space="4"/>
        <w:between w:val="none" w:color="auto" w:sz="0" w:space="0"/>
      </w:pBdr>
      <w:snapToGrid w:val="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31DEDF"/>
    <w:multiLevelType w:val="multilevel"/>
    <w:tmpl w:val="A731DEDF"/>
    <w:lvl w:ilvl="0" w:tentative="0">
      <w:start w:val="4"/>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D16E957A"/>
    <w:multiLevelType w:val="singleLevel"/>
    <w:tmpl w:val="D16E957A"/>
    <w:lvl w:ilvl="0" w:tentative="0">
      <w:start w:val="1"/>
      <w:numFmt w:val="decimal"/>
      <w:lvlText w:val="%1."/>
      <w:lvlJc w:val="left"/>
      <w:pPr>
        <w:tabs>
          <w:tab w:val="left" w:pos="312"/>
        </w:tabs>
      </w:pPr>
    </w:lvl>
  </w:abstractNum>
  <w:abstractNum w:abstractNumId="2">
    <w:nsid w:val="FDBDBD64"/>
    <w:multiLevelType w:val="singleLevel"/>
    <w:tmpl w:val="FDBDBD64"/>
    <w:lvl w:ilvl="0" w:tentative="0">
      <w:start w:val="1"/>
      <w:numFmt w:val="decimal"/>
      <w:pStyle w:val="15"/>
      <w:lvlText w:val="%1."/>
      <w:lvlJc w:val="left"/>
      <w:pPr>
        <w:tabs>
          <w:tab w:val="left" w:pos="1200"/>
        </w:tabs>
        <w:ind w:left="1200" w:hanging="360"/>
      </w:pPr>
    </w:lvl>
  </w:abstractNum>
  <w:abstractNum w:abstractNumId="3">
    <w:nsid w:val="FFFFFF88"/>
    <w:multiLevelType w:val="singleLevel"/>
    <w:tmpl w:val="FFFFFF88"/>
    <w:lvl w:ilvl="0" w:tentative="0">
      <w:start w:val="1"/>
      <w:numFmt w:val="decimal"/>
      <w:pStyle w:val="9"/>
      <w:lvlText w:val="%1."/>
      <w:lvlJc w:val="left"/>
      <w:pPr>
        <w:tabs>
          <w:tab w:val="left" w:pos="360"/>
        </w:tabs>
        <w:ind w:left="360" w:hanging="360" w:hangingChars="200"/>
      </w:pPr>
    </w:lvl>
  </w:abstractNum>
  <w:abstractNum w:abstractNumId="4">
    <w:nsid w:val="00000000"/>
    <w:multiLevelType w:val="singleLevel"/>
    <w:tmpl w:val="00000000"/>
    <w:lvl w:ilvl="0" w:tentative="0">
      <w:start w:val="1"/>
      <w:numFmt w:val="decimal"/>
      <w:suff w:val="nothing"/>
      <w:lvlText w:val="（%1）"/>
      <w:lvlJc w:val="left"/>
    </w:lvl>
  </w:abstractNum>
  <w:abstractNum w:abstractNumId="5">
    <w:nsid w:val="37DF4A40"/>
    <w:multiLevelType w:val="singleLevel"/>
    <w:tmpl w:val="37DF4A40"/>
    <w:lvl w:ilvl="0" w:tentative="0">
      <w:start w:val="1"/>
      <w:numFmt w:val="decimal"/>
      <w:pStyle w:val="7"/>
      <w:lvlText w:val="%1."/>
      <w:lvlJc w:val="left"/>
      <w:pPr>
        <w:tabs>
          <w:tab w:val="left" w:pos="780"/>
        </w:tabs>
        <w:ind w:left="780" w:hanging="360"/>
      </w:pPr>
    </w:lvl>
  </w:abstractNum>
  <w:abstractNum w:abstractNumId="6">
    <w:nsid w:val="54F403B5"/>
    <w:multiLevelType w:val="singleLevel"/>
    <w:tmpl w:val="54F403B5"/>
    <w:lvl w:ilvl="0" w:tentative="0">
      <w:start w:val="1"/>
      <w:numFmt w:val="chineseCounting"/>
      <w:suff w:val="nothing"/>
      <w:lvlText w:val="%1、"/>
      <w:lvlJc w:val="left"/>
    </w:lvl>
  </w:abstractNum>
  <w:abstractNum w:abstractNumId="7">
    <w:nsid w:val="557FD3DA"/>
    <w:multiLevelType w:val="singleLevel"/>
    <w:tmpl w:val="557FD3DA"/>
    <w:lvl w:ilvl="0" w:tentative="0">
      <w:start w:val="3"/>
      <w:numFmt w:val="chineseCounting"/>
      <w:suff w:val="nothing"/>
      <w:lvlText w:val="%1、"/>
      <w:lvlJc w:val="left"/>
    </w:lvl>
  </w:abstractNum>
  <w:abstractNum w:abstractNumId="8">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5"/>
  </w:num>
  <w:num w:numId="2">
    <w:abstractNumId w:val="3"/>
  </w:num>
  <w:num w:numId="3">
    <w:abstractNumId w:val="2"/>
  </w:num>
  <w:num w:numId="4">
    <w:abstractNumId w:val="1"/>
  </w:num>
  <w:num w:numId="5">
    <w:abstractNumId w:val="0"/>
  </w:num>
  <w:num w:numId="6">
    <w:abstractNumId w:val="8"/>
  </w:num>
  <w:num w:numId="7">
    <w:abstractNumId w:val="4"/>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4MWM1NjljYzJjZWFmZjIwZDE3ODM5ZjAwOTk3OGQifQ=="/>
  </w:docVars>
  <w:rsids>
    <w:rsidRoot w:val="00013255"/>
    <w:rsid w:val="00013255"/>
    <w:rsid w:val="000166EB"/>
    <w:rsid w:val="000177AC"/>
    <w:rsid w:val="00027CDF"/>
    <w:rsid w:val="00031F0D"/>
    <w:rsid w:val="00043144"/>
    <w:rsid w:val="0006409E"/>
    <w:rsid w:val="00086AAA"/>
    <w:rsid w:val="000943F3"/>
    <w:rsid w:val="000973F2"/>
    <w:rsid w:val="000B50C7"/>
    <w:rsid w:val="000C40D6"/>
    <w:rsid w:val="000D068E"/>
    <w:rsid w:val="000E6478"/>
    <w:rsid w:val="000E675B"/>
    <w:rsid w:val="000F4900"/>
    <w:rsid w:val="00102456"/>
    <w:rsid w:val="00102B2E"/>
    <w:rsid w:val="001030B5"/>
    <w:rsid w:val="00104201"/>
    <w:rsid w:val="00105D32"/>
    <w:rsid w:val="00110BBD"/>
    <w:rsid w:val="00115618"/>
    <w:rsid w:val="00123322"/>
    <w:rsid w:val="001317C1"/>
    <w:rsid w:val="00137B84"/>
    <w:rsid w:val="00154675"/>
    <w:rsid w:val="00162152"/>
    <w:rsid w:val="00166961"/>
    <w:rsid w:val="00172E78"/>
    <w:rsid w:val="001746B3"/>
    <w:rsid w:val="0018391E"/>
    <w:rsid w:val="00186BF0"/>
    <w:rsid w:val="001A3BFF"/>
    <w:rsid w:val="001A4F04"/>
    <w:rsid w:val="001A5B05"/>
    <w:rsid w:val="001C21D2"/>
    <w:rsid w:val="001D18AB"/>
    <w:rsid w:val="001D1961"/>
    <w:rsid w:val="001F18E2"/>
    <w:rsid w:val="001F290D"/>
    <w:rsid w:val="001F3B77"/>
    <w:rsid w:val="00203F43"/>
    <w:rsid w:val="00204F87"/>
    <w:rsid w:val="00215AA4"/>
    <w:rsid w:val="00216F62"/>
    <w:rsid w:val="00236524"/>
    <w:rsid w:val="00242DD9"/>
    <w:rsid w:val="00247EB6"/>
    <w:rsid w:val="00252247"/>
    <w:rsid w:val="00254D60"/>
    <w:rsid w:val="0025786A"/>
    <w:rsid w:val="00262733"/>
    <w:rsid w:val="00270620"/>
    <w:rsid w:val="00270BB0"/>
    <w:rsid w:val="00273880"/>
    <w:rsid w:val="00285358"/>
    <w:rsid w:val="0029345F"/>
    <w:rsid w:val="002A0D94"/>
    <w:rsid w:val="002C0859"/>
    <w:rsid w:val="002C2CAD"/>
    <w:rsid w:val="002E2146"/>
    <w:rsid w:val="002E59DF"/>
    <w:rsid w:val="00303F39"/>
    <w:rsid w:val="0031380D"/>
    <w:rsid w:val="00320871"/>
    <w:rsid w:val="00323BD2"/>
    <w:rsid w:val="00363D1B"/>
    <w:rsid w:val="00386EBE"/>
    <w:rsid w:val="00387933"/>
    <w:rsid w:val="00387BC4"/>
    <w:rsid w:val="003A2D9E"/>
    <w:rsid w:val="003A4DB8"/>
    <w:rsid w:val="003A5417"/>
    <w:rsid w:val="003B3EF0"/>
    <w:rsid w:val="003D5573"/>
    <w:rsid w:val="003E4683"/>
    <w:rsid w:val="00446222"/>
    <w:rsid w:val="00455712"/>
    <w:rsid w:val="00461122"/>
    <w:rsid w:val="00462249"/>
    <w:rsid w:val="004B2B21"/>
    <w:rsid w:val="004B3192"/>
    <w:rsid w:val="004B7001"/>
    <w:rsid w:val="004D4BD3"/>
    <w:rsid w:val="004D65B1"/>
    <w:rsid w:val="004D6899"/>
    <w:rsid w:val="004E2A2C"/>
    <w:rsid w:val="004F7CEB"/>
    <w:rsid w:val="00500CBB"/>
    <w:rsid w:val="00502095"/>
    <w:rsid w:val="005221C7"/>
    <w:rsid w:val="00535E7A"/>
    <w:rsid w:val="0054088A"/>
    <w:rsid w:val="0054524C"/>
    <w:rsid w:val="00556BCB"/>
    <w:rsid w:val="005663A5"/>
    <w:rsid w:val="005A28DD"/>
    <w:rsid w:val="005A42FA"/>
    <w:rsid w:val="005A503E"/>
    <w:rsid w:val="005C1676"/>
    <w:rsid w:val="005C76BB"/>
    <w:rsid w:val="005D21B5"/>
    <w:rsid w:val="005D4380"/>
    <w:rsid w:val="005E1CD9"/>
    <w:rsid w:val="005E6636"/>
    <w:rsid w:val="005E7B2B"/>
    <w:rsid w:val="006046E5"/>
    <w:rsid w:val="00612384"/>
    <w:rsid w:val="0061264F"/>
    <w:rsid w:val="006217BC"/>
    <w:rsid w:val="00637476"/>
    <w:rsid w:val="00641E35"/>
    <w:rsid w:val="006474C9"/>
    <w:rsid w:val="0065211C"/>
    <w:rsid w:val="006554EE"/>
    <w:rsid w:val="0066601C"/>
    <w:rsid w:val="0066795B"/>
    <w:rsid w:val="006872D9"/>
    <w:rsid w:val="006D15A9"/>
    <w:rsid w:val="006D1CB4"/>
    <w:rsid w:val="006D1E21"/>
    <w:rsid w:val="006D5CC9"/>
    <w:rsid w:val="006E0C85"/>
    <w:rsid w:val="006E12E4"/>
    <w:rsid w:val="006E4A62"/>
    <w:rsid w:val="006E6927"/>
    <w:rsid w:val="006E6D7B"/>
    <w:rsid w:val="00717CE8"/>
    <w:rsid w:val="00737E1D"/>
    <w:rsid w:val="00740C9B"/>
    <w:rsid w:val="00745795"/>
    <w:rsid w:val="007526DE"/>
    <w:rsid w:val="00755EEF"/>
    <w:rsid w:val="007646C7"/>
    <w:rsid w:val="007701B1"/>
    <w:rsid w:val="007736D2"/>
    <w:rsid w:val="00797432"/>
    <w:rsid w:val="007C1215"/>
    <w:rsid w:val="007C14C1"/>
    <w:rsid w:val="007C2628"/>
    <w:rsid w:val="007C5513"/>
    <w:rsid w:val="007D637E"/>
    <w:rsid w:val="007F178D"/>
    <w:rsid w:val="00810F15"/>
    <w:rsid w:val="00837BC8"/>
    <w:rsid w:val="00857E02"/>
    <w:rsid w:val="0088405E"/>
    <w:rsid w:val="00884A94"/>
    <w:rsid w:val="008906BF"/>
    <w:rsid w:val="008B5F98"/>
    <w:rsid w:val="008C2CD3"/>
    <w:rsid w:val="008E0C60"/>
    <w:rsid w:val="008E2A0E"/>
    <w:rsid w:val="008F3559"/>
    <w:rsid w:val="00931B9D"/>
    <w:rsid w:val="00950938"/>
    <w:rsid w:val="0099232E"/>
    <w:rsid w:val="009A2630"/>
    <w:rsid w:val="009A3274"/>
    <w:rsid w:val="009C0F8E"/>
    <w:rsid w:val="009C7398"/>
    <w:rsid w:val="009E3E84"/>
    <w:rsid w:val="009E41E4"/>
    <w:rsid w:val="009F2B74"/>
    <w:rsid w:val="00A316B4"/>
    <w:rsid w:val="00A35E4F"/>
    <w:rsid w:val="00A56502"/>
    <w:rsid w:val="00A63A56"/>
    <w:rsid w:val="00A775BA"/>
    <w:rsid w:val="00A77A87"/>
    <w:rsid w:val="00A8310F"/>
    <w:rsid w:val="00A95595"/>
    <w:rsid w:val="00A96843"/>
    <w:rsid w:val="00AA5080"/>
    <w:rsid w:val="00AC075E"/>
    <w:rsid w:val="00AE1E21"/>
    <w:rsid w:val="00AE2C9D"/>
    <w:rsid w:val="00AE448C"/>
    <w:rsid w:val="00AE51DC"/>
    <w:rsid w:val="00AE6FF9"/>
    <w:rsid w:val="00AF4E2F"/>
    <w:rsid w:val="00B12686"/>
    <w:rsid w:val="00B3403E"/>
    <w:rsid w:val="00B3769C"/>
    <w:rsid w:val="00B507A3"/>
    <w:rsid w:val="00B55DA3"/>
    <w:rsid w:val="00B72143"/>
    <w:rsid w:val="00B776BF"/>
    <w:rsid w:val="00B83D59"/>
    <w:rsid w:val="00BB567F"/>
    <w:rsid w:val="00BC4A01"/>
    <w:rsid w:val="00BC4E2D"/>
    <w:rsid w:val="00BD59DA"/>
    <w:rsid w:val="00BE2553"/>
    <w:rsid w:val="00BF581F"/>
    <w:rsid w:val="00BF5F1B"/>
    <w:rsid w:val="00C11B86"/>
    <w:rsid w:val="00C645C4"/>
    <w:rsid w:val="00C77375"/>
    <w:rsid w:val="00CA49EA"/>
    <w:rsid w:val="00CC51DF"/>
    <w:rsid w:val="00CD2556"/>
    <w:rsid w:val="00CD309D"/>
    <w:rsid w:val="00CE38B2"/>
    <w:rsid w:val="00CF377E"/>
    <w:rsid w:val="00CF537F"/>
    <w:rsid w:val="00D02837"/>
    <w:rsid w:val="00D25DFE"/>
    <w:rsid w:val="00D2706A"/>
    <w:rsid w:val="00D65AAF"/>
    <w:rsid w:val="00D66AF0"/>
    <w:rsid w:val="00D71948"/>
    <w:rsid w:val="00D73674"/>
    <w:rsid w:val="00D76AB3"/>
    <w:rsid w:val="00D85D7D"/>
    <w:rsid w:val="00D86022"/>
    <w:rsid w:val="00D86938"/>
    <w:rsid w:val="00D92F87"/>
    <w:rsid w:val="00D94740"/>
    <w:rsid w:val="00D9717E"/>
    <w:rsid w:val="00DC13D1"/>
    <w:rsid w:val="00DC533E"/>
    <w:rsid w:val="00DC5E6F"/>
    <w:rsid w:val="00DE1B95"/>
    <w:rsid w:val="00DE78F3"/>
    <w:rsid w:val="00DF0970"/>
    <w:rsid w:val="00DF7CCC"/>
    <w:rsid w:val="00E16EF2"/>
    <w:rsid w:val="00E16FC7"/>
    <w:rsid w:val="00E23BCA"/>
    <w:rsid w:val="00E25E80"/>
    <w:rsid w:val="00E26010"/>
    <w:rsid w:val="00E36E93"/>
    <w:rsid w:val="00E7316F"/>
    <w:rsid w:val="00E75FBE"/>
    <w:rsid w:val="00E76AEC"/>
    <w:rsid w:val="00E76CD3"/>
    <w:rsid w:val="00E84C3F"/>
    <w:rsid w:val="00E911C1"/>
    <w:rsid w:val="00EA000B"/>
    <w:rsid w:val="00EA40E8"/>
    <w:rsid w:val="00EB0547"/>
    <w:rsid w:val="00EB1C0E"/>
    <w:rsid w:val="00ED452B"/>
    <w:rsid w:val="00EF25F4"/>
    <w:rsid w:val="00F01B62"/>
    <w:rsid w:val="00F24582"/>
    <w:rsid w:val="00F3262D"/>
    <w:rsid w:val="00F35305"/>
    <w:rsid w:val="00F41897"/>
    <w:rsid w:val="00F41CBC"/>
    <w:rsid w:val="00F71E41"/>
    <w:rsid w:val="00F759B6"/>
    <w:rsid w:val="00F83193"/>
    <w:rsid w:val="00F84D83"/>
    <w:rsid w:val="00F9039A"/>
    <w:rsid w:val="00F92AF4"/>
    <w:rsid w:val="00F939DD"/>
    <w:rsid w:val="00FB01E8"/>
    <w:rsid w:val="00FB1A53"/>
    <w:rsid w:val="00FC0114"/>
    <w:rsid w:val="00FC02BF"/>
    <w:rsid w:val="00FC7526"/>
    <w:rsid w:val="00FE6EBA"/>
    <w:rsid w:val="00FF0ACE"/>
    <w:rsid w:val="00FF51CB"/>
    <w:rsid w:val="01011432"/>
    <w:rsid w:val="011B0745"/>
    <w:rsid w:val="011C626C"/>
    <w:rsid w:val="0136557F"/>
    <w:rsid w:val="0147778C"/>
    <w:rsid w:val="014A2DD9"/>
    <w:rsid w:val="01562B56"/>
    <w:rsid w:val="015B6D94"/>
    <w:rsid w:val="01814321"/>
    <w:rsid w:val="018D0F17"/>
    <w:rsid w:val="019127B6"/>
    <w:rsid w:val="01987FE8"/>
    <w:rsid w:val="019D28FF"/>
    <w:rsid w:val="019F1377"/>
    <w:rsid w:val="01B91D0C"/>
    <w:rsid w:val="01C20BC1"/>
    <w:rsid w:val="01CF7782"/>
    <w:rsid w:val="01D33506"/>
    <w:rsid w:val="01E05E16"/>
    <w:rsid w:val="01E52B01"/>
    <w:rsid w:val="01E856A3"/>
    <w:rsid w:val="01EC20E2"/>
    <w:rsid w:val="01F43679"/>
    <w:rsid w:val="01F66ABD"/>
    <w:rsid w:val="020E02AA"/>
    <w:rsid w:val="02117D9A"/>
    <w:rsid w:val="021C29C7"/>
    <w:rsid w:val="022F4BD9"/>
    <w:rsid w:val="02313F99"/>
    <w:rsid w:val="02421D02"/>
    <w:rsid w:val="0247556A"/>
    <w:rsid w:val="024B6E08"/>
    <w:rsid w:val="024E0ADE"/>
    <w:rsid w:val="02632FB4"/>
    <w:rsid w:val="02671768"/>
    <w:rsid w:val="027728BA"/>
    <w:rsid w:val="02785724"/>
    <w:rsid w:val="02786FB6"/>
    <w:rsid w:val="02910C40"/>
    <w:rsid w:val="029562D6"/>
    <w:rsid w:val="02A91D81"/>
    <w:rsid w:val="02B40E52"/>
    <w:rsid w:val="02C46BBB"/>
    <w:rsid w:val="02C92423"/>
    <w:rsid w:val="02CB0818"/>
    <w:rsid w:val="02E35293"/>
    <w:rsid w:val="02F53218"/>
    <w:rsid w:val="030671D3"/>
    <w:rsid w:val="031C43BE"/>
    <w:rsid w:val="031C69F7"/>
    <w:rsid w:val="031F2043"/>
    <w:rsid w:val="03237D85"/>
    <w:rsid w:val="032C4E8C"/>
    <w:rsid w:val="032F04D8"/>
    <w:rsid w:val="03411FB9"/>
    <w:rsid w:val="0348159A"/>
    <w:rsid w:val="034A70C0"/>
    <w:rsid w:val="03505229"/>
    <w:rsid w:val="035F6CF1"/>
    <w:rsid w:val="035F7A8D"/>
    <w:rsid w:val="038002F5"/>
    <w:rsid w:val="039756DF"/>
    <w:rsid w:val="03A10CAA"/>
    <w:rsid w:val="03A72764"/>
    <w:rsid w:val="03A964DC"/>
    <w:rsid w:val="03B44E81"/>
    <w:rsid w:val="03B83858"/>
    <w:rsid w:val="03B931BC"/>
    <w:rsid w:val="03C1014A"/>
    <w:rsid w:val="03D93E05"/>
    <w:rsid w:val="03DC41B1"/>
    <w:rsid w:val="03E01183"/>
    <w:rsid w:val="03E94B2B"/>
    <w:rsid w:val="03F60FF6"/>
    <w:rsid w:val="03F86B1C"/>
    <w:rsid w:val="03F90AE6"/>
    <w:rsid w:val="03FB03BA"/>
    <w:rsid w:val="040053AC"/>
    <w:rsid w:val="04062505"/>
    <w:rsid w:val="04137DFA"/>
    <w:rsid w:val="04243DB5"/>
    <w:rsid w:val="0433224A"/>
    <w:rsid w:val="043371C8"/>
    <w:rsid w:val="04365896"/>
    <w:rsid w:val="043F0415"/>
    <w:rsid w:val="046976DB"/>
    <w:rsid w:val="046A433F"/>
    <w:rsid w:val="046E5030"/>
    <w:rsid w:val="04706FFA"/>
    <w:rsid w:val="0486237A"/>
    <w:rsid w:val="048B5BE2"/>
    <w:rsid w:val="049F51EA"/>
    <w:rsid w:val="04A42800"/>
    <w:rsid w:val="04B3705D"/>
    <w:rsid w:val="04B70785"/>
    <w:rsid w:val="04BF763A"/>
    <w:rsid w:val="04CD61FB"/>
    <w:rsid w:val="04D23811"/>
    <w:rsid w:val="04E86B91"/>
    <w:rsid w:val="04F83365"/>
    <w:rsid w:val="04FC0172"/>
    <w:rsid w:val="050C2C6B"/>
    <w:rsid w:val="050F05C1"/>
    <w:rsid w:val="051C1674"/>
    <w:rsid w:val="053402B1"/>
    <w:rsid w:val="05502BFD"/>
    <w:rsid w:val="05542478"/>
    <w:rsid w:val="05583214"/>
    <w:rsid w:val="055B7D3E"/>
    <w:rsid w:val="055F2BCB"/>
    <w:rsid w:val="05614B95"/>
    <w:rsid w:val="056A1C9B"/>
    <w:rsid w:val="056B1570"/>
    <w:rsid w:val="056D7096"/>
    <w:rsid w:val="05776166"/>
    <w:rsid w:val="05805B85"/>
    <w:rsid w:val="058072FC"/>
    <w:rsid w:val="05874C16"/>
    <w:rsid w:val="05882122"/>
    <w:rsid w:val="058873C0"/>
    <w:rsid w:val="05A0746B"/>
    <w:rsid w:val="05B922DB"/>
    <w:rsid w:val="05C3315A"/>
    <w:rsid w:val="05CF0B21"/>
    <w:rsid w:val="05D80FC6"/>
    <w:rsid w:val="05DE61E6"/>
    <w:rsid w:val="05E732EC"/>
    <w:rsid w:val="05FD666C"/>
    <w:rsid w:val="06023E58"/>
    <w:rsid w:val="06287461"/>
    <w:rsid w:val="063B53E6"/>
    <w:rsid w:val="064323A1"/>
    <w:rsid w:val="064F6B3F"/>
    <w:rsid w:val="06606822"/>
    <w:rsid w:val="06624721"/>
    <w:rsid w:val="066F6E3E"/>
    <w:rsid w:val="06874187"/>
    <w:rsid w:val="068C79F0"/>
    <w:rsid w:val="06935222"/>
    <w:rsid w:val="069B5B9D"/>
    <w:rsid w:val="06A60436"/>
    <w:rsid w:val="06AD62E4"/>
    <w:rsid w:val="06BA27AF"/>
    <w:rsid w:val="06D05B2E"/>
    <w:rsid w:val="06D118A6"/>
    <w:rsid w:val="06DA4BFF"/>
    <w:rsid w:val="06DD024B"/>
    <w:rsid w:val="06E51DAE"/>
    <w:rsid w:val="06E72E78"/>
    <w:rsid w:val="06EB0BBA"/>
    <w:rsid w:val="06F6179A"/>
    <w:rsid w:val="06FE6B3F"/>
    <w:rsid w:val="07034156"/>
    <w:rsid w:val="070677A2"/>
    <w:rsid w:val="070D7056"/>
    <w:rsid w:val="07106873"/>
    <w:rsid w:val="071D689A"/>
    <w:rsid w:val="071F0864"/>
    <w:rsid w:val="071F2612"/>
    <w:rsid w:val="07351E35"/>
    <w:rsid w:val="073C1416"/>
    <w:rsid w:val="073D0CEA"/>
    <w:rsid w:val="075141CC"/>
    <w:rsid w:val="07611477"/>
    <w:rsid w:val="076B43DC"/>
    <w:rsid w:val="076F17EB"/>
    <w:rsid w:val="07726BE5"/>
    <w:rsid w:val="077A3A35"/>
    <w:rsid w:val="077B0190"/>
    <w:rsid w:val="077C5CB6"/>
    <w:rsid w:val="07807554"/>
    <w:rsid w:val="078A03D3"/>
    <w:rsid w:val="078D1C71"/>
    <w:rsid w:val="079F3753"/>
    <w:rsid w:val="07A654C1"/>
    <w:rsid w:val="07A77725"/>
    <w:rsid w:val="07B05960"/>
    <w:rsid w:val="07B436A2"/>
    <w:rsid w:val="07B92A66"/>
    <w:rsid w:val="07BD710D"/>
    <w:rsid w:val="07BE1E2B"/>
    <w:rsid w:val="07CA07CF"/>
    <w:rsid w:val="07D618AF"/>
    <w:rsid w:val="07FB729A"/>
    <w:rsid w:val="08007C85"/>
    <w:rsid w:val="08040B54"/>
    <w:rsid w:val="08144141"/>
    <w:rsid w:val="081B06DA"/>
    <w:rsid w:val="08234384"/>
    <w:rsid w:val="0844165D"/>
    <w:rsid w:val="08444A26"/>
    <w:rsid w:val="08457EB8"/>
    <w:rsid w:val="08493DEA"/>
    <w:rsid w:val="085836BA"/>
    <w:rsid w:val="08626C5A"/>
    <w:rsid w:val="086504F8"/>
    <w:rsid w:val="08652B5E"/>
    <w:rsid w:val="08652BE4"/>
    <w:rsid w:val="08762705"/>
    <w:rsid w:val="087B5F6E"/>
    <w:rsid w:val="08847374"/>
    <w:rsid w:val="08A46479"/>
    <w:rsid w:val="08AE022E"/>
    <w:rsid w:val="08B817A8"/>
    <w:rsid w:val="08C6543B"/>
    <w:rsid w:val="08C81884"/>
    <w:rsid w:val="08CE609D"/>
    <w:rsid w:val="08E57F67"/>
    <w:rsid w:val="08EE04EE"/>
    <w:rsid w:val="09074B37"/>
    <w:rsid w:val="09150170"/>
    <w:rsid w:val="09213AD4"/>
    <w:rsid w:val="09250379"/>
    <w:rsid w:val="092521FD"/>
    <w:rsid w:val="092B1742"/>
    <w:rsid w:val="093323A4"/>
    <w:rsid w:val="0935611C"/>
    <w:rsid w:val="093A3733"/>
    <w:rsid w:val="09420839"/>
    <w:rsid w:val="096B1B3E"/>
    <w:rsid w:val="097053A7"/>
    <w:rsid w:val="097F55EA"/>
    <w:rsid w:val="09817015"/>
    <w:rsid w:val="0995305F"/>
    <w:rsid w:val="099B68C7"/>
    <w:rsid w:val="09B039F5"/>
    <w:rsid w:val="09C82C7A"/>
    <w:rsid w:val="09CA6A25"/>
    <w:rsid w:val="09CD0A4B"/>
    <w:rsid w:val="09CD37EC"/>
    <w:rsid w:val="09E76698"/>
    <w:rsid w:val="09EB2C7F"/>
    <w:rsid w:val="09F81004"/>
    <w:rsid w:val="0A1421D6"/>
    <w:rsid w:val="0A1827EB"/>
    <w:rsid w:val="0A195A3E"/>
    <w:rsid w:val="0A2334AF"/>
    <w:rsid w:val="0A2A7C4B"/>
    <w:rsid w:val="0A2C751F"/>
    <w:rsid w:val="0A391C3C"/>
    <w:rsid w:val="0A434869"/>
    <w:rsid w:val="0A522CFE"/>
    <w:rsid w:val="0A54385D"/>
    <w:rsid w:val="0A6071C9"/>
    <w:rsid w:val="0A821835"/>
    <w:rsid w:val="0A8A603B"/>
    <w:rsid w:val="0A8B1D36"/>
    <w:rsid w:val="0A8C7FBE"/>
    <w:rsid w:val="0A913826"/>
    <w:rsid w:val="0A9357F1"/>
    <w:rsid w:val="0A9D21CB"/>
    <w:rsid w:val="0AA277E2"/>
    <w:rsid w:val="0AC459AA"/>
    <w:rsid w:val="0ACF434F"/>
    <w:rsid w:val="0AD67BFB"/>
    <w:rsid w:val="0ADD2F10"/>
    <w:rsid w:val="0AE222D4"/>
    <w:rsid w:val="0AE41BA8"/>
    <w:rsid w:val="0AF049F1"/>
    <w:rsid w:val="0AFD2902"/>
    <w:rsid w:val="0B0C55A3"/>
    <w:rsid w:val="0B0D7F7C"/>
    <w:rsid w:val="0B21104E"/>
    <w:rsid w:val="0B2408F9"/>
    <w:rsid w:val="0B246449"/>
    <w:rsid w:val="0B4A13AC"/>
    <w:rsid w:val="0B6745CE"/>
    <w:rsid w:val="0B786794"/>
    <w:rsid w:val="0B9C06D5"/>
    <w:rsid w:val="0B9E71AD"/>
    <w:rsid w:val="0BBE064B"/>
    <w:rsid w:val="0BC91C49"/>
    <w:rsid w:val="0BE16F32"/>
    <w:rsid w:val="0BE37935"/>
    <w:rsid w:val="0BE43B46"/>
    <w:rsid w:val="0BEA32BC"/>
    <w:rsid w:val="0C006EB6"/>
    <w:rsid w:val="0C07025C"/>
    <w:rsid w:val="0C18330D"/>
    <w:rsid w:val="0C1E558E"/>
    <w:rsid w:val="0C214339"/>
    <w:rsid w:val="0C28640C"/>
    <w:rsid w:val="0C395F24"/>
    <w:rsid w:val="0C3E353A"/>
    <w:rsid w:val="0C5827F4"/>
    <w:rsid w:val="0C5B7150"/>
    <w:rsid w:val="0C685E35"/>
    <w:rsid w:val="0C760F26"/>
    <w:rsid w:val="0C7E602C"/>
    <w:rsid w:val="0C801DA5"/>
    <w:rsid w:val="0C8A5EE5"/>
    <w:rsid w:val="0C8F601C"/>
    <w:rsid w:val="0C963376"/>
    <w:rsid w:val="0C985340"/>
    <w:rsid w:val="0CA23699"/>
    <w:rsid w:val="0CAB263C"/>
    <w:rsid w:val="0CAF268A"/>
    <w:rsid w:val="0CCC4FEA"/>
    <w:rsid w:val="0CD93263"/>
    <w:rsid w:val="0CDB347F"/>
    <w:rsid w:val="0CDB6FDB"/>
    <w:rsid w:val="0CEE1AAB"/>
    <w:rsid w:val="0CEE6D0E"/>
    <w:rsid w:val="0CF85DDF"/>
    <w:rsid w:val="0CFF0B73"/>
    <w:rsid w:val="0D0320F1"/>
    <w:rsid w:val="0D077DD0"/>
    <w:rsid w:val="0D0A06AF"/>
    <w:rsid w:val="0D162709"/>
    <w:rsid w:val="0D215336"/>
    <w:rsid w:val="0D240982"/>
    <w:rsid w:val="0D28559A"/>
    <w:rsid w:val="0D2A1D10"/>
    <w:rsid w:val="0D35493D"/>
    <w:rsid w:val="0D3B3F1D"/>
    <w:rsid w:val="0D557AE1"/>
    <w:rsid w:val="0D646FD0"/>
    <w:rsid w:val="0D782A7C"/>
    <w:rsid w:val="0D7C39C7"/>
    <w:rsid w:val="0D821B4C"/>
    <w:rsid w:val="0D984ECC"/>
    <w:rsid w:val="0D9D325A"/>
    <w:rsid w:val="0D9F26FE"/>
    <w:rsid w:val="0D9F44AC"/>
    <w:rsid w:val="0DAC2718"/>
    <w:rsid w:val="0DC45CC1"/>
    <w:rsid w:val="0DC67C8B"/>
    <w:rsid w:val="0DCC20FC"/>
    <w:rsid w:val="0DCE6B40"/>
    <w:rsid w:val="0DD20D46"/>
    <w:rsid w:val="0DD405FA"/>
    <w:rsid w:val="0DDC74AE"/>
    <w:rsid w:val="0DE40111"/>
    <w:rsid w:val="0DFB23C6"/>
    <w:rsid w:val="0E06277D"/>
    <w:rsid w:val="0E1409F6"/>
    <w:rsid w:val="0E1924B1"/>
    <w:rsid w:val="0E1A1D85"/>
    <w:rsid w:val="0E257E17"/>
    <w:rsid w:val="0E325AC7"/>
    <w:rsid w:val="0E356BBF"/>
    <w:rsid w:val="0E3A41D5"/>
    <w:rsid w:val="0E3E3CC5"/>
    <w:rsid w:val="0E4137B5"/>
    <w:rsid w:val="0E5168C6"/>
    <w:rsid w:val="0E606C70"/>
    <w:rsid w:val="0E6A1E4A"/>
    <w:rsid w:val="0E833DCE"/>
    <w:rsid w:val="0E897BAF"/>
    <w:rsid w:val="0E8F4521"/>
    <w:rsid w:val="0E947DE1"/>
    <w:rsid w:val="0E9E29B6"/>
    <w:rsid w:val="0EB40990"/>
    <w:rsid w:val="0EC341CA"/>
    <w:rsid w:val="0EDF7256"/>
    <w:rsid w:val="0EE24046"/>
    <w:rsid w:val="0EE303C9"/>
    <w:rsid w:val="0EE8653B"/>
    <w:rsid w:val="0EFA4090"/>
    <w:rsid w:val="0F0A3BA7"/>
    <w:rsid w:val="0F1459C1"/>
    <w:rsid w:val="0F242EBB"/>
    <w:rsid w:val="0F3155D8"/>
    <w:rsid w:val="0F346F6A"/>
    <w:rsid w:val="0F481A9B"/>
    <w:rsid w:val="0F6755A9"/>
    <w:rsid w:val="0F712470"/>
    <w:rsid w:val="0F783207"/>
    <w:rsid w:val="0F8B51DE"/>
    <w:rsid w:val="0F977B31"/>
    <w:rsid w:val="0FA85D6A"/>
    <w:rsid w:val="0FC65D20"/>
    <w:rsid w:val="0FD05A2E"/>
    <w:rsid w:val="0FD06E18"/>
    <w:rsid w:val="0FF76461"/>
    <w:rsid w:val="0FF84580"/>
    <w:rsid w:val="0FFD54BA"/>
    <w:rsid w:val="100D1BA1"/>
    <w:rsid w:val="100E79C7"/>
    <w:rsid w:val="10190546"/>
    <w:rsid w:val="101D790A"/>
    <w:rsid w:val="102B0279"/>
    <w:rsid w:val="102D4B1A"/>
    <w:rsid w:val="10321608"/>
    <w:rsid w:val="10332DD5"/>
    <w:rsid w:val="1054157E"/>
    <w:rsid w:val="10581E37"/>
    <w:rsid w:val="105D02E8"/>
    <w:rsid w:val="10771710"/>
    <w:rsid w:val="10790FE5"/>
    <w:rsid w:val="107B31B9"/>
    <w:rsid w:val="107C6D27"/>
    <w:rsid w:val="107F3A01"/>
    <w:rsid w:val="10802373"/>
    <w:rsid w:val="108654B0"/>
    <w:rsid w:val="108A4FA0"/>
    <w:rsid w:val="109835A9"/>
    <w:rsid w:val="10A5002C"/>
    <w:rsid w:val="10AC449C"/>
    <w:rsid w:val="10AF4A06"/>
    <w:rsid w:val="10C77FA2"/>
    <w:rsid w:val="11033D49"/>
    <w:rsid w:val="110E5BD1"/>
    <w:rsid w:val="111B209C"/>
    <w:rsid w:val="111C620F"/>
    <w:rsid w:val="11205904"/>
    <w:rsid w:val="112B49AA"/>
    <w:rsid w:val="11380EA0"/>
    <w:rsid w:val="113B6507"/>
    <w:rsid w:val="11457119"/>
    <w:rsid w:val="11630664"/>
    <w:rsid w:val="116F4196"/>
    <w:rsid w:val="11716160"/>
    <w:rsid w:val="11D02E86"/>
    <w:rsid w:val="11DD7EA8"/>
    <w:rsid w:val="11E16E34"/>
    <w:rsid w:val="11E64458"/>
    <w:rsid w:val="11E87EC2"/>
    <w:rsid w:val="11EF5AC2"/>
    <w:rsid w:val="11F264F1"/>
    <w:rsid w:val="11F56D91"/>
    <w:rsid w:val="11F6684A"/>
    <w:rsid w:val="11F8418B"/>
    <w:rsid w:val="11F94050"/>
    <w:rsid w:val="120B271D"/>
    <w:rsid w:val="12156159"/>
    <w:rsid w:val="12174F59"/>
    <w:rsid w:val="121C60CC"/>
    <w:rsid w:val="1225739F"/>
    <w:rsid w:val="122D02D9"/>
    <w:rsid w:val="122D269E"/>
    <w:rsid w:val="123644F1"/>
    <w:rsid w:val="12456EF9"/>
    <w:rsid w:val="1255782F"/>
    <w:rsid w:val="125E4936"/>
    <w:rsid w:val="126134A6"/>
    <w:rsid w:val="127001C5"/>
    <w:rsid w:val="1283439D"/>
    <w:rsid w:val="12891287"/>
    <w:rsid w:val="12894E14"/>
    <w:rsid w:val="128B0826"/>
    <w:rsid w:val="12906AB9"/>
    <w:rsid w:val="12955E7E"/>
    <w:rsid w:val="12982A14"/>
    <w:rsid w:val="129A3494"/>
    <w:rsid w:val="12B74046"/>
    <w:rsid w:val="12C10DDF"/>
    <w:rsid w:val="12C66037"/>
    <w:rsid w:val="12D92E17"/>
    <w:rsid w:val="12DB164E"/>
    <w:rsid w:val="12E11EC1"/>
    <w:rsid w:val="12E91569"/>
    <w:rsid w:val="12EB3CF0"/>
    <w:rsid w:val="12EC28B4"/>
    <w:rsid w:val="12ED5CBA"/>
    <w:rsid w:val="12F2507E"/>
    <w:rsid w:val="12F26E2C"/>
    <w:rsid w:val="1305022D"/>
    <w:rsid w:val="130A061A"/>
    <w:rsid w:val="131B2827"/>
    <w:rsid w:val="132F0080"/>
    <w:rsid w:val="13394A5B"/>
    <w:rsid w:val="133D136E"/>
    <w:rsid w:val="1363758C"/>
    <w:rsid w:val="13661657"/>
    <w:rsid w:val="136956F4"/>
    <w:rsid w:val="136E07EA"/>
    <w:rsid w:val="136E4A2A"/>
    <w:rsid w:val="137837D5"/>
    <w:rsid w:val="138C263E"/>
    <w:rsid w:val="138C7281"/>
    <w:rsid w:val="138E2AC5"/>
    <w:rsid w:val="13A22600"/>
    <w:rsid w:val="13A36BE1"/>
    <w:rsid w:val="13AB3BAB"/>
    <w:rsid w:val="13E744B7"/>
    <w:rsid w:val="13E9022F"/>
    <w:rsid w:val="13E96481"/>
    <w:rsid w:val="13F866C4"/>
    <w:rsid w:val="14063EDB"/>
    <w:rsid w:val="14193629"/>
    <w:rsid w:val="141E7F46"/>
    <w:rsid w:val="1424570B"/>
    <w:rsid w:val="14381B7B"/>
    <w:rsid w:val="14395E90"/>
    <w:rsid w:val="143F0797"/>
    <w:rsid w:val="144638D4"/>
    <w:rsid w:val="145C4EA5"/>
    <w:rsid w:val="14603640"/>
    <w:rsid w:val="14641FAC"/>
    <w:rsid w:val="146861A2"/>
    <w:rsid w:val="14956609"/>
    <w:rsid w:val="14A34882"/>
    <w:rsid w:val="14AE6162"/>
    <w:rsid w:val="14CE268F"/>
    <w:rsid w:val="14D40EDF"/>
    <w:rsid w:val="14DA6FAE"/>
    <w:rsid w:val="14E05AD6"/>
    <w:rsid w:val="14E629C1"/>
    <w:rsid w:val="14ED5D0A"/>
    <w:rsid w:val="14EF1875"/>
    <w:rsid w:val="14F63288"/>
    <w:rsid w:val="15033573"/>
    <w:rsid w:val="15051FB2"/>
    <w:rsid w:val="15054238"/>
    <w:rsid w:val="1527518D"/>
    <w:rsid w:val="152B05E3"/>
    <w:rsid w:val="154A11A2"/>
    <w:rsid w:val="15527217"/>
    <w:rsid w:val="155315AB"/>
    <w:rsid w:val="156201FA"/>
    <w:rsid w:val="15620294"/>
    <w:rsid w:val="156E30E2"/>
    <w:rsid w:val="156F0C08"/>
    <w:rsid w:val="15766B2C"/>
    <w:rsid w:val="15791D29"/>
    <w:rsid w:val="15797E41"/>
    <w:rsid w:val="157D1577"/>
    <w:rsid w:val="157E709D"/>
    <w:rsid w:val="1582093B"/>
    <w:rsid w:val="15875F52"/>
    <w:rsid w:val="158C17BA"/>
    <w:rsid w:val="158C3568"/>
    <w:rsid w:val="159348F7"/>
    <w:rsid w:val="15A11260"/>
    <w:rsid w:val="15AA7E92"/>
    <w:rsid w:val="15AC3C0A"/>
    <w:rsid w:val="15B716F5"/>
    <w:rsid w:val="15D31197"/>
    <w:rsid w:val="15D8055B"/>
    <w:rsid w:val="15DD5B72"/>
    <w:rsid w:val="15F1786F"/>
    <w:rsid w:val="15F35395"/>
    <w:rsid w:val="15F630D7"/>
    <w:rsid w:val="15FB249C"/>
    <w:rsid w:val="160457F4"/>
    <w:rsid w:val="16087832"/>
    <w:rsid w:val="16117F11"/>
    <w:rsid w:val="16145F48"/>
    <w:rsid w:val="16161084"/>
    <w:rsid w:val="162C43CD"/>
    <w:rsid w:val="16302145"/>
    <w:rsid w:val="163065E9"/>
    <w:rsid w:val="16351E52"/>
    <w:rsid w:val="16474911"/>
    <w:rsid w:val="16481B85"/>
    <w:rsid w:val="164B53B3"/>
    <w:rsid w:val="164E4CC1"/>
    <w:rsid w:val="164E6A70"/>
    <w:rsid w:val="168D18C4"/>
    <w:rsid w:val="16967CC0"/>
    <w:rsid w:val="169A3A63"/>
    <w:rsid w:val="16AF39B2"/>
    <w:rsid w:val="16B20DAC"/>
    <w:rsid w:val="16B70AB9"/>
    <w:rsid w:val="16BC7E7D"/>
    <w:rsid w:val="16BE1E47"/>
    <w:rsid w:val="16D056D6"/>
    <w:rsid w:val="16DD2BDE"/>
    <w:rsid w:val="16E2350D"/>
    <w:rsid w:val="16EB1A85"/>
    <w:rsid w:val="16EF3DAF"/>
    <w:rsid w:val="17054C23"/>
    <w:rsid w:val="170B0D59"/>
    <w:rsid w:val="171750B3"/>
    <w:rsid w:val="171E2A35"/>
    <w:rsid w:val="172C67FB"/>
    <w:rsid w:val="173A48D6"/>
    <w:rsid w:val="17432C1D"/>
    <w:rsid w:val="174A117A"/>
    <w:rsid w:val="174D31CB"/>
    <w:rsid w:val="17563E2E"/>
    <w:rsid w:val="17604CAC"/>
    <w:rsid w:val="1761400C"/>
    <w:rsid w:val="176C3651"/>
    <w:rsid w:val="177A3A04"/>
    <w:rsid w:val="177B1AE6"/>
    <w:rsid w:val="177E5564"/>
    <w:rsid w:val="17872239"/>
    <w:rsid w:val="17885FB1"/>
    <w:rsid w:val="178A6601"/>
    <w:rsid w:val="1795684C"/>
    <w:rsid w:val="179606CE"/>
    <w:rsid w:val="17966384"/>
    <w:rsid w:val="179A7CC5"/>
    <w:rsid w:val="17AC1CA0"/>
    <w:rsid w:val="17DC00C1"/>
    <w:rsid w:val="17E85A1B"/>
    <w:rsid w:val="17E9747F"/>
    <w:rsid w:val="18027B12"/>
    <w:rsid w:val="1804388A"/>
    <w:rsid w:val="180D333B"/>
    <w:rsid w:val="18131D1F"/>
    <w:rsid w:val="182C2DE0"/>
    <w:rsid w:val="18345B20"/>
    <w:rsid w:val="18363C5F"/>
    <w:rsid w:val="185A16FC"/>
    <w:rsid w:val="18602A8A"/>
    <w:rsid w:val="1864257A"/>
    <w:rsid w:val="18802DD1"/>
    <w:rsid w:val="18814EDA"/>
    <w:rsid w:val="18842C1C"/>
    <w:rsid w:val="189C7F66"/>
    <w:rsid w:val="18A1732B"/>
    <w:rsid w:val="18AD1107"/>
    <w:rsid w:val="18C62AC4"/>
    <w:rsid w:val="18E70460"/>
    <w:rsid w:val="18F03E0E"/>
    <w:rsid w:val="19006747"/>
    <w:rsid w:val="19120D79"/>
    <w:rsid w:val="19223CD4"/>
    <w:rsid w:val="1935070A"/>
    <w:rsid w:val="19404D95"/>
    <w:rsid w:val="19466EF4"/>
    <w:rsid w:val="194B6C84"/>
    <w:rsid w:val="194F6D87"/>
    <w:rsid w:val="19520625"/>
    <w:rsid w:val="195A6DE8"/>
    <w:rsid w:val="197D7D98"/>
    <w:rsid w:val="198253AE"/>
    <w:rsid w:val="19871ABB"/>
    <w:rsid w:val="1987566D"/>
    <w:rsid w:val="198A7DBF"/>
    <w:rsid w:val="198C7FDB"/>
    <w:rsid w:val="199155F1"/>
    <w:rsid w:val="19B1359D"/>
    <w:rsid w:val="19B13849"/>
    <w:rsid w:val="19B25567"/>
    <w:rsid w:val="19C5529B"/>
    <w:rsid w:val="19E368B4"/>
    <w:rsid w:val="19F8741E"/>
    <w:rsid w:val="1A02029D"/>
    <w:rsid w:val="1A023DF9"/>
    <w:rsid w:val="1A1A3838"/>
    <w:rsid w:val="1A2226ED"/>
    <w:rsid w:val="1A271AB1"/>
    <w:rsid w:val="1A2A3962"/>
    <w:rsid w:val="1A340CCE"/>
    <w:rsid w:val="1A3A3AD9"/>
    <w:rsid w:val="1A3D7527"/>
    <w:rsid w:val="1A424B3D"/>
    <w:rsid w:val="1A5D3725"/>
    <w:rsid w:val="1A6B7DCA"/>
    <w:rsid w:val="1A6E5932"/>
    <w:rsid w:val="1A6F6194"/>
    <w:rsid w:val="1A7171D0"/>
    <w:rsid w:val="1A766595"/>
    <w:rsid w:val="1A7A42D7"/>
    <w:rsid w:val="1A8910F2"/>
    <w:rsid w:val="1A8E076A"/>
    <w:rsid w:val="1A9C249F"/>
    <w:rsid w:val="1AA4131B"/>
    <w:rsid w:val="1AAA1D05"/>
    <w:rsid w:val="1AAB26E2"/>
    <w:rsid w:val="1AAC0209"/>
    <w:rsid w:val="1AB1581F"/>
    <w:rsid w:val="1ABF7BA8"/>
    <w:rsid w:val="1AC6751C"/>
    <w:rsid w:val="1ACD2659"/>
    <w:rsid w:val="1ACF6E5D"/>
    <w:rsid w:val="1ADC0AEE"/>
    <w:rsid w:val="1AE9473C"/>
    <w:rsid w:val="1AF007D6"/>
    <w:rsid w:val="1AFA5418"/>
    <w:rsid w:val="1B0167A6"/>
    <w:rsid w:val="1B0A2335"/>
    <w:rsid w:val="1B102545"/>
    <w:rsid w:val="1B2A407F"/>
    <w:rsid w:val="1B495A57"/>
    <w:rsid w:val="1B544B28"/>
    <w:rsid w:val="1B5468D6"/>
    <w:rsid w:val="1B590390"/>
    <w:rsid w:val="1B5E1503"/>
    <w:rsid w:val="1B5F73A7"/>
    <w:rsid w:val="1B724EFE"/>
    <w:rsid w:val="1B770817"/>
    <w:rsid w:val="1B7E1BA5"/>
    <w:rsid w:val="1B8C7B6C"/>
    <w:rsid w:val="1B9118D8"/>
    <w:rsid w:val="1B972803"/>
    <w:rsid w:val="1B996E8C"/>
    <w:rsid w:val="1BA57132"/>
    <w:rsid w:val="1BAA299A"/>
    <w:rsid w:val="1BB03EA9"/>
    <w:rsid w:val="1BC3580A"/>
    <w:rsid w:val="1BCD0437"/>
    <w:rsid w:val="1BD21EF1"/>
    <w:rsid w:val="1BD619E1"/>
    <w:rsid w:val="1BDE43F2"/>
    <w:rsid w:val="1BE16626"/>
    <w:rsid w:val="1BE340FE"/>
    <w:rsid w:val="1BF12377"/>
    <w:rsid w:val="1BF43C15"/>
    <w:rsid w:val="1BF53076"/>
    <w:rsid w:val="1BF63E31"/>
    <w:rsid w:val="1BFF0584"/>
    <w:rsid w:val="1C166281"/>
    <w:rsid w:val="1C2F283F"/>
    <w:rsid w:val="1C31023A"/>
    <w:rsid w:val="1C35495A"/>
    <w:rsid w:val="1C365FDC"/>
    <w:rsid w:val="1C581A86"/>
    <w:rsid w:val="1C5A43C0"/>
    <w:rsid w:val="1C5D3A88"/>
    <w:rsid w:val="1C5D5C5E"/>
    <w:rsid w:val="1C7A6810"/>
    <w:rsid w:val="1C7F3E27"/>
    <w:rsid w:val="1C824A3B"/>
    <w:rsid w:val="1C8950B0"/>
    <w:rsid w:val="1C8E619A"/>
    <w:rsid w:val="1C9D605B"/>
    <w:rsid w:val="1CA67A54"/>
    <w:rsid w:val="1CB00110"/>
    <w:rsid w:val="1CBB4733"/>
    <w:rsid w:val="1CC47A8B"/>
    <w:rsid w:val="1CCA0BDB"/>
    <w:rsid w:val="1CCE090A"/>
    <w:rsid w:val="1CE25E31"/>
    <w:rsid w:val="1CE75528"/>
    <w:rsid w:val="1CF10155"/>
    <w:rsid w:val="1CF57C45"/>
    <w:rsid w:val="1D0A3566"/>
    <w:rsid w:val="1D184A7F"/>
    <w:rsid w:val="1D1D0F4A"/>
    <w:rsid w:val="1D2E017D"/>
    <w:rsid w:val="1D383FD6"/>
    <w:rsid w:val="1D3A18FD"/>
    <w:rsid w:val="1D3C1D18"/>
    <w:rsid w:val="1D44297A"/>
    <w:rsid w:val="1D48187F"/>
    <w:rsid w:val="1D563F4C"/>
    <w:rsid w:val="1D767669"/>
    <w:rsid w:val="1D844E1C"/>
    <w:rsid w:val="1D943902"/>
    <w:rsid w:val="1D9C08F7"/>
    <w:rsid w:val="1DA63635"/>
    <w:rsid w:val="1DA659B6"/>
    <w:rsid w:val="1DB00010"/>
    <w:rsid w:val="1DB160B1"/>
    <w:rsid w:val="1DC31AF1"/>
    <w:rsid w:val="1DCC309C"/>
    <w:rsid w:val="1DCD2970"/>
    <w:rsid w:val="1DD67A76"/>
    <w:rsid w:val="1DF32F59"/>
    <w:rsid w:val="1DF779ED"/>
    <w:rsid w:val="1E205195"/>
    <w:rsid w:val="1E311151"/>
    <w:rsid w:val="1E442D57"/>
    <w:rsid w:val="1E57048B"/>
    <w:rsid w:val="1E6C2189"/>
    <w:rsid w:val="1E707ECB"/>
    <w:rsid w:val="1EA13609"/>
    <w:rsid w:val="1EB37DB8"/>
    <w:rsid w:val="1EC51899"/>
    <w:rsid w:val="1ECB5101"/>
    <w:rsid w:val="1ED71AE4"/>
    <w:rsid w:val="1EE401DE"/>
    <w:rsid w:val="1F1A3246"/>
    <w:rsid w:val="1F1F544D"/>
    <w:rsid w:val="1F262338"/>
    <w:rsid w:val="1F264A2D"/>
    <w:rsid w:val="1F2E5690"/>
    <w:rsid w:val="1F332CA6"/>
    <w:rsid w:val="1F354376"/>
    <w:rsid w:val="1F3C5FFF"/>
    <w:rsid w:val="1F3F33F9"/>
    <w:rsid w:val="1F3F789D"/>
    <w:rsid w:val="1F444EB4"/>
    <w:rsid w:val="1F486A4C"/>
    <w:rsid w:val="1F574BE7"/>
    <w:rsid w:val="1F5F3A9B"/>
    <w:rsid w:val="1F784B5D"/>
    <w:rsid w:val="1F7C63FB"/>
    <w:rsid w:val="1F7E03C6"/>
    <w:rsid w:val="1F861001"/>
    <w:rsid w:val="1F8D23B7"/>
    <w:rsid w:val="1F8E612F"/>
    <w:rsid w:val="1F8F25D3"/>
    <w:rsid w:val="1F950C34"/>
    <w:rsid w:val="1F9803AC"/>
    <w:rsid w:val="1F9C6A9E"/>
    <w:rsid w:val="1F9F033C"/>
    <w:rsid w:val="1FA94D17"/>
    <w:rsid w:val="1FA978E4"/>
    <w:rsid w:val="1FB7615B"/>
    <w:rsid w:val="1FB763D7"/>
    <w:rsid w:val="1FFC578E"/>
    <w:rsid w:val="20191E9C"/>
    <w:rsid w:val="201D0C6B"/>
    <w:rsid w:val="202764B4"/>
    <w:rsid w:val="202B4C70"/>
    <w:rsid w:val="202C6073"/>
    <w:rsid w:val="204213F3"/>
    <w:rsid w:val="204B206D"/>
    <w:rsid w:val="205F2EDB"/>
    <w:rsid w:val="20621A95"/>
    <w:rsid w:val="20663B3B"/>
    <w:rsid w:val="207452C2"/>
    <w:rsid w:val="20825C93"/>
    <w:rsid w:val="20970569"/>
    <w:rsid w:val="209B0B03"/>
    <w:rsid w:val="20A91472"/>
    <w:rsid w:val="20B1673B"/>
    <w:rsid w:val="20BE3C8C"/>
    <w:rsid w:val="20C22534"/>
    <w:rsid w:val="20C52024"/>
    <w:rsid w:val="20DD55C0"/>
    <w:rsid w:val="20FF748D"/>
    <w:rsid w:val="210466A8"/>
    <w:rsid w:val="210B3EDB"/>
    <w:rsid w:val="210E7DC4"/>
    <w:rsid w:val="2110329F"/>
    <w:rsid w:val="211663DC"/>
    <w:rsid w:val="211A5ECC"/>
    <w:rsid w:val="21224D81"/>
    <w:rsid w:val="212B00D9"/>
    <w:rsid w:val="21333432"/>
    <w:rsid w:val="214A5CFC"/>
    <w:rsid w:val="214B4E5D"/>
    <w:rsid w:val="217575A6"/>
    <w:rsid w:val="218268CD"/>
    <w:rsid w:val="2186530F"/>
    <w:rsid w:val="21893192"/>
    <w:rsid w:val="218B47EA"/>
    <w:rsid w:val="219957D9"/>
    <w:rsid w:val="21A1039B"/>
    <w:rsid w:val="21B30595"/>
    <w:rsid w:val="21B46321"/>
    <w:rsid w:val="21C920A0"/>
    <w:rsid w:val="21CA4416"/>
    <w:rsid w:val="21CB71C6"/>
    <w:rsid w:val="21D14E90"/>
    <w:rsid w:val="21D95D87"/>
    <w:rsid w:val="21ED3680"/>
    <w:rsid w:val="21EF55AB"/>
    <w:rsid w:val="21F229A5"/>
    <w:rsid w:val="21FE57EE"/>
    <w:rsid w:val="220470C9"/>
    <w:rsid w:val="22101BA0"/>
    <w:rsid w:val="22105521"/>
    <w:rsid w:val="22142748"/>
    <w:rsid w:val="22205764"/>
    <w:rsid w:val="2228286B"/>
    <w:rsid w:val="223631D9"/>
    <w:rsid w:val="223C6316"/>
    <w:rsid w:val="224C6559"/>
    <w:rsid w:val="224F429B"/>
    <w:rsid w:val="225E44DE"/>
    <w:rsid w:val="22600256"/>
    <w:rsid w:val="226407A8"/>
    <w:rsid w:val="226C6405"/>
    <w:rsid w:val="22737F8A"/>
    <w:rsid w:val="227B1683"/>
    <w:rsid w:val="22883309"/>
    <w:rsid w:val="228C2DF9"/>
    <w:rsid w:val="228C4BA7"/>
    <w:rsid w:val="228E4DC3"/>
    <w:rsid w:val="22A05321"/>
    <w:rsid w:val="22A801EB"/>
    <w:rsid w:val="22A83150"/>
    <w:rsid w:val="22B12860"/>
    <w:rsid w:val="22B83BEE"/>
    <w:rsid w:val="22B91715"/>
    <w:rsid w:val="22CC64E9"/>
    <w:rsid w:val="22CE74BA"/>
    <w:rsid w:val="22D64075"/>
    <w:rsid w:val="22E622E2"/>
    <w:rsid w:val="22F24386"/>
    <w:rsid w:val="22F5467D"/>
    <w:rsid w:val="22F95A26"/>
    <w:rsid w:val="2302130E"/>
    <w:rsid w:val="230D7650"/>
    <w:rsid w:val="23101ECA"/>
    <w:rsid w:val="23111551"/>
    <w:rsid w:val="231908F9"/>
    <w:rsid w:val="231C21FE"/>
    <w:rsid w:val="2329689A"/>
    <w:rsid w:val="23452FA8"/>
    <w:rsid w:val="23565B53"/>
    <w:rsid w:val="2358717F"/>
    <w:rsid w:val="23623B5A"/>
    <w:rsid w:val="236A3B25"/>
    <w:rsid w:val="23871813"/>
    <w:rsid w:val="239006C7"/>
    <w:rsid w:val="23953F30"/>
    <w:rsid w:val="239A1546"/>
    <w:rsid w:val="23A128D5"/>
    <w:rsid w:val="23A3664D"/>
    <w:rsid w:val="23AE0B4E"/>
    <w:rsid w:val="23BB4C27"/>
    <w:rsid w:val="23BC770E"/>
    <w:rsid w:val="23C93BD9"/>
    <w:rsid w:val="23D70F44"/>
    <w:rsid w:val="23E74D0B"/>
    <w:rsid w:val="23EF1892"/>
    <w:rsid w:val="23F0560A"/>
    <w:rsid w:val="23F23130"/>
    <w:rsid w:val="240268DD"/>
    <w:rsid w:val="24082954"/>
    <w:rsid w:val="240A2B9D"/>
    <w:rsid w:val="24125580"/>
    <w:rsid w:val="241308D1"/>
    <w:rsid w:val="242022A8"/>
    <w:rsid w:val="242332EA"/>
    <w:rsid w:val="2429118E"/>
    <w:rsid w:val="24291ACC"/>
    <w:rsid w:val="2432352D"/>
    <w:rsid w:val="24341DDC"/>
    <w:rsid w:val="24343749"/>
    <w:rsid w:val="243472A5"/>
    <w:rsid w:val="244E3C37"/>
    <w:rsid w:val="244F0582"/>
    <w:rsid w:val="245060A9"/>
    <w:rsid w:val="245108AC"/>
    <w:rsid w:val="24732E47"/>
    <w:rsid w:val="24763D61"/>
    <w:rsid w:val="247E2C16"/>
    <w:rsid w:val="24870CFE"/>
    <w:rsid w:val="248875F1"/>
    <w:rsid w:val="248C662C"/>
    <w:rsid w:val="249B7324"/>
    <w:rsid w:val="249C4E4A"/>
    <w:rsid w:val="24A3646D"/>
    <w:rsid w:val="24AA57B9"/>
    <w:rsid w:val="24AE5A41"/>
    <w:rsid w:val="24B644E1"/>
    <w:rsid w:val="24BE4E0B"/>
    <w:rsid w:val="24C42EA1"/>
    <w:rsid w:val="24CB1BF8"/>
    <w:rsid w:val="24EC5DD1"/>
    <w:rsid w:val="24F31271"/>
    <w:rsid w:val="250637EA"/>
    <w:rsid w:val="250F7D12"/>
    <w:rsid w:val="25102EC3"/>
    <w:rsid w:val="251F7F55"/>
    <w:rsid w:val="25323A5B"/>
    <w:rsid w:val="253D487F"/>
    <w:rsid w:val="254617D4"/>
    <w:rsid w:val="25492E96"/>
    <w:rsid w:val="254E4396"/>
    <w:rsid w:val="25502CE7"/>
    <w:rsid w:val="255A3128"/>
    <w:rsid w:val="255B09C0"/>
    <w:rsid w:val="255F47F5"/>
    <w:rsid w:val="25626093"/>
    <w:rsid w:val="256C2A6E"/>
    <w:rsid w:val="257302A1"/>
    <w:rsid w:val="25867FD4"/>
    <w:rsid w:val="25900E53"/>
    <w:rsid w:val="259049AF"/>
    <w:rsid w:val="25950217"/>
    <w:rsid w:val="25952D9C"/>
    <w:rsid w:val="25C40AFC"/>
    <w:rsid w:val="25CC175F"/>
    <w:rsid w:val="25EC1A6E"/>
    <w:rsid w:val="25EE40D9"/>
    <w:rsid w:val="25EF306E"/>
    <w:rsid w:val="25F64996"/>
    <w:rsid w:val="25F767DC"/>
    <w:rsid w:val="25F969F8"/>
    <w:rsid w:val="25FA2770"/>
    <w:rsid w:val="25FC3DF2"/>
    <w:rsid w:val="25FF1B34"/>
    <w:rsid w:val="2601765A"/>
    <w:rsid w:val="260E7FC9"/>
    <w:rsid w:val="26215F4F"/>
    <w:rsid w:val="2628108B"/>
    <w:rsid w:val="263317DE"/>
    <w:rsid w:val="26386260"/>
    <w:rsid w:val="26445799"/>
    <w:rsid w:val="26526108"/>
    <w:rsid w:val="265C6F87"/>
    <w:rsid w:val="266B541C"/>
    <w:rsid w:val="268A7650"/>
    <w:rsid w:val="269B185D"/>
    <w:rsid w:val="26A55B5E"/>
    <w:rsid w:val="26B4291F"/>
    <w:rsid w:val="26B66F36"/>
    <w:rsid w:val="26C012C4"/>
    <w:rsid w:val="26D20FF7"/>
    <w:rsid w:val="26E054C2"/>
    <w:rsid w:val="26E50B40"/>
    <w:rsid w:val="26ED7BDF"/>
    <w:rsid w:val="26FD2518"/>
    <w:rsid w:val="26FD42C6"/>
    <w:rsid w:val="270216DD"/>
    <w:rsid w:val="27037402"/>
    <w:rsid w:val="270A0791"/>
    <w:rsid w:val="27133AE9"/>
    <w:rsid w:val="27182EAE"/>
    <w:rsid w:val="271C05DF"/>
    <w:rsid w:val="27247AA4"/>
    <w:rsid w:val="272555CB"/>
    <w:rsid w:val="27313F6F"/>
    <w:rsid w:val="273677B9"/>
    <w:rsid w:val="27455C6D"/>
    <w:rsid w:val="2749750B"/>
    <w:rsid w:val="27637EA1"/>
    <w:rsid w:val="276460F3"/>
    <w:rsid w:val="276E0D20"/>
    <w:rsid w:val="277F117F"/>
    <w:rsid w:val="278247CB"/>
    <w:rsid w:val="27910EB2"/>
    <w:rsid w:val="279A4D97"/>
    <w:rsid w:val="279F537D"/>
    <w:rsid w:val="27A43C03"/>
    <w:rsid w:val="27B25959"/>
    <w:rsid w:val="27B76947"/>
    <w:rsid w:val="27C070A1"/>
    <w:rsid w:val="27D44E2A"/>
    <w:rsid w:val="27D94BD3"/>
    <w:rsid w:val="27E86D24"/>
    <w:rsid w:val="27E965F8"/>
    <w:rsid w:val="27F46EC8"/>
    <w:rsid w:val="27FE6AD8"/>
    <w:rsid w:val="280478D6"/>
    <w:rsid w:val="280653FC"/>
    <w:rsid w:val="281C69CE"/>
    <w:rsid w:val="282D3621"/>
    <w:rsid w:val="282F380E"/>
    <w:rsid w:val="28373807"/>
    <w:rsid w:val="284101E2"/>
    <w:rsid w:val="28416434"/>
    <w:rsid w:val="28445F24"/>
    <w:rsid w:val="284D76B0"/>
    <w:rsid w:val="286D34D7"/>
    <w:rsid w:val="2879797C"/>
    <w:rsid w:val="28862099"/>
    <w:rsid w:val="288B742E"/>
    <w:rsid w:val="28963C50"/>
    <w:rsid w:val="28991DCC"/>
    <w:rsid w:val="289B4D66"/>
    <w:rsid w:val="28A363E3"/>
    <w:rsid w:val="28A569C3"/>
    <w:rsid w:val="28A854D5"/>
    <w:rsid w:val="28B26CFC"/>
    <w:rsid w:val="28B906C0"/>
    <w:rsid w:val="28C66939"/>
    <w:rsid w:val="28E520A3"/>
    <w:rsid w:val="28EA743E"/>
    <w:rsid w:val="28ED2118"/>
    <w:rsid w:val="28F17E5A"/>
    <w:rsid w:val="28F214DC"/>
    <w:rsid w:val="28FB65E3"/>
    <w:rsid w:val="290B259E"/>
    <w:rsid w:val="290D6316"/>
    <w:rsid w:val="29103779"/>
    <w:rsid w:val="29325D7D"/>
    <w:rsid w:val="293715E5"/>
    <w:rsid w:val="294D5A63"/>
    <w:rsid w:val="294E705B"/>
    <w:rsid w:val="294F2DD3"/>
    <w:rsid w:val="295126A7"/>
    <w:rsid w:val="295D54F0"/>
    <w:rsid w:val="29673C78"/>
    <w:rsid w:val="296879F1"/>
    <w:rsid w:val="296C74E1"/>
    <w:rsid w:val="297760FA"/>
    <w:rsid w:val="297840D8"/>
    <w:rsid w:val="29817476"/>
    <w:rsid w:val="298310E1"/>
    <w:rsid w:val="29842A7C"/>
    <w:rsid w:val="298C36DF"/>
    <w:rsid w:val="29915199"/>
    <w:rsid w:val="299A041C"/>
    <w:rsid w:val="299B516E"/>
    <w:rsid w:val="29B0436D"/>
    <w:rsid w:val="29C53533"/>
    <w:rsid w:val="29CD3D28"/>
    <w:rsid w:val="29D43131"/>
    <w:rsid w:val="29DF4A78"/>
    <w:rsid w:val="29E406EE"/>
    <w:rsid w:val="29EE439A"/>
    <w:rsid w:val="29F00463"/>
    <w:rsid w:val="29F51284"/>
    <w:rsid w:val="29F7460B"/>
    <w:rsid w:val="29FD282F"/>
    <w:rsid w:val="2A224043"/>
    <w:rsid w:val="2A247DBB"/>
    <w:rsid w:val="2A2504F9"/>
    <w:rsid w:val="2A2A78D0"/>
    <w:rsid w:val="2A2F1B5D"/>
    <w:rsid w:val="2A320FEF"/>
    <w:rsid w:val="2A3224D8"/>
    <w:rsid w:val="2A377AEF"/>
    <w:rsid w:val="2A385615"/>
    <w:rsid w:val="2A391625"/>
    <w:rsid w:val="2A3B73EF"/>
    <w:rsid w:val="2A3E70CF"/>
    <w:rsid w:val="2A465F84"/>
    <w:rsid w:val="2A5135E5"/>
    <w:rsid w:val="2A524929"/>
    <w:rsid w:val="2A5777E9"/>
    <w:rsid w:val="2A587A65"/>
    <w:rsid w:val="2A7A79DB"/>
    <w:rsid w:val="2A7D127A"/>
    <w:rsid w:val="2A8A07EF"/>
    <w:rsid w:val="2A9A1E2C"/>
    <w:rsid w:val="2AA35184"/>
    <w:rsid w:val="2AA66A22"/>
    <w:rsid w:val="2AAF1D7B"/>
    <w:rsid w:val="2ABC7FF4"/>
    <w:rsid w:val="2AD01CF1"/>
    <w:rsid w:val="2AD4533E"/>
    <w:rsid w:val="2ADB142F"/>
    <w:rsid w:val="2ADC0696"/>
    <w:rsid w:val="2AED28A3"/>
    <w:rsid w:val="2AF25638"/>
    <w:rsid w:val="2AF95BF7"/>
    <w:rsid w:val="2B1020EE"/>
    <w:rsid w:val="2B1225BD"/>
    <w:rsid w:val="2B1240B8"/>
    <w:rsid w:val="2B1304BD"/>
    <w:rsid w:val="2B1E480B"/>
    <w:rsid w:val="2B200583"/>
    <w:rsid w:val="2B275DB5"/>
    <w:rsid w:val="2B334FBF"/>
    <w:rsid w:val="2B3C1135"/>
    <w:rsid w:val="2B3E30FF"/>
    <w:rsid w:val="2B415C62"/>
    <w:rsid w:val="2B572F02"/>
    <w:rsid w:val="2B5841C1"/>
    <w:rsid w:val="2B5B5A5F"/>
    <w:rsid w:val="2B5E72FD"/>
    <w:rsid w:val="2B6341CE"/>
    <w:rsid w:val="2B6A19C9"/>
    <w:rsid w:val="2B6D7540"/>
    <w:rsid w:val="2B764647"/>
    <w:rsid w:val="2B7E6805"/>
    <w:rsid w:val="2B886795"/>
    <w:rsid w:val="2B8D1F6B"/>
    <w:rsid w:val="2B8F395A"/>
    <w:rsid w:val="2B960845"/>
    <w:rsid w:val="2B9C26BE"/>
    <w:rsid w:val="2B9D7E25"/>
    <w:rsid w:val="2BB84C5F"/>
    <w:rsid w:val="2BC41856"/>
    <w:rsid w:val="2BC41BFF"/>
    <w:rsid w:val="2BD62420"/>
    <w:rsid w:val="2BD66E93"/>
    <w:rsid w:val="2BD96984"/>
    <w:rsid w:val="2BE75544"/>
    <w:rsid w:val="2BE76B7B"/>
    <w:rsid w:val="2BEC4909"/>
    <w:rsid w:val="2BEE0681"/>
    <w:rsid w:val="2BEE7D6B"/>
    <w:rsid w:val="2BFA536A"/>
    <w:rsid w:val="2BFF463C"/>
    <w:rsid w:val="2C0954BB"/>
    <w:rsid w:val="2C097269"/>
    <w:rsid w:val="2C147DB3"/>
    <w:rsid w:val="2C173C1F"/>
    <w:rsid w:val="2C327882"/>
    <w:rsid w:val="2C33078A"/>
    <w:rsid w:val="2C332538"/>
    <w:rsid w:val="2C390649"/>
    <w:rsid w:val="2C4B5AD3"/>
    <w:rsid w:val="2C522D19"/>
    <w:rsid w:val="2C55187F"/>
    <w:rsid w:val="2C5F50DB"/>
    <w:rsid w:val="2C626979"/>
    <w:rsid w:val="2C635C8A"/>
    <w:rsid w:val="2C7212B2"/>
    <w:rsid w:val="2C862667"/>
    <w:rsid w:val="2C866B0B"/>
    <w:rsid w:val="2C901738"/>
    <w:rsid w:val="2C951B71"/>
    <w:rsid w:val="2C954FA0"/>
    <w:rsid w:val="2C974875"/>
    <w:rsid w:val="2CA93F28"/>
    <w:rsid w:val="2CB90C8F"/>
    <w:rsid w:val="2CC118F2"/>
    <w:rsid w:val="2CC3178E"/>
    <w:rsid w:val="2CC87124"/>
    <w:rsid w:val="2CCE400E"/>
    <w:rsid w:val="2CCF6918"/>
    <w:rsid w:val="2CD23AFF"/>
    <w:rsid w:val="2CDF446E"/>
    <w:rsid w:val="2CFF31EB"/>
    <w:rsid w:val="2D087520"/>
    <w:rsid w:val="2D0A14EA"/>
    <w:rsid w:val="2D1B36F8"/>
    <w:rsid w:val="2D1C4D7A"/>
    <w:rsid w:val="2D1F071D"/>
    <w:rsid w:val="2D267167"/>
    <w:rsid w:val="2D287BC3"/>
    <w:rsid w:val="2D2D342B"/>
    <w:rsid w:val="2D314CC9"/>
    <w:rsid w:val="2D4349FC"/>
    <w:rsid w:val="2D4D260B"/>
    <w:rsid w:val="2D4D7629"/>
    <w:rsid w:val="2D574DFE"/>
    <w:rsid w:val="2D712C9C"/>
    <w:rsid w:val="2D7921CC"/>
    <w:rsid w:val="2D85560F"/>
    <w:rsid w:val="2D880661"/>
    <w:rsid w:val="2D8D5C78"/>
    <w:rsid w:val="2D914B0D"/>
    <w:rsid w:val="2DAA682A"/>
    <w:rsid w:val="2DB66924"/>
    <w:rsid w:val="2DBD1E0F"/>
    <w:rsid w:val="2DCD2AB1"/>
    <w:rsid w:val="2DD438A6"/>
    <w:rsid w:val="2DDD275B"/>
    <w:rsid w:val="2DDE4823"/>
    <w:rsid w:val="2DDF2977"/>
    <w:rsid w:val="2DE7182C"/>
    <w:rsid w:val="2DEB3BAF"/>
    <w:rsid w:val="2DF504E4"/>
    <w:rsid w:val="2E057F04"/>
    <w:rsid w:val="2E0979F4"/>
    <w:rsid w:val="2E4F19A0"/>
    <w:rsid w:val="2E555940"/>
    <w:rsid w:val="2E5A554C"/>
    <w:rsid w:val="2E690493"/>
    <w:rsid w:val="2E6C1D31"/>
    <w:rsid w:val="2E755089"/>
    <w:rsid w:val="2E7A26A0"/>
    <w:rsid w:val="2E8928E3"/>
    <w:rsid w:val="2E9C43C4"/>
    <w:rsid w:val="2EA965F7"/>
    <w:rsid w:val="2EB040E3"/>
    <w:rsid w:val="2EB5368F"/>
    <w:rsid w:val="2ED67AB3"/>
    <w:rsid w:val="2EFA10EB"/>
    <w:rsid w:val="2F1037A9"/>
    <w:rsid w:val="2F131FF1"/>
    <w:rsid w:val="2F13711A"/>
    <w:rsid w:val="2F3226FE"/>
    <w:rsid w:val="2F436F36"/>
    <w:rsid w:val="2F4E1D0F"/>
    <w:rsid w:val="2F5051AF"/>
    <w:rsid w:val="2F594063"/>
    <w:rsid w:val="2F7865AA"/>
    <w:rsid w:val="2FA07EE4"/>
    <w:rsid w:val="2FAD43AF"/>
    <w:rsid w:val="2FB27C17"/>
    <w:rsid w:val="2FB41BE1"/>
    <w:rsid w:val="2FC00586"/>
    <w:rsid w:val="2FC07B82"/>
    <w:rsid w:val="2FC21522"/>
    <w:rsid w:val="2FCC2A87"/>
    <w:rsid w:val="2FDE6606"/>
    <w:rsid w:val="2FF344B8"/>
    <w:rsid w:val="2FF7387C"/>
    <w:rsid w:val="2FF95846"/>
    <w:rsid w:val="30073ABF"/>
    <w:rsid w:val="30180806"/>
    <w:rsid w:val="301A33A3"/>
    <w:rsid w:val="301F34FF"/>
    <w:rsid w:val="30217F1D"/>
    <w:rsid w:val="30274161"/>
    <w:rsid w:val="30284935"/>
    <w:rsid w:val="302E3742"/>
    <w:rsid w:val="30313232"/>
    <w:rsid w:val="303643A5"/>
    <w:rsid w:val="30422D49"/>
    <w:rsid w:val="304D454B"/>
    <w:rsid w:val="305B205D"/>
    <w:rsid w:val="305D5DD5"/>
    <w:rsid w:val="305F7D9F"/>
    <w:rsid w:val="306E1D90"/>
    <w:rsid w:val="307B44AD"/>
    <w:rsid w:val="308275EA"/>
    <w:rsid w:val="308C2EAB"/>
    <w:rsid w:val="308F1B5C"/>
    <w:rsid w:val="30937A49"/>
    <w:rsid w:val="309A4933"/>
    <w:rsid w:val="30A0456A"/>
    <w:rsid w:val="30A23511"/>
    <w:rsid w:val="30A43AE3"/>
    <w:rsid w:val="30AB4D93"/>
    <w:rsid w:val="30AB6B41"/>
    <w:rsid w:val="30AE6631"/>
    <w:rsid w:val="30B579BF"/>
    <w:rsid w:val="30BF439A"/>
    <w:rsid w:val="30C96FC7"/>
    <w:rsid w:val="30CB1972"/>
    <w:rsid w:val="30CD2F5B"/>
    <w:rsid w:val="30CF6AA7"/>
    <w:rsid w:val="30D2231F"/>
    <w:rsid w:val="30E107B4"/>
    <w:rsid w:val="30FA1876"/>
    <w:rsid w:val="31127F83"/>
    <w:rsid w:val="311566B0"/>
    <w:rsid w:val="311E2422"/>
    <w:rsid w:val="31232B7B"/>
    <w:rsid w:val="312378AF"/>
    <w:rsid w:val="31307B16"/>
    <w:rsid w:val="314D19A6"/>
    <w:rsid w:val="314D7BF8"/>
    <w:rsid w:val="31576E12"/>
    <w:rsid w:val="315A40C3"/>
    <w:rsid w:val="316A69FC"/>
    <w:rsid w:val="318B6972"/>
    <w:rsid w:val="318D6246"/>
    <w:rsid w:val="319475D5"/>
    <w:rsid w:val="3199427B"/>
    <w:rsid w:val="31A92150"/>
    <w:rsid w:val="31AE37B4"/>
    <w:rsid w:val="31CD2AE7"/>
    <w:rsid w:val="31D039B5"/>
    <w:rsid w:val="31DD71CE"/>
    <w:rsid w:val="31E3055C"/>
    <w:rsid w:val="31E63BA8"/>
    <w:rsid w:val="31EE0600"/>
    <w:rsid w:val="31F036D7"/>
    <w:rsid w:val="31F14A27"/>
    <w:rsid w:val="31F2079F"/>
    <w:rsid w:val="32006155"/>
    <w:rsid w:val="32015B80"/>
    <w:rsid w:val="32024E86"/>
    <w:rsid w:val="3212499D"/>
    <w:rsid w:val="3216623C"/>
    <w:rsid w:val="322A618B"/>
    <w:rsid w:val="323112C7"/>
    <w:rsid w:val="32364B30"/>
    <w:rsid w:val="3239017C"/>
    <w:rsid w:val="323D1A1A"/>
    <w:rsid w:val="32456B21"/>
    <w:rsid w:val="32625925"/>
    <w:rsid w:val="326C7315"/>
    <w:rsid w:val="3271759A"/>
    <w:rsid w:val="32737B32"/>
    <w:rsid w:val="3276317E"/>
    <w:rsid w:val="327D733C"/>
    <w:rsid w:val="3281224F"/>
    <w:rsid w:val="328A09D8"/>
    <w:rsid w:val="32941E4F"/>
    <w:rsid w:val="32981347"/>
    <w:rsid w:val="329A50BF"/>
    <w:rsid w:val="329E3313"/>
    <w:rsid w:val="32A221C5"/>
    <w:rsid w:val="32AB4810"/>
    <w:rsid w:val="32AB72CC"/>
    <w:rsid w:val="32AE46C6"/>
    <w:rsid w:val="32B36CE5"/>
    <w:rsid w:val="32B37F2E"/>
    <w:rsid w:val="32B617CD"/>
    <w:rsid w:val="32CB52DE"/>
    <w:rsid w:val="32CD730F"/>
    <w:rsid w:val="32D16607"/>
    <w:rsid w:val="32D57EA5"/>
    <w:rsid w:val="32DF0D23"/>
    <w:rsid w:val="32DF2AD1"/>
    <w:rsid w:val="32E77BD8"/>
    <w:rsid w:val="32E85031"/>
    <w:rsid w:val="32F435DC"/>
    <w:rsid w:val="33044C2E"/>
    <w:rsid w:val="33062754"/>
    <w:rsid w:val="331F55C4"/>
    <w:rsid w:val="332546A1"/>
    <w:rsid w:val="33260700"/>
    <w:rsid w:val="33294694"/>
    <w:rsid w:val="332C1A8F"/>
    <w:rsid w:val="333A57B7"/>
    <w:rsid w:val="3353526D"/>
    <w:rsid w:val="335A7985"/>
    <w:rsid w:val="336934AE"/>
    <w:rsid w:val="336F02F9"/>
    <w:rsid w:val="3379080A"/>
    <w:rsid w:val="338423DD"/>
    <w:rsid w:val="338664CD"/>
    <w:rsid w:val="33AB1439"/>
    <w:rsid w:val="33B421B0"/>
    <w:rsid w:val="33DB598F"/>
    <w:rsid w:val="33E04D53"/>
    <w:rsid w:val="33EB36F8"/>
    <w:rsid w:val="33F24A86"/>
    <w:rsid w:val="33F702EF"/>
    <w:rsid w:val="340A1DD0"/>
    <w:rsid w:val="340C3D9A"/>
    <w:rsid w:val="34162F78"/>
    <w:rsid w:val="341F0078"/>
    <w:rsid w:val="342310E4"/>
    <w:rsid w:val="342C7F98"/>
    <w:rsid w:val="34321327"/>
    <w:rsid w:val="34384C27"/>
    <w:rsid w:val="343C67F2"/>
    <w:rsid w:val="343E1A7A"/>
    <w:rsid w:val="34403A44"/>
    <w:rsid w:val="344A7002"/>
    <w:rsid w:val="344D7F0F"/>
    <w:rsid w:val="345D7A29"/>
    <w:rsid w:val="34645984"/>
    <w:rsid w:val="34680092"/>
    <w:rsid w:val="346E6803"/>
    <w:rsid w:val="34737FC2"/>
    <w:rsid w:val="347D3C45"/>
    <w:rsid w:val="348410F4"/>
    <w:rsid w:val="34897AF5"/>
    <w:rsid w:val="3491429F"/>
    <w:rsid w:val="349249DB"/>
    <w:rsid w:val="34963664"/>
    <w:rsid w:val="34B63D06"/>
    <w:rsid w:val="34B8139C"/>
    <w:rsid w:val="34C12DD7"/>
    <w:rsid w:val="34C44675"/>
    <w:rsid w:val="34DA0784"/>
    <w:rsid w:val="34E95524"/>
    <w:rsid w:val="34F06C3B"/>
    <w:rsid w:val="34F94D16"/>
    <w:rsid w:val="34FD36E3"/>
    <w:rsid w:val="34FF745B"/>
    <w:rsid w:val="35040F15"/>
    <w:rsid w:val="35165311"/>
    <w:rsid w:val="351F246F"/>
    <w:rsid w:val="35242876"/>
    <w:rsid w:val="352E1AEE"/>
    <w:rsid w:val="35305866"/>
    <w:rsid w:val="353C420B"/>
    <w:rsid w:val="353E4427"/>
    <w:rsid w:val="355F614C"/>
    <w:rsid w:val="35633E8E"/>
    <w:rsid w:val="35635719"/>
    <w:rsid w:val="35753BC1"/>
    <w:rsid w:val="357F234A"/>
    <w:rsid w:val="35804783"/>
    <w:rsid w:val="358B0CEF"/>
    <w:rsid w:val="3592207D"/>
    <w:rsid w:val="35931E3C"/>
    <w:rsid w:val="35B4648C"/>
    <w:rsid w:val="35BB1C43"/>
    <w:rsid w:val="35BB230D"/>
    <w:rsid w:val="35BF3F67"/>
    <w:rsid w:val="35CB37E1"/>
    <w:rsid w:val="35D25868"/>
    <w:rsid w:val="35DD109D"/>
    <w:rsid w:val="35E6061B"/>
    <w:rsid w:val="35EA1EB9"/>
    <w:rsid w:val="35F85AD9"/>
    <w:rsid w:val="360F476D"/>
    <w:rsid w:val="36145188"/>
    <w:rsid w:val="36237179"/>
    <w:rsid w:val="362B4280"/>
    <w:rsid w:val="363A74FC"/>
    <w:rsid w:val="3647730B"/>
    <w:rsid w:val="364E72DF"/>
    <w:rsid w:val="364F61C0"/>
    <w:rsid w:val="365437D6"/>
    <w:rsid w:val="36545584"/>
    <w:rsid w:val="365E7F82"/>
    <w:rsid w:val="36644FE9"/>
    <w:rsid w:val="367E2601"/>
    <w:rsid w:val="3684230E"/>
    <w:rsid w:val="36853C27"/>
    <w:rsid w:val="36A54032"/>
    <w:rsid w:val="36AE738B"/>
    <w:rsid w:val="36B975A9"/>
    <w:rsid w:val="36C721FA"/>
    <w:rsid w:val="36C941C4"/>
    <w:rsid w:val="36D358EB"/>
    <w:rsid w:val="36E44B5A"/>
    <w:rsid w:val="36E83689"/>
    <w:rsid w:val="36EB2184"/>
    <w:rsid w:val="36EE59D9"/>
    <w:rsid w:val="370451FC"/>
    <w:rsid w:val="370C40B1"/>
    <w:rsid w:val="370E7993"/>
    <w:rsid w:val="371511B8"/>
    <w:rsid w:val="37171BA5"/>
    <w:rsid w:val="371B60A2"/>
    <w:rsid w:val="37230C70"/>
    <w:rsid w:val="37270EEB"/>
    <w:rsid w:val="373B4C58"/>
    <w:rsid w:val="3756532C"/>
    <w:rsid w:val="37704640"/>
    <w:rsid w:val="377140FB"/>
    <w:rsid w:val="377C2FB4"/>
    <w:rsid w:val="37A72204"/>
    <w:rsid w:val="37CB5D1A"/>
    <w:rsid w:val="37E961A0"/>
    <w:rsid w:val="37EA083E"/>
    <w:rsid w:val="37EF1A09"/>
    <w:rsid w:val="37EF7C5B"/>
    <w:rsid w:val="37F05781"/>
    <w:rsid w:val="381C69BD"/>
    <w:rsid w:val="381F5461"/>
    <w:rsid w:val="38207E14"/>
    <w:rsid w:val="382F44FB"/>
    <w:rsid w:val="383438BF"/>
    <w:rsid w:val="3836588A"/>
    <w:rsid w:val="38397128"/>
    <w:rsid w:val="383B2EA0"/>
    <w:rsid w:val="383E029A"/>
    <w:rsid w:val="38507FCD"/>
    <w:rsid w:val="38545D10"/>
    <w:rsid w:val="38613F89"/>
    <w:rsid w:val="386F66A6"/>
    <w:rsid w:val="387168C2"/>
    <w:rsid w:val="38741F0E"/>
    <w:rsid w:val="387463B2"/>
    <w:rsid w:val="38775944"/>
    <w:rsid w:val="387B329C"/>
    <w:rsid w:val="389B749B"/>
    <w:rsid w:val="38A24CCD"/>
    <w:rsid w:val="38A638D1"/>
    <w:rsid w:val="38A65E3F"/>
    <w:rsid w:val="38AA1DD4"/>
    <w:rsid w:val="38AB0112"/>
    <w:rsid w:val="38B425CD"/>
    <w:rsid w:val="38BC7547"/>
    <w:rsid w:val="3900052F"/>
    <w:rsid w:val="3905700A"/>
    <w:rsid w:val="39134975"/>
    <w:rsid w:val="39331DC9"/>
    <w:rsid w:val="39366FC5"/>
    <w:rsid w:val="393B2A2C"/>
    <w:rsid w:val="39400042"/>
    <w:rsid w:val="394713D0"/>
    <w:rsid w:val="39567866"/>
    <w:rsid w:val="395D6536"/>
    <w:rsid w:val="395D6E46"/>
    <w:rsid w:val="39721ED6"/>
    <w:rsid w:val="397F500E"/>
    <w:rsid w:val="3980268B"/>
    <w:rsid w:val="398616DE"/>
    <w:rsid w:val="398A630E"/>
    <w:rsid w:val="398B3413"/>
    <w:rsid w:val="398C3287"/>
    <w:rsid w:val="398E34A3"/>
    <w:rsid w:val="39916480"/>
    <w:rsid w:val="399B34CA"/>
    <w:rsid w:val="39A6259B"/>
    <w:rsid w:val="39BA4298"/>
    <w:rsid w:val="39BA7DF4"/>
    <w:rsid w:val="39BF7EC2"/>
    <w:rsid w:val="39CB0253"/>
    <w:rsid w:val="39CD3FCC"/>
    <w:rsid w:val="39CF6C2E"/>
    <w:rsid w:val="39D36F90"/>
    <w:rsid w:val="39D728C6"/>
    <w:rsid w:val="39D866E1"/>
    <w:rsid w:val="39DE7F87"/>
    <w:rsid w:val="3A0818E0"/>
    <w:rsid w:val="3A0977A4"/>
    <w:rsid w:val="3A0B0650"/>
    <w:rsid w:val="3A1514CF"/>
    <w:rsid w:val="3A1C6C50"/>
    <w:rsid w:val="3A290CED"/>
    <w:rsid w:val="3A2B0CF2"/>
    <w:rsid w:val="3A2D05C6"/>
    <w:rsid w:val="3A4A73CA"/>
    <w:rsid w:val="3A5A5133"/>
    <w:rsid w:val="3A6769CF"/>
    <w:rsid w:val="3A6F5083"/>
    <w:rsid w:val="3A726921"/>
    <w:rsid w:val="3A7B57D6"/>
    <w:rsid w:val="3A7D310D"/>
    <w:rsid w:val="3A963B49"/>
    <w:rsid w:val="3A9E3272"/>
    <w:rsid w:val="3ABB02C8"/>
    <w:rsid w:val="3AD4693D"/>
    <w:rsid w:val="3ADC2E01"/>
    <w:rsid w:val="3AEC66D3"/>
    <w:rsid w:val="3AEE244B"/>
    <w:rsid w:val="3AF67A8F"/>
    <w:rsid w:val="3B057795"/>
    <w:rsid w:val="3B070E17"/>
    <w:rsid w:val="3B0C0B24"/>
    <w:rsid w:val="3B0C28D2"/>
    <w:rsid w:val="3B131EB2"/>
    <w:rsid w:val="3B4E4C98"/>
    <w:rsid w:val="3B523786"/>
    <w:rsid w:val="3B5878C5"/>
    <w:rsid w:val="3B5953EB"/>
    <w:rsid w:val="3B6E0E96"/>
    <w:rsid w:val="3B781D15"/>
    <w:rsid w:val="3B871F58"/>
    <w:rsid w:val="3B8905EF"/>
    <w:rsid w:val="3B970D61"/>
    <w:rsid w:val="3B9B5A04"/>
    <w:rsid w:val="3BA477D3"/>
    <w:rsid w:val="3BB6283D"/>
    <w:rsid w:val="3BD55EF8"/>
    <w:rsid w:val="3BD57167"/>
    <w:rsid w:val="3BDD426E"/>
    <w:rsid w:val="3BDF3B42"/>
    <w:rsid w:val="3BE13D5E"/>
    <w:rsid w:val="3BE86E9B"/>
    <w:rsid w:val="3BF07AFD"/>
    <w:rsid w:val="3BF30E01"/>
    <w:rsid w:val="3BF82E56"/>
    <w:rsid w:val="3C291261"/>
    <w:rsid w:val="3C2C0941"/>
    <w:rsid w:val="3C342025"/>
    <w:rsid w:val="3C355E58"/>
    <w:rsid w:val="3C3C71E7"/>
    <w:rsid w:val="3C4900BA"/>
    <w:rsid w:val="3C4E5E9E"/>
    <w:rsid w:val="3C5A766D"/>
    <w:rsid w:val="3C667DC0"/>
    <w:rsid w:val="3C68449E"/>
    <w:rsid w:val="3C74072E"/>
    <w:rsid w:val="3C746980"/>
    <w:rsid w:val="3C7D424D"/>
    <w:rsid w:val="3C813DBA"/>
    <w:rsid w:val="3C8D7A42"/>
    <w:rsid w:val="3C91560C"/>
    <w:rsid w:val="3C97266F"/>
    <w:rsid w:val="3C9C7C85"/>
    <w:rsid w:val="3C9E1C4F"/>
    <w:rsid w:val="3CA134EE"/>
    <w:rsid w:val="3CAF1767"/>
    <w:rsid w:val="3CB274A9"/>
    <w:rsid w:val="3CC03974"/>
    <w:rsid w:val="3CC50F8A"/>
    <w:rsid w:val="3CC66AB0"/>
    <w:rsid w:val="3CC72F54"/>
    <w:rsid w:val="3CC87600"/>
    <w:rsid w:val="3CDB255C"/>
    <w:rsid w:val="3CF33D49"/>
    <w:rsid w:val="3CF950D8"/>
    <w:rsid w:val="3CFA4EFB"/>
    <w:rsid w:val="3D197528"/>
    <w:rsid w:val="3D475E43"/>
    <w:rsid w:val="3D4F4CF8"/>
    <w:rsid w:val="3D566086"/>
    <w:rsid w:val="3D5E514C"/>
    <w:rsid w:val="3D610E5E"/>
    <w:rsid w:val="3D711266"/>
    <w:rsid w:val="3D803DBC"/>
    <w:rsid w:val="3D8C4591"/>
    <w:rsid w:val="3D923791"/>
    <w:rsid w:val="3D932E36"/>
    <w:rsid w:val="3DB31B27"/>
    <w:rsid w:val="3DB37034"/>
    <w:rsid w:val="3DB44D73"/>
    <w:rsid w:val="3DB9344B"/>
    <w:rsid w:val="3DBA485E"/>
    <w:rsid w:val="3DC72AE0"/>
    <w:rsid w:val="3DDA6CB7"/>
    <w:rsid w:val="3DF02037"/>
    <w:rsid w:val="3DF80EEB"/>
    <w:rsid w:val="3DFD4754"/>
    <w:rsid w:val="3E047890"/>
    <w:rsid w:val="3E0D0E3B"/>
    <w:rsid w:val="3E141C6C"/>
    <w:rsid w:val="3E1675C3"/>
    <w:rsid w:val="3E1A70B4"/>
    <w:rsid w:val="3E1E1319"/>
    <w:rsid w:val="3E1F0B6E"/>
    <w:rsid w:val="3E3A1504"/>
    <w:rsid w:val="3E4405D4"/>
    <w:rsid w:val="3E587BDC"/>
    <w:rsid w:val="3E5A5A73"/>
    <w:rsid w:val="3E693B97"/>
    <w:rsid w:val="3E7A2248"/>
    <w:rsid w:val="3E832EAB"/>
    <w:rsid w:val="3E94330A"/>
    <w:rsid w:val="3EAB2402"/>
    <w:rsid w:val="3EBF1A09"/>
    <w:rsid w:val="3ECF6D22"/>
    <w:rsid w:val="3ED5122D"/>
    <w:rsid w:val="3ED96F6F"/>
    <w:rsid w:val="3EDE5210"/>
    <w:rsid w:val="3EDE6D46"/>
    <w:rsid w:val="3EE33949"/>
    <w:rsid w:val="3EE854B5"/>
    <w:rsid w:val="3F0F473E"/>
    <w:rsid w:val="3F255D10"/>
    <w:rsid w:val="3F281CA4"/>
    <w:rsid w:val="3F391461"/>
    <w:rsid w:val="3F3C12AC"/>
    <w:rsid w:val="3F402B4A"/>
    <w:rsid w:val="3F5457EA"/>
    <w:rsid w:val="3F636838"/>
    <w:rsid w:val="3F964E60"/>
    <w:rsid w:val="3F980BD8"/>
    <w:rsid w:val="3F9A4950"/>
    <w:rsid w:val="3FA4757D"/>
    <w:rsid w:val="3FA70E1B"/>
    <w:rsid w:val="3FAF1A7E"/>
    <w:rsid w:val="3FD31C10"/>
    <w:rsid w:val="3FD57736"/>
    <w:rsid w:val="3FDC2ADC"/>
    <w:rsid w:val="3FEC1E3F"/>
    <w:rsid w:val="3FEC294C"/>
    <w:rsid w:val="3FFD4EDF"/>
    <w:rsid w:val="400C6332"/>
    <w:rsid w:val="40251D40"/>
    <w:rsid w:val="402B37FA"/>
    <w:rsid w:val="40363F4D"/>
    <w:rsid w:val="4037219F"/>
    <w:rsid w:val="403A1342"/>
    <w:rsid w:val="404043A0"/>
    <w:rsid w:val="404B5C4A"/>
    <w:rsid w:val="404E1296"/>
    <w:rsid w:val="40534611"/>
    <w:rsid w:val="405A435B"/>
    <w:rsid w:val="405C7E57"/>
    <w:rsid w:val="405E3BCF"/>
    <w:rsid w:val="40672358"/>
    <w:rsid w:val="40675817"/>
    <w:rsid w:val="4072332D"/>
    <w:rsid w:val="40752CC7"/>
    <w:rsid w:val="4080519A"/>
    <w:rsid w:val="40827192"/>
    <w:rsid w:val="408973D9"/>
    <w:rsid w:val="408D1DBF"/>
    <w:rsid w:val="408D6263"/>
    <w:rsid w:val="408D6705"/>
    <w:rsid w:val="408E54D0"/>
    <w:rsid w:val="40953369"/>
    <w:rsid w:val="409A0980"/>
    <w:rsid w:val="409C0254"/>
    <w:rsid w:val="40A67324"/>
    <w:rsid w:val="40A92971"/>
    <w:rsid w:val="40AA0BC3"/>
    <w:rsid w:val="40AB66E9"/>
    <w:rsid w:val="40B732E0"/>
    <w:rsid w:val="40C20896"/>
    <w:rsid w:val="40CF0629"/>
    <w:rsid w:val="40D043A1"/>
    <w:rsid w:val="40E35E83"/>
    <w:rsid w:val="40E63BC5"/>
    <w:rsid w:val="40EC6950"/>
    <w:rsid w:val="40ED2526"/>
    <w:rsid w:val="40F24F08"/>
    <w:rsid w:val="40F475A0"/>
    <w:rsid w:val="40F60D4D"/>
    <w:rsid w:val="40FB2880"/>
    <w:rsid w:val="410C52E4"/>
    <w:rsid w:val="4114428E"/>
    <w:rsid w:val="41194822"/>
    <w:rsid w:val="412065EA"/>
    <w:rsid w:val="41236F59"/>
    <w:rsid w:val="41264427"/>
    <w:rsid w:val="41265D6F"/>
    <w:rsid w:val="41281AE7"/>
    <w:rsid w:val="412A1D04"/>
    <w:rsid w:val="412D70FE"/>
    <w:rsid w:val="4148218A"/>
    <w:rsid w:val="41487973"/>
    <w:rsid w:val="415723CD"/>
    <w:rsid w:val="41652D3C"/>
    <w:rsid w:val="416F5968"/>
    <w:rsid w:val="41703483"/>
    <w:rsid w:val="41831414"/>
    <w:rsid w:val="418E2B88"/>
    <w:rsid w:val="41A21D73"/>
    <w:rsid w:val="41A31ADD"/>
    <w:rsid w:val="41A35612"/>
    <w:rsid w:val="41A75102"/>
    <w:rsid w:val="41AF4E5F"/>
    <w:rsid w:val="41BD0482"/>
    <w:rsid w:val="41C37A62"/>
    <w:rsid w:val="41C95079"/>
    <w:rsid w:val="41D67795"/>
    <w:rsid w:val="41DE664A"/>
    <w:rsid w:val="41EC6FB9"/>
    <w:rsid w:val="41F229CD"/>
    <w:rsid w:val="42075BA1"/>
    <w:rsid w:val="420B5B92"/>
    <w:rsid w:val="420E6F2F"/>
    <w:rsid w:val="42224789"/>
    <w:rsid w:val="422C1AAB"/>
    <w:rsid w:val="422E5CA7"/>
    <w:rsid w:val="42336996"/>
    <w:rsid w:val="42415557"/>
    <w:rsid w:val="42447A1F"/>
    <w:rsid w:val="424515BD"/>
    <w:rsid w:val="425B73AC"/>
    <w:rsid w:val="4262727B"/>
    <w:rsid w:val="426C3C56"/>
    <w:rsid w:val="427A320B"/>
    <w:rsid w:val="427A6373"/>
    <w:rsid w:val="4283791D"/>
    <w:rsid w:val="42903DE8"/>
    <w:rsid w:val="42982C9D"/>
    <w:rsid w:val="429C453B"/>
    <w:rsid w:val="42AB6E74"/>
    <w:rsid w:val="42B20202"/>
    <w:rsid w:val="42B37AD7"/>
    <w:rsid w:val="42B86E9B"/>
    <w:rsid w:val="42CD6DEA"/>
    <w:rsid w:val="42D1070F"/>
    <w:rsid w:val="42D31F27"/>
    <w:rsid w:val="42D71A17"/>
    <w:rsid w:val="42E2557F"/>
    <w:rsid w:val="42F500EF"/>
    <w:rsid w:val="430B7913"/>
    <w:rsid w:val="430D71E7"/>
    <w:rsid w:val="430D7729"/>
    <w:rsid w:val="431D5651"/>
    <w:rsid w:val="435A177E"/>
    <w:rsid w:val="436808C1"/>
    <w:rsid w:val="43690277"/>
    <w:rsid w:val="436A288B"/>
    <w:rsid w:val="436D27D1"/>
    <w:rsid w:val="437255D6"/>
    <w:rsid w:val="43811983"/>
    <w:rsid w:val="438823EF"/>
    <w:rsid w:val="43884ABF"/>
    <w:rsid w:val="439416B6"/>
    <w:rsid w:val="439671DC"/>
    <w:rsid w:val="43972F54"/>
    <w:rsid w:val="439C7DDE"/>
    <w:rsid w:val="439F61E6"/>
    <w:rsid w:val="43A15517"/>
    <w:rsid w:val="43A318F9"/>
    <w:rsid w:val="43A84854"/>
    <w:rsid w:val="43AC2E51"/>
    <w:rsid w:val="43B342D5"/>
    <w:rsid w:val="43B64920"/>
    <w:rsid w:val="43C74C25"/>
    <w:rsid w:val="43CC52F4"/>
    <w:rsid w:val="43E3233B"/>
    <w:rsid w:val="43F316C8"/>
    <w:rsid w:val="43F87E97"/>
    <w:rsid w:val="440120F5"/>
    <w:rsid w:val="44145283"/>
    <w:rsid w:val="441F5D36"/>
    <w:rsid w:val="4427252A"/>
    <w:rsid w:val="442962A2"/>
    <w:rsid w:val="442F206B"/>
    <w:rsid w:val="44315157"/>
    <w:rsid w:val="44330ECF"/>
    <w:rsid w:val="4439400C"/>
    <w:rsid w:val="444430DC"/>
    <w:rsid w:val="4469669F"/>
    <w:rsid w:val="446A5D56"/>
    <w:rsid w:val="44871D79"/>
    <w:rsid w:val="44983EC7"/>
    <w:rsid w:val="449905D9"/>
    <w:rsid w:val="449A6429"/>
    <w:rsid w:val="449C6A74"/>
    <w:rsid w:val="449F0313"/>
    <w:rsid w:val="44A122DD"/>
    <w:rsid w:val="44A44B31"/>
    <w:rsid w:val="44AD6ED3"/>
    <w:rsid w:val="44BA09DD"/>
    <w:rsid w:val="44BF6C07"/>
    <w:rsid w:val="44E15151"/>
    <w:rsid w:val="44E15337"/>
    <w:rsid w:val="44E45023"/>
    <w:rsid w:val="44E86854"/>
    <w:rsid w:val="44EC7351"/>
    <w:rsid w:val="44F248E6"/>
    <w:rsid w:val="44F405A8"/>
    <w:rsid w:val="44FA3CB5"/>
    <w:rsid w:val="44FE1EE9"/>
    <w:rsid w:val="45036AF3"/>
    <w:rsid w:val="45040A06"/>
    <w:rsid w:val="450D1720"/>
    <w:rsid w:val="453F5652"/>
    <w:rsid w:val="455235D7"/>
    <w:rsid w:val="45594965"/>
    <w:rsid w:val="455B692F"/>
    <w:rsid w:val="456C0CC0"/>
    <w:rsid w:val="456D21BF"/>
    <w:rsid w:val="457479F1"/>
    <w:rsid w:val="457F1EF2"/>
    <w:rsid w:val="458F2E81"/>
    <w:rsid w:val="459260C9"/>
    <w:rsid w:val="45A04342"/>
    <w:rsid w:val="45AF0A29"/>
    <w:rsid w:val="45AF6A59"/>
    <w:rsid w:val="45B55914"/>
    <w:rsid w:val="45B63B66"/>
    <w:rsid w:val="45C5024D"/>
    <w:rsid w:val="45C81AEB"/>
    <w:rsid w:val="45D43FEC"/>
    <w:rsid w:val="45DE1D77"/>
    <w:rsid w:val="45E16705"/>
    <w:rsid w:val="45E83F3B"/>
    <w:rsid w:val="45EC7588"/>
    <w:rsid w:val="45ED68FD"/>
    <w:rsid w:val="45EF0E26"/>
    <w:rsid w:val="46050649"/>
    <w:rsid w:val="46162269"/>
    <w:rsid w:val="46162793"/>
    <w:rsid w:val="46207200"/>
    <w:rsid w:val="46226D08"/>
    <w:rsid w:val="462B0666"/>
    <w:rsid w:val="46342CDD"/>
    <w:rsid w:val="463543DF"/>
    <w:rsid w:val="463D7F3C"/>
    <w:rsid w:val="464955D3"/>
    <w:rsid w:val="464F5D68"/>
    <w:rsid w:val="465670F7"/>
    <w:rsid w:val="46582E6F"/>
    <w:rsid w:val="465B470D"/>
    <w:rsid w:val="467066EF"/>
    <w:rsid w:val="46841EB6"/>
    <w:rsid w:val="468B47AB"/>
    <w:rsid w:val="469043B7"/>
    <w:rsid w:val="469B15DD"/>
    <w:rsid w:val="46A06DFD"/>
    <w:rsid w:val="46A75BA4"/>
    <w:rsid w:val="46BA1434"/>
    <w:rsid w:val="46C202E8"/>
    <w:rsid w:val="46C40504"/>
    <w:rsid w:val="46C422B2"/>
    <w:rsid w:val="46C71DA3"/>
    <w:rsid w:val="46CD560B"/>
    <w:rsid w:val="46CF76DE"/>
    <w:rsid w:val="46D52711"/>
    <w:rsid w:val="46D651B3"/>
    <w:rsid w:val="46D70238"/>
    <w:rsid w:val="46DA56D2"/>
    <w:rsid w:val="46DF0E9A"/>
    <w:rsid w:val="46E93066"/>
    <w:rsid w:val="46F30DEA"/>
    <w:rsid w:val="470321F6"/>
    <w:rsid w:val="470E1780"/>
    <w:rsid w:val="4723347D"/>
    <w:rsid w:val="47347438"/>
    <w:rsid w:val="47434D48"/>
    <w:rsid w:val="4746716B"/>
    <w:rsid w:val="474857F1"/>
    <w:rsid w:val="47503B46"/>
    <w:rsid w:val="47633879"/>
    <w:rsid w:val="47685032"/>
    <w:rsid w:val="4769234B"/>
    <w:rsid w:val="476937DB"/>
    <w:rsid w:val="476B0980"/>
    <w:rsid w:val="477C0DDF"/>
    <w:rsid w:val="47941618"/>
    <w:rsid w:val="479B691A"/>
    <w:rsid w:val="47A006D6"/>
    <w:rsid w:val="47A2174A"/>
    <w:rsid w:val="47AA0E1C"/>
    <w:rsid w:val="47AD2D46"/>
    <w:rsid w:val="47AD71EA"/>
    <w:rsid w:val="47B57537"/>
    <w:rsid w:val="47B73BC5"/>
    <w:rsid w:val="47B817DB"/>
    <w:rsid w:val="47BA5463"/>
    <w:rsid w:val="47CF316E"/>
    <w:rsid w:val="47D97FDF"/>
    <w:rsid w:val="47DB3D58"/>
    <w:rsid w:val="47DE1152"/>
    <w:rsid w:val="47EA0BE5"/>
    <w:rsid w:val="47F64FEA"/>
    <w:rsid w:val="47FB4ABF"/>
    <w:rsid w:val="47FE7A46"/>
    <w:rsid w:val="48026F58"/>
    <w:rsid w:val="480768FB"/>
    <w:rsid w:val="48135CD5"/>
    <w:rsid w:val="481676AF"/>
    <w:rsid w:val="482A083B"/>
    <w:rsid w:val="482F5E51"/>
    <w:rsid w:val="48314507"/>
    <w:rsid w:val="48476A5C"/>
    <w:rsid w:val="48537D92"/>
    <w:rsid w:val="485B6C46"/>
    <w:rsid w:val="4860425D"/>
    <w:rsid w:val="48643D4D"/>
    <w:rsid w:val="48651873"/>
    <w:rsid w:val="48694241"/>
    <w:rsid w:val="486F6553"/>
    <w:rsid w:val="48797903"/>
    <w:rsid w:val="48A00177"/>
    <w:rsid w:val="48A424F4"/>
    <w:rsid w:val="48C04CFB"/>
    <w:rsid w:val="48C52312"/>
    <w:rsid w:val="48D2515B"/>
    <w:rsid w:val="48D8725E"/>
    <w:rsid w:val="48DF1625"/>
    <w:rsid w:val="48F010BA"/>
    <w:rsid w:val="48F055E1"/>
    <w:rsid w:val="490270C2"/>
    <w:rsid w:val="49106BE3"/>
    <w:rsid w:val="491F6E90"/>
    <w:rsid w:val="49227764"/>
    <w:rsid w:val="492B6619"/>
    <w:rsid w:val="492E2692"/>
    <w:rsid w:val="49351245"/>
    <w:rsid w:val="493E738B"/>
    <w:rsid w:val="495C67D2"/>
    <w:rsid w:val="4968786D"/>
    <w:rsid w:val="4970736E"/>
    <w:rsid w:val="4981448B"/>
    <w:rsid w:val="498D2E30"/>
    <w:rsid w:val="49920446"/>
    <w:rsid w:val="49A36F50"/>
    <w:rsid w:val="49A5202F"/>
    <w:rsid w:val="49A73042"/>
    <w:rsid w:val="49A81A17"/>
    <w:rsid w:val="49AA648C"/>
    <w:rsid w:val="49B06B1E"/>
    <w:rsid w:val="49C0063D"/>
    <w:rsid w:val="49C10D2B"/>
    <w:rsid w:val="49C600F0"/>
    <w:rsid w:val="49C65A76"/>
    <w:rsid w:val="49D56C33"/>
    <w:rsid w:val="49DB003F"/>
    <w:rsid w:val="49DE45AD"/>
    <w:rsid w:val="49E962D9"/>
    <w:rsid w:val="49EC3FFA"/>
    <w:rsid w:val="49F512D8"/>
    <w:rsid w:val="49F70BF1"/>
    <w:rsid w:val="49FA6AE9"/>
    <w:rsid w:val="49FF5353"/>
    <w:rsid w:val="4A031344"/>
    <w:rsid w:val="4A123335"/>
    <w:rsid w:val="4A162E25"/>
    <w:rsid w:val="4A190B67"/>
    <w:rsid w:val="4A1D0657"/>
    <w:rsid w:val="4A2F038B"/>
    <w:rsid w:val="4A370FED"/>
    <w:rsid w:val="4A3A68E8"/>
    <w:rsid w:val="4A481450"/>
    <w:rsid w:val="4A4D25BF"/>
    <w:rsid w:val="4A5120AF"/>
    <w:rsid w:val="4A547DF1"/>
    <w:rsid w:val="4A5E47CC"/>
    <w:rsid w:val="4A7F1811"/>
    <w:rsid w:val="4A834233"/>
    <w:rsid w:val="4A842484"/>
    <w:rsid w:val="4A8568AA"/>
    <w:rsid w:val="4A867F75"/>
    <w:rsid w:val="4A8E50B1"/>
    <w:rsid w:val="4A8F69E9"/>
    <w:rsid w:val="4A926343"/>
    <w:rsid w:val="4A9B157C"/>
    <w:rsid w:val="4A9D59F1"/>
    <w:rsid w:val="4AA30431"/>
    <w:rsid w:val="4AAA7A11"/>
    <w:rsid w:val="4AAF5028"/>
    <w:rsid w:val="4AAF6DD6"/>
    <w:rsid w:val="4AC7411F"/>
    <w:rsid w:val="4AC97013"/>
    <w:rsid w:val="4ACE1952"/>
    <w:rsid w:val="4AD52CE0"/>
    <w:rsid w:val="4AD8457E"/>
    <w:rsid w:val="4ADB7BCB"/>
    <w:rsid w:val="4AE27640"/>
    <w:rsid w:val="4B14115F"/>
    <w:rsid w:val="4B3043BA"/>
    <w:rsid w:val="4B502367"/>
    <w:rsid w:val="4B613103"/>
    <w:rsid w:val="4B736055"/>
    <w:rsid w:val="4B7D0C82"/>
    <w:rsid w:val="4B8169C4"/>
    <w:rsid w:val="4B8450BF"/>
    <w:rsid w:val="4B984363"/>
    <w:rsid w:val="4BA44460"/>
    <w:rsid w:val="4BB01057"/>
    <w:rsid w:val="4BB46D99"/>
    <w:rsid w:val="4BB96C17"/>
    <w:rsid w:val="4BBD4578"/>
    <w:rsid w:val="4BC32B39"/>
    <w:rsid w:val="4BC93EC7"/>
    <w:rsid w:val="4BD20FCE"/>
    <w:rsid w:val="4BD4520F"/>
    <w:rsid w:val="4BD905AE"/>
    <w:rsid w:val="4BD9235C"/>
    <w:rsid w:val="4BEA0B83"/>
    <w:rsid w:val="4BEB02E1"/>
    <w:rsid w:val="4BF47196"/>
    <w:rsid w:val="4C0C5A1B"/>
    <w:rsid w:val="4C0D2C73"/>
    <w:rsid w:val="4C0F3FD0"/>
    <w:rsid w:val="4C1D377B"/>
    <w:rsid w:val="4C1E06B7"/>
    <w:rsid w:val="4C2F70F0"/>
    <w:rsid w:val="4C343813"/>
    <w:rsid w:val="4C4A67B0"/>
    <w:rsid w:val="4C5145E8"/>
    <w:rsid w:val="4C5365B2"/>
    <w:rsid w:val="4C545E87"/>
    <w:rsid w:val="4C5900BC"/>
    <w:rsid w:val="4C5B0FC3"/>
    <w:rsid w:val="4C7402D7"/>
    <w:rsid w:val="4C8627D4"/>
    <w:rsid w:val="4C932A4A"/>
    <w:rsid w:val="4C94169A"/>
    <w:rsid w:val="4C955995"/>
    <w:rsid w:val="4C995F8F"/>
    <w:rsid w:val="4C9D3ED0"/>
    <w:rsid w:val="4C9D782D"/>
    <w:rsid w:val="4CA30BBC"/>
    <w:rsid w:val="4CB84667"/>
    <w:rsid w:val="4CBF751C"/>
    <w:rsid w:val="4CC11A74"/>
    <w:rsid w:val="4CC1642A"/>
    <w:rsid w:val="4CC56D84"/>
    <w:rsid w:val="4CC81A74"/>
    <w:rsid w:val="4CDA2830"/>
    <w:rsid w:val="4CDD5E7C"/>
    <w:rsid w:val="4CE251D5"/>
    <w:rsid w:val="4CE4545C"/>
    <w:rsid w:val="4CE5133F"/>
    <w:rsid w:val="4CE54D31"/>
    <w:rsid w:val="4CF3569F"/>
    <w:rsid w:val="4D094EC3"/>
    <w:rsid w:val="4D0C49B3"/>
    <w:rsid w:val="4D152927"/>
    <w:rsid w:val="4D1675E0"/>
    <w:rsid w:val="4D1C19ED"/>
    <w:rsid w:val="4D1D271C"/>
    <w:rsid w:val="4D275349"/>
    <w:rsid w:val="4D371A30"/>
    <w:rsid w:val="4D3A1520"/>
    <w:rsid w:val="4D48391E"/>
    <w:rsid w:val="4D4E5624"/>
    <w:rsid w:val="4D6640C3"/>
    <w:rsid w:val="4D6644C5"/>
    <w:rsid w:val="4D6D36A4"/>
    <w:rsid w:val="4D73058E"/>
    <w:rsid w:val="4D814A59"/>
    <w:rsid w:val="4D8C0196"/>
    <w:rsid w:val="4D9F75D5"/>
    <w:rsid w:val="4DC42B98"/>
    <w:rsid w:val="4DC4528E"/>
    <w:rsid w:val="4E0051A6"/>
    <w:rsid w:val="4E015B9A"/>
    <w:rsid w:val="4E031912"/>
    <w:rsid w:val="4E044BF2"/>
    <w:rsid w:val="4E0B07C7"/>
    <w:rsid w:val="4E233D62"/>
    <w:rsid w:val="4E2545EC"/>
    <w:rsid w:val="4E347D1E"/>
    <w:rsid w:val="4E3C2196"/>
    <w:rsid w:val="4E4243EA"/>
    <w:rsid w:val="4E4361B3"/>
    <w:rsid w:val="4E437F61"/>
    <w:rsid w:val="4E473EF5"/>
    <w:rsid w:val="4E483B90"/>
    <w:rsid w:val="4E4C4E42"/>
    <w:rsid w:val="4E540A58"/>
    <w:rsid w:val="4E571C5E"/>
    <w:rsid w:val="4E5E2FEC"/>
    <w:rsid w:val="4E8A50C6"/>
    <w:rsid w:val="4E915170"/>
    <w:rsid w:val="4E9702AC"/>
    <w:rsid w:val="4EA26166"/>
    <w:rsid w:val="4EA87052"/>
    <w:rsid w:val="4EC10278"/>
    <w:rsid w:val="4ECA0682"/>
    <w:rsid w:val="4EDD03B5"/>
    <w:rsid w:val="4EDE0C0F"/>
    <w:rsid w:val="4EE05E69"/>
    <w:rsid w:val="4EFF3A96"/>
    <w:rsid w:val="4F0E056F"/>
    <w:rsid w:val="4F310701"/>
    <w:rsid w:val="4F346C2B"/>
    <w:rsid w:val="4F3E53F4"/>
    <w:rsid w:val="4F4B1105"/>
    <w:rsid w:val="4F4D178A"/>
    <w:rsid w:val="4F5F154A"/>
    <w:rsid w:val="4F617740"/>
    <w:rsid w:val="4F622668"/>
    <w:rsid w:val="4F675ED1"/>
    <w:rsid w:val="4F6F4D85"/>
    <w:rsid w:val="4F7806A0"/>
    <w:rsid w:val="4F7E56D3"/>
    <w:rsid w:val="4F7F68E8"/>
    <w:rsid w:val="4F894099"/>
    <w:rsid w:val="4FA9473B"/>
    <w:rsid w:val="4FB629B4"/>
    <w:rsid w:val="4FB82BD0"/>
    <w:rsid w:val="4FBA06F6"/>
    <w:rsid w:val="4FC13833"/>
    <w:rsid w:val="4FD03A76"/>
    <w:rsid w:val="4FE17A31"/>
    <w:rsid w:val="50025BF9"/>
    <w:rsid w:val="50033E4B"/>
    <w:rsid w:val="500951DA"/>
    <w:rsid w:val="50280768"/>
    <w:rsid w:val="5032028D"/>
    <w:rsid w:val="503F0BFC"/>
    <w:rsid w:val="505439EB"/>
    <w:rsid w:val="5060304C"/>
    <w:rsid w:val="508F3F0E"/>
    <w:rsid w:val="50967DFF"/>
    <w:rsid w:val="50983711"/>
    <w:rsid w:val="50992C99"/>
    <w:rsid w:val="50A0169A"/>
    <w:rsid w:val="50A81AB3"/>
    <w:rsid w:val="50B45B0C"/>
    <w:rsid w:val="50BE4F65"/>
    <w:rsid w:val="50CA6717"/>
    <w:rsid w:val="50CC6933"/>
    <w:rsid w:val="50CF3D2E"/>
    <w:rsid w:val="50D130C8"/>
    <w:rsid w:val="50EA0B67"/>
    <w:rsid w:val="50F32112"/>
    <w:rsid w:val="51124B24"/>
    <w:rsid w:val="51177ECF"/>
    <w:rsid w:val="5119144D"/>
    <w:rsid w:val="512322CB"/>
    <w:rsid w:val="512978E2"/>
    <w:rsid w:val="513D15DF"/>
    <w:rsid w:val="51486532"/>
    <w:rsid w:val="514F30C0"/>
    <w:rsid w:val="51532BB1"/>
    <w:rsid w:val="515D758B"/>
    <w:rsid w:val="516E1798"/>
    <w:rsid w:val="516F72BF"/>
    <w:rsid w:val="517364CA"/>
    <w:rsid w:val="5176064D"/>
    <w:rsid w:val="517B5C63"/>
    <w:rsid w:val="518014CC"/>
    <w:rsid w:val="51A20121"/>
    <w:rsid w:val="51BA49DE"/>
    <w:rsid w:val="51D610EC"/>
    <w:rsid w:val="51DC0DF8"/>
    <w:rsid w:val="51E367A6"/>
    <w:rsid w:val="51EB4B97"/>
    <w:rsid w:val="51F07734"/>
    <w:rsid w:val="51F85506"/>
    <w:rsid w:val="52120A55"/>
    <w:rsid w:val="52122562"/>
    <w:rsid w:val="521237FC"/>
    <w:rsid w:val="522C4FFD"/>
    <w:rsid w:val="522C5257"/>
    <w:rsid w:val="522D3402"/>
    <w:rsid w:val="523D0094"/>
    <w:rsid w:val="52416EAD"/>
    <w:rsid w:val="524349D3"/>
    <w:rsid w:val="524D5555"/>
    <w:rsid w:val="52796647"/>
    <w:rsid w:val="528B2997"/>
    <w:rsid w:val="528F6754"/>
    <w:rsid w:val="529C47BF"/>
    <w:rsid w:val="529E1C09"/>
    <w:rsid w:val="52A87C5A"/>
    <w:rsid w:val="52B92EE7"/>
    <w:rsid w:val="52BF6691"/>
    <w:rsid w:val="52C04276"/>
    <w:rsid w:val="52D25ACE"/>
    <w:rsid w:val="52D6583A"/>
    <w:rsid w:val="52D7336D"/>
    <w:rsid w:val="52DC6BD6"/>
    <w:rsid w:val="52DE64AA"/>
    <w:rsid w:val="52E235B7"/>
    <w:rsid w:val="52E31D12"/>
    <w:rsid w:val="52E361B6"/>
    <w:rsid w:val="52E741C9"/>
    <w:rsid w:val="530028C4"/>
    <w:rsid w:val="53113369"/>
    <w:rsid w:val="53177E59"/>
    <w:rsid w:val="531A7224"/>
    <w:rsid w:val="531D6306"/>
    <w:rsid w:val="53206AC2"/>
    <w:rsid w:val="53277E51"/>
    <w:rsid w:val="533E33EC"/>
    <w:rsid w:val="533E69B6"/>
    <w:rsid w:val="53476745"/>
    <w:rsid w:val="53513120"/>
    <w:rsid w:val="5355276E"/>
    <w:rsid w:val="5362532D"/>
    <w:rsid w:val="538C05FC"/>
    <w:rsid w:val="538E5F89"/>
    <w:rsid w:val="539C6DA7"/>
    <w:rsid w:val="53A03BED"/>
    <w:rsid w:val="53A07C03"/>
    <w:rsid w:val="53A72D40"/>
    <w:rsid w:val="53B611D5"/>
    <w:rsid w:val="53C41B44"/>
    <w:rsid w:val="53CC09F8"/>
    <w:rsid w:val="53D06F9D"/>
    <w:rsid w:val="53D5659B"/>
    <w:rsid w:val="53D94F3D"/>
    <w:rsid w:val="53EE4E13"/>
    <w:rsid w:val="53FC12DE"/>
    <w:rsid w:val="540630C1"/>
    <w:rsid w:val="540977F1"/>
    <w:rsid w:val="541A5C08"/>
    <w:rsid w:val="54212AF2"/>
    <w:rsid w:val="5422529D"/>
    <w:rsid w:val="542441FB"/>
    <w:rsid w:val="542A76F3"/>
    <w:rsid w:val="542D76E9"/>
    <w:rsid w:val="54404808"/>
    <w:rsid w:val="544669FD"/>
    <w:rsid w:val="54694499"/>
    <w:rsid w:val="546A418F"/>
    <w:rsid w:val="548A4CE3"/>
    <w:rsid w:val="54947768"/>
    <w:rsid w:val="54972DB4"/>
    <w:rsid w:val="549B4E7B"/>
    <w:rsid w:val="549E2395"/>
    <w:rsid w:val="54A10956"/>
    <w:rsid w:val="54B15827"/>
    <w:rsid w:val="54BC0090"/>
    <w:rsid w:val="54CA2703"/>
    <w:rsid w:val="54CA318A"/>
    <w:rsid w:val="54E87AB4"/>
    <w:rsid w:val="54F16968"/>
    <w:rsid w:val="54F41009"/>
    <w:rsid w:val="54F9581D"/>
    <w:rsid w:val="55006BAB"/>
    <w:rsid w:val="550A268B"/>
    <w:rsid w:val="551663CF"/>
    <w:rsid w:val="5536081F"/>
    <w:rsid w:val="55452810"/>
    <w:rsid w:val="554A7E27"/>
    <w:rsid w:val="554D5B69"/>
    <w:rsid w:val="5556122E"/>
    <w:rsid w:val="5563501D"/>
    <w:rsid w:val="556B681E"/>
    <w:rsid w:val="557B2E9D"/>
    <w:rsid w:val="559267E1"/>
    <w:rsid w:val="559B2D78"/>
    <w:rsid w:val="559B4E20"/>
    <w:rsid w:val="55A57753"/>
    <w:rsid w:val="55B654BC"/>
    <w:rsid w:val="55C4407D"/>
    <w:rsid w:val="55C951EF"/>
    <w:rsid w:val="55D87B28"/>
    <w:rsid w:val="55E5191B"/>
    <w:rsid w:val="55E907A3"/>
    <w:rsid w:val="55F01743"/>
    <w:rsid w:val="55F75CF1"/>
    <w:rsid w:val="55FD30EB"/>
    <w:rsid w:val="560721BC"/>
    <w:rsid w:val="560C77D2"/>
    <w:rsid w:val="56156687"/>
    <w:rsid w:val="561B17C3"/>
    <w:rsid w:val="56312D95"/>
    <w:rsid w:val="563F1955"/>
    <w:rsid w:val="5653130A"/>
    <w:rsid w:val="56682C5A"/>
    <w:rsid w:val="566B44F9"/>
    <w:rsid w:val="56811F6E"/>
    <w:rsid w:val="569649D8"/>
    <w:rsid w:val="569C6DA8"/>
    <w:rsid w:val="56A812A9"/>
    <w:rsid w:val="56A874FB"/>
    <w:rsid w:val="56AB00D2"/>
    <w:rsid w:val="56AD68BF"/>
    <w:rsid w:val="56BF65F2"/>
    <w:rsid w:val="56F24C1A"/>
    <w:rsid w:val="56F71F0D"/>
    <w:rsid w:val="56F75D8C"/>
    <w:rsid w:val="56FA11A9"/>
    <w:rsid w:val="570851B2"/>
    <w:rsid w:val="570A5ABF"/>
    <w:rsid w:val="571406EC"/>
    <w:rsid w:val="57146014"/>
    <w:rsid w:val="57203535"/>
    <w:rsid w:val="572172AD"/>
    <w:rsid w:val="57233025"/>
    <w:rsid w:val="572D203D"/>
    <w:rsid w:val="572F3F6E"/>
    <w:rsid w:val="57337F1D"/>
    <w:rsid w:val="573451D3"/>
    <w:rsid w:val="573B5D90"/>
    <w:rsid w:val="574B1842"/>
    <w:rsid w:val="574E3841"/>
    <w:rsid w:val="575256B8"/>
    <w:rsid w:val="57541431"/>
    <w:rsid w:val="5765363E"/>
    <w:rsid w:val="576A47B0"/>
    <w:rsid w:val="5780751F"/>
    <w:rsid w:val="578D66F1"/>
    <w:rsid w:val="57947A7F"/>
    <w:rsid w:val="5797131D"/>
    <w:rsid w:val="579B2BBB"/>
    <w:rsid w:val="579D1EE7"/>
    <w:rsid w:val="57AE698D"/>
    <w:rsid w:val="57AF6667"/>
    <w:rsid w:val="57C32112"/>
    <w:rsid w:val="57CA34A1"/>
    <w:rsid w:val="57CF4D25"/>
    <w:rsid w:val="57E176C8"/>
    <w:rsid w:val="57E75E01"/>
    <w:rsid w:val="57EA58F1"/>
    <w:rsid w:val="57EA75B6"/>
    <w:rsid w:val="57EC78BB"/>
    <w:rsid w:val="57EF4CB5"/>
    <w:rsid w:val="580F25F1"/>
    <w:rsid w:val="5834613A"/>
    <w:rsid w:val="583555B0"/>
    <w:rsid w:val="583F6981"/>
    <w:rsid w:val="58474AF1"/>
    <w:rsid w:val="58594DCC"/>
    <w:rsid w:val="585A4825"/>
    <w:rsid w:val="58607995"/>
    <w:rsid w:val="58704048"/>
    <w:rsid w:val="58727DC0"/>
    <w:rsid w:val="587677E4"/>
    <w:rsid w:val="58781F86"/>
    <w:rsid w:val="587C29ED"/>
    <w:rsid w:val="58896EB8"/>
    <w:rsid w:val="58A03E85"/>
    <w:rsid w:val="58A145D5"/>
    <w:rsid w:val="58AE4B70"/>
    <w:rsid w:val="58B45C07"/>
    <w:rsid w:val="58B5476B"/>
    <w:rsid w:val="58D95E28"/>
    <w:rsid w:val="58EF7663"/>
    <w:rsid w:val="58F63754"/>
    <w:rsid w:val="58FA1B64"/>
    <w:rsid w:val="5906675A"/>
    <w:rsid w:val="59097FF9"/>
    <w:rsid w:val="590D4ADB"/>
    <w:rsid w:val="59126EAD"/>
    <w:rsid w:val="59246BE1"/>
    <w:rsid w:val="59262959"/>
    <w:rsid w:val="592D31E7"/>
    <w:rsid w:val="592F7A5F"/>
    <w:rsid w:val="593257A1"/>
    <w:rsid w:val="5934151A"/>
    <w:rsid w:val="59413C36"/>
    <w:rsid w:val="594F3C5E"/>
    <w:rsid w:val="5955323E"/>
    <w:rsid w:val="595D5A21"/>
    <w:rsid w:val="59617E35"/>
    <w:rsid w:val="5966544B"/>
    <w:rsid w:val="596A2439"/>
    <w:rsid w:val="596A6CE9"/>
    <w:rsid w:val="59706067"/>
    <w:rsid w:val="59706A3E"/>
    <w:rsid w:val="598633F7"/>
    <w:rsid w:val="598D4786"/>
    <w:rsid w:val="598F49A2"/>
    <w:rsid w:val="59A0095D"/>
    <w:rsid w:val="59A26483"/>
    <w:rsid w:val="59A450EF"/>
    <w:rsid w:val="59A47466"/>
    <w:rsid w:val="59A541C5"/>
    <w:rsid w:val="59AC10B0"/>
    <w:rsid w:val="59BE4D82"/>
    <w:rsid w:val="59BE5FF6"/>
    <w:rsid w:val="59CD7278"/>
    <w:rsid w:val="59CF1242"/>
    <w:rsid w:val="59D16321"/>
    <w:rsid w:val="59D77FD1"/>
    <w:rsid w:val="59DA33D2"/>
    <w:rsid w:val="59ED3476"/>
    <w:rsid w:val="59EE152F"/>
    <w:rsid w:val="59F667CF"/>
    <w:rsid w:val="59FE68ED"/>
    <w:rsid w:val="5A006C9B"/>
    <w:rsid w:val="5A04713E"/>
    <w:rsid w:val="5A0B58C5"/>
    <w:rsid w:val="5A201A9E"/>
    <w:rsid w:val="5A2C1221"/>
    <w:rsid w:val="5A3B0686"/>
    <w:rsid w:val="5A3C3F0A"/>
    <w:rsid w:val="5A455061"/>
    <w:rsid w:val="5A517EA9"/>
    <w:rsid w:val="5A5359CF"/>
    <w:rsid w:val="5A567682"/>
    <w:rsid w:val="5A581238"/>
    <w:rsid w:val="5A582FE6"/>
    <w:rsid w:val="5A6220B6"/>
    <w:rsid w:val="5A785436"/>
    <w:rsid w:val="5A8B33BB"/>
    <w:rsid w:val="5AA050D8"/>
    <w:rsid w:val="5AA12BDF"/>
    <w:rsid w:val="5AAD586E"/>
    <w:rsid w:val="5ABC17C7"/>
    <w:rsid w:val="5AC77E60"/>
    <w:rsid w:val="5ACB37B8"/>
    <w:rsid w:val="5AD00DCE"/>
    <w:rsid w:val="5ADC4F12"/>
    <w:rsid w:val="5AF30F60"/>
    <w:rsid w:val="5AF96577"/>
    <w:rsid w:val="5B1038C0"/>
    <w:rsid w:val="5B13515F"/>
    <w:rsid w:val="5B136F0D"/>
    <w:rsid w:val="5B152C85"/>
    <w:rsid w:val="5B2552A4"/>
    <w:rsid w:val="5B305D11"/>
    <w:rsid w:val="5B3A6B8F"/>
    <w:rsid w:val="5B5C222A"/>
    <w:rsid w:val="5B667984"/>
    <w:rsid w:val="5B6A7475"/>
    <w:rsid w:val="5B734DF4"/>
    <w:rsid w:val="5B75500B"/>
    <w:rsid w:val="5B7A6F8C"/>
    <w:rsid w:val="5B9444F1"/>
    <w:rsid w:val="5B9E711E"/>
    <w:rsid w:val="5BA159E3"/>
    <w:rsid w:val="5BA5225B"/>
    <w:rsid w:val="5BA56B4D"/>
    <w:rsid w:val="5BB47AC3"/>
    <w:rsid w:val="5BBB1A7E"/>
    <w:rsid w:val="5BC216F7"/>
    <w:rsid w:val="5BC528FD"/>
    <w:rsid w:val="5BC546AB"/>
    <w:rsid w:val="5BDA4A94"/>
    <w:rsid w:val="5BDB5C7C"/>
    <w:rsid w:val="5BE03293"/>
    <w:rsid w:val="5BEB6D33"/>
    <w:rsid w:val="5BEC7E8A"/>
    <w:rsid w:val="5BF64864"/>
    <w:rsid w:val="5BFC7A7E"/>
    <w:rsid w:val="5C425CFC"/>
    <w:rsid w:val="5C4557EC"/>
    <w:rsid w:val="5C4656FE"/>
    <w:rsid w:val="5C5468E9"/>
    <w:rsid w:val="5C657C3C"/>
    <w:rsid w:val="5C8B6116"/>
    <w:rsid w:val="5C8F6A67"/>
    <w:rsid w:val="5CA42512"/>
    <w:rsid w:val="5CB37CD9"/>
    <w:rsid w:val="5CB87D6C"/>
    <w:rsid w:val="5CBB785C"/>
    <w:rsid w:val="5CD252D1"/>
    <w:rsid w:val="5CD526CC"/>
    <w:rsid w:val="5CFF599B"/>
    <w:rsid w:val="5D02738C"/>
    <w:rsid w:val="5D0573C0"/>
    <w:rsid w:val="5D105DFA"/>
    <w:rsid w:val="5D156F6C"/>
    <w:rsid w:val="5D355860"/>
    <w:rsid w:val="5D5C2DED"/>
    <w:rsid w:val="5D5E4DB7"/>
    <w:rsid w:val="5D63113F"/>
    <w:rsid w:val="5D667D88"/>
    <w:rsid w:val="5D79399F"/>
    <w:rsid w:val="5D7F5001"/>
    <w:rsid w:val="5D910E46"/>
    <w:rsid w:val="5D922E97"/>
    <w:rsid w:val="5D9500AD"/>
    <w:rsid w:val="5DA33C1E"/>
    <w:rsid w:val="5DA54794"/>
    <w:rsid w:val="5DAB3C67"/>
    <w:rsid w:val="5DAB78D0"/>
    <w:rsid w:val="5DAD599C"/>
    <w:rsid w:val="5DB1138B"/>
    <w:rsid w:val="5DBB1B81"/>
    <w:rsid w:val="5DE40E97"/>
    <w:rsid w:val="5DE84681"/>
    <w:rsid w:val="5DEA664B"/>
    <w:rsid w:val="5DEE7F91"/>
    <w:rsid w:val="5DEF5A0F"/>
    <w:rsid w:val="5DF64FF0"/>
    <w:rsid w:val="5DF748C4"/>
    <w:rsid w:val="5E01357E"/>
    <w:rsid w:val="5E111E29"/>
    <w:rsid w:val="5E1379F2"/>
    <w:rsid w:val="5E192A8C"/>
    <w:rsid w:val="5E2926FE"/>
    <w:rsid w:val="5E345B18"/>
    <w:rsid w:val="5E371164"/>
    <w:rsid w:val="5E385608"/>
    <w:rsid w:val="5E3B2062"/>
    <w:rsid w:val="5E3E0745"/>
    <w:rsid w:val="5E460CAD"/>
    <w:rsid w:val="5E740740"/>
    <w:rsid w:val="5E746B35"/>
    <w:rsid w:val="5E7718F3"/>
    <w:rsid w:val="5E785A05"/>
    <w:rsid w:val="5E846949"/>
    <w:rsid w:val="5E912F6A"/>
    <w:rsid w:val="5E940365"/>
    <w:rsid w:val="5E954808"/>
    <w:rsid w:val="5EAC1CF8"/>
    <w:rsid w:val="5EAF2AE6"/>
    <w:rsid w:val="5EB6652D"/>
    <w:rsid w:val="5EBA426F"/>
    <w:rsid w:val="5ECE3876"/>
    <w:rsid w:val="5ED657BB"/>
    <w:rsid w:val="5EF12A43"/>
    <w:rsid w:val="5EFB03E4"/>
    <w:rsid w:val="5F0279C4"/>
    <w:rsid w:val="5F0A25F1"/>
    <w:rsid w:val="5F3C2ED6"/>
    <w:rsid w:val="5F471F9C"/>
    <w:rsid w:val="5F506981"/>
    <w:rsid w:val="5F546472"/>
    <w:rsid w:val="5F561AAA"/>
    <w:rsid w:val="5F571ABE"/>
    <w:rsid w:val="5F5A7800"/>
    <w:rsid w:val="5F6C76F4"/>
    <w:rsid w:val="5F751F44"/>
    <w:rsid w:val="5F775CBC"/>
    <w:rsid w:val="5F7A0949"/>
    <w:rsid w:val="5F7F2DC3"/>
    <w:rsid w:val="5F805BF7"/>
    <w:rsid w:val="5F8403D9"/>
    <w:rsid w:val="5F8B1768"/>
    <w:rsid w:val="5F8F61EB"/>
    <w:rsid w:val="5F904CD0"/>
    <w:rsid w:val="5FAB1E0A"/>
    <w:rsid w:val="5FAF7B5C"/>
    <w:rsid w:val="5FC03B07"/>
    <w:rsid w:val="5FC5111D"/>
    <w:rsid w:val="5FCD3B2E"/>
    <w:rsid w:val="5FD2383A"/>
    <w:rsid w:val="5FD276B3"/>
    <w:rsid w:val="5FDD794C"/>
    <w:rsid w:val="5FDE3F8D"/>
    <w:rsid w:val="5FE61094"/>
    <w:rsid w:val="5FFF3EA6"/>
    <w:rsid w:val="600E7C8D"/>
    <w:rsid w:val="601654D5"/>
    <w:rsid w:val="602816AC"/>
    <w:rsid w:val="602C4CF9"/>
    <w:rsid w:val="602F47E9"/>
    <w:rsid w:val="60365B77"/>
    <w:rsid w:val="6054424F"/>
    <w:rsid w:val="6058433C"/>
    <w:rsid w:val="605B55DE"/>
    <w:rsid w:val="60652839"/>
    <w:rsid w:val="60675D31"/>
    <w:rsid w:val="60730B79"/>
    <w:rsid w:val="607641C6"/>
    <w:rsid w:val="6081192B"/>
    <w:rsid w:val="608120FB"/>
    <w:rsid w:val="60844B35"/>
    <w:rsid w:val="608C39E9"/>
    <w:rsid w:val="608C51B9"/>
    <w:rsid w:val="6098238E"/>
    <w:rsid w:val="609D30C7"/>
    <w:rsid w:val="60A868FD"/>
    <w:rsid w:val="60AC15B7"/>
    <w:rsid w:val="60AC7BE7"/>
    <w:rsid w:val="60B44CEE"/>
    <w:rsid w:val="60BA0C74"/>
    <w:rsid w:val="60BB3113"/>
    <w:rsid w:val="60C93D3C"/>
    <w:rsid w:val="60D21603"/>
    <w:rsid w:val="60E455D3"/>
    <w:rsid w:val="60E90E3C"/>
    <w:rsid w:val="612C1577"/>
    <w:rsid w:val="613025C6"/>
    <w:rsid w:val="614B6D92"/>
    <w:rsid w:val="61502C69"/>
    <w:rsid w:val="615074AC"/>
    <w:rsid w:val="6155027F"/>
    <w:rsid w:val="615C160D"/>
    <w:rsid w:val="61706E67"/>
    <w:rsid w:val="6171498D"/>
    <w:rsid w:val="61761FA3"/>
    <w:rsid w:val="61810725"/>
    <w:rsid w:val="6183303E"/>
    <w:rsid w:val="61873490"/>
    <w:rsid w:val="619568CD"/>
    <w:rsid w:val="619E7E05"/>
    <w:rsid w:val="619F1626"/>
    <w:rsid w:val="61A11716"/>
    <w:rsid w:val="61A62889"/>
    <w:rsid w:val="61A9201F"/>
    <w:rsid w:val="61BD7BD2"/>
    <w:rsid w:val="61C6117D"/>
    <w:rsid w:val="61CD42B9"/>
    <w:rsid w:val="61D27B22"/>
    <w:rsid w:val="61D60DE9"/>
    <w:rsid w:val="61D727BB"/>
    <w:rsid w:val="61F061FA"/>
    <w:rsid w:val="61F47A98"/>
    <w:rsid w:val="61F60B14"/>
    <w:rsid w:val="61FA2BD4"/>
    <w:rsid w:val="61FA4982"/>
    <w:rsid w:val="61FC4B9F"/>
    <w:rsid w:val="62015D11"/>
    <w:rsid w:val="620A72BB"/>
    <w:rsid w:val="620D6DAC"/>
    <w:rsid w:val="62195750"/>
    <w:rsid w:val="62214605"/>
    <w:rsid w:val="622814F0"/>
    <w:rsid w:val="622A34BA"/>
    <w:rsid w:val="622D44F9"/>
    <w:rsid w:val="62411F2B"/>
    <w:rsid w:val="62514EEA"/>
    <w:rsid w:val="625A02AF"/>
    <w:rsid w:val="625D09DE"/>
    <w:rsid w:val="626F711E"/>
    <w:rsid w:val="62892E07"/>
    <w:rsid w:val="62894211"/>
    <w:rsid w:val="628F156F"/>
    <w:rsid w:val="6291178B"/>
    <w:rsid w:val="62970423"/>
    <w:rsid w:val="62A212A2"/>
    <w:rsid w:val="62AC0373"/>
    <w:rsid w:val="62B47227"/>
    <w:rsid w:val="62BE4EA7"/>
    <w:rsid w:val="62C204A2"/>
    <w:rsid w:val="62D022B3"/>
    <w:rsid w:val="62D358FF"/>
    <w:rsid w:val="62D476F6"/>
    <w:rsid w:val="62DD677E"/>
    <w:rsid w:val="62E33669"/>
    <w:rsid w:val="62E73159"/>
    <w:rsid w:val="62FC09CC"/>
    <w:rsid w:val="63030D51"/>
    <w:rsid w:val="630663F6"/>
    <w:rsid w:val="630D63C6"/>
    <w:rsid w:val="63180259"/>
    <w:rsid w:val="632E0D88"/>
    <w:rsid w:val="633F2F95"/>
    <w:rsid w:val="637636F5"/>
    <w:rsid w:val="63807109"/>
    <w:rsid w:val="63871D3B"/>
    <w:rsid w:val="639D4F81"/>
    <w:rsid w:val="639D5F0D"/>
    <w:rsid w:val="63A1064A"/>
    <w:rsid w:val="63A908B6"/>
    <w:rsid w:val="63B82D47"/>
    <w:rsid w:val="63BC564E"/>
    <w:rsid w:val="63C32B18"/>
    <w:rsid w:val="63D336DD"/>
    <w:rsid w:val="63D731CD"/>
    <w:rsid w:val="63E47698"/>
    <w:rsid w:val="63F907C6"/>
    <w:rsid w:val="640B68C9"/>
    <w:rsid w:val="642503DD"/>
    <w:rsid w:val="64340532"/>
    <w:rsid w:val="64395C36"/>
    <w:rsid w:val="64410F8F"/>
    <w:rsid w:val="64630F05"/>
    <w:rsid w:val="64634A61"/>
    <w:rsid w:val="646507D9"/>
    <w:rsid w:val="64713622"/>
    <w:rsid w:val="6472739A"/>
    <w:rsid w:val="64760C38"/>
    <w:rsid w:val="648844C8"/>
    <w:rsid w:val="648A46E4"/>
    <w:rsid w:val="648B3FB8"/>
    <w:rsid w:val="648F6CB2"/>
    <w:rsid w:val="649C7F73"/>
    <w:rsid w:val="649E1F3D"/>
    <w:rsid w:val="64B74DAD"/>
    <w:rsid w:val="64B928D3"/>
    <w:rsid w:val="64DC3C48"/>
    <w:rsid w:val="64F80A4B"/>
    <w:rsid w:val="650312E3"/>
    <w:rsid w:val="65081117"/>
    <w:rsid w:val="650A312E"/>
    <w:rsid w:val="65113196"/>
    <w:rsid w:val="65165F77"/>
    <w:rsid w:val="651B533C"/>
    <w:rsid w:val="651D5558"/>
    <w:rsid w:val="652D60B5"/>
    <w:rsid w:val="653C7DE7"/>
    <w:rsid w:val="6544290D"/>
    <w:rsid w:val="655226E8"/>
    <w:rsid w:val="65670581"/>
    <w:rsid w:val="65705687"/>
    <w:rsid w:val="65745E36"/>
    <w:rsid w:val="657809E0"/>
    <w:rsid w:val="658C3983"/>
    <w:rsid w:val="659155FE"/>
    <w:rsid w:val="659333F2"/>
    <w:rsid w:val="65A341BF"/>
    <w:rsid w:val="65A6554D"/>
    <w:rsid w:val="65A95D4D"/>
    <w:rsid w:val="65B03CD6"/>
    <w:rsid w:val="65B05698"/>
    <w:rsid w:val="65B2072A"/>
    <w:rsid w:val="65B37C6A"/>
    <w:rsid w:val="65C77271"/>
    <w:rsid w:val="65D559DD"/>
    <w:rsid w:val="65D8322D"/>
    <w:rsid w:val="65E17B5A"/>
    <w:rsid w:val="65FC5AF0"/>
    <w:rsid w:val="661108C1"/>
    <w:rsid w:val="66157FDD"/>
    <w:rsid w:val="661C1C7B"/>
    <w:rsid w:val="662621EA"/>
    <w:rsid w:val="66285F62"/>
    <w:rsid w:val="662B27CE"/>
    <w:rsid w:val="662D17CA"/>
    <w:rsid w:val="66430FEE"/>
    <w:rsid w:val="664D59C9"/>
    <w:rsid w:val="6660394E"/>
    <w:rsid w:val="666F3B91"/>
    <w:rsid w:val="668C4743"/>
    <w:rsid w:val="669453A6"/>
    <w:rsid w:val="669E7FD2"/>
    <w:rsid w:val="66A31A8D"/>
    <w:rsid w:val="66A827DC"/>
    <w:rsid w:val="66AA2E1B"/>
    <w:rsid w:val="66AF32CB"/>
    <w:rsid w:val="66AF6362"/>
    <w:rsid w:val="66B9305E"/>
    <w:rsid w:val="66D32372"/>
    <w:rsid w:val="66D9725C"/>
    <w:rsid w:val="66DB1226"/>
    <w:rsid w:val="66F422E8"/>
    <w:rsid w:val="670C14BC"/>
    <w:rsid w:val="67220C03"/>
    <w:rsid w:val="672901E4"/>
    <w:rsid w:val="673152EA"/>
    <w:rsid w:val="67326068"/>
    <w:rsid w:val="673D77EB"/>
    <w:rsid w:val="673F17B5"/>
    <w:rsid w:val="67437A3D"/>
    <w:rsid w:val="674548F2"/>
    <w:rsid w:val="674E19F8"/>
    <w:rsid w:val="675B5EC3"/>
    <w:rsid w:val="676314F1"/>
    <w:rsid w:val="676B40F0"/>
    <w:rsid w:val="67742476"/>
    <w:rsid w:val="678A1093"/>
    <w:rsid w:val="67B70DFE"/>
    <w:rsid w:val="67BD26DA"/>
    <w:rsid w:val="67CB3049"/>
    <w:rsid w:val="67D30150"/>
    <w:rsid w:val="67D53EC8"/>
    <w:rsid w:val="67EC1211"/>
    <w:rsid w:val="67ED0AFA"/>
    <w:rsid w:val="67F105D6"/>
    <w:rsid w:val="67F325A0"/>
    <w:rsid w:val="67FC1454"/>
    <w:rsid w:val="680B78E9"/>
    <w:rsid w:val="681662CF"/>
    <w:rsid w:val="68182006"/>
    <w:rsid w:val="681E06EC"/>
    <w:rsid w:val="682C160E"/>
    <w:rsid w:val="6834699D"/>
    <w:rsid w:val="683F2481"/>
    <w:rsid w:val="6841155D"/>
    <w:rsid w:val="684150B9"/>
    <w:rsid w:val="68420E31"/>
    <w:rsid w:val="68546615"/>
    <w:rsid w:val="685C6397"/>
    <w:rsid w:val="685F19E3"/>
    <w:rsid w:val="68662D72"/>
    <w:rsid w:val="6873723D"/>
    <w:rsid w:val="68863414"/>
    <w:rsid w:val="68967484"/>
    <w:rsid w:val="68AA0EB0"/>
    <w:rsid w:val="68AF4719"/>
    <w:rsid w:val="68B00491"/>
    <w:rsid w:val="68BC3EF8"/>
    <w:rsid w:val="68D777CC"/>
    <w:rsid w:val="68DB5223"/>
    <w:rsid w:val="68E0445E"/>
    <w:rsid w:val="68E36170"/>
    <w:rsid w:val="68F55EA4"/>
    <w:rsid w:val="690600B1"/>
    <w:rsid w:val="690D7691"/>
    <w:rsid w:val="690F2F58"/>
    <w:rsid w:val="6922167D"/>
    <w:rsid w:val="6922313D"/>
    <w:rsid w:val="692350BF"/>
    <w:rsid w:val="69272501"/>
    <w:rsid w:val="692D4CEA"/>
    <w:rsid w:val="6937562E"/>
    <w:rsid w:val="693E3CEF"/>
    <w:rsid w:val="693F5EA4"/>
    <w:rsid w:val="695157D0"/>
    <w:rsid w:val="695D23C7"/>
    <w:rsid w:val="6962178B"/>
    <w:rsid w:val="69634AB3"/>
    <w:rsid w:val="69674FF3"/>
    <w:rsid w:val="69676DA1"/>
    <w:rsid w:val="696E6CF7"/>
    <w:rsid w:val="6984688D"/>
    <w:rsid w:val="699C4207"/>
    <w:rsid w:val="699E02E9"/>
    <w:rsid w:val="699F29DF"/>
    <w:rsid w:val="69C20C02"/>
    <w:rsid w:val="69C75A92"/>
    <w:rsid w:val="69CF3481"/>
    <w:rsid w:val="69F820EF"/>
    <w:rsid w:val="69FF31EF"/>
    <w:rsid w:val="6A0665BA"/>
    <w:rsid w:val="6A0E1913"/>
    <w:rsid w:val="6A1C3809"/>
    <w:rsid w:val="6A201D13"/>
    <w:rsid w:val="6A222CC8"/>
    <w:rsid w:val="6A372C18"/>
    <w:rsid w:val="6A3B3D8A"/>
    <w:rsid w:val="6A3D3FA6"/>
    <w:rsid w:val="6A3F7D1E"/>
    <w:rsid w:val="6A403ED9"/>
    <w:rsid w:val="6A531ADF"/>
    <w:rsid w:val="6A5C0D00"/>
    <w:rsid w:val="6A641533"/>
    <w:rsid w:val="6A6766E4"/>
    <w:rsid w:val="6A6B28C1"/>
    <w:rsid w:val="6A7A2B04"/>
    <w:rsid w:val="6A7F34F8"/>
    <w:rsid w:val="6A835E5D"/>
    <w:rsid w:val="6A837C0B"/>
    <w:rsid w:val="6A9D7623"/>
    <w:rsid w:val="6AA10091"/>
    <w:rsid w:val="6AA302AD"/>
    <w:rsid w:val="6AA61B4B"/>
    <w:rsid w:val="6AB8592C"/>
    <w:rsid w:val="6AD761A9"/>
    <w:rsid w:val="6AD94673"/>
    <w:rsid w:val="6AE40EF1"/>
    <w:rsid w:val="6AEA5EDC"/>
    <w:rsid w:val="6AFE54E3"/>
    <w:rsid w:val="6B036F9E"/>
    <w:rsid w:val="6B0625EA"/>
    <w:rsid w:val="6B074014"/>
    <w:rsid w:val="6B092BFE"/>
    <w:rsid w:val="6B0F5943"/>
    <w:rsid w:val="6B217424"/>
    <w:rsid w:val="6B293346"/>
    <w:rsid w:val="6B451364"/>
    <w:rsid w:val="6B4A697B"/>
    <w:rsid w:val="6B533D5A"/>
    <w:rsid w:val="6B5D7A41"/>
    <w:rsid w:val="6B6C68F1"/>
    <w:rsid w:val="6B8C4031"/>
    <w:rsid w:val="6B96571C"/>
    <w:rsid w:val="6BA442DD"/>
    <w:rsid w:val="6BA73DCD"/>
    <w:rsid w:val="6BAA566B"/>
    <w:rsid w:val="6BB42046"/>
    <w:rsid w:val="6BC424DC"/>
    <w:rsid w:val="6BD5641E"/>
    <w:rsid w:val="6BE04BE9"/>
    <w:rsid w:val="6BE23524"/>
    <w:rsid w:val="6BE37E48"/>
    <w:rsid w:val="6BE87F8C"/>
    <w:rsid w:val="6BF95CAB"/>
    <w:rsid w:val="6C00528B"/>
    <w:rsid w:val="6C0E1756"/>
    <w:rsid w:val="6C101972"/>
    <w:rsid w:val="6C1D1C28"/>
    <w:rsid w:val="6C284CD4"/>
    <w:rsid w:val="6C3311BD"/>
    <w:rsid w:val="6C3F5DB4"/>
    <w:rsid w:val="6C53185F"/>
    <w:rsid w:val="6C7812C6"/>
    <w:rsid w:val="6C835763"/>
    <w:rsid w:val="6CAF118B"/>
    <w:rsid w:val="6CB00A5F"/>
    <w:rsid w:val="6CB2105A"/>
    <w:rsid w:val="6CDF1345"/>
    <w:rsid w:val="6CE85CBF"/>
    <w:rsid w:val="6CF21078"/>
    <w:rsid w:val="6CF7043C"/>
    <w:rsid w:val="6CF941B4"/>
    <w:rsid w:val="6D1F5E22"/>
    <w:rsid w:val="6D2D3E5E"/>
    <w:rsid w:val="6D323B6A"/>
    <w:rsid w:val="6D325918"/>
    <w:rsid w:val="6D390A55"/>
    <w:rsid w:val="6D3E42BD"/>
    <w:rsid w:val="6D463172"/>
    <w:rsid w:val="6D605FE2"/>
    <w:rsid w:val="6D655CEE"/>
    <w:rsid w:val="6D7918CC"/>
    <w:rsid w:val="6D7F57D3"/>
    <w:rsid w:val="6D8C327A"/>
    <w:rsid w:val="6D8F2D6B"/>
    <w:rsid w:val="6D8F4B19"/>
    <w:rsid w:val="6D970166"/>
    <w:rsid w:val="6D9852BB"/>
    <w:rsid w:val="6D995997"/>
    <w:rsid w:val="6DA71E62"/>
    <w:rsid w:val="6DA9794A"/>
    <w:rsid w:val="6DAF6F69"/>
    <w:rsid w:val="6DBE25DF"/>
    <w:rsid w:val="6DC718F1"/>
    <w:rsid w:val="6DCF4F15"/>
    <w:rsid w:val="6DD32C57"/>
    <w:rsid w:val="6DE5298B"/>
    <w:rsid w:val="6DF06593"/>
    <w:rsid w:val="6E063FA6"/>
    <w:rsid w:val="6E2039C3"/>
    <w:rsid w:val="6E222B10"/>
    <w:rsid w:val="6E272FA3"/>
    <w:rsid w:val="6E2B2A93"/>
    <w:rsid w:val="6E2B665E"/>
    <w:rsid w:val="6E3260E0"/>
    <w:rsid w:val="6E361D10"/>
    <w:rsid w:val="6E4F0700"/>
    <w:rsid w:val="6E533D98"/>
    <w:rsid w:val="6E535B46"/>
    <w:rsid w:val="6E697118"/>
    <w:rsid w:val="6E6C09B6"/>
    <w:rsid w:val="6E7066F8"/>
    <w:rsid w:val="6E7A30D3"/>
    <w:rsid w:val="6E82642B"/>
    <w:rsid w:val="6E861244"/>
    <w:rsid w:val="6E9028F6"/>
    <w:rsid w:val="6E985C4F"/>
    <w:rsid w:val="6EA10B98"/>
    <w:rsid w:val="6EE65108"/>
    <w:rsid w:val="6EF47329"/>
    <w:rsid w:val="6F03756C"/>
    <w:rsid w:val="6F0A523B"/>
    <w:rsid w:val="6F1C23DC"/>
    <w:rsid w:val="6F2319BD"/>
    <w:rsid w:val="6F27744D"/>
    <w:rsid w:val="6F2F6E1D"/>
    <w:rsid w:val="6F4162E7"/>
    <w:rsid w:val="6F422360"/>
    <w:rsid w:val="6F533DC0"/>
    <w:rsid w:val="6F587E99"/>
    <w:rsid w:val="6F5E2C53"/>
    <w:rsid w:val="6F651FD5"/>
    <w:rsid w:val="6F6A46D4"/>
    <w:rsid w:val="6F6D70DC"/>
    <w:rsid w:val="6F977CB5"/>
    <w:rsid w:val="6F9B1553"/>
    <w:rsid w:val="6F9E54E7"/>
    <w:rsid w:val="6FA127D3"/>
    <w:rsid w:val="6FA75E74"/>
    <w:rsid w:val="6FB13768"/>
    <w:rsid w:val="6FB24AEE"/>
    <w:rsid w:val="6FB645DF"/>
    <w:rsid w:val="6FBB39A3"/>
    <w:rsid w:val="6FCE7B7A"/>
    <w:rsid w:val="6FD56AEC"/>
    <w:rsid w:val="6FF0654E"/>
    <w:rsid w:val="6FF5479D"/>
    <w:rsid w:val="70030FCD"/>
    <w:rsid w:val="70167FBF"/>
    <w:rsid w:val="7019691C"/>
    <w:rsid w:val="701B07F5"/>
    <w:rsid w:val="7020414E"/>
    <w:rsid w:val="702C48A1"/>
    <w:rsid w:val="703210FB"/>
    <w:rsid w:val="703B6CD7"/>
    <w:rsid w:val="70455963"/>
    <w:rsid w:val="704736EF"/>
    <w:rsid w:val="70763D6E"/>
    <w:rsid w:val="70795447"/>
    <w:rsid w:val="70862203"/>
    <w:rsid w:val="708C17E3"/>
    <w:rsid w:val="70904E30"/>
    <w:rsid w:val="7091206C"/>
    <w:rsid w:val="70A1528F"/>
    <w:rsid w:val="70A42689"/>
    <w:rsid w:val="70B802C1"/>
    <w:rsid w:val="70BC3E77"/>
    <w:rsid w:val="70BD374B"/>
    <w:rsid w:val="70C132B4"/>
    <w:rsid w:val="70CB40BA"/>
    <w:rsid w:val="70DC1E23"/>
    <w:rsid w:val="70DF1913"/>
    <w:rsid w:val="70DF36C1"/>
    <w:rsid w:val="70E319B5"/>
    <w:rsid w:val="70E6656D"/>
    <w:rsid w:val="70EB5E97"/>
    <w:rsid w:val="70EE1B56"/>
    <w:rsid w:val="70F25AEA"/>
    <w:rsid w:val="71031AA6"/>
    <w:rsid w:val="7104581E"/>
    <w:rsid w:val="71163687"/>
    <w:rsid w:val="71467832"/>
    <w:rsid w:val="7148086A"/>
    <w:rsid w:val="714E0847"/>
    <w:rsid w:val="714F4911"/>
    <w:rsid w:val="7164006A"/>
    <w:rsid w:val="71641ECA"/>
    <w:rsid w:val="717F5A62"/>
    <w:rsid w:val="71864485"/>
    <w:rsid w:val="718801FD"/>
    <w:rsid w:val="718E4F43"/>
    <w:rsid w:val="71900E5F"/>
    <w:rsid w:val="71946BA2"/>
    <w:rsid w:val="71A5106C"/>
    <w:rsid w:val="71B66B18"/>
    <w:rsid w:val="71BA4DB1"/>
    <w:rsid w:val="71BE777B"/>
    <w:rsid w:val="71C034F3"/>
    <w:rsid w:val="71C254BD"/>
    <w:rsid w:val="71C805F9"/>
    <w:rsid w:val="71CA4371"/>
    <w:rsid w:val="71E03B95"/>
    <w:rsid w:val="71F03F54"/>
    <w:rsid w:val="71F11605"/>
    <w:rsid w:val="721F5091"/>
    <w:rsid w:val="72253C9E"/>
    <w:rsid w:val="722E4789"/>
    <w:rsid w:val="7235622E"/>
    <w:rsid w:val="723932A5"/>
    <w:rsid w:val="724C7C71"/>
    <w:rsid w:val="724D7270"/>
    <w:rsid w:val="72516841"/>
    <w:rsid w:val="7252731D"/>
    <w:rsid w:val="72542C05"/>
    <w:rsid w:val="725B1FB2"/>
    <w:rsid w:val="725B2386"/>
    <w:rsid w:val="728A577A"/>
    <w:rsid w:val="728B1D53"/>
    <w:rsid w:val="72952BD1"/>
    <w:rsid w:val="72B666A4"/>
    <w:rsid w:val="72BE649F"/>
    <w:rsid w:val="72BF7C4E"/>
    <w:rsid w:val="72C61256"/>
    <w:rsid w:val="72C70407"/>
    <w:rsid w:val="72CE7E91"/>
    <w:rsid w:val="72D8486C"/>
    <w:rsid w:val="72DA4A88"/>
    <w:rsid w:val="72DF6B7C"/>
    <w:rsid w:val="72ED2B30"/>
    <w:rsid w:val="72F07E08"/>
    <w:rsid w:val="72FD155C"/>
    <w:rsid w:val="730679BB"/>
    <w:rsid w:val="73165394"/>
    <w:rsid w:val="731C29AB"/>
    <w:rsid w:val="731F249B"/>
    <w:rsid w:val="732B0E40"/>
    <w:rsid w:val="732F23C3"/>
    <w:rsid w:val="7346551F"/>
    <w:rsid w:val="735C724B"/>
    <w:rsid w:val="735E7467"/>
    <w:rsid w:val="737126BD"/>
    <w:rsid w:val="7372081D"/>
    <w:rsid w:val="7373618B"/>
    <w:rsid w:val="7375030D"/>
    <w:rsid w:val="737C1903"/>
    <w:rsid w:val="73841655"/>
    <w:rsid w:val="73880E07"/>
    <w:rsid w:val="738B7B30"/>
    <w:rsid w:val="738F6DB9"/>
    <w:rsid w:val="73903399"/>
    <w:rsid w:val="739A5FC5"/>
    <w:rsid w:val="73A429A0"/>
    <w:rsid w:val="73AB1F81"/>
    <w:rsid w:val="73BF33DA"/>
    <w:rsid w:val="73BF77DA"/>
    <w:rsid w:val="73CA68AB"/>
    <w:rsid w:val="73DD4830"/>
    <w:rsid w:val="73DE5EB2"/>
    <w:rsid w:val="73EB05CF"/>
    <w:rsid w:val="740B71DF"/>
    <w:rsid w:val="741B0EB4"/>
    <w:rsid w:val="7420296E"/>
    <w:rsid w:val="74310324"/>
    <w:rsid w:val="7434641A"/>
    <w:rsid w:val="744321B9"/>
    <w:rsid w:val="74485A21"/>
    <w:rsid w:val="744A2CB4"/>
    <w:rsid w:val="744B6DE7"/>
    <w:rsid w:val="7459523B"/>
    <w:rsid w:val="74604FAC"/>
    <w:rsid w:val="746C7962"/>
    <w:rsid w:val="746E5488"/>
    <w:rsid w:val="74746816"/>
    <w:rsid w:val="747B5DF7"/>
    <w:rsid w:val="747E54A6"/>
    <w:rsid w:val="748218F8"/>
    <w:rsid w:val="74862638"/>
    <w:rsid w:val="748922C2"/>
    <w:rsid w:val="74A60C5C"/>
    <w:rsid w:val="74B02D5E"/>
    <w:rsid w:val="74B974C6"/>
    <w:rsid w:val="74D15A17"/>
    <w:rsid w:val="74D55507"/>
    <w:rsid w:val="74E9656F"/>
    <w:rsid w:val="74F57957"/>
    <w:rsid w:val="74F811F5"/>
    <w:rsid w:val="74FA6600"/>
    <w:rsid w:val="75016C0B"/>
    <w:rsid w:val="75044386"/>
    <w:rsid w:val="75071439"/>
    <w:rsid w:val="75163159"/>
    <w:rsid w:val="7517700E"/>
    <w:rsid w:val="751A1798"/>
    <w:rsid w:val="75271ADB"/>
    <w:rsid w:val="75371D1E"/>
    <w:rsid w:val="753B165A"/>
    <w:rsid w:val="75480117"/>
    <w:rsid w:val="755F7EF4"/>
    <w:rsid w:val="75614FED"/>
    <w:rsid w:val="75683D18"/>
    <w:rsid w:val="756C5396"/>
    <w:rsid w:val="756D3991"/>
    <w:rsid w:val="75703482"/>
    <w:rsid w:val="757353C9"/>
    <w:rsid w:val="75866801"/>
    <w:rsid w:val="75956A44"/>
    <w:rsid w:val="75976830"/>
    <w:rsid w:val="75A40753"/>
    <w:rsid w:val="75A86778"/>
    <w:rsid w:val="75E023B5"/>
    <w:rsid w:val="75E63744"/>
    <w:rsid w:val="75EF3088"/>
    <w:rsid w:val="75F0011F"/>
    <w:rsid w:val="75F86A3A"/>
    <w:rsid w:val="76104C5D"/>
    <w:rsid w:val="76197675"/>
    <w:rsid w:val="762D1373"/>
    <w:rsid w:val="76361FD5"/>
    <w:rsid w:val="76391AC6"/>
    <w:rsid w:val="76424E1E"/>
    <w:rsid w:val="7645046A"/>
    <w:rsid w:val="76470FFA"/>
    <w:rsid w:val="76544B51"/>
    <w:rsid w:val="76612DCA"/>
    <w:rsid w:val="7662180E"/>
    <w:rsid w:val="76650107"/>
    <w:rsid w:val="767040BF"/>
    <w:rsid w:val="7683414A"/>
    <w:rsid w:val="769B008A"/>
    <w:rsid w:val="76AF3B36"/>
    <w:rsid w:val="76B4739E"/>
    <w:rsid w:val="76C515AB"/>
    <w:rsid w:val="76CF6212"/>
    <w:rsid w:val="76D812DE"/>
    <w:rsid w:val="76EC6B38"/>
    <w:rsid w:val="770B16B4"/>
    <w:rsid w:val="77152EE5"/>
    <w:rsid w:val="77291B3A"/>
    <w:rsid w:val="772B58B2"/>
    <w:rsid w:val="775A1670"/>
    <w:rsid w:val="7763329E"/>
    <w:rsid w:val="77690189"/>
    <w:rsid w:val="777032C5"/>
    <w:rsid w:val="778925D9"/>
    <w:rsid w:val="778B6351"/>
    <w:rsid w:val="778C3E77"/>
    <w:rsid w:val="77974CF6"/>
    <w:rsid w:val="779D7E32"/>
    <w:rsid w:val="77B21B30"/>
    <w:rsid w:val="77B533CE"/>
    <w:rsid w:val="77C16217"/>
    <w:rsid w:val="77C33D3D"/>
    <w:rsid w:val="77C81353"/>
    <w:rsid w:val="77E12415"/>
    <w:rsid w:val="77E45A61"/>
    <w:rsid w:val="77E720B2"/>
    <w:rsid w:val="77FC6F6B"/>
    <w:rsid w:val="78014865"/>
    <w:rsid w:val="78106856"/>
    <w:rsid w:val="78163B2D"/>
    <w:rsid w:val="781D57D3"/>
    <w:rsid w:val="781E7D5E"/>
    <w:rsid w:val="78283BA0"/>
    <w:rsid w:val="782A3DBC"/>
    <w:rsid w:val="782B3690"/>
    <w:rsid w:val="78570929"/>
    <w:rsid w:val="786A41B8"/>
    <w:rsid w:val="787E5EB6"/>
    <w:rsid w:val="789B25C4"/>
    <w:rsid w:val="789B4399"/>
    <w:rsid w:val="78A85E34"/>
    <w:rsid w:val="78C230D4"/>
    <w:rsid w:val="78C758FF"/>
    <w:rsid w:val="78CF2782"/>
    <w:rsid w:val="78E51400"/>
    <w:rsid w:val="78FF0AC7"/>
    <w:rsid w:val="7919798C"/>
    <w:rsid w:val="791F1447"/>
    <w:rsid w:val="79224A93"/>
    <w:rsid w:val="79246A5D"/>
    <w:rsid w:val="79306EEF"/>
    <w:rsid w:val="794964C4"/>
    <w:rsid w:val="794A183F"/>
    <w:rsid w:val="795C61F7"/>
    <w:rsid w:val="795D0B6D"/>
    <w:rsid w:val="79815539"/>
    <w:rsid w:val="798412AA"/>
    <w:rsid w:val="798870BE"/>
    <w:rsid w:val="798F7942"/>
    <w:rsid w:val="799C2A97"/>
    <w:rsid w:val="79B25D48"/>
    <w:rsid w:val="79B778D1"/>
    <w:rsid w:val="79B87C08"/>
    <w:rsid w:val="79B95592"/>
    <w:rsid w:val="79BC6C95"/>
    <w:rsid w:val="79BD47BC"/>
    <w:rsid w:val="79C1605A"/>
    <w:rsid w:val="79C36487"/>
    <w:rsid w:val="79C922CD"/>
    <w:rsid w:val="79CF6D12"/>
    <w:rsid w:val="79FA5A10"/>
    <w:rsid w:val="7A150154"/>
    <w:rsid w:val="7A1C1515"/>
    <w:rsid w:val="7A260224"/>
    <w:rsid w:val="7A291E51"/>
    <w:rsid w:val="7A2E1215"/>
    <w:rsid w:val="7A374D55"/>
    <w:rsid w:val="7A480529"/>
    <w:rsid w:val="7A4E3666"/>
    <w:rsid w:val="7A631C90"/>
    <w:rsid w:val="7A676AD2"/>
    <w:rsid w:val="7A6B4218"/>
    <w:rsid w:val="7A6F5AB6"/>
    <w:rsid w:val="7A715CD2"/>
    <w:rsid w:val="7A765096"/>
    <w:rsid w:val="7A8323E5"/>
    <w:rsid w:val="7A844787"/>
    <w:rsid w:val="7A8F6158"/>
    <w:rsid w:val="7A9674E6"/>
    <w:rsid w:val="7A97325F"/>
    <w:rsid w:val="7AAC4F5C"/>
    <w:rsid w:val="7AB12572"/>
    <w:rsid w:val="7ABE2599"/>
    <w:rsid w:val="7AC11AFE"/>
    <w:rsid w:val="7AC34570"/>
    <w:rsid w:val="7ACA53E2"/>
    <w:rsid w:val="7AD9593B"/>
    <w:rsid w:val="7ADE15F5"/>
    <w:rsid w:val="7AE528BD"/>
    <w:rsid w:val="7AFF5EC9"/>
    <w:rsid w:val="7B095F0A"/>
    <w:rsid w:val="7B2A5E81"/>
    <w:rsid w:val="7B2B0707"/>
    <w:rsid w:val="7B312553"/>
    <w:rsid w:val="7B3206AC"/>
    <w:rsid w:val="7B354F51"/>
    <w:rsid w:val="7B366F41"/>
    <w:rsid w:val="7B400C55"/>
    <w:rsid w:val="7B4512D9"/>
    <w:rsid w:val="7B5D6256"/>
    <w:rsid w:val="7B5F7657"/>
    <w:rsid w:val="7B66335D"/>
    <w:rsid w:val="7B7D4202"/>
    <w:rsid w:val="7B987C76"/>
    <w:rsid w:val="7BAB6FC2"/>
    <w:rsid w:val="7BAE260E"/>
    <w:rsid w:val="7BB51BEE"/>
    <w:rsid w:val="7BB5399C"/>
    <w:rsid w:val="7BCF4C49"/>
    <w:rsid w:val="7BDD2EF3"/>
    <w:rsid w:val="7BE1477E"/>
    <w:rsid w:val="7BE44282"/>
    <w:rsid w:val="7BEA0B95"/>
    <w:rsid w:val="7BF00E78"/>
    <w:rsid w:val="7BF0290E"/>
    <w:rsid w:val="7BF2699E"/>
    <w:rsid w:val="7BFA1CF7"/>
    <w:rsid w:val="7BFC781D"/>
    <w:rsid w:val="7C116148"/>
    <w:rsid w:val="7C125D37"/>
    <w:rsid w:val="7C176405"/>
    <w:rsid w:val="7C1E3C37"/>
    <w:rsid w:val="7C442F72"/>
    <w:rsid w:val="7C4823FE"/>
    <w:rsid w:val="7C5D7990"/>
    <w:rsid w:val="7C6364E6"/>
    <w:rsid w:val="7C8F0691"/>
    <w:rsid w:val="7C9B5288"/>
    <w:rsid w:val="7CA51FCB"/>
    <w:rsid w:val="7CA665FA"/>
    <w:rsid w:val="7CA81753"/>
    <w:rsid w:val="7CB974BC"/>
    <w:rsid w:val="7CC06A9D"/>
    <w:rsid w:val="7CD36C81"/>
    <w:rsid w:val="7CD73DE6"/>
    <w:rsid w:val="7CE65DD7"/>
    <w:rsid w:val="7CEF2EDE"/>
    <w:rsid w:val="7CF57E0E"/>
    <w:rsid w:val="7CF60710"/>
    <w:rsid w:val="7CFB7AD5"/>
    <w:rsid w:val="7D0C1CE2"/>
    <w:rsid w:val="7D0E5A5A"/>
    <w:rsid w:val="7D146DE8"/>
    <w:rsid w:val="7D1E1F4E"/>
    <w:rsid w:val="7D23702C"/>
    <w:rsid w:val="7D276244"/>
    <w:rsid w:val="7D536175"/>
    <w:rsid w:val="7D537911"/>
    <w:rsid w:val="7D697134"/>
    <w:rsid w:val="7D6A6A08"/>
    <w:rsid w:val="7D6B1CE3"/>
    <w:rsid w:val="7D887A3F"/>
    <w:rsid w:val="7D9278DA"/>
    <w:rsid w:val="7D9341B1"/>
    <w:rsid w:val="7D9B26AB"/>
    <w:rsid w:val="7DA939D5"/>
    <w:rsid w:val="7DB73A5A"/>
    <w:rsid w:val="7DBB1012"/>
    <w:rsid w:val="7DD55BF5"/>
    <w:rsid w:val="7DD6409E"/>
    <w:rsid w:val="7DD86068"/>
    <w:rsid w:val="7DE40569"/>
    <w:rsid w:val="7DFD162B"/>
    <w:rsid w:val="7DFF53A3"/>
    <w:rsid w:val="7E0429B9"/>
    <w:rsid w:val="7E0B01EB"/>
    <w:rsid w:val="7E1207C4"/>
    <w:rsid w:val="7E216DFF"/>
    <w:rsid w:val="7E370FE0"/>
    <w:rsid w:val="7E3F7E95"/>
    <w:rsid w:val="7E5F5E41"/>
    <w:rsid w:val="7E61605D"/>
    <w:rsid w:val="7E6654E6"/>
    <w:rsid w:val="7E97382D"/>
    <w:rsid w:val="7E98735F"/>
    <w:rsid w:val="7E9975A5"/>
    <w:rsid w:val="7E9B7748"/>
    <w:rsid w:val="7EB536D1"/>
    <w:rsid w:val="7EB865F7"/>
    <w:rsid w:val="7EBA751C"/>
    <w:rsid w:val="7EBB576E"/>
    <w:rsid w:val="7EBE0DBA"/>
    <w:rsid w:val="7ED14F91"/>
    <w:rsid w:val="7ED72141"/>
    <w:rsid w:val="7EE051D4"/>
    <w:rsid w:val="7EF05DF7"/>
    <w:rsid w:val="7EF700DD"/>
    <w:rsid w:val="7EF737B0"/>
    <w:rsid w:val="7EF742CC"/>
    <w:rsid w:val="7F007624"/>
    <w:rsid w:val="7F016C0F"/>
    <w:rsid w:val="7F016EF9"/>
    <w:rsid w:val="7F063DDD"/>
    <w:rsid w:val="7F08472B"/>
    <w:rsid w:val="7F17671C"/>
    <w:rsid w:val="7F2826D7"/>
    <w:rsid w:val="7F2E1006"/>
    <w:rsid w:val="7F3217A8"/>
    <w:rsid w:val="7F392B36"/>
    <w:rsid w:val="7F3948E4"/>
    <w:rsid w:val="7F4E6660"/>
    <w:rsid w:val="7F6E0A32"/>
    <w:rsid w:val="7F78494A"/>
    <w:rsid w:val="7F866A55"/>
    <w:rsid w:val="7F8D0BC5"/>
    <w:rsid w:val="7F9628DE"/>
    <w:rsid w:val="7F9D0021"/>
    <w:rsid w:val="7FA36202"/>
    <w:rsid w:val="7FB14DC3"/>
    <w:rsid w:val="7FC71EF0"/>
    <w:rsid w:val="7FE01204"/>
    <w:rsid w:val="7FE6204D"/>
    <w:rsid w:val="7FE9455C"/>
    <w:rsid w:val="7FF058EB"/>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qFormat="1"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qFormat="1"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99" w:semiHidden="0" w:name="Date"/>
    <w:lsdException w:qFormat="1"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4"/>
      <w:lang w:val="en-US" w:eastAsia="zh-CN" w:bidi="ar-SA"/>
    </w:rPr>
  </w:style>
  <w:style w:type="paragraph" w:styleId="2">
    <w:name w:val="heading 1"/>
    <w:basedOn w:val="1"/>
    <w:next w:val="1"/>
    <w:link w:val="45"/>
    <w:qFormat/>
    <w:uiPriority w:val="9"/>
    <w:pPr>
      <w:spacing w:line="360" w:lineRule="auto"/>
      <w:jc w:val="center"/>
      <w:outlineLvl w:val="0"/>
    </w:pPr>
    <w:rPr>
      <w:rFonts w:eastAsia="隶书"/>
      <w:b/>
      <w:sz w:val="36"/>
      <w:szCs w:val="36"/>
    </w:rPr>
  </w:style>
  <w:style w:type="paragraph" w:styleId="3">
    <w:name w:val="heading 2"/>
    <w:basedOn w:val="1"/>
    <w:next w:val="1"/>
    <w:link w:val="46"/>
    <w:qFormat/>
    <w:uiPriority w:val="9"/>
    <w:pPr>
      <w:keepNext/>
      <w:keepLines/>
      <w:outlineLvl w:val="1"/>
    </w:pPr>
    <w:rPr>
      <w:rFonts w:ascii="Arial" w:hAnsi="Arial" w:eastAsia="黑体" w:cs="Arial"/>
      <w:b/>
      <w:sz w:val="32"/>
      <w:szCs w:val="32"/>
    </w:rPr>
  </w:style>
  <w:style w:type="paragraph" w:styleId="4">
    <w:name w:val="heading 3"/>
    <w:basedOn w:val="1"/>
    <w:next w:val="5"/>
    <w:link w:val="54"/>
    <w:qFormat/>
    <w:uiPriority w:val="9"/>
    <w:pPr>
      <w:keepNext/>
      <w:keepLines/>
      <w:tabs>
        <w:tab w:val="left" w:pos="778"/>
      </w:tabs>
      <w:spacing w:beforeLines="50" w:afterLines="50" w:line="360" w:lineRule="auto"/>
      <w:ind w:firstLine="138" w:firstLineChars="49"/>
      <w:outlineLvl w:val="2"/>
    </w:pPr>
    <w:rPr>
      <w:rFonts w:ascii="Arial" w:hAnsi="Arial"/>
      <w:b/>
      <w:kern w:val="0"/>
      <w:sz w:val="28"/>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5">
    <w:name w:val="Body Text First Indent"/>
    <w:basedOn w:val="6"/>
    <w:next w:val="1"/>
    <w:link w:val="48"/>
    <w:unhideWhenUsed/>
    <w:qFormat/>
    <w:uiPriority w:val="0"/>
    <w:pPr>
      <w:ind w:firstLine="420" w:firstLineChars="100"/>
    </w:pPr>
  </w:style>
  <w:style w:type="paragraph" w:styleId="6">
    <w:name w:val="Body Text"/>
    <w:basedOn w:val="1"/>
    <w:next w:val="5"/>
    <w:link w:val="47"/>
    <w:unhideWhenUsed/>
    <w:qFormat/>
    <w:uiPriority w:val="0"/>
    <w:pPr>
      <w:spacing w:after="120"/>
    </w:pPr>
  </w:style>
  <w:style w:type="paragraph" w:styleId="7">
    <w:name w:val="List Number 2"/>
    <w:basedOn w:val="1"/>
    <w:semiHidden/>
    <w:unhideWhenUsed/>
    <w:qFormat/>
    <w:uiPriority w:val="99"/>
    <w:pPr>
      <w:numPr>
        <w:ilvl w:val="0"/>
        <w:numId w:val="1"/>
      </w:numPr>
    </w:pPr>
  </w:style>
  <w:style w:type="paragraph" w:styleId="8">
    <w:name w:val="table of authorities"/>
    <w:basedOn w:val="1"/>
    <w:next w:val="1"/>
    <w:qFormat/>
    <w:uiPriority w:val="0"/>
    <w:pPr>
      <w:ind w:left="420" w:leftChars="200"/>
    </w:pPr>
  </w:style>
  <w:style w:type="paragraph" w:styleId="9">
    <w:name w:val="List Number"/>
    <w:basedOn w:val="1"/>
    <w:unhideWhenUsed/>
    <w:qFormat/>
    <w:uiPriority w:val="0"/>
    <w:pPr>
      <w:numPr>
        <w:ilvl w:val="0"/>
        <w:numId w:val="2"/>
      </w:numPr>
      <w:contextualSpacing/>
    </w:pPr>
  </w:style>
  <w:style w:type="paragraph" w:styleId="10">
    <w:name w:val="Normal Indent"/>
    <w:basedOn w:val="1"/>
    <w:next w:val="11"/>
    <w:link w:val="73"/>
    <w:qFormat/>
    <w:uiPriority w:val="0"/>
    <w:pPr>
      <w:ind w:firstLine="420"/>
    </w:pPr>
  </w:style>
  <w:style w:type="paragraph" w:styleId="11">
    <w:name w:val="Body Text Indent"/>
    <w:basedOn w:val="1"/>
    <w:link w:val="57"/>
    <w:qFormat/>
    <w:uiPriority w:val="0"/>
    <w:pPr>
      <w:spacing w:line="200" w:lineRule="exact"/>
      <w:ind w:firstLine="301"/>
    </w:pPr>
    <w:rPr>
      <w:rFonts w:ascii="宋体" w:hAnsi="Courier New"/>
      <w:spacing w:val="-4"/>
      <w:sz w:val="18"/>
    </w:rPr>
  </w:style>
  <w:style w:type="paragraph" w:styleId="12">
    <w:name w:val="caption"/>
    <w:basedOn w:val="1"/>
    <w:next w:val="1"/>
    <w:qFormat/>
    <w:uiPriority w:val="0"/>
    <w:pPr>
      <w:spacing w:before="152" w:after="160"/>
    </w:pPr>
    <w:rPr>
      <w:rFonts w:ascii="Arial" w:hAnsi="Arial" w:eastAsia="黑体" w:cs="Arial"/>
      <w:sz w:val="20"/>
    </w:rPr>
  </w:style>
  <w:style w:type="paragraph" w:styleId="13">
    <w:name w:val="annotation text"/>
    <w:basedOn w:val="1"/>
    <w:link w:val="55"/>
    <w:qFormat/>
    <w:uiPriority w:val="0"/>
    <w:pPr>
      <w:jc w:val="left"/>
    </w:pPr>
  </w:style>
  <w:style w:type="paragraph" w:styleId="14">
    <w:name w:val="Body Text 3"/>
    <w:basedOn w:val="1"/>
    <w:link w:val="56"/>
    <w:qFormat/>
    <w:uiPriority w:val="0"/>
    <w:pPr>
      <w:snapToGrid w:val="0"/>
      <w:spacing w:before="50" w:after="50"/>
    </w:pPr>
    <w:rPr>
      <w:rFonts w:hAnsi="宋体" w:eastAsia="仿宋_GB2312"/>
      <w:b/>
      <w:bCs/>
    </w:rPr>
  </w:style>
  <w:style w:type="paragraph" w:styleId="15">
    <w:name w:val="List Number 3"/>
    <w:basedOn w:val="1"/>
    <w:semiHidden/>
    <w:unhideWhenUsed/>
    <w:qFormat/>
    <w:uiPriority w:val="99"/>
    <w:pPr>
      <w:numPr>
        <w:ilvl w:val="0"/>
        <w:numId w:val="3"/>
      </w:numPr>
    </w:pPr>
  </w:style>
  <w:style w:type="paragraph" w:styleId="16">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17">
    <w:name w:val="Plain Text"/>
    <w:basedOn w:val="1"/>
    <w:next w:val="1"/>
    <w:link w:val="58"/>
    <w:qFormat/>
    <w:uiPriority w:val="0"/>
    <w:rPr>
      <w:rFonts w:ascii="宋体" w:hAnsi="Courier New"/>
      <w:sz w:val="21"/>
    </w:rPr>
  </w:style>
  <w:style w:type="paragraph" w:styleId="18">
    <w:name w:val="Date"/>
    <w:next w:val="1"/>
    <w:link w:val="59"/>
    <w:qFormat/>
    <w:uiPriority w:val="99"/>
    <w:pPr>
      <w:jc w:val="both"/>
    </w:pPr>
    <w:rPr>
      <w:rFonts w:ascii="楷体_GB2312" w:hAnsi="Times New Roman" w:eastAsia="楷体_GB2312" w:cs="Times New Roman"/>
      <w:sz w:val="32"/>
      <w:lang w:val="en-US" w:eastAsia="zh-CN" w:bidi="ar-SA"/>
    </w:rPr>
  </w:style>
  <w:style w:type="paragraph" w:styleId="19">
    <w:name w:val="Balloon Text"/>
    <w:basedOn w:val="1"/>
    <w:link w:val="60"/>
    <w:qFormat/>
    <w:uiPriority w:val="0"/>
    <w:rPr>
      <w:sz w:val="18"/>
      <w:szCs w:val="18"/>
    </w:rPr>
  </w:style>
  <w:style w:type="paragraph" w:styleId="20">
    <w:name w:val="footer"/>
    <w:basedOn w:val="1"/>
    <w:link w:val="61"/>
    <w:qFormat/>
    <w:uiPriority w:val="99"/>
    <w:pPr>
      <w:tabs>
        <w:tab w:val="center" w:pos="4153"/>
        <w:tab w:val="right" w:pos="8306"/>
      </w:tabs>
      <w:snapToGrid w:val="0"/>
      <w:jc w:val="left"/>
    </w:pPr>
    <w:rPr>
      <w:rFonts w:eastAsia="黑体"/>
      <w:snapToGrid w:val="0"/>
      <w:sz w:val="18"/>
      <w:szCs w:val="18"/>
    </w:rPr>
  </w:style>
  <w:style w:type="paragraph" w:styleId="21">
    <w:name w:val="header"/>
    <w:basedOn w:val="1"/>
    <w:link w:val="62"/>
    <w:qFormat/>
    <w:uiPriority w:val="99"/>
    <w:pPr>
      <w:pBdr>
        <w:bottom w:val="single" w:color="auto" w:sz="6" w:space="1"/>
      </w:pBdr>
      <w:tabs>
        <w:tab w:val="center" w:pos="4153"/>
        <w:tab w:val="right" w:pos="8306"/>
      </w:tabs>
      <w:snapToGrid w:val="0"/>
      <w:jc w:val="center"/>
    </w:pPr>
    <w:rPr>
      <w:rFonts w:eastAsia="仿宋_GB2312"/>
      <w:sz w:val="18"/>
      <w:szCs w:val="24"/>
    </w:rPr>
  </w:style>
  <w:style w:type="paragraph" w:styleId="22">
    <w:name w:val="toc 1"/>
    <w:next w:val="1"/>
    <w:qFormat/>
    <w:uiPriority w:val="39"/>
    <w:pPr>
      <w:widowControl w:val="0"/>
    </w:pPr>
    <w:rPr>
      <w:rFonts w:ascii="Times New Roman" w:hAnsi="Times New Roman" w:eastAsia="宋体" w:cs="Times New Roman"/>
      <w:b/>
      <w:caps/>
      <w:kern w:val="2"/>
      <w:lang w:val="en-US" w:eastAsia="zh-CN" w:bidi="ar-SA"/>
    </w:rPr>
  </w:style>
  <w:style w:type="paragraph" w:styleId="23">
    <w:name w:val="List"/>
    <w:basedOn w:val="1"/>
    <w:qFormat/>
    <w:uiPriority w:val="0"/>
    <w:pPr>
      <w:ind w:left="200" w:hanging="200" w:hangingChars="200"/>
    </w:pPr>
    <w:rPr>
      <w:sz w:val="28"/>
    </w:rPr>
  </w:style>
  <w:style w:type="paragraph" w:styleId="24">
    <w:name w:val="toc 6"/>
    <w:basedOn w:val="1"/>
    <w:next w:val="1"/>
    <w:qFormat/>
    <w:uiPriority w:val="0"/>
    <w:pPr>
      <w:ind w:left="2100" w:leftChars="1000"/>
    </w:pPr>
  </w:style>
  <w:style w:type="paragraph" w:styleId="25">
    <w:name w:val="toc 2"/>
    <w:basedOn w:val="1"/>
    <w:next w:val="1"/>
    <w:unhideWhenUsed/>
    <w:qFormat/>
    <w:uiPriority w:val="39"/>
    <w:pPr>
      <w:ind w:left="420" w:leftChars="200"/>
    </w:pPr>
  </w:style>
  <w:style w:type="paragraph" w:styleId="26">
    <w:name w:val="Body Text 2"/>
    <w:basedOn w:val="1"/>
    <w:qFormat/>
    <w:uiPriority w:val="0"/>
    <w:pPr>
      <w:spacing w:after="120" w:line="480" w:lineRule="auto"/>
    </w:pPr>
    <w:rPr>
      <w:rFonts w:ascii="Calibri" w:hAnsi="Calibri"/>
      <w:szCs w:val="22"/>
    </w:rPr>
  </w:style>
  <w:style w:type="paragraph" w:styleId="27">
    <w:name w:val="Normal (Web)"/>
    <w:basedOn w:val="1"/>
    <w:link w:val="76"/>
    <w:qFormat/>
    <w:uiPriority w:val="0"/>
    <w:rPr>
      <w:szCs w:val="24"/>
    </w:rPr>
  </w:style>
  <w:style w:type="paragraph" w:styleId="28">
    <w:name w:val="Title"/>
    <w:basedOn w:val="1"/>
    <w:next w:val="1"/>
    <w:link w:val="63"/>
    <w:qFormat/>
    <w:uiPriority w:val="0"/>
    <w:pPr>
      <w:spacing w:before="240" w:after="60"/>
      <w:jc w:val="center"/>
      <w:outlineLvl w:val="0"/>
    </w:pPr>
    <w:rPr>
      <w:rFonts w:ascii="Cambria" w:hAnsi="Cambria"/>
      <w:b/>
      <w:bCs/>
      <w:kern w:val="28"/>
      <w:sz w:val="32"/>
      <w:szCs w:val="32"/>
    </w:rPr>
  </w:style>
  <w:style w:type="paragraph" w:styleId="29">
    <w:name w:val="annotation subject"/>
    <w:basedOn w:val="13"/>
    <w:next w:val="13"/>
    <w:link w:val="64"/>
    <w:qFormat/>
    <w:uiPriority w:val="0"/>
    <w:rPr>
      <w:b/>
      <w:bCs/>
    </w:rPr>
  </w:style>
  <w:style w:type="paragraph" w:styleId="30">
    <w:name w:val="Body Text First Indent 2"/>
    <w:basedOn w:val="11"/>
    <w:link w:val="65"/>
    <w:unhideWhenUsed/>
    <w:qFormat/>
    <w:uiPriority w:val="99"/>
    <w:pPr>
      <w:spacing w:after="120"/>
      <w:ind w:left="420" w:leftChars="200" w:firstLine="420"/>
    </w:pPr>
    <w:rPr>
      <w:rFonts w:cs="宋体"/>
      <w:sz w:val="21"/>
      <w:szCs w:val="21"/>
    </w:rPr>
  </w:style>
  <w:style w:type="table" w:styleId="32">
    <w:name w:val="Table Grid"/>
    <w:basedOn w:val="31"/>
    <w:qFormat/>
    <w:uiPriority w:val="0"/>
    <w:pPr>
      <w:widowControl w:val="0"/>
      <w:jc w:val="both"/>
    </w:pPr>
    <w:rPr>
      <w:rFonts w:ascii="Times New Roman" w:hAnsi="Times New Roman"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qFormat/>
    <w:uiPriority w:val="22"/>
    <w:rPr>
      <w:b/>
      <w:bCs/>
    </w:rPr>
  </w:style>
  <w:style w:type="character" w:styleId="35">
    <w:name w:val="page number"/>
    <w:basedOn w:val="33"/>
    <w:qFormat/>
    <w:uiPriority w:val="0"/>
  </w:style>
  <w:style w:type="character" w:styleId="36">
    <w:name w:val="Hyperlink"/>
    <w:qFormat/>
    <w:uiPriority w:val="99"/>
    <w:rPr>
      <w:color w:val="0000FF"/>
      <w:u w:val="single"/>
    </w:rPr>
  </w:style>
  <w:style w:type="character" w:styleId="37">
    <w:name w:val="annotation reference"/>
    <w:qFormat/>
    <w:uiPriority w:val="0"/>
    <w:rPr>
      <w:sz w:val="21"/>
      <w:szCs w:val="21"/>
    </w:rPr>
  </w:style>
  <w:style w:type="paragraph" w:customStyle="1" w:styleId="38">
    <w:name w:val="TOC 标题4"/>
    <w:next w:val="1"/>
    <w:qFormat/>
    <w:uiPriority w:val="0"/>
    <w:pPr>
      <w:wordWrap w:val="0"/>
    </w:pPr>
    <w:rPr>
      <w:rFonts w:ascii="Times New Roman" w:hAnsi="Times New Roman" w:eastAsia="宋体" w:cs="Times New Roman"/>
      <w:sz w:val="32"/>
      <w:lang w:val="en-US" w:eastAsia="zh-CN" w:bidi="ar-SA"/>
    </w:rPr>
  </w:style>
  <w:style w:type="paragraph" w:customStyle="1" w:styleId="39">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paragraph" w:customStyle="1" w:styleId="40">
    <w:name w:val="Default"/>
    <w:next w:val="41"/>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1">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42">
    <w:name w:val="列表段落1"/>
    <w:basedOn w:val="1"/>
    <w:qFormat/>
    <w:uiPriority w:val="99"/>
    <w:pPr>
      <w:spacing w:line="360" w:lineRule="auto"/>
      <w:ind w:firstLine="420" w:firstLineChars="200"/>
    </w:pPr>
    <w:rPr>
      <w:sz w:val="21"/>
    </w:rPr>
  </w:style>
  <w:style w:type="paragraph" w:customStyle="1" w:styleId="43">
    <w:name w:val="样式 正文首行缩进 2 + Arial"/>
    <w:basedOn w:val="1"/>
    <w:next w:val="1"/>
    <w:qFormat/>
    <w:uiPriority w:val="0"/>
    <w:pPr>
      <w:spacing w:after="120" w:line="320" w:lineRule="atLeast"/>
      <w:ind w:firstLine="200" w:firstLineChars="200"/>
    </w:pPr>
    <w:rPr>
      <w:rFonts w:ascii="Arial" w:hAnsi="Arial"/>
      <w:kern w:val="0"/>
    </w:rPr>
  </w:style>
  <w:style w:type="paragraph" w:customStyle="1" w:styleId="44">
    <w:name w:val="Heading1"/>
    <w:basedOn w:val="1"/>
    <w:next w:val="1"/>
    <w:qFormat/>
    <w:uiPriority w:val="0"/>
    <w:pPr>
      <w:keepNext/>
      <w:keepLines/>
      <w:spacing w:before="340" w:after="330" w:line="578" w:lineRule="auto"/>
      <w:ind w:left="425" w:hanging="425"/>
    </w:pPr>
    <w:rPr>
      <w:rFonts w:eastAsia="仿宋_GB2312"/>
      <w:b/>
      <w:kern w:val="44"/>
      <w:sz w:val="44"/>
    </w:rPr>
  </w:style>
  <w:style w:type="character" w:customStyle="1" w:styleId="45">
    <w:name w:val="标题 1 字符"/>
    <w:basedOn w:val="33"/>
    <w:link w:val="2"/>
    <w:qFormat/>
    <w:uiPriority w:val="9"/>
    <w:rPr>
      <w:rFonts w:eastAsia="隶书"/>
      <w:b/>
      <w:kern w:val="2"/>
      <w:sz w:val="36"/>
      <w:szCs w:val="36"/>
    </w:rPr>
  </w:style>
  <w:style w:type="character" w:customStyle="1" w:styleId="46">
    <w:name w:val="标题 2 字符"/>
    <w:basedOn w:val="33"/>
    <w:link w:val="3"/>
    <w:qFormat/>
    <w:uiPriority w:val="0"/>
    <w:rPr>
      <w:rFonts w:ascii="Arial" w:hAnsi="Arial" w:eastAsia="黑体" w:cs="Arial"/>
      <w:b/>
      <w:kern w:val="2"/>
      <w:sz w:val="32"/>
      <w:szCs w:val="32"/>
    </w:rPr>
  </w:style>
  <w:style w:type="character" w:customStyle="1" w:styleId="47">
    <w:name w:val="正文文本 字符"/>
    <w:basedOn w:val="33"/>
    <w:link w:val="6"/>
    <w:qFormat/>
    <w:uiPriority w:val="0"/>
    <w:rPr>
      <w:kern w:val="2"/>
      <w:sz w:val="21"/>
      <w:szCs w:val="24"/>
    </w:rPr>
  </w:style>
  <w:style w:type="character" w:customStyle="1" w:styleId="48">
    <w:name w:val="正文文本首行缩进 字符"/>
    <w:basedOn w:val="47"/>
    <w:link w:val="5"/>
    <w:semiHidden/>
    <w:qFormat/>
    <w:uiPriority w:val="99"/>
    <w:rPr>
      <w:kern w:val="2"/>
      <w:sz w:val="21"/>
      <w:szCs w:val="24"/>
    </w:rPr>
  </w:style>
  <w:style w:type="paragraph" w:customStyle="1" w:styleId="49">
    <w:name w:val="纯文本1"/>
    <w:basedOn w:val="1"/>
    <w:qFormat/>
    <w:uiPriority w:val="0"/>
    <w:pPr>
      <w:widowControl/>
      <w:jc w:val="left"/>
    </w:pPr>
    <w:rPr>
      <w:rFonts w:ascii="宋体" w:hAnsi="Courier New"/>
      <w:color w:val="000000"/>
      <w:kern w:val="1"/>
    </w:rPr>
  </w:style>
  <w:style w:type="paragraph" w:customStyle="1" w:styleId="50">
    <w:name w:val="正文1"/>
    <w:basedOn w:val="1"/>
    <w:qFormat/>
    <w:uiPriority w:val="0"/>
    <w:rPr>
      <w:color w:val="000000"/>
      <w:kern w:val="1"/>
    </w:rPr>
  </w:style>
  <w:style w:type="paragraph" w:customStyle="1" w:styleId="51">
    <w:name w:val="+正文"/>
    <w:basedOn w:val="1"/>
    <w:qFormat/>
    <w:uiPriority w:val="0"/>
    <w:pPr>
      <w:spacing w:line="360" w:lineRule="auto"/>
      <w:ind w:firstLine="200"/>
    </w:pPr>
    <w:rPr>
      <w:kern w:val="1"/>
    </w:rPr>
  </w:style>
  <w:style w:type="paragraph" w:customStyle="1" w:styleId="52">
    <w:name w:val="样式 列表编号 + 段后: 0.5 行"/>
    <w:basedOn w:val="9"/>
    <w:qFormat/>
    <w:uiPriority w:val="0"/>
    <w:pPr>
      <w:numPr>
        <w:ilvl w:val="0"/>
        <w:numId w:val="0"/>
      </w:numPr>
      <w:tabs>
        <w:tab w:val="left" w:pos="720"/>
      </w:tabs>
      <w:ind w:left="720" w:hanging="360"/>
      <w:contextualSpacing w:val="0"/>
    </w:pPr>
  </w:style>
  <w:style w:type="paragraph" w:customStyle="1" w:styleId="53">
    <w:name w:val="正文 + 宋体"/>
    <w:basedOn w:val="1"/>
    <w:qFormat/>
    <w:uiPriority w:val="0"/>
    <w:pPr>
      <w:spacing w:before="31" w:line="400" w:lineRule="atLeast"/>
      <w:ind w:firstLine="420"/>
    </w:pPr>
    <w:rPr>
      <w:rFonts w:ascii="宋体" w:hAnsi="宋体" w:cs="宋体"/>
      <w:kern w:val="1"/>
    </w:rPr>
  </w:style>
  <w:style w:type="character" w:customStyle="1" w:styleId="54">
    <w:name w:val="标题 3 字符"/>
    <w:basedOn w:val="33"/>
    <w:link w:val="4"/>
    <w:qFormat/>
    <w:uiPriority w:val="0"/>
    <w:rPr>
      <w:rFonts w:ascii="Arial" w:hAnsi="Arial" w:eastAsia="宋体"/>
      <w:b/>
      <w:sz w:val="28"/>
    </w:rPr>
  </w:style>
  <w:style w:type="character" w:customStyle="1" w:styleId="55">
    <w:name w:val="批注文字 字符"/>
    <w:basedOn w:val="33"/>
    <w:link w:val="13"/>
    <w:qFormat/>
    <w:uiPriority w:val="0"/>
    <w:rPr>
      <w:rFonts w:ascii="Times New Roman" w:hAnsi="Times New Roman" w:eastAsia="宋体"/>
      <w:kern w:val="2"/>
      <w:sz w:val="24"/>
    </w:rPr>
  </w:style>
  <w:style w:type="character" w:customStyle="1" w:styleId="56">
    <w:name w:val="正文文本 3 字符"/>
    <w:basedOn w:val="33"/>
    <w:link w:val="14"/>
    <w:qFormat/>
    <w:uiPriority w:val="0"/>
    <w:rPr>
      <w:rFonts w:ascii="Times New Roman" w:hAnsi="宋体" w:eastAsia="仿宋_GB2312"/>
      <w:b/>
      <w:bCs/>
      <w:kern w:val="2"/>
      <w:sz w:val="24"/>
    </w:rPr>
  </w:style>
  <w:style w:type="character" w:customStyle="1" w:styleId="57">
    <w:name w:val="正文文本缩进 字符"/>
    <w:basedOn w:val="33"/>
    <w:link w:val="11"/>
    <w:qFormat/>
    <w:uiPriority w:val="0"/>
    <w:rPr>
      <w:rFonts w:ascii="宋体" w:hAnsi="Courier New" w:eastAsia="宋体"/>
      <w:spacing w:val="-4"/>
      <w:kern w:val="2"/>
      <w:sz w:val="18"/>
    </w:rPr>
  </w:style>
  <w:style w:type="character" w:customStyle="1" w:styleId="58">
    <w:name w:val="纯文本 字符"/>
    <w:basedOn w:val="33"/>
    <w:link w:val="17"/>
    <w:qFormat/>
    <w:uiPriority w:val="0"/>
    <w:rPr>
      <w:rFonts w:ascii="宋体" w:hAnsi="Courier New" w:eastAsia="宋体"/>
      <w:kern w:val="2"/>
      <w:sz w:val="21"/>
    </w:rPr>
  </w:style>
  <w:style w:type="character" w:customStyle="1" w:styleId="59">
    <w:name w:val="日期 字符"/>
    <w:basedOn w:val="33"/>
    <w:link w:val="18"/>
    <w:qFormat/>
    <w:uiPriority w:val="99"/>
    <w:rPr>
      <w:rFonts w:ascii="楷体_GB2312" w:hAnsi="Times New Roman" w:eastAsia="楷体_GB2312"/>
      <w:sz w:val="32"/>
    </w:rPr>
  </w:style>
  <w:style w:type="character" w:customStyle="1" w:styleId="60">
    <w:name w:val="批注框文本 字符"/>
    <w:basedOn w:val="33"/>
    <w:link w:val="19"/>
    <w:qFormat/>
    <w:uiPriority w:val="0"/>
    <w:rPr>
      <w:rFonts w:ascii="Times New Roman" w:hAnsi="Times New Roman" w:eastAsia="宋体"/>
      <w:kern w:val="2"/>
      <w:sz w:val="18"/>
      <w:szCs w:val="18"/>
    </w:rPr>
  </w:style>
  <w:style w:type="character" w:customStyle="1" w:styleId="61">
    <w:name w:val="页脚 字符"/>
    <w:basedOn w:val="33"/>
    <w:link w:val="20"/>
    <w:qFormat/>
    <w:uiPriority w:val="99"/>
    <w:rPr>
      <w:rFonts w:ascii="Times New Roman" w:hAnsi="Times New Roman" w:eastAsia="黑体"/>
      <w:snapToGrid w:val="0"/>
      <w:kern w:val="2"/>
      <w:sz w:val="18"/>
      <w:szCs w:val="18"/>
    </w:rPr>
  </w:style>
  <w:style w:type="character" w:customStyle="1" w:styleId="62">
    <w:name w:val="页眉 字符"/>
    <w:basedOn w:val="33"/>
    <w:link w:val="21"/>
    <w:qFormat/>
    <w:uiPriority w:val="99"/>
    <w:rPr>
      <w:rFonts w:ascii="Times New Roman" w:hAnsi="Times New Roman" w:eastAsia="仿宋_GB2312"/>
      <w:kern w:val="2"/>
      <w:sz w:val="18"/>
      <w:szCs w:val="24"/>
    </w:rPr>
  </w:style>
  <w:style w:type="character" w:customStyle="1" w:styleId="63">
    <w:name w:val="标题 字符"/>
    <w:basedOn w:val="33"/>
    <w:link w:val="28"/>
    <w:qFormat/>
    <w:uiPriority w:val="0"/>
    <w:rPr>
      <w:rFonts w:ascii="Cambria" w:hAnsi="Cambria" w:eastAsia="宋体"/>
      <w:b/>
      <w:bCs/>
      <w:kern w:val="28"/>
      <w:sz w:val="32"/>
      <w:szCs w:val="32"/>
    </w:rPr>
  </w:style>
  <w:style w:type="character" w:customStyle="1" w:styleId="64">
    <w:name w:val="批注主题 字符"/>
    <w:basedOn w:val="55"/>
    <w:link w:val="29"/>
    <w:qFormat/>
    <w:uiPriority w:val="0"/>
    <w:rPr>
      <w:rFonts w:ascii="Times New Roman" w:hAnsi="Times New Roman" w:eastAsia="宋体"/>
      <w:b/>
      <w:bCs/>
      <w:kern w:val="2"/>
      <w:sz w:val="24"/>
    </w:rPr>
  </w:style>
  <w:style w:type="character" w:customStyle="1" w:styleId="65">
    <w:name w:val="正文文本首行缩进 2 字符"/>
    <w:basedOn w:val="57"/>
    <w:link w:val="30"/>
    <w:qFormat/>
    <w:uiPriority w:val="99"/>
    <w:rPr>
      <w:rFonts w:ascii="宋体" w:hAnsi="Courier New" w:eastAsia="宋体" w:cs="宋体"/>
      <w:spacing w:val="-4"/>
      <w:kern w:val="2"/>
      <w:sz w:val="21"/>
      <w:szCs w:val="21"/>
    </w:rPr>
  </w:style>
  <w:style w:type="paragraph" w:customStyle="1" w:styleId="66">
    <w:name w:val="GP正文(无首行缩进)"/>
    <w:qFormat/>
    <w:uiPriority w:val="99"/>
    <w:pPr>
      <w:widowControl w:val="0"/>
      <w:spacing w:line="360" w:lineRule="auto"/>
    </w:pPr>
    <w:rPr>
      <w:rFonts w:ascii="Times New Roman" w:hAnsi="Times New Roman" w:eastAsia="宋体" w:cs="Times New Roman"/>
      <w:color w:val="000000"/>
      <w:kern w:val="1"/>
      <w:sz w:val="24"/>
      <w:szCs w:val="21"/>
      <w:lang w:val="en-US" w:eastAsia="zh-CN" w:bidi="ar-SA"/>
    </w:rPr>
  </w:style>
  <w:style w:type="paragraph" w:customStyle="1" w:styleId="67">
    <w:name w:val="表格文字"/>
    <w:basedOn w:val="17"/>
    <w:next w:val="6"/>
    <w:qFormat/>
    <w:uiPriority w:val="0"/>
    <w:pPr>
      <w:jc w:val="left"/>
    </w:pPr>
    <w:rPr>
      <w:sz w:val="24"/>
    </w:rPr>
  </w:style>
  <w:style w:type="paragraph" w:customStyle="1" w:styleId="68">
    <w:name w:val="样式 宋体"/>
    <w:basedOn w:val="1"/>
    <w:next w:val="1"/>
    <w:qFormat/>
    <w:uiPriority w:val="0"/>
    <w:pPr>
      <w:widowControl/>
    </w:pPr>
    <w:rPr>
      <w:rFonts w:ascii="宋体"/>
      <w:color w:val="000000"/>
    </w:rPr>
  </w:style>
  <w:style w:type="paragraph" w:customStyle="1" w:styleId="69">
    <w:name w:val="reader-word-layer reader-word-s1-8"/>
    <w:basedOn w:val="1"/>
    <w:qFormat/>
    <w:uiPriority w:val="0"/>
    <w:pPr>
      <w:widowControl/>
      <w:spacing w:before="100" w:beforeAutospacing="1" w:after="100" w:afterAutospacing="1"/>
      <w:jc w:val="left"/>
    </w:pPr>
    <w:rPr>
      <w:rFonts w:ascii="宋体" w:hAnsi="宋体" w:cs="宋体"/>
      <w:kern w:val="0"/>
    </w:rPr>
  </w:style>
  <w:style w:type="character" w:customStyle="1" w:styleId="70">
    <w:name w:val="NormalCharacter"/>
    <w:qFormat/>
    <w:uiPriority w:val="0"/>
  </w:style>
  <w:style w:type="paragraph" w:customStyle="1" w:styleId="71">
    <w:name w:val="UserStyle_89"/>
    <w:basedOn w:val="1"/>
    <w:qFormat/>
    <w:uiPriority w:val="0"/>
    <w:pPr>
      <w:ind w:firstLine="420"/>
      <w:jc w:val="left"/>
    </w:pPr>
    <w:rPr>
      <w:kern w:val="0"/>
    </w:rPr>
  </w:style>
  <w:style w:type="paragraph" w:customStyle="1" w:styleId="72">
    <w:name w:val="HtmlNormal"/>
    <w:basedOn w:val="1"/>
    <w:qFormat/>
    <w:uiPriority w:val="0"/>
    <w:pPr>
      <w:spacing w:before="100" w:beforeAutospacing="1" w:after="100" w:afterAutospacing="1"/>
      <w:jc w:val="left"/>
    </w:pPr>
    <w:rPr>
      <w:rFonts w:ascii="Arial Unicode MS" w:hAnsi="Arial Unicode MS" w:eastAsia="Arial Unicode MS"/>
      <w:color w:val="000000"/>
      <w:kern w:val="0"/>
      <w:sz w:val="19"/>
      <w:szCs w:val="19"/>
    </w:rPr>
  </w:style>
  <w:style w:type="character" w:customStyle="1" w:styleId="73">
    <w:name w:val="正文缩进 字符"/>
    <w:link w:val="10"/>
    <w:qFormat/>
    <w:uiPriority w:val="0"/>
    <w:rPr>
      <w:rFonts w:ascii="Times New Roman" w:hAnsi="Times New Roman" w:eastAsia="宋体"/>
      <w:kern w:val="2"/>
      <w:sz w:val="24"/>
    </w:rPr>
  </w:style>
  <w:style w:type="character" w:customStyle="1" w:styleId="74">
    <w:name w:val="point_normal1"/>
    <w:qFormat/>
    <w:uiPriority w:val="0"/>
    <w:rPr>
      <w:rFonts w:hint="default" w:ascii="Arial" w:hAnsi="Arial"/>
      <w:sz w:val="22"/>
    </w:rPr>
  </w:style>
  <w:style w:type="paragraph" w:customStyle="1" w:styleId="75">
    <w:name w:val="p0"/>
    <w:basedOn w:val="1"/>
    <w:qFormat/>
    <w:uiPriority w:val="99"/>
    <w:pPr>
      <w:widowControl/>
      <w:spacing w:before="100" w:beforeAutospacing="1" w:after="100" w:afterAutospacing="1"/>
      <w:jc w:val="left"/>
    </w:pPr>
    <w:rPr>
      <w:rFonts w:ascii="宋体" w:hAnsi="宋体"/>
      <w:kern w:val="0"/>
    </w:rPr>
  </w:style>
  <w:style w:type="character" w:customStyle="1" w:styleId="76">
    <w:name w:val="普通(网站) 字符"/>
    <w:link w:val="27"/>
    <w:qFormat/>
    <w:uiPriority w:val="0"/>
    <w:rPr>
      <w:rFonts w:ascii="Times New Roman" w:hAnsi="Times New Roman" w:eastAsia="宋体"/>
      <w:kern w:val="2"/>
      <w:sz w:val="24"/>
      <w:szCs w:val="24"/>
    </w:rPr>
  </w:style>
  <w:style w:type="character" w:customStyle="1" w:styleId="77">
    <w:name w:val="bookmark-item"/>
    <w:basedOn w:val="33"/>
    <w:qFormat/>
    <w:uiPriority w:val="0"/>
  </w:style>
  <w:style w:type="paragraph" w:customStyle="1" w:styleId="78">
    <w:name w:val="列出段落1"/>
    <w:basedOn w:val="1"/>
    <w:unhideWhenUsed/>
    <w:qFormat/>
    <w:uiPriority w:val="34"/>
    <w:pPr>
      <w:ind w:firstLine="420" w:firstLineChars="200"/>
    </w:pPr>
  </w:style>
  <w:style w:type="paragraph" w:customStyle="1" w:styleId="79">
    <w:name w:val="!表格正文"/>
    <w:basedOn w:val="1"/>
    <w:qFormat/>
    <w:uiPriority w:val="0"/>
    <w:rPr>
      <w:rFonts w:cs="Calibri"/>
      <w:kern w:val="0"/>
      <w:szCs w:val="21"/>
    </w:rPr>
  </w:style>
  <w:style w:type="paragraph" w:customStyle="1" w:styleId="80">
    <w:name w:val="列出段落11"/>
    <w:basedOn w:val="1"/>
    <w:qFormat/>
    <w:uiPriority w:val="0"/>
    <w:pPr>
      <w:ind w:firstLine="420"/>
    </w:pPr>
    <w:rPr>
      <w:rFonts w:ascii="Calibri" w:hAnsi="Calibri"/>
      <w:sz w:val="21"/>
    </w:rPr>
  </w:style>
  <w:style w:type="paragraph" w:customStyle="1" w:styleId="81">
    <w:name w:val="_正文段落"/>
    <w:basedOn w:val="1"/>
    <w:qFormat/>
    <w:uiPriority w:val="99"/>
    <w:pPr>
      <w:spacing w:beforeLines="15" w:afterLines="30"/>
    </w:pPr>
    <w:rPr>
      <w:rFonts w:ascii="Calibri" w:hAnsi="Calibri"/>
      <w:szCs w:val="24"/>
    </w:rPr>
  </w:style>
  <w:style w:type="paragraph" w:customStyle="1" w:styleId="82">
    <w:name w:val="正文段"/>
    <w:basedOn w:val="1"/>
    <w:qFormat/>
    <w:uiPriority w:val="0"/>
    <w:pPr>
      <w:widowControl/>
      <w:snapToGrid w:val="0"/>
      <w:spacing w:afterLines="50"/>
      <w:ind w:firstLine="200" w:firstLineChars="200"/>
    </w:pPr>
    <w:rPr>
      <w:kern w:val="0"/>
    </w:rPr>
  </w:style>
  <w:style w:type="paragraph" w:customStyle="1" w:styleId="83">
    <w:name w:val="CM4"/>
    <w:basedOn w:val="40"/>
    <w:next w:val="40"/>
    <w:unhideWhenUsed/>
    <w:qFormat/>
    <w:uiPriority w:val="0"/>
    <w:pPr>
      <w:adjustRightInd/>
      <w:spacing w:line="411" w:lineRule="atLeast"/>
    </w:pPr>
    <w:rPr>
      <w:rFonts w:cs="Times New Roman"/>
      <w:szCs w:val="20"/>
    </w:rPr>
  </w:style>
  <w:style w:type="paragraph" w:customStyle="1" w:styleId="84">
    <w:name w:val="CM5"/>
    <w:basedOn w:val="40"/>
    <w:next w:val="40"/>
    <w:unhideWhenUsed/>
    <w:qFormat/>
    <w:uiPriority w:val="0"/>
    <w:pPr>
      <w:adjustRightInd/>
      <w:spacing w:line="408" w:lineRule="atLeast"/>
    </w:pPr>
    <w:rPr>
      <w:rFonts w:cs="Times New Roman"/>
      <w:szCs w:val="20"/>
    </w:rPr>
  </w:style>
  <w:style w:type="paragraph" w:customStyle="1" w:styleId="85">
    <w:name w:val="样式5"/>
    <w:basedOn w:val="1"/>
    <w:qFormat/>
    <w:uiPriority w:val="99"/>
    <w:pPr>
      <w:spacing w:line="360" w:lineRule="auto"/>
      <w:ind w:firstLine="200" w:firstLineChars="200"/>
      <w:jc w:val="left"/>
    </w:pPr>
  </w:style>
  <w:style w:type="character" w:customStyle="1" w:styleId="86">
    <w:name w:val="纯文本 Char3"/>
    <w:qFormat/>
    <w:uiPriority w:val="0"/>
    <w:rPr>
      <w:rFonts w:ascii="??" w:hAnsi="??" w:eastAsia="??" w:cs="宋体"/>
      <w:kern w:val="2"/>
      <w:sz w:val="21"/>
      <w:szCs w:val="21"/>
    </w:rPr>
  </w:style>
  <w:style w:type="paragraph" w:customStyle="1" w:styleId="87">
    <w:name w:val="1册标题1"/>
    <w:basedOn w:val="1"/>
    <w:next w:val="1"/>
    <w:qFormat/>
    <w:uiPriority w:val="0"/>
    <w:pPr>
      <w:spacing w:beforeLines="50" w:afterLines="50" w:line="300" w:lineRule="auto"/>
      <w:jc w:val="center"/>
      <w:outlineLvl w:val="0"/>
    </w:pPr>
    <w:rPr>
      <w:rFonts w:ascii="Arial" w:hAnsi="Arial" w:eastAsia="黑体"/>
      <w:b/>
      <w:bCs/>
      <w:sz w:val="48"/>
    </w:rPr>
  </w:style>
  <w:style w:type="paragraph" w:customStyle="1" w:styleId="88">
    <w:name w:val="无间隔2"/>
    <w:qFormat/>
    <w:uiPriority w:val="99"/>
    <w:rPr>
      <w:rFonts w:ascii="Times New Roman" w:hAnsi="Times New Roman" w:eastAsia="Times New Roman" w:cs="Times New Roman"/>
      <w:kern w:val="2"/>
      <w:sz w:val="22"/>
      <w:szCs w:val="22"/>
      <w:lang w:val="en-US" w:eastAsia="zh-CN" w:bidi="ar-SA"/>
    </w:rPr>
  </w:style>
  <w:style w:type="paragraph" w:styleId="89">
    <w:name w:val="List Paragraph"/>
    <w:basedOn w:val="1"/>
    <w:unhideWhenUsed/>
    <w:qFormat/>
    <w:uiPriority w:val="0"/>
    <w:pPr>
      <w:ind w:firstLine="420" w:firstLineChars="200"/>
    </w:pPr>
  </w:style>
  <w:style w:type="paragraph" w:customStyle="1" w:styleId="90">
    <w:name w:val="段落正文"/>
    <w:basedOn w:val="13"/>
    <w:link w:val="91"/>
    <w:qFormat/>
    <w:uiPriority w:val="0"/>
    <w:pPr>
      <w:adjustRightInd w:val="0"/>
      <w:snapToGrid w:val="0"/>
      <w:spacing w:line="360" w:lineRule="auto"/>
      <w:ind w:firstLine="420" w:firstLineChars="200"/>
      <w:jc w:val="both"/>
    </w:pPr>
    <w:rPr>
      <w:sz w:val="21"/>
      <w:szCs w:val="21"/>
    </w:rPr>
  </w:style>
  <w:style w:type="character" w:customStyle="1" w:styleId="91">
    <w:name w:val="段落正文 字符"/>
    <w:basedOn w:val="55"/>
    <w:link w:val="90"/>
    <w:qFormat/>
    <w:uiPriority w:val="0"/>
    <w:rPr>
      <w:rFonts w:ascii="Times New Roman" w:hAnsi="Times New Roman" w:eastAsia="宋体"/>
      <w:kern w:val="2"/>
      <w:sz w:val="21"/>
      <w:szCs w:val="21"/>
    </w:rPr>
  </w:style>
  <w:style w:type="paragraph" w:customStyle="1" w:styleId="92">
    <w:name w:val="正文格式"/>
    <w:basedOn w:val="1"/>
    <w:link w:val="93"/>
    <w:qFormat/>
    <w:uiPriority w:val="0"/>
    <w:pPr>
      <w:spacing w:beforeLines="50" w:afterLines="50" w:line="360" w:lineRule="auto"/>
      <w:ind w:firstLine="480" w:firstLineChars="200"/>
    </w:pPr>
    <w:rPr>
      <w:kern w:val="0"/>
      <w:szCs w:val="24"/>
      <w:lang w:val="en-GB"/>
    </w:rPr>
  </w:style>
  <w:style w:type="character" w:customStyle="1" w:styleId="93">
    <w:name w:val="正文格式 Char"/>
    <w:link w:val="92"/>
    <w:qFormat/>
    <w:uiPriority w:val="0"/>
    <w:rPr>
      <w:rFonts w:ascii="Times New Roman" w:hAnsi="Times New Roman" w:eastAsia="宋体"/>
      <w:sz w:val="24"/>
      <w:szCs w:val="24"/>
      <w:lang w:val="en-GB"/>
    </w:rPr>
  </w:style>
  <w:style w:type="character" w:customStyle="1" w:styleId="94">
    <w:name w:val="Unresolved Mention"/>
    <w:basedOn w:val="33"/>
    <w:semiHidden/>
    <w:unhideWhenUsed/>
    <w:qFormat/>
    <w:uiPriority w:val="99"/>
    <w:rPr>
      <w:color w:val="605E5C"/>
      <w:shd w:val="clear" w:color="auto" w:fill="E1DFDD"/>
    </w:rPr>
  </w:style>
  <w:style w:type="table" w:customStyle="1" w:styleId="95">
    <w:name w:val="网格型浅色1"/>
    <w:basedOn w:val="31"/>
    <w:qFormat/>
    <w:uiPriority w:val="40"/>
    <w:rPr>
      <w:kern w:val="2"/>
      <w:sz w:val="21"/>
      <w:szCs w:val="22"/>
    </w:rPr>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paragraph" w:customStyle="1" w:styleId="96">
    <w:name w:val="正文缩进2"/>
    <w:basedOn w:val="1"/>
    <w:qFormat/>
    <w:uiPriority w:val="0"/>
    <w:pPr>
      <w:spacing w:before="60"/>
      <w:ind w:firstLine="476"/>
    </w:pPr>
  </w:style>
  <w:style w:type="paragraph" w:customStyle="1" w:styleId="97">
    <w:name w:val="图"/>
    <w:basedOn w:val="1"/>
    <w:qFormat/>
    <w:uiPriority w:val="0"/>
    <w:pPr>
      <w:keepNext/>
      <w:spacing w:before="60" w:after="60" w:line="300" w:lineRule="auto"/>
      <w:jc w:val="center"/>
    </w:pPr>
    <w:rPr>
      <w:spacing w:val="20"/>
      <w:sz w:val="24"/>
      <w:szCs w:val="20"/>
    </w:rPr>
  </w:style>
  <w:style w:type="paragraph" w:customStyle="1" w:styleId="98">
    <w:name w:val="_Style 3"/>
    <w:basedOn w:val="1"/>
    <w:next w:val="1"/>
    <w:qFormat/>
    <w:uiPriority w:val="1"/>
    <w:pPr>
      <w:pBdr>
        <w:bottom w:val="single" w:color="auto" w:sz="6" w:space="1"/>
      </w:pBdr>
      <w:jc w:val="center"/>
    </w:pPr>
    <w:rPr>
      <w:rFonts w:ascii="Arial" w:hAnsi="Calibri"/>
      <w:vanish/>
      <w:sz w:val="16"/>
    </w:rPr>
  </w:style>
  <w:style w:type="paragraph" w:customStyle="1" w:styleId="99">
    <w:name w:val="Table Paragraph"/>
    <w:basedOn w:val="1"/>
    <w:qFormat/>
    <w:uiPriority w:val="1"/>
    <w:pPr>
      <w:autoSpaceDE w:val="0"/>
      <w:autoSpaceDN w:val="0"/>
      <w:jc w:val="left"/>
    </w:pPr>
    <w:rPr>
      <w:rFonts w:ascii="宋体" w:hAnsi="宋体" w:cs="宋体"/>
      <w:kern w:val="0"/>
      <w:sz w:val="22"/>
      <w:szCs w:val="22"/>
      <w:lang w:val="zh-CN" w:bidi="zh-CN"/>
    </w:rPr>
  </w:style>
  <w:style w:type="character" w:customStyle="1" w:styleId="100">
    <w:name w:val="font12"/>
    <w:basedOn w:val="33"/>
    <w:qFormat/>
    <w:uiPriority w:val="0"/>
    <w:rPr>
      <w:rFonts w:hint="eastAsia" w:ascii="宋体" w:hAnsi="宋体" w:eastAsia="宋体" w:cs="宋体"/>
      <w:color w:val="000000"/>
      <w:sz w:val="24"/>
      <w:szCs w:val="24"/>
      <w:u w:val="none"/>
    </w:rPr>
  </w:style>
  <w:style w:type="character" w:customStyle="1" w:styleId="101">
    <w:name w:val="font11"/>
    <w:basedOn w:val="33"/>
    <w:qFormat/>
    <w:uiPriority w:val="0"/>
    <w:rPr>
      <w:rFonts w:hint="eastAsia" w:ascii="等线" w:hAnsi="等线" w:eastAsia="等线" w:cs="等线"/>
      <w:b/>
      <w:bCs/>
      <w:color w:val="000000"/>
      <w:sz w:val="44"/>
      <w:szCs w:val="44"/>
      <w:u w:val="none"/>
    </w:rPr>
  </w:style>
  <w:style w:type="character" w:customStyle="1" w:styleId="102">
    <w:name w:val="font21"/>
    <w:basedOn w:val="33"/>
    <w:qFormat/>
    <w:uiPriority w:val="0"/>
    <w:rPr>
      <w:rFonts w:hint="eastAsia" w:ascii="等线" w:hAnsi="等线" w:eastAsia="等线" w:cs="等线"/>
      <w:b/>
      <w:bCs/>
      <w:color w:val="000000"/>
      <w:sz w:val="32"/>
      <w:szCs w:val="32"/>
      <w:u w:val="none"/>
    </w:rPr>
  </w:style>
  <w:style w:type="character" w:customStyle="1" w:styleId="103">
    <w:name w:val="font31"/>
    <w:basedOn w:val="33"/>
    <w:qFormat/>
    <w:uiPriority w:val="0"/>
    <w:rPr>
      <w:rFonts w:hint="eastAsia" w:ascii="宋体" w:hAnsi="宋体" w:eastAsia="宋体" w:cs="宋体"/>
      <w:b/>
      <w:bCs/>
      <w:color w:val="000000"/>
      <w:sz w:val="24"/>
      <w:szCs w:val="24"/>
      <w:u w:val="none"/>
    </w:rPr>
  </w:style>
  <w:style w:type="character" w:customStyle="1" w:styleId="104">
    <w:name w:val="font51"/>
    <w:basedOn w:val="33"/>
    <w:qFormat/>
    <w:uiPriority w:val="0"/>
    <w:rPr>
      <w:rFonts w:hint="eastAsia" w:ascii="宋体" w:hAnsi="宋体" w:eastAsia="宋体" w:cs="宋体"/>
      <w:color w:val="000000"/>
      <w:sz w:val="24"/>
      <w:szCs w:val="24"/>
      <w:u w:val="none"/>
    </w:rPr>
  </w:style>
  <w:style w:type="character" w:customStyle="1" w:styleId="105">
    <w:name w:val="font41"/>
    <w:basedOn w:val="33"/>
    <w:qFormat/>
    <w:uiPriority w:val="0"/>
    <w:rPr>
      <w:rFonts w:hint="eastAsia" w:ascii="宋体" w:hAnsi="宋体" w:eastAsia="宋体" w:cs="宋体"/>
      <w:color w:val="000000"/>
      <w:sz w:val="24"/>
      <w:szCs w:val="24"/>
      <w:u w:val="none"/>
    </w:rPr>
  </w:style>
  <w:style w:type="paragraph" w:customStyle="1" w:styleId="106">
    <w:name w:val="BodyText1I2"/>
    <w:basedOn w:val="107"/>
    <w:qFormat/>
    <w:uiPriority w:val="0"/>
    <w:pPr>
      <w:ind w:left="420" w:leftChars="200" w:firstLine="420" w:firstLineChars="200"/>
      <w:jc w:val="both"/>
      <w:textAlignment w:val="baseline"/>
    </w:pPr>
  </w:style>
  <w:style w:type="paragraph" w:customStyle="1" w:styleId="107">
    <w:name w:val="BodyTextIndent"/>
    <w:basedOn w:val="1"/>
    <w:next w:val="108"/>
    <w:qFormat/>
    <w:uiPriority w:val="0"/>
    <w:pPr>
      <w:ind w:left="420" w:leftChars="200" w:firstLine="480" w:firstLineChars="200"/>
      <w:jc w:val="both"/>
      <w:textAlignment w:val="baseline"/>
    </w:pPr>
    <w:rPr>
      <w:kern w:val="2"/>
      <w:sz w:val="24"/>
      <w:szCs w:val="24"/>
      <w:lang w:val="en-US" w:eastAsia="zh-CN" w:bidi="ar-SA"/>
    </w:rPr>
  </w:style>
  <w:style w:type="paragraph" w:customStyle="1" w:styleId="108">
    <w:name w:val="EnvelopeReturn"/>
    <w:basedOn w:val="1"/>
    <w:qFormat/>
    <w:uiPriority w:val="0"/>
    <w:pPr>
      <w:snapToGrid w:val="0"/>
      <w:jc w:val="both"/>
      <w:textAlignment w:val="baseline"/>
    </w:pPr>
    <w:rPr>
      <w:rFonts w:ascii="Arial" w:hAnsi="Arial"/>
      <w:kern w:val="2"/>
      <w:sz w:val="21"/>
      <w:szCs w:val="24"/>
      <w:lang w:val="en-US" w:eastAsia="zh-CN" w:bidi="ar-SA"/>
    </w:rPr>
  </w:style>
  <w:style w:type="paragraph" w:customStyle="1" w:styleId="109">
    <w:name w:val="正文2"/>
    <w:basedOn w:val="1"/>
    <w:qFormat/>
    <w:uiPriority w:val="0"/>
    <w:pPr>
      <w:spacing w:before="156" w:line="360" w:lineRule="auto"/>
      <w:ind w:firstLine="510" w:firstLineChars="200"/>
    </w:pPr>
    <w:rPr>
      <w:sz w:val="24"/>
      <w:szCs w:val="20"/>
    </w:rPr>
  </w:style>
  <w:style w:type="paragraph" w:customStyle="1" w:styleId="11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11">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11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3">
    <w:name w:val="Table Text"/>
    <w:basedOn w:val="1"/>
    <w:semiHidden/>
    <w:qFormat/>
    <w:uiPriority w:val="0"/>
    <w:rPr>
      <w:rFonts w:ascii="宋体" w:hAnsi="宋体" w:eastAsia="宋体" w:cs="宋体"/>
      <w:sz w:val="46"/>
      <w:szCs w:val="46"/>
      <w:lang w:val="en-US" w:eastAsia="en-US" w:bidi="ar-SA"/>
    </w:rPr>
  </w:style>
  <w:style w:type="table" w:customStyle="1" w:styleId="114">
    <w:name w:val="Table Normal"/>
    <w:semiHidden/>
    <w:unhideWhenUsed/>
    <w:qFormat/>
    <w:uiPriority w:val="0"/>
    <w:tblPr>
      <w:tblCellMar>
        <w:top w:w="0" w:type="dxa"/>
        <w:left w:w="0" w:type="dxa"/>
        <w:bottom w:w="0" w:type="dxa"/>
        <w:right w:w="0" w:type="dxa"/>
      </w:tblCellMar>
    </w:tblPr>
  </w:style>
  <w:style w:type="character" w:customStyle="1" w:styleId="115">
    <w:name w:val="font61"/>
    <w:basedOn w:val="33"/>
    <w:qFormat/>
    <w:uiPriority w:val="0"/>
    <w:rPr>
      <w:rFonts w:hint="eastAsia" w:ascii="宋体" w:hAnsi="宋体" w:eastAsia="宋体" w:cs="宋体"/>
      <w:color w:val="000000"/>
      <w:sz w:val="21"/>
      <w:szCs w:val="21"/>
      <w:u w:val="none"/>
    </w:rPr>
  </w:style>
  <w:style w:type="character" w:customStyle="1" w:styleId="116">
    <w:name w:val="font101"/>
    <w:basedOn w:val="33"/>
    <w:qFormat/>
    <w:uiPriority w:val="0"/>
    <w:rPr>
      <w:rFonts w:hint="eastAsia" w:ascii="宋体" w:hAnsi="宋体" w:eastAsia="宋体" w:cs="宋体"/>
      <w:color w:val="000000"/>
      <w:sz w:val="21"/>
      <w:szCs w:val="21"/>
      <w:u w:val="none"/>
    </w:rPr>
  </w:style>
  <w:style w:type="character" w:customStyle="1" w:styleId="117">
    <w:name w:val="font71"/>
    <w:basedOn w:val="33"/>
    <w:qFormat/>
    <w:uiPriority w:val="0"/>
    <w:rPr>
      <w:rFonts w:hint="eastAsia" w:ascii="黑体" w:hAnsi="宋体" w:eastAsia="黑体" w:cs="黑体"/>
      <w:color w:val="000000"/>
      <w:sz w:val="18"/>
      <w:szCs w:val="18"/>
      <w:u w:val="none"/>
    </w:rPr>
  </w:style>
  <w:style w:type="character" w:customStyle="1" w:styleId="118">
    <w:name w:val="font13"/>
    <w:basedOn w:val="33"/>
    <w:qFormat/>
    <w:uiPriority w:val="0"/>
    <w:rPr>
      <w:rFonts w:hint="eastAsia" w:ascii="宋体" w:hAnsi="宋体" w:eastAsia="宋体" w:cs="宋体"/>
      <w:color w:val="000000"/>
      <w:sz w:val="18"/>
      <w:szCs w:val="18"/>
      <w:u w:val="none"/>
    </w:rPr>
  </w:style>
  <w:style w:type="character" w:customStyle="1" w:styleId="119">
    <w:name w:val="font91"/>
    <w:basedOn w:val="33"/>
    <w:qFormat/>
    <w:uiPriority w:val="0"/>
    <w:rPr>
      <w:rFonts w:hint="eastAsia" w:ascii="黑体" w:hAnsi="宋体" w:eastAsia="黑体" w:cs="黑体"/>
      <w:color w:val="000000"/>
      <w:sz w:val="18"/>
      <w:szCs w:val="18"/>
      <w:u w:val="none"/>
    </w:rPr>
  </w:style>
  <w:style w:type="character" w:customStyle="1" w:styleId="120">
    <w:name w:val="font01"/>
    <w:basedOn w:val="33"/>
    <w:qFormat/>
    <w:uiPriority w:val="0"/>
    <w:rPr>
      <w:rFonts w:hint="eastAsia" w:ascii="宋体" w:hAnsi="宋体" w:eastAsia="宋体" w:cs="宋体"/>
      <w:color w:val="000000"/>
      <w:sz w:val="22"/>
      <w:szCs w:val="22"/>
      <w:u w:val="none"/>
    </w:rPr>
  </w:style>
  <w:style w:type="character" w:customStyle="1" w:styleId="121">
    <w:name w:val="font141"/>
    <w:basedOn w:val="33"/>
    <w:qFormat/>
    <w:uiPriority w:val="0"/>
    <w:rPr>
      <w:rFonts w:hint="default" w:ascii="Times New Roman" w:hAnsi="Times New Roman" w:cs="Times New Roman"/>
      <w:color w:val="000000"/>
      <w:sz w:val="22"/>
      <w:szCs w:val="22"/>
      <w:u w:val="none"/>
    </w:rPr>
  </w:style>
  <w:style w:type="character" w:customStyle="1" w:styleId="122">
    <w:name w:val="font151"/>
    <w:basedOn w:val="33"/>
    <w:qFormat/>
    <w:uiPriority w:val="0"/>
    <w:rPr>
      <w:rFonts w:hint="eastAsia" w:ascii="宋体" w:hAnsi="宋体" w:eastAsia="宋体" w:cs="宋体"/>
      <w:color w:val="FF0000"/>
      <w:sz w:val="18"/>
      <w:szCs w:val="18"/>
      <w:u w:val="none"/>
    </w:rPr>
  </w:style>
  <w:style w:type="character" w:customStyle="1" w:styleId="123">
    <w:name w:val="font121"/>
    <w:basedOn w:val="33"/>
    <w:qFormat/>
    <w:uiPriority w:val="0"/>
    <w:rPr>
      <w:rFonts w:hint="default" w:ascii="Times New Roman" w:hAnsi="Times New Roman" w:cs="Times New Roman"/>
      <w:color w:val="000000"/>
      <w:sz w:val="22"/>
      <w:szCs w:val="22"/>
      <w:u w:val="none"/>
    </w:rPr>
  </w:style>
  <w:style w:type="character" w:customStyle="1" w:styleId="124">
    <w:name w:val="font81"/>
    <w:basedOn w:val="33"/>
    <w:qFormat/>
    <w:uiPriority w:val="0"/>
    <w:rPr>
      <w:rFonts w:hint="eastAsia" w:ascii="宋体" w:hAnsi="宋体" w:eastAsia="宋体" w:cs="宋体"/>
      <w:color w:val="000000"/>
      <w:sz w:val="22"/>
      <w:szCs w:val="22"/>
      <w:u w:val="none"/>
    </w:rPr>
  </w:style>
  <w:style w:type="paragraph" w:customStyle="1" w:styleId="125">
    <w:name w:val="一级条标题"/>
    <w:basedOn w:val="126"/>
    <w:next w:val="127"/>
    <w:qFormat/>
    <w:uiPriority w:val="0"/>
    <w:pPr>
      <w:tabs>
        <w:tab w:val="left" w:pos="1260"/>
        <w:tab w:val="left" w:pos="1680"/>
      </w:tabs>
      <w:spacing w:before="0" w:beforeLines="0" w:after="0" w:afterLines="0"/>
      <w:ind w:left="1680"/>
      <w:outlineLvl w:val="2"/>
    </w:pPr>
  </w:style>
  <w:style w:type="paragraph" w:customStyle="1" w:styleId="126">
    <w:name w:val="章标题"/>
    <w:next w:val="12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27">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29">
    <w:name w:val="正文缩进1"/>
    <w:basedOn w:val="1"/>
    <w:next w:val="11"/>
    <w:qFormat/>
    <w:uiPriority w:val="0"/>
    <w:pPr>
      <w:autoSpaceDE w:val="0"/>
      <w:autoSpaceDN w:val="0"/>
      <w:snapToGrid w:val="0"/>
      <w:spacing w:after="120" w:line="360" w:lineRule="auto"/>
      <w:ind w:left="420" w:leftChars="200" w:firstLine="480" w:firstLineChars="200"/>
    </w:pPr>
    <w:rPr>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80</Pages>
  <Words>16219</Words>
  <Characters>17599</Characters>
  <Lines>271</Lines>
  <Paragraphs>76</Paragraphs>
  <TotalTime>0</TotalTime>
  <ScaleCrop>false</ScaleCrop>
  <LinksUpToDate>false</LinksUpToDate>
  <CharactersWithSpaces>17897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2021-11-12T08:24:00Z</dcterms:created>
  <dc:creator>NTKO</dc:creator>
  <cp:lastModifiedBy>希望</cp:lastModifiedBy>
  <cp:lastPrinted>2025-04-17T02:53:00Z</cp:lastPrinted>
  <dcterms:modified xsi:type="dcterms:W3CDTF">2025-04-22T08:16:17Z</dcterms:modified>
  <cp:revision>199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21D6B6C5839F42D49B5FD5F6D34077B8</vt:lpwstr>
  </property>
  <property fmtid="{D5CDD505-2E9C-101B-9397-08002B2CF9AE}" pid="4" name="KSOTemplateDocerSaveRecord">
    <vt:lpwstr>eyJoZGlkIjoiNmU4MWM1NjljYzJjZWFmZjIwZDE3ODM5ZjAwOTk3OGQiLCJ1c2VySWQiOiI0NDMyODMzNDAifQ==</vt:lpwstr>
  </property>
</Properties>
</file>