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D6879">
      <w:pPr>
        <w:pageBreakBefore w:val="0"/>
        <w:kinsoku/>
        <w:overflowPunct/>
        <w:topLinePunct w:val="0"/>
        <w:bidi w:val="0"/>
        <w:spacing w:line="360" w:lineRule="auto"/>
        <w:jc w:val="both"/>
        <w:rPr>
          <w:rFonts w:hint="eastAsia" w:ascii="仿宋" w:hAnsi="仿宋" w:eastAsia="仿宋" w:cs="仿宋"/>
          <w:color w:val="auto"/>
          <w:highlight w:val="none"/>
          <w:lang w:eastAsia="zh-CN"/>
        </w:rPr>
      </w:pPr>
    </w:p>
    <w:p w14:paraId="223304CB">
      <w:pPr>
        <w:spacing w:line="240" w:lineRule="atLeast"/>
        <w:jc w:val="center"/>
        <w:outlineLvl w:val="0"/>
        <w:rPr>
          <w:rFonts w:hint="eastAsia" w:ascii="仿宋" w:hAnsi="仿宋" w:eastAsia="仿宋" w:cs="仿宋"/>
          <w:b/>
          <w:i w:val="0"/>
          <w:iCs w:val="0"/>
          <w:color w:val="auto"/>
          <w:sz w:val="48"/>
          <w:szCs w:val="48"/>
          <w:highlight w:val="none"/>
        </w:rPr>
      </w:pPr>
      <w:r>
        <w:rPr>
          <w:rFonts w:hint="eastAsia" w:ascii="仿宋" w:hAnsi="仿宋" w:eastAsia="仿宋" w:cs="仿宋"/>
          <w:b/>
          <w:i w:val="0"/>
          <w:iCs w:val="0"/>
          <w:color w:val="auto"/>
          <w:sz w:val="48"/>
          <w:szCs w:val="48"/>
          <w:highlight w:val="none"/>
          <w:lang w:eastAsia="zh-CN"/>
        </w:rPr>
        <w:t>嵊州市和美乡村贵门规模化水厂及配套管网工程——新建配套管网工程玠溪段取水泵船采购项目</w:t>
      </w:r>
    </w:p>
    <w:p w14:paraId="432B536D">
      <w:pPr>
        <w:spacing w:line="240" w:lineRule="atLeast"/>
        <w:jc w:val="center"/>
        <w:outlineLvl w:val="0"/>
        <w:rPr>
          <w:rFonts w:hint="eastAsia" w:ascii="仿宋" w:hAnsi="仿宋" w:eastAsia="仿宋" w:cs="仿宋"/>
          <w:b/>
          <w:i w:val="0"/>
          <w:iCs w:val="0"/>
          <w:color w:val="auto"/>
          <w:sz w:val="72"/>
          <w:szCs w:val="72"/>
          <w:highlight w:val="none"/>
          <w:lang w:eastAsia="zh-CN"/>
        </w:rPr>
      </w:pPr>
    </w:p>
    <w:p w14:paraId="0D261B03">
      <w:pPr>
        <w:spacing w:line="240" w:lineRule="atLeast"/>
        <w:jc w:val="center"/>
        <w:outlineLvl w:val="0"/>
        <w:rPr>
          <w:rFonts w:hint="eastAsia" w:ascii="仿宋" w:hAnsi="仿宋" w:eastAsia="仿宋" w:cs="仿宋"/>
          <w:b/>
          <w:i w:val="0"/>
          <w:iCs w:val="0"/>
          <w:color w:val="auto"/>
          <w:sz w:val="72"/>
          <w:szCs w:val="72"/>
          <w:highlight w:val="none"/>
          <w:lang w:eastAsia="zh-CN"/>
        </w:rPr>
      </w:pPr>
    </w:p>
    <w:p w14:paraId="61AF00AE">
      <w:pPr>
        <w:spacing w:line="240" w:lineRule="atLeast"/>
        <w:jc w:val="center"/>
        <w:outlineLvl w:val="0"/>
        <w:rPr>
          <w:rFonts w:hint="eastAsia" w:ascii="仿宋" w:hAnsi="仿宋" w:eastAsia="仿宋" w:cs="仿宋"/>
          <w:b/>
          <w:i w:val="0"/>
          <w:iCs w:val="0"/>
          <w:color w:val="auto"/>
          <w:sz w:val="72"/>
          <w:szCs w:val="72"/>
          <w:highlight w:val="none"/>
          <w:lang w:eastAsia="zh-CN"/>
        </w:rPr>
      </w:pPr>
      <w:r>
        <w:rPr>
          <w:rFonts w:hint="eastAsia" w:ascii="仿宋" w:hAnsi="仿宋" w:eastAsia="仿宋" w:cs="仿宋"/>
          <w:b/>
          <w:i w:val="0"/>
          <w:iCs w:val="0"/>
          <w:color w:val="auto"/>
          <w:sz w:val="72"/>
          <w:szCs w:val="72"/>
          <w:highlight w:val="none"/>
          <w:lang w:eastAsia="zh-CN"/>
        </w:rPr>
        <w:t>公</w:t>
      </w:r>
    </w:p>
    <w:p w14:paraId="1115F7D1">
      <w:pPr>
        <w:spacing w:line="240" w:lineRule="atLeast"/>
        <w:jc w:val="center"/>
        <w:outlineLvl w:val="0"/>
        <w:rPr>
          <w:rFonts w:hint="eastAsia" w:ascii="仿宋" w:hAnsi="仿宋" w:eastAsia="仿宋" w:cs="仿宋"/>
          <w:b/>
          <w:i w:val="0"/>
          <w:iCs w:val="0"/>
          <w:color w:val="auto"/>
          <w:sz w:val="72"/>
          <w:szCs w:val="72"/>
          <w:highlight w:val="none"/>
          <w:lang w:eastAsia="zh-CN"/>
        </w:rPr>
      </w:pPr>
      <w:r>
        <w:rPr>
          <w:rFonts w:hint="eastAsia" w:ascii="仿宋" w:hAnsi="仿宋" w:eastAsia="仿宋" w:cs="仿宋"/>
          <w:b/>
          <w:i w:val="0"/>
          <w:iCs w:val="0"/>
          <w:color w:val="auto"/>
          <w:sz w:val="72"/>
          <w:szCs w:val="72"/>
          <w:highlight w:val="none"/>
          <w:lang w:eastAsia="zh-CN"/>
        </w:rPr>
        <w:t>开</w:t>
      </w:r>
    </w:p>
    <w:p w14:paraId="63C263DE">
      <w:pPr>
        <w:spacing w:line="240" w:lineRule="atLeast"/>
        <w:jc w:val="center"/>
        <w:outlineLvl w:val="0"/>
        <w:rPr>
          <w:rFonts w:hint="eastAsia" w:ascii="仿宋" w:hAnsi="仿宋" w:eastAsia="仿宋" w:cs="仿宋"/>
          <w:b/>
          <w:i w:val="0"/>
          <w:iCs w:val="0"/>
          <w:color w:val="auto"/>
          <w:sz w:val="72"/>
          <w:szCs w:val="72"/>
          <w:highlight w:val="none"/>
          <w:lang w:eastAsia="zh-CN"/>
        </w:rPr>
      </w:pPr>
      <w:r>
        <w:rPr>
          <w:rFonts w:hint="eastAsia" w:ascii="仿宋" w:hAnsi="仿宋" w:eastAsia="仿宋" w:cs="仿宋"/>
          <w:b/>
          <w:i w:val="0"/>
          <w:iCs w:val="0"/>
          <w:color w:val="auto"/>
          <w:sz w:val="72"/>
          <w:szCs w:val="72"/>
          <w:highlight w:val="none"/>
          <w:lang w:eastAsia="zh-CN"/>
        </w:rPr>
        <w:t>招</w:t>
      </w:r>
    </w:p>
    <w:p w14:paraId="420E3E6E">
      <w:pPr>
        <w:spacing w:line="240" w:lineRule="atLeast"/>
        <w:jc w:val="center"/>
        <w:outlineLvl w:val="0"/>
        <w:rPr>
          <w:rFonts w:hint="eastAsia" w:ascii="仿宋" w:hAnsi="仿宋" w:eastAsia="仿宋" w:cs="仿宋"/>
          <w:b/>
          <w:i w:val="0"/>
          <w:iCs w:val="0"/>
          <w:color w:val="auto"/>
          <w:sz w:val="72"/>
          <w:szCs w:val="72"/>
          <w:highlight w:val="none"/>
          <w:lang w:eastAsia="zh-CN"/>
        </w:rPr>
      </w:pPr>
      <w:r>
        <w:rPr>
          <w:rFonts w:hint="eastAsia" w:ascii="仿宋" w:hAnsi="仿宋" w:eastAsia="仿宋" w:cs="仿宋"/>
          <w:b/>
          <w:i w:val="0"/>
          <w:iCs w:val="0"/>
          <w:color w:val="auto"/>
          <w:sz w:val="72"/>
          <w:szCs w:val="72"/>
          <w:highlight w:val="none"/>
          <w:lang w:eastAsia="zh-CN"/>
        </w:rPr>
        <w:t>标</w:t>
      </w:r>
    </w:p>
    <w:p w14:paraId="25E949C0">
      <w:pPr>
        <w:spacing w:line="240" w:lineRule="atLeast"/>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文</w:t>
      </w:r>
    </w:p>
    <w:p w14:paraId="6D237CA2">
      <w:pPr>
        <w:spacing w:line="240" w:lineRule="atLeast"/>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件</w:t>
      </w:r>
    </w:p>
    <w:p w14:paraId="361AEF21">
      <w:pPr>
        <w:snapToGrid w:val="0"/>
        <w:spacing w:line="360" w:lineRule="auto"/>
        <w:jc w:val="center"/>
        <w:rPr>
          <w:rFonts w:hint="eastAsia" w:ascii="仿宋" w:hAnsi="仿宋" w:eastAsia="仿宋" w:cs="仿宋"/>
          <w:b/>
          <w:i w:val="0"/>
          <w:iCs w:val="0"/>
          <w:color w:val="auto"/>
          <w:sz w:val="44"/>
          <w:szCs w:val="44"/>
          <w:highlight w:val="none"/>
          <w:lang w:val="en-US" w:eastAsia="zh-CN"/>
        </w:rPr>
      </w:pPr>
    </w:p>
    <w:p w14:paraId="4233EBD7">
      <w:pPr>
        <w:jc w:val="center"/>
        <w:rPr>
          <w:rFonts w:hint="default" w:ascii="仿宋" w:hAnsi="仿宋" w:eastAsia="仿宋" w:cs="仿宋"/>
          <w:b/>
          <w:bCs/>
          <w:i w:val="0"/>
          <w:iCs w:val="0"/>
          <w:color w:val="auto"/>
          <w:sz w:val="32"/>
          <w:szCs w:val="32"/>
          <w:highlight w:val="none"/>
          <w:lang w:val="en-US"/>
        </w:rPr>
      </w:pPr>
      <w:r>
        <w:rPr>
          <w:rFonts w:hint="eastAsia" w:ascii="仿宋" w:hAnsi="仿宋" w:eastAsia="仿宋" w:cs="仿宋"/>
          <w:b/>
          <w:bCs/>
          <w:i w:val="0"/>
          <w:iCs w:val="0"/>
          <w:color w:val="auto"/>
          <w:sz w:val="32"/>
          <w:szCs w:val="32"/>
          <w:highlight w:val="none"/>
          <w:lang w:eastAsia="zh-CN"/>
        </w:rPr>
        <w:t>项目</w:t>
      </w:r>
      <w:r>
        <w:rPr>
          <w:rFonts w:hint="eastAsia" w:ascii="仿宋" w:hAnsi="仿宋" w:eastAsia="仿宋" w:cs="仿宋"/>
          <w:b/>
          <w:bCs/>
          <w:i w:val="0"/>
          <w:iCs w:val="0"/>
          <w:color w:val="auto"/>
          <w:sz w:val="32"/>
          <w:szCs w:val="32"/>
          <w:highlight w:val="none"/>
        </w:rPr>
        <w:t>编号：HY-</w:t>
      </w:r>
      <w:r>
        <w:rPr>
          <w:rFonts w:hint="eastAsia" w:ascii="仿宋" w:hAnsi="仿宋" w:eastAsia="仿宋" w:cs="仿宋"/>
          <w:b/>
          <w:bCs/>
          <w:i w:val="0"/>
          <w:iCs w:val="0"/>
          <w:color w:val="auto"/>
          <w:sz w:val="32"/>
          <w:szCs w:val="32"/>
          <w:highlight w:val="none"/>
          <w:lang w:eastAsia="zh-CN"/>
        </w:rPr>
        <w:t>2025</w:t>
      </w:r>
      <w:r>
        <w:rPr>
          <w:rFonts w:hint="eastAsia" w:ascii="仿宋" w:hAnsi="仿宋" w:eastAsia="仿宋" w:cs="仿宋"/>
          <w:b/>
          <w:bCs/>
          <w:i w:val="0"/>
          <w:iCs w:val="0"/>
          <w:color w:val="auto"/>
          <w:sz w:val="32"/>
          <w:szCs w:val="32"/>
          <w:highlight w:val="none"/>
          <w:lang w:val="en-US" w:eastAsia="zh-CN"/>
        </w:rPr>
        <w:t>09</w:t>
      </w:r>
    </w:p>
    <w:tbl>
      <w:tblPr>
        <w:tblStyle w:val="25"/>
        <w:tblW w:w="7801" w:type="dxa"/>
        <w:jc w:val="center"/>
        <w:tblLayout w:type="fixed"/>
        <w:tblCellMar>
          <w:top w:w="0" w:type="dxa"/>
          <w:left w:w="108" w:type="dxa"/>
          <w:bottom w:w="0" w:type="dxa"/>
          <w:right w:w="108" w:type="dxa"/>
        </w:tblCellMar>
      </w:tblPr>
      <w:tblGrid>
        <w:gridCol w:w="2356"/>
        <w:gridCol w:w="5445"/>
      </w:tblGrid>
      <w:tr w14:paraId="68ED7D79">
        <w:tblPrEx>
          <w:tblCellMar>
            <w:top w:w="0" w:type="dxa"/>
            <w:left w:w="108" w:type="dxa"/>
            <w:bottom w:w="0" w:type="dxa"/>
            <w:right w:w="108" w:type="dxa"/>
          </w:tblCellMar>
        </w:tblPrEx>
        <w:trPr>
          <w:trHeight w:val="454" w:hRule="atLeast"/>
          <w:jc w:val="center"/>
        </w:trPr>
        <w:tc>
          <w:tcPr>
            <w:tcW w:w="2356" w:type="dxa"/>
            <w:vAlign w:val="center"/>
          </w:tcPr>
          <w:p w14:paraId="65CE2735">
            <w:pPr>
              <w:keepNext w:val="0"/>
              <w:keepLines w:val="0"/>
              <w:suppressLineNumbers w:val="0"/>
              <w:spacing w:before="0" w:beforeAutospacing="0" w:after="100" w:afterAutospacing="1" w:line="440" w:lineRule="exact"/>
              <w:ind w:left="0" w:right="0"/>
              <w:jc w:val="left"/>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pacing w:val="80"/>
                <w:kern w:val="0"/>
                <w:sz w:val="32"/>
                <w:szCs w:val="32"/>
                <w:highlight w:val="none"/>
                <w:fitText w:val="2240" w:id="582037043"/>
              </w:rPr>
              <w:t>采购单位</w:t>
            </w:r>
            <w:r>
              <w:rPr>
                <w:rFonts w:hint="eastAsia" w:ascii="仿宋" w:hAnsi="仿宋" w:eastAsia="仿宋" w:cs="仿宋"/>
                <w:b/>
                <w:bCs/>
                <w:i w:val="0"/>
                <w:iCs w:val="0"/>
                <w:color w:val="auto"/>
                <w:spacing w:val="0"/>
                <w:kern w:val="0"/>
                <w:sz w:val="32"/>
                <w:szCs w:val="32"/>
                <w:highlight w:val="none"/>
                <w:fitText w:val="2240" w:id="582037043"/>
              </w:rPr>
              <w:t>：</w:t>
            </w:r>
          </w:p>
        </w:tc>
        <w:tc>
          <w:tcPr>
            <w:tcW w:w="5445" w:type="dxa"/>
            <w:vAlign w:val="center"/>
          </w:tcPr>
          <w:p w14:paraId="1B58CE9B">
            <w:pPr>
              <w:keepNext w:val="0"/>
              <w:keepLines w:val="0"/>
              <w:suppressLineNumbers w:val="0"/>
              <w:spacing w:before="0" w:beforeAutospacing="0" w:after="0" w:afterAutospacing="0" w:line="320" w:lineRule="exact"/>
              <w:ind w:left="0" w:right="0"/>
              <w:outlineLvl w:val="0"/>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lang w:eastAsia="zh-CN"/>
              </w:rPr>
              <w:t>嵊州市水联贸易有限公司</w:t>
            </w:r>
          </w:p>
        </w:tc>
      </w:tr>
      <w:tr w14:paraId="66D6C448">
        <w:tblPrEx>
          <w:tblCellMar>
            <w:top w:w="0" w:type="dxa"/>
            <w:left w:w="108" w:type="dxa"/>
            <w:bottom w:w="0" w:type="dxa"/>
            <w:right w:w="108" w:type="dxa"/>
          </w:tblCellMar>
        </w:tblPrEx>
        <w:trPr>
          <w:trHeight w:val="454" w:hRule="atLeast"/>
          <w:jc w:val="center"/>
        </w:trPr>
        <w:tc>
          <w:tcPr>
            <w:tcW w:w="2356" w:type="dxa"/>
            <w:vAlign w:val="center"/>
          </w:tcPr>
          <w:p w14:paraId="3D118A6C">
            <w:pPr>
              <w:keepNext w:val="0"/>
              <w:keepLines w:val="0"/>
              <w:suppressLineNumbers w:val="0"/>
              <w:spacing w:before="0" w:beforeAutospacing="0" w:after="100" w:afterAutospacing="1" w:line="440" w:lineRule="exact"/>
              <w:ind w:left="0" w:right="0"/>
              <w:jc w:val="left"/>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kern w:val="0"/>
                <w:sz w:val="32"/>
                <w:szCs w:val="32"/>
                <w:highlight w:val="none"/>
              </w:rPr>
              <w:t>采购代理机构</w:t>
            </w:r>
            <w:r>
              <w:rPr>
                <w:rFonts w:hint="eastAsia" w:ascii="仿宋" w:hAnsi="仿宋" w:eastAsia="仿宋" w:cs="仿宋"/>
                <w:b/>
                <w:bCs/>
                <w:i w:val="0"/>
                <w:iCs w:val="0"/>
                <w:color w:val="auto"/>
                <w:sz w:val="32"/>
                <w:szCs w:val="32"/>
                <w:highlight w:val="none"/>
              </w:rPr>
              <w:t>：</w:t>
            </w:r>
          </w:p>
        </w:tc>
        <w:tc>
          <w:tcPr>
            <w:tcW w:w="5445" w:type="dxa"/>
            <w:vAlign w:val="center"/>
          </w:tcPr>
          <w:p w14:paraId="3164B484">
            <w:pPr>
              <w:keepNext w:val="0"/>
              <w:keepLines w:val="0"/>
              <w:suppressLineNumbers w:val="0"/>
              <w:spacing w:before="0" w:beforeAutospacing="0" w:after="100" w:afterAutospacing="1" w:line="440" w:lineRule="exact"/>
              <w:ind w:left="0" w:right="0"/>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浙江华元工程咨询有限公司</w:t>
            </w:r>
          </w:p>
        </w:tc>
      </w:tr>
      <w:tr w14:paraId="3E2DB336">
        <w:tblPrEx>
          <w:tblCellMar>
            <w:top w:w="0" w:type="dxa"/>
            <w:left w:w="108" w:type="dxa"/>
            <w:bottom w:w="0" w:type="dxa"/>
            <w:right w:w="108" w:type="dxa"/>
          </w:tblCellMar>
        </w:tblPrEx>
        <w:trPr>
          <w:trHeight w:val="454" w:hRule="atLeast"/>
          <w:jc w:val="center"/>
        </w:trPr>
        <w:tc>
          <w:tcPr>
            <w:tcW w:w="2356" w:type="dxa"/>
            <w:vAlign w:val="center"/>
          </w:tcPr>
          <w:p w14:paraId="7FEB0B00">
            <w:pPr>
              <w:keepNext w:val="0"/>
              <w:keepLines w:val="0"/>
              <w:suppressLineNumbers w:val="0"/>
              <w:spacing w:before="0" w:beforeAutospacing="0" w:after="100" w:afterAutospacing="1" w:line="440" w:lineRule="exact"/>
              <w:ind w:right="0" w:firstLine="1285" w:firstLineChars="400"/>
              <w:jc w:val="left"/>
              <w:rPr>
                <w:rFonts w:hint="eastAsia" w:ascii="仿宋" w:hAnsi="仿宋" w:eastAsia="仿宋" w:cs="仿宋"/>
                <w:b/>
                <w:bCs/>
                <w:i w:val="0"/>
                <w:iCs w:val="0"/>
                <w:color w:val="auto"/>
                <w:kern w:val="0"/>
                <w:sz w:val="32"/>
                <w:szCs w:val="32"/>
                <w:highlight w:val="none"/>
                <w:lang w:eastAsia="zh-CN"/>
              </w:rPr>
            </w:pPr>
            <w:r>
              <w:rPr>
                <w:rFonts w:hint="eastAsia" w:ascii="仿宋" w:hAnsi="仿宋" w:eastAsia="仿宋" w:cs="仿宋"/>
                <w:b/>
                <w:bCs/>
                <w:i w:val="0"/>
                <w:iCs w:val="0"/>
                <w:color w:val="auto"/>
                <w:kern w:val="0"/>
                <w:sz w:val="32"/>
                <w:szCs w:val="32"/>
                <w:highlight w:val="none"/>
                <w:lang w:eastAsia="zh-CN"/>
              </w:rPr>
              <w:t>日期：</w:t>
            </w:r>
          </w:p>
        </w:tc>
        <w:tc>
          <w:tcPr>
            <w:tcW w:w="5445" w:type="dxa"/>
            <w:vAlign w:val="center"/>
          </w:tcPr>
          <w:p w14:paraId="6225DC06">
            <w:pPr>
              <w:keepNext w:val="0"/>
              <w:keepLines w:val="0"/>
              <w:suppressLineNumbers w:val="0"/>
              <w:spacing w:before="0" w:beforeAutospacing="0" w:after="100" w:afterAutospacing="1" w:line="440" w:lineRule="exact"/>
              <w:ind w:left="0" w:right="0"/>
              <w:jc w:val="left"/>
              <w:rPr>
                <w:rFonts w:hint="eastAsia" w:ascii="仿宋" w:hAnsi="仿宋" w:eastAsia="仿宋" w:cs="仿宋"/>
                <w:b/>
                <w:bCs/>
                <w:i w:val="0"/>
                <w:iCs w:val="0"/>
                <w:color w:val="auto"/>
                <w:kern w:val="0"/>
                <w:sz w:val="32"/>
                <w:szCs w:val="32"/>
                <w:highlight w:val="none"/>
                <w:lang w:val="en-US" w:eastAsia="zh-CN"/>
              </w:rPr>
            </w:pPr>
            <w:r>
              <w:rPr>
                <w:rFonts w:hint="eastAsia" w:ascii="仿宋" w:hAnsi="仿宋" w:eastAsia="仿宋" w:cs="仿宋"/>
                <w:b/>
                <w:bCs/>
                <w:i w:val="0"/>
                <w:iCs w:val="0"/>
                <w:color w:val="auto"/>
                <w:kern w:val="0"/>
                <w:sz w:val="32"/>
                <w:szCs w:val="32"/>
                <w:highlight w:val="none"/>
                <w:lang w:val="en-US" w:eastAsia="zh-CN"/>
              </w:rPr>
              <w:t>2025年1月</w:t>
            </w:r>
          </w:p>
        </w:tc>
      </w:tr>
      <w:tr w14:paraId="18792964">
        <w:tblPrEx>
          <w:tblCellMar>
            <w:top w:w="0" w:type="dxa"/>
            <w:left w:w="108" w:type="dxa"/>
            <w:bottom w:w="0" w:type="dxa"/>
            <w:right w:w="108" w:type="dxa"/>
          </w:tblCellMar>
        </w:tblPrEx>
        <w:trPr>
          <w:trHeight w:val="454" w:hRule="atLeast"/>
          <w:jc w:val="center"/>
        </w:trPr>
        <w:tc>
          <w:tcPr>
            <w:tcW w:w="7801" w:type="dxa"/>
            <w:gridSpan w:val="2"/>
            <w:vAlign w:val="center"/>
          </w:tcPr>
          <w:p w14:paraId="2BD8E205">
            <w:pPr>
              <w:keepNext w:val="0"/>
              <w:keepLines w:val="0"/>
              <w:suppressLineNumbers w:val="0"/>
              <w:spacing w:before="0" w:beforeAutospacing="0" w:after="100" w:afterAutospacing="1" w:line="440" w:lineRule="exact"/>
              <w:ind w:left="0" w:right="0"/>
              <w:jc w:val="center"/>
              <w:rPr>
                <w:rFonts w:hint="eastAsia" w:ascii="仿宋" w:hAnsi="仿宋" w:eastAsia="仿宋" w:cs="仿宋"/>
                <w:b/>
                <w:bCs/>
                <w:i w:val="0"/>
                <w:iCs w:val="0"/>
                <w:color w:val="auto"/>
                <w:sz w:val="32"/>
                <w:szCs w:val="32"/>
                <w:highlight w:val="none"/>
              </w:rPr>
            </w:pPr>
          </w:p>
        </w:tc>
      </w:tr>
    </w:tbl>
    <w:p w14:paraId="4E86CEF1">
      <w:pPr>
        <w:tabs>
          <w:tab w:val="left" w:pos="2268"/>
        </w:tabs>
        <w:spacing w:line="360" w:lineRule="auto"/>
        <w:jc w:val="center"/>
        <w:rPr>
          <w:rFonts w:hint="eastAsia" w:ascii="仿宋" w:hAnsi="仿宋" w:eastAsia="仿宋" w:cs="仿宋"/>
          <w:i w:val="0"/>
          <w:iCs w:val="0"/>
          <w:color w:val="auto"/>
          <w:sz w:val="24"/>
          <w:highlight w:val="none"/>
        </w:rPr>
        <w:sectPr>
          <w:headerReference r:id="rId5" w:type="first"/>
          <w:footerReference r:id="rId7"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47CF01ED">
      <w:pPr>
        <w:pageBreakBefore w:val="0"/>
        <w:kinsoku/>
        <w:overflowPunct/>
        <w:topLinePunct w:val="0"/>
        <w:bidi w:val="0"/>
        <w:spacing w:before="0" w:beforeLines="0" w:after="0" w:afterLines="0" w:line="360" w:lineRule="auto"/>
        <w:ind w:left="0" w:leftChars="0" w:right="0" w:rightChars="0" w:firstLine="0" w:firstLineChars="0"/>
        <w:jc w:val="center"/>
        <w:rPr>
          <w:rFonts w:hint="eastAsia" w:ascii="仿宋" w:hAnsi="仿宋" w:eastAsia="仿宋" w:cs="仿宋"/>
          <w:b/>
          <w:bCs/>
          <w:color w:val="auto"/>
          <w:sz w:val="32"/>
          <w:szCs w:val="32"/>
          <w:highlight w:val="none"/>
        </w:rPr>
      </w:pPr>
    </w:p>
    <w:p w14:paraId="0768628F">
      <w:pPr>
        <w:pageBreakBefore w:val="0"/>
        <w:kinsoku/>
        <w:overflowPunct/>
        <w:topLinePunct w:val="0"/>
        <w:bidi w:val="0"/>
        <w:spacing w:before="0" w:beforeLines="0" w:after="0" w:afterLines="0" w:line="360" w:lineRule="auto"/>
        <w:ind w:left="0" w:leftChars="0" w:right="0" w:rightChars="0" w:firstLine="0" w:firstLineChars="0"/>
        <w:jc w:val="center"/>
        <w:rPr>
          <w:rFonts w:hint="eastAsia" w:ascii="仿宋" w:hAnsi="仿宋" w:eastAsia="仿宋" w:cs="仿宋"/>
          <w:b/>
          <w:bCs/>
          <w:color w:val="auto"/>
          <w:sz w:val="32"/>
          <w:szCs w:val="32"/>
          <w:highlight w:val="none"/>
        </w:rPr>
      </w:pPr>
    </w:p>
    <w:p w14:paraId="42EFF58C">
      <w:pPr>
        <w:pageBreakBefore w:val="0"/>
        <w:kinsoku/>
        <w:overflowPunct/>
        <w:topLinePunct w:val="0"/>
        <w:bidi w:val="0"/>
        <w:spacing w:before="0" w:beforeLines="0" w:after="0" w:afterLines="0" w:line="360" w:lineRule="auto"/>
        <w:ind w:left="0" w:leftChars="0" w:right="0" w:rightChars="0" w:firstLine="0" w:firstLineChars="0"/>
        <w:jc w:val="center"/>
        <w:rPr>
          <w:rFonts w:hint="eastAsia" w:ascii="仿宋" w:hAnsi="仿宋" w:eastAsia="仿宋" w:cs="仿宋"/>
          <w:b/>
          <w:bCs/>
          <w:color w:val="auto"/>
          <w:sz w:val="32"/>
          <w:szCs w:val="32"/>
          <w:highlight w:val="none"/>
        </w:rPr>
      </w:pPr>
    </w:p>
    <w:p w14:paraId="7AFEB717">
      <w:pPr>
        <w:pageBreakBefore w:val="0"/>
        <w:kinsoku/>
        <w:overflowPunct/>
        <w:topLinePunct w:val="0"/>
        <w:bidi w:val="0"/>
        <w:spacing w:before="0" w:beforeLines="0" w:after="0" w:afterLines="0" w:line="360" w:lineRule="auto"/>
        <w:ind w:left="0" w:leftChars="0" w:right="0" w:righ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录</w:t>
      </w:r>
    </w:p>
    <w:p w14:paraId="0D634887">
      <w:pPr>
        <w:pStyle w:val="45"/>
        <w:pageBreakBefore w:val="0"/>
        <w:tabs>
          <w:tab w:val="right" w:leader="dot" w:pos="9070"/>
        </w:tabs>
        <w:kinsoku/>
        <w:overflowPunct/>
        <w:topLinePunct w:val="0"/>
        <w:bidi w:val="0"/>
        <w:spacing w:line="360" w:lineRule="auto"/>
        <w:rPr>
          <w:rFonts w:hint="eastAsia" w:ascii="仿宋" w:hAnsi="仿宋" w:eastAsia="仿宋" w:cs="仿宋"/>
          <w:color w:val="auto"/>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TOC \o "1-1" \h \u </w:instrText>
      </w:r>
      <w:r>
        <w:rPr>
          <w:rFonts w:hint="eastAsia" w:ascii="仿宋" w:hAnsi="仿宋" w:eastAsia="仿宋" w:cs="仿宋"/>
          <w:b/>
          <w:color w:val="auto"/>
          <w:sz w:val="32"/>
          <w:szCs w:val="32"/>
          <w:highlight w:val="none"/>
        </w:rPr>
        <w:fldChar w:fldCharType="separate"/>
      </w:r>
    </w:p>
    <w:p w14:paraId="767C4638">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_Toc2260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w:t>
      </w:r>
      <w:r>
        <w:rPr>
          <w:rFonts w:hint="eastAsia" w:ascii="仿宋" w:hAnsi="仿宋" w:eastAsia="仿宋" w:cs="仿宋"/>
          <w:color w:val="auto"/>
          <w:sz w:val="30"/>
          <w:szCs w:val="30"/>
          <w:highlight w:val="none"/>
          <w:lang w:val="en-US" w:eastAsia="zh-CN"/>
        </w:rPr>
        <w:t>章</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eastAsia="zh-CN"/>
        </w:rPr>
        <w:t>采购</w:t>
      </w:r>
      <w:r>
        <w:rPr>
          <w:rFonts w:hint="eastAsia" w:ascii="仿宋" w:hAnsi="仿宋" w:eastAsia="仿宋" w:cs="仿宋"/>
          <w:color w:val="auto"/>
          <w:sz w:val="30"/>
          <w:szCs w:val="30"/>
          <w:highlight w:val="none"/>
        </w:rPr>
        <w:t>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_Toc2260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3572DF4">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_Toc15391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第二</w:t>
      </w:r>
      <w:r>
        <w:rPr>
          <w:rFonts w:hint="eastAsia" w:ascii="仿宋" w:hAnsi="仿宋" w:eastAsia="仿宋" w:cs="仿宋"/>
          <w:color w:val="auto"/>
          <w:sz w:val="30"/>
          <w:szCs w:val="30"/>
          <w:highlight w:val="none"/>
          <w:lang w:val="en-US" w:eastAsia="zh-CN"/>
        </w:rPr>
        <w:t>章</w:t>
      </w:r>
      <w:r>
        <w:rPr>
          <w:rFonts w:hint="eastAsia" w:ascii="仿宋" w:hAnsi="仿宋" w:eastAsia="仿宋" w:cs="仿宋"/>
          <w:color w:val="auto"/>
          <w:sz w:val="30"/>
          <w:szCs w:val="30"/>
          <w:highlight w:val="none"/>
        </w:rPr>
        <w:t xml:space="preserve"> 投标人须知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_Toc15391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425AD2F1">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_Toc872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z w:val="30"/>
          <w:szCs w:val="30"/>
          <w:highlight w:val="none"/>
        </w:rPr>
        <w:t xml:space="preserve">第三章 </w:t>
      </w:r>
      <w:r>
        <w:rPr>
          <w:rFonts w:hint="eastAsia" w:ascii="仿宋" w:hAnsi="仿宋" w:eastAsia="仿宋" w:cs="仿宋"/>
          <w:bCs/>
          <w:color w:val="auto"/>
          <w:sz w:val="30"/>
          <w:szCs w:val="30"/>
          <w:highlight w:val="none"/>
          <w:lang w:val="en-US" w:eastAsia="zh-CN"/>
        </w:rPr>
        <w:t>采购需求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_Toc872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3306B43">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_Toc13216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kern w:val="1"/>
          <w:sz w:val="30"/>
          <w:szCs w:val="30"/>
          <w:highlight w:val="none"/>
          <w:lang w:val="en-US" w:eastAsia="zh-CN"/>
        </w:rPr>
        <w:t>第四章 评标办法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_Toc13216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18</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1DAE68E4">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_Toc8096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z w:val="30"/>
          <w:szCs w:val="30"/>
          <w:highlight w:val="none"/>
        </w:rPr>
        <w:t>第五章 合同主要条款</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_Toc8096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46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666C725A">
      <w:pPr>
        <w:pStyle w:val="4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_Toc8187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第六章 投标文件格式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_Toc8187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50</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1495BE0">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color w:val="auto"/>
          <w:szCs w:val="32"/>
          <w:highlight w:val="none"/>
        </w:rPr>
        <w:fldChar w:fldCharType="end"/>
      </w:r>
    </w:p>
    <w:p w14:paraId="46592A13">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24D71A2F">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349111E4">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4A965D5D">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29FE249A">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1C275F61">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6D7C2D2B">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05278E74">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658E7822">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27E2BCA3">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3BD7DF60">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3240103D">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09D86D63">
      <w:pPr>
        <w:pageBreakBefore w:val="0"/>
        <w:kinsoku/>
        <w:overflowPunct/>
        <w:topLinePunct w:val="0"/>
        <w:bidi w:val="0"/>
        <w:adjustRightInd/>
        <w:spacing w:line="360" w:lineRule="auto"/>
        <w:jc w:val="center"/>
        <w:outlineLvl w:val="0"/>
        <w:rPr>
          <w:rFonts w:hint="eastAsia" w:ascii="仿宋" w:hAnsi="仿宋" w:eastAsia="仿宋" w:cs="仿宋"/>
          <w:b/>
          <w:color w:val="auto"/>
          <w:sz w:val="32"/>
          <w:szCs w:val="32"/>
          <w:highlight w:val="none"/>
        </w:rPr>
        <w:sectPr>
          <w:footerReference r:id="rId10" w:type="first"/>
          <w:headerReference r:id="rId8" w:type="default"/>
          <w:footerReference r:id="rId9" w:type="default"/>
          <w:pgSz w:w="11906" w:h="16838"/>
          <w:pgMar w:top="1134" w:right="1417" w:bottom="1134" w:left="1417" w:header="851" w:footer="992" w:gutter="0"/>
          <w:pgNumType w:fmt="decimal" w:start="1"/>
          <w:cols w:space="720" w:num="1"/>
          <w:docGrid w:linePitch="312" w:charSpace="0"/>
        </w:sectPr>
      </w:pPr>
      <w:bookmarkStart w:id="0" w:name="_Toc2260"/>
    </w:p>
    <w:p w14:paraId="72BA20A4">
      <w:pPr>
        <w:pageBreakBefore w:val="0"/>
        <w:kinsoku/>
        <w:overflowPunct/>
        <w:topLinePunct w:val="0"/>
        <w:bidi w:val="0"/>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eastAsia="zh-CN"/>
        </w:rPr>
        <w:t>采购</w:t>
      </w:r>
      <w:r>
        <w:rPr>
          <w:rFonts w:hint="eastAsia" w:ascii="仿宋" w:hAnsi="仿宋" w:eastAsia="仿宋" w:cs="仿宋"/>
          <w:b/>
          <w:color w:val="auto"/>
          <w:sz w:val="32"/>
          <w:szCs w:val="32"/>
          <w:highlight w:val="none"/>
        </w:rPr>
        <w:t>公告</w:t>
      </w:r>
      <w:bookmarkEnd w:id="0"/>
    </w:p>
    <w:p w14:paraId="00D0167D">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8027003">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u w:val="single"/>
          <w:lang w:eastAsia="zh-CN"/>
        </w:rPr>
        <w:t>嵊州市和美乡村贵门规模化水厂及配套管网工程——新建配套管网工程玠溪段取水泵船采购项目</w:t>
      </w:r>
      <w:r>
        <w:rPr>
          <w:rFonts w:hint="eastAsia" w:ascii="仿宋" w:hAnsi="仿宋" w:eastAsia="仿宋" w:cs="仿宋"/>
          <w:b w:val="0"/>
          <w:bCs w:val="0"/>
          <w:color w:val="auto"/>
          <w:sz w:val="24"/>
          <w:szCs w:val="24"/>
          <w:highlight w:val="none"/>
          <w:lang w:eastAsia="zh-CN"/>
        </w:rPr>
        <w:t>采购</w:t>
      </w:r>
      <w:r>
        <w:rPr>
          <w:rFonts w:hint="eastAsia" w:ascii="仿宋" w:hAnsi="仿宋" w:eastAsia="仿宋" w:cs="仿宋"/>
          <w:b w:val="0"/>
          <w:bCs w:val="0"/>
          <w:color w:val="auto"/>
          <w:sz w:val="24"/>
          <w:szCs w:val="24"/>
          <w:highlight w:val="none"/>
        </w:rPr>
        <w:t>项目的潜在投标人应在</w:t>
      </w:r>
      <w:r>
        <w:rPr>
          <w:rFonts w:hint="eastAsia" w:ascii="仿宋" w:hAnsi="仿宋" w:eastAsia="仿宋" w:cs="仿宋"/>
          <w:b w:val="0"/>
          <w:bCs w:val="0"/>
          <w:color w:val="auto"/>
          <w:sz w:val="24"/>
          <w:szCs w:val="24"/>
          <w:highlight w:val="none"/>
          <w:lang w:eastAsia="zh-CN"/>
        </w:rPr>
        <w:t>乐采云</w:t>
      </w:r>
      <w:r>
        <w:rPr>
          <w:rFonts w:hint="eastAsia" w:ascii="仿宋" w:hAnsi="仿宋" w:eastAsia="仿宋" w:cs="仿宋"/>
          <w:b w:val="0"/>
          <w:bCs w:val="0"/>
          <w:color w:val="auto"/>
          <w:sz w:val="24"/>
          <w:szCs w:val="24"/>
          <w:highlight w:val="none"/>
        </w:rPr>
        <w:t>平台（</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"https://www.zcygov.cn/）获取（下载）招标文件，并于2021年" </w:instrText>
      </w:r>
      <w:r>
        <w:rPr>
          <w:rFonts w:hint="eastAsia" w:ascii="仿宋" w:hAnsi="仿宋" w:eastAsia="仿宋" w:cs="仿宋"/>
          <w:b w:val="0"/>
          <w:bCs w:val="0"/>
          <w:color w:val="auto"/>
          <w:sz w:val="24"/>
          <w:szCs w:val="24"/>
          <w:highlight w:val="none"/>
        </w:rPr>
        <w:fldChar w:fldCharType="separate"/>
      </w:r>
      <w:r>
        <w:rPr>
          <w:rStyle w:val="29"/>
          <w:rFonts w:hint="eastAsia" w:ascii="仿宋" w:hAnsi="仿宋" w:eastAsia="仿宋" w:cs="仿宋"/>
          <w:b w:val="0"/>
          <w:bCs w:val="0"/>
          <w:snapToGrid/>
          <w:color w:val="auto"/>
          <w:kern w:val="2"/>
          <w:sz w:val="24"/>
          <w:szCs w:val="24"/>
          <w:highlight w:val="none"/>
        </w:rPr>
        <w:t>https://www.</w:t>
      </w:r>
      <w:r>
        <w:rPr>
          <w:rStyle w:val="29"/>
          <w:rFonts w:hint="eastAsia" w:ascii="仿宋" w:hAnsi="仿宋" w:eastAsia="仿宋" w:cs="仿宋"/>
          <w:b w:val="0"/>
          <w:bCs w:val="0"/>
          <w:snapToGrid/>
          <w:color w:val="auto"/>
          <w:kern w:val="2"/>
          <w:sz w:val="24"/>
          <w:szCs w:val="24"/>
          <w:highlight w:val="none"/>
          <w:lang w:eastAsia="zh-CN"/>
        </w:rPr>
        <w:t>lecaiyun.com</w:t>
      </w:r>
      <w:r>
        <w:rPr>
          <w:rStyle w:val="29"/>
          <w:rFonts w:hint="eastAsia" w:ascii="仿宋" w:hAnsi="仿宋" w:eastAsia="仿宋" w:cs="仿宋"/>
          <w:b w:val="0"/>
          <w:bCs w:val="0"/>
          <w:snapToGrid/>
          <w:color w:val="auto"/>
          <w:kern w:val="2"/>
          <w:sz w:val="24"/>
          <w:szCs w:val="24"/>
          <w:highlight w:val="none"/>
        </w:rPr>
        <w:t>/）获取（下载）</w:t>
      </w:r>
      <w:r>
        <w:rPr>
          <w:rStyle w:val="29"/>
          <w:rFonts w:hint="eastAsia" w:ascii="仿宋" w:hAnsi="仿宋" w:eastAsia="仿宋" w:cs="仿宋"/>
          <w:b w:val="0"/>
          <w:bCs w:val="0"/>
          <w:snapToGrid/>
          <w:color w:val="auto"/>
          <w:kern w:val="2"/>
          <w:sz w:val="24"/>
          <w:szCs w:val="24"/>
          <w:highlight w:val="none"/>
          <w:lang w:eastAsia="zh-CN"/>
        </w:rPr>
        <w:t>采购</w:t>
      </w:r>
      <w:r>
        <w:rPr>
          <w:rStyle w:val="29"/>
          <w:rFonts w:hint="eastAsia" w:ascii="仿宋" w:hAnsi="仿宋" w:eastAsia="仿宋" w:cs="仿宋"/>
          <w:b w:val="0"/>
          <w:bCs w:val="0"/>
          <w:snapToGrid/>
          <w:color w:val="auto"/>
          <w:kern w:val="2"/>
          <w:sz w:val="24"/>
          <w:szCs w:val="24"/>
          <w:highlight w:val="none"/>
        </w:rPr>
        <w:t>文件，并于</w:t>
      </w:r>
      <w:r>
        <w:rPr>
          <w:rFonts w:hint="eastAsia" w:ascii="仿宋" w:hAnsi="仿宋" w:eastAsia="仿宋" w:cs="仿宋"/>
          <w:b w:val="0"/>
          <w:bCs w:val="0"/>
          <w:color w:val="auto"/>
          <w:sz w:val="24"/>
          <w:szCs w:val="24"/>
          <w:highlight w:val="none"/>
          <w:u w:val="single"/>
          <w:lang w:eastAsia="zh-CN"/>
        </w:rPr>
        <w:t>2025年</w:t>
      </w:r>
      <w:r>
        <w:rPr>
          <w:rFonts w:hint="eastAsia" w:ascii="仿宋" w:hAnsi="仿宋" w:eastAsia="仿宋" w:cs="仿宋"/>
          <w:b w:val="0"/>
          <w:bCs w:val="0"/>
          <w:color w:val="auto"/>
          <w:sz w:val="24"/>
          <w:szCs w:val="24"/>
          <w:highlight w:val="none"/>
          <w:u w:val="single"/>
          <w:lang w:val="en-US" w:eastAsia="zh-CN"/>
        </w:rPr>
        <w:t>2月17日09</w:t>
      </w:r>
      <w:r>
        <w:rPr>
          <w:rFonts w:hint="eastAsia" w:ascii="仿宋" w:hAnsi="仿宋" w:eastAsia="仿宋" w:cs="仿宋"/>
          <w:b w:val="0"/>
          <w:bCs w:val="0"/>
          <w:color w:val="auto"/>
          <w:sz w:val="24"/>
          <w:szCs w:val="24"/>
          <w:highlight w:val="none"/>
          <w:u w:val="single"/>
        </w:rPr>
        <w:t>点</w:t>
      </w:r>
      <w:r>
        <w:rPr>
          <w:rFonts w:hint="eastAsia" w:ascii="仿宋" w:hAnsi="仿宋" w:eastAsia="仿宋" w:cs="仿宋"/>
          <w:b w:val="0"/>
          <w:bCs w:val="0"/>
          <w:color w:val="auto"/>
          <w:sz w:val="24"/>
          <w:szCs w:val="24"/>
          <w:highlight w:val="none"/>
          <w:u w:val="single"/>
          <w:lang w:val="en-US" w:eastAsia="zh-CN"/>
        </w:rPr>
        <w:t>00</w:t>
      </w:r>
      <w:r>
        <w:rPr>
          <w:rFonts w:hint="eastAsia" w:ascii="仿宋" w:hAnsi="仿宋" w:eastAsia="仿宋" w:cs="仿宋"/>
          <w:b w:val="0"/>
          <w:bCs w:val="0"/>
          <w:color w:val="auto"/>
          <w:sz w:val="24"/>
          <w:szCs w:val="24"/>
          <w:highlight w:val="none"/>
          <w:u w:val="single"/>
        </w:rPr>
        <w:t>分00秒</w:t>
      </w:r>
      <w:r>
        <w:rPr>
          <w:rFonts w:hint="eastAsia" w:ascii="仿宋" w:hAnsi="仿宋" w:eastAsia="仿宋" w:cs="仿宋"/>
          <w:b w:val="0"/>
          <w:bCs w:val="0"/>
          <w:color w:val="auto"/>
          <w:sz w:val="24"/>
          <w:szCs w:val="24"/>
          <w:highlight w:val="none"/>
          <w:u w:val="single"/>
        </w:rPr>
        <w:fldChar w:fldCharType="end"/>
      </w:r>
      <w:r>
        <w:rPr>
          <w:rFonts w:hint="eastAsia" w:ascii="仿宋" w:hAnsi="仿宋" w:eastAsia="仿宋" w:cs="仿宋"/>
          <w:b w:val="0"/>
          <w:bCs w:val="0"/>
          <w:color w:val="auto"/>
          <w:sz w:val="24"/>
          <w:szCs w:val="24"/>
          <w:highlight w:val="none"/>
        </w:rPr>
        <w:t>（北京时间）前递交（上传）投标文件。</w:t>
      </w:r>
    </w:p>
    <w:p w14:paraId="0BC658EC">
      <w:pPr>
        <w:pageBreakBefore w:val="0"/>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6B3BF5FE">
      <w:pPr>
        <w:pageBreakBefore w:val="0"/>
        <w:kinsoku/>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color w:val="auto"/>
          <w:sz w:val="24"/>
          <w:szCs w:val="24"/>
          <w:highlight w:val="none"/>
        </w:rPr>
        <w:t>项目编号：HY-202509</w:t>
      </w:r>
    </w:p>
    <w:p w14:paraId="49CFEFDD">
      <w:pPr>
        <w:pageBreakBefore w:val="0"/>
        <w:kinsoku/>
        <w:overflowPunct/>
        <w:topLinePunct w:val="0"/>
        <w:bidi w:val="0"/>
        <w:spacing w:line="360" w:lineRule="auto"/>
        <w:ind w:firstLine="480"/>
        <w:rPr>
          <w:rFonts w:hint="eastAsia" w:ascii="仿宋" w:hAnsi="仿宋" w:eastAsia="仿宋" w:cs="仿宋"/>
          <w:b w:val="0"/>
          <w:bCs w:val="0"/>
          <w:color w:val="auto"/>
          <w:sz w:val="24"/>
          <w:szCs w:val="24"/>
          <w:highlight w:val="none"/>
          <w:u w:val="singl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项目名称：</w:t>
      </w:r>
      <w:r>
        <w:rPr>
          <w:rFonts w:hint="eastAsia" w:ascii="仿宋" w:hAnsi="仿宋" w:eastAsia="仿宋" w:cs="仿宋"/>
          <w:b w:val="0"/>
          <w:bCs w:val="0"/>
          <w:color w:val="auto"/>
          <w:sz w:val="24"/>
          <w:szCs w:val="24"/>
          <w:highlight w:val="none"/>
          <w:u w:val="single"/>
          <w:lang w:eastAsia="zh-CN"/>
        </w:rPr>
        <w:t>嵊州市和美乡村贵门规模化水厂及配套管网工程——新建配套管网工程玠溪段取水泵船采购项目</w:t>
      </w:r>
    </w:p>
    <w:p w14:paraId="242C691D">
      <w:pPr>
        <w:pageBreakBefore w:val="0"/>
        <w:kinsoku/>
        <w:overflowPunct/>
        <w:topLinePunct w:val="0"/>
        <w:bidi w:val="0"/>
        <w:spacing w:line="360" w:lineRule="auto"/>
        <w:ind w:firstLine="480"/>
        <w:rPr>
          <w:rFonts w:hint="default" w:ascii="仿宋" w:hAnsi="仿宋" w:eastAsia="仿宋" w:cs="仿宋"/>
          <w:color w:val="auto"/>
          <w:sz w:val="24"/>
          <w:szCs w:val="24"/>
          <w:highlight w:val="none"/>
          <w:u w:val="none"/>
          <w:lang w:val="en-US"/>
        </w:rPr>
      </w:pPr>
      <w:r>
        <w:rPr>
          <w:rFonts w:hint="eastAsia" w:ascii="仿宋" w:hAnsi="仿宋" w:eastAsia="仿宋" w:cs="仿宋"/>
          <w:b/>
          <w:color w:val="auto"/>
          <w:sz w:val="24"/>
          <w:szCs w:val="24"/>
          <w:highlight w:val="none"/>
          <w:shd w:val="clear"/>
          <w:lang w:val="en-US" w:eastAsia="zh-CN"/>
        </w:rPr>
        <w:t>3.</w:t>
      </w:r>
      <w:r>
        <w:rPr>
          <w:rFonts w:hint="eastAsia" w:ascii="仿宋" w:hAnsi="仿宋" w:eastAsia="仿宋" w:cs="仿宋"/>
          <w:b/>
          <w:color w:val="auto"/>
          <w:sz w:val="24"/>
          <w:szCs w:val="24"/>
          <w:highlight w:val="none"/>
          <w:shd w:val="clear"/>
        </w:rPr>
        <w:t>预算金额（元</w:t>
      </w:r>
      <w:r>
        <w:rPr>
          <w:rFonts w:hint="eastAsia" w:ascii="仿宋" w:hAnsi="仿宋" w:eastAsia="仿宋" w:cs="仿宋"/>
          <w:b/>
          <w:color w:val="auto"/>
          <w:sz w:val="24"/>
          <w:szCs w:val="24"/>
          <w:highlight w:val="none"/>
          <w:u w:val="none"/>
          <w:shd w:val="clear"/>
        </w:rPr>
        <w:t>）：</w:t>
      </w:r>
      <w:r>
        <w:rPr>
          <w:rFonts w:hint="eastAsia" w:ascii="仿宋" w:hAnsi="仿宋" w:eastAsia="仿宋" w:cs="仿宋"/>
          <w:b/>
          <w:color w:val="auto"/>
          <w:sz w:val="24"/>
          <w:szCs w:val="24"/>
          <w:highlight w:val="none"/>
          <w:u w:val="none"/>
          <w:shd w:val="clear"/>
          <w:lang w:val="en-US" w:eastAsia="zh-CN"/>
        </w:rPr>
        <w:t>826000.00</w:t>
      </w:r>
    </w:p>
    <w:p w14:paraId="1AC00ECD">
      <w:pPr>
        <w:pStyle w:val="6"/>
        <w:pageBreakBefore w:val="0"/>
        <w:kinsoku/>
        <w:overflowPunct/>
        <w:topLinePunct w:val="0"/>
        <w:bidi w:val="0"/>
        <w:spacing w:line="360" w:lineRule="auto"/>
        <w:ind w:firstLine="480"/>
        <w:rPr>
          <w:rFonts w:hint="default" w:ascii="仿宋" w:hAnsi="仿宋" w:eastAsia="仿宋" w:cs="仿宋"/>
          <w:b/>
          <w:bCs/>
          <w:color w:val="auto"/>
          <w:sz w:val="21"/>
          <w:szCs w:val="21"/>
          <w:highlight w:val="none"/>
          <w:u w:val="none"/>
          <w:lang w:val="en-US" w:eastAsia="zh-CN"/>
        </w:rPr>
      </w:pPr>
      <w:r>
        <w:rPr>
          <w:rFonts w:hint="eastAsia" w:ascii="仿宋" w:hAnsi="仿宋" w:eastAsia="仿宋" w:cs="仿宋"/>
          <w:b/>
          <w:color w:val="auto"/>
          <w:sz w:val="24"/>
          <w:szCs w:val="24"/>
          <w:highlight w:val="none"/>
          <w:u w:val="none"/>
          <w:lang w:val="en-US" w:eastAsia="zh-CN"/>
        </w:rPr>
        <w:t>4.</w:t>
      </w:r>
      <w:r>
        <w:rPr>
          <w:rFonts w:hint="eastAsia" w:ascii="仿宋" w:hAnsi="仿宋" w:eastAsia="仿宋" w:cs="仿宋"/>
          <w:b/>
          <w:snapToGrid/>
          <w:color w:val="auto"/>
          <w:kern w:val="2"/>
          <w:sz w:val="24"/>
          <w:szCs w:val="24"/>
          <w:highlight w:val="none"/>
          <w:u w:val="none"/>
          <w:shd w:val="clear"/>
          <w:lang w:val="en-US" w:eastAsia="zh-CN" w:bidi="ar-SA"/>
        </w:rPr>
        <w:t>最高限价</w:t>
      </w:r>
      <w:r>
        <w:rPr>
          <w:rFonts w:hint="eastAsia" w:ascii="仿宋" w:hAnsi="仿宋" w:eastAsia="仿宋" w:cs="仿宋"/>
          <w:b/>
          <w:color w:val="auto"/>
          <w:sz w:val="24"/>
          <w:szCs w:val="24"/>
          <w:highlight w:val="none"/>
          <w:shd w:val="clear"/>
        </w:rPr>
        <w:t>（元</w:t>
      </w:r>
      <w:r>
        <w:rPr>
          <w:rFonts w:hint="eastAsia" w:ascii="仿宋" w:hAnsi="仿宋" w:eastAsia="仿宋" w:cs="仿宋"/>
          <w:b/>
          <w:color w:val="auto"/>
          <w:sz w:val="24"/>
          <w:szCs w:val="24"/>
          <w:highlight w:val="none"/>
          <w:u w:val="none"/>
          <w:shd w:val="clear"/>
        </w:rPr>
        <w:t>）</w:t>
      </w:r>
      <w:r>
        <w:rPr>
          <w:rFonts w:hint="eastAsia" w:ascii="仿宋" w:hAnsi="仿宋" w:eastAsia="仿宋" w:cs="仿宋"/>
          <w:color w:val="auto"/>
          <w:sz w:val="21"/>
          <w:szCs w:val="21"/>
          <w:highlight w:val="none"/>
          <w:u w:val="none"/>
          <w:lang w:val="en-US" w:eastAsia="zh-CN"/>
        </w:rPr>
        <w:t>：</w:t>
      </w:r>
      <w:r>
        <w:rPr>
          <w:rFonts w:hint="eastAsia" w:ascii="仿宋" w:hAnsi="仿宋" w:eastAsia="仿宋" w:cs="仿宋"/>
          <w:b/>
          <w:snapToGrid/>
          <w:color w:val="auto"/>
          <w:kern w:val="2"/>
          <w:sz w:val="24"/>
          <w:szCs w:val="24"/>
          <w:highlight w:val="none"/>
          <w:u w:val="none"/>
          <w:shd w:val="clear"/>
          <w:lang w:val="en-US" w:eastAsia="zh-CN" w:bidi="ar-SA"/>
        </w:rPr>
        <w:t>826000.00</w:t>
      </w:r>
    </w:p>
    <w:p w14:paraId="5098E97A">
      <w:pPr>
        <w:pStyle w:val="6"/>
        <w:pageBreakBefore w:val="0"/>
        <w:kinsoku/>
        <w:overflowPunct/>
        <w:topLinePunct w:val="0"/>
        <w:bidi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采购需求：</w:t>
      </w:r>
    </w:p>
    <w:tbl>
      <w:tblPr>
        <w:tblStyle w:val="25"/>
        <w:tblW w:w="8925" w:type="dxa"/>
        <w:tblInd w:w="-9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7"/>
        <w:gridCol w:w="2899"/>
        <w:gridCol w:w="690"/>
        <w:gridCol w:w="825"/>
        <w:gridCol w:w="1620"/>
        <w:gridCol w:w="1555"/>
        <w:gridCol w:w="649"/>
      </w:tblGrid>
      <w:tr w14:paraId="39A0001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25"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8A11E2F">
            <w:pPr>
              <w:pageBreakBefore w:val="0"/>
              <w:kinsoku/>
              <w:overflowPunct/>
              <w:topLinePunct w:val="0"/>
              <w:bidi w:val="0"/>
              <w:snapToGrid w:val="0"/>
              <w:spacing w:line="360" w:lineRule="auto"/>
              <w:jc w:val="center"/>
              <w:rPr>
                <w:rStyle w:val="36"/>
                <w:rFonts w:hint="eastAsia" w:ascii="仿宋" w:hAnsi="仿宋" w:eastAsia="仿宋" w:cs="仿宋"/>
                <w:bCs/>
                <w:color w:val="auto"/>
                <w:sz w:val="24"/>
                <w:highlight w:val="none"/>
                <w:lang w:eastAsia="zh-CN"/>
              </w:rPr>
            </w:pPr>
            <w:r>
              <w:rPr>
                <w:rStyle w:val="36"/>
                <w:rFonts w:hint="eastAsia" w:ascii="仿宋" w:hAnsi="仿宋" w:eastAsia="仿宋" w:cs="仿宋"/>
                <w:bCs/>
                <w:color w:val="auto"/>
                <w:sz w:val="24"/>
                <w:highlight w:val="none"/>
                <w:lang w:val="en-US" w:eastAsia="zh-CN"/>
              </w:rPr>
              <w:t>标段</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14:paraId="37320B7C">
            <w:pPr>
              <w:pageBreakBefore w:val="0"/>
              <w:kinsoku/>
              <w:overflowPunct/>
              <w:topLinePunct w:val="0"/>
              <w:bidi w:val="0"/>
              <w:snapToGrid w:val="0"/>
              <w:spacing w:line="360" w:lineRule="auto"/>
              <w:jc w:val="center"/>
              <w:rPr>
                <w:rStyle w:val="36"/>
                <w:rFonts w:hint="eastAsia" w:ascii="仿宋" w:hAnsi="仿宋" w:eastAsia="仿宋" w:cs="仿宋"/>
                <w:bCs/>
                <w:color w:val="auto"/>
                <w:sz w:val="24"/>
                <w:highlight w:val="none"/>
                <w:lang w:val="en-US" w:eastAsia="zh-CN"/>
              </w:rPr>
            </w:pPr>
            <w:r>
              <w:rPr>
                <w:rFonts w:hint="eastAsia" w:ascii="仿宋" w:hAnsi="仿宋" w:eastAsia="仿宋" w:cs="仿宋"/>
                <w:color w:val="auto"/>
                <w:sz w:val="21"/>
                <w:szCs w:val="21"/>
                <w:highlight w:val="none"/>
                <w:u w:val="none"/>
                <w:vertAlign w:val="baseline"/>
                <w:lang w:val="en-US" w:eastAsia="zh-CN"/>
              </w:rPr>
              <w:t>采购内容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09631A7">
            <w:pPr>
              <w:pageBreakBefore w:val="0"/>
              <w:kinsoku/>
              <w:overflowPunct/>
              <w:topLinePunct w:val="0"/>
              <w:bidi w:val="0"/>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Style w:val="36"/>
                <w:rFonts w:hint="eastAsia" w:ascii="仿宋" w:hAnsi="仿宋" w:eastAsia="仿宋" w:cs="仿宋"/>
                <w:bCs/>
                <w:color w:val="auto"/>
                <w:sz w:val="24"/>
                <w:highlight w:val="none"/>
              </w:rPr>
              <w:t>数量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D652E56">
            <w:pPr>
              <w:pageBreakBefore w:val="0"/>
              <w:kinsoku/>
              <w:overflowPunct/>
              <w:topLinePunct w:val="0"/>
              <w:bidi w:val="0"/>
              <w:snapToGrid w:val="0"/>
              <w:spacing w:line="360" w:lineRule="auto"/>
              <w:jc w:val="center"/>
              <w:rPr>
                <w:rStyle w:val="36"/>
                <w:rFonts w:hint="eastAsia" w:ascii="仿宋" w:hAnsi="仿宋" w:eastAsia="仿宋" w:cs="仿宋"/>
                <w:bCs/>
                <w:color w:val="auto"/>
                <w:sz w:val="24"/>
                <w:highlight w:val="none"/>
                <w:lang w:val="en-US" w:eastAsia="zh-CN"/>
              </w:rPr>
            </w:pPr>
            <w:r>
              <w:rPr>
                <w:rStyle w:val="36"/>
                <w:rFonts w:hint="eastAsia" w:ascii="仿宋" w:hAnsi="仿宋" w:eastAsia="仿宋" w:cs="仿宋"/>
                <w:bCs/>
                <w:color w:val="auto"/>
                <w:sz w:val="24"/>
                <w:highlight w:val="none"/>
                <w:lang w:val="en-US" w:eastAsia="zh-CN"/>
              </w:rPr>
              <w:t>单位</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F86051">
            <w:pPr>
              <w:pageBreakBefore w:val="0"/>
              <w:kinsoku/>
              <w:overflowPunct/>
              <w:topLinePunct w:val="0"/>
              <w:bidi w:val="0"/>
              <w:snapToGrid w:val="0"/>
              <w:spacing w:line="360" w:lineRule="auto"/>
              <w:jc w:val="center"/>
              <w:rPr>
                <w:rStyle w:val="36"/>
                <w:rFonts w:hint="eastAsia" w:ascii="仿宋" w:hAnsi="仿宋" w:eastAsia="仿宋" w:cs="仿宋"/>
                <w:bCs/>
                <w:color w:val="auto"/>
                <w:sz w:val="24"/>
                <w:highlight w:val="none"/>
              </w:rPr>
            </w:pPr>
            <w:r>
              <w:rPr>
                <w:rStyle w:val="36"/>
                <w:rFonts w:hint="eastAsia" w:ascii="仿宋" w:hAnsi="仿宋" w:eastAsia="仿宋" w:cs="仿宋"/>
                <w:bCs/>
                <w:color w:val="auto"/>
                <w:sz w:val="24"/>
                <w:highlight w:val="none"/>
              </w:rPr>
              <w:t>预算价</w:t>
            </w:r>
          </w:p>
          <w:p w14:paraId="0FD7D169">
            <w:pPr>
              <w:pageBreakBefore w:val="0"/>
              <w:kinsoku/>
              <w:overflowPunct/>
              <w:topLinePunct w:val="0"/>
              <w:bidi w:val="0"/>
              <w:snapToGrid w:val="0"/>
              <w:spacing w:line="360" w:lineRule="auto"/>
              <w:jc w:val="center"/>
              <w:rPr>
                <w:rStyle w:val="36"/>
                <w:rFonts w:hint="eastAsia" w:ascii="仿宋" w:hAnsi="仿宋" w:eastAsia="仿宋" w:cs="仿宋"/>
                <w:bCs/>
                <w:color w:val="auto"/>
                <w:sz w:val="24"/>
                <w:highlight w:val="none"/>
              </w:rPr>
            </w:pPr>
            <w:r>
              <w:rPr>
                <w:rStyle w:val="36"/>
                <w:rFonts w:hint="eastAsia" w:ascii="仿宋" w:hAnsi="仿宋" w:eastAsia="仿宋" w:cs="仿宋"/>
                <w:bCs/>
                <w:color w:val="auto"/>
                <w:sz w:val="24"/>
                <w:highlight w:val="none"/>
              </w:rPr>
              <w:t>(元）</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E9989F5">
            <w:pPr>
              <w:pageBreakBefore w:val="0"/>
              <w:kinsoku/>
              <w:overflowPunct/>
              <w:topLinePunct w:val="0"/>
              <w:bidi w:val="0"/>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Style w:val="36"/>
                <w:rFonts w:hint="eastAsia" w:ascii="仿宋" w:hAnsi="仿宋" w:eastAsia="仿宋" w:cs="仿宋"/>
                <w:bCs/>
                <w:color w:val="auto"/>
                <w:sz w:val="24"/>
                <w:highlight w:val="none"/>
              </w:rPr>
              <w:t>简要技术要求、用途</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07D1A819">
            <w:pPr>
              <w:pageBreakBefore w:val="0"/>
              <w:kinsoku/>
              <w:overflowPunct/>
              <w:topLinePunct w:val="0"/>
              <w:bidi w:val="0"/>
              <w:snapToGrid w:val="0"/>
              <w:spacing w:line="360" w:lineRule="auto"/>
              <w:jc w:val="center"/>
              <w:rPr>
                <w:rStyle w:val="36"/>
                <w:rFonts w:hint="eastAsia" w:ascii="仿宋" w:hAnsi="仿宋" w:eastAsia="仿宋" w:cs="仿宋"/>
                <w:bCs/>
                <w:color w:val="auto"/>
                <w:sz w:val="24"/>
                <w:highlight w:val="none"/>
              </w:rPr>
            </w:pPr>
            <w:r>
              <w:rPr>
                <w:rStyle w:val="36"/>
                <w:rFonts w:hint="eastAsia" w:ascii="仿宋" w:hAnsi="仿宋" w:eastAsia="仿宋" w:cs="仿宋"/>
                <w:bCs/>
                <w:color w:val="auto"/>
                <w:sz w:val="24"/>
                <w:highlight w:val="none"/>
              </w:rPr>
              <w:t>备注</w:t>
            </w:r>
          </w:p>
        </w:tc>
      </w:tr>
      <w:tr w14:paraId="300F5F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6"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9391E58">
            <w:pPr>
              <w:pageBreakBefore w:val="0"/>
              <w:kinsoku/>
              <w:overflowPunct/>
              <w:topLinePunct w:val="0"/>
              <w:bidi w:val="0"/>
              <w:snapToGrid w:val="0"/>
              <w:spacing w:line="360" w:lineRule="auto"/>
              <w:jc w:val="center"/>
              <w:rPr>
                <w:rStyle w:val="36"/>
                <w:rFonts w:hint="eastAsia" w:ascii="仿宋" w:hAnsi="仿宋" w:eastAsia="仿宋" w:cs="仿宋"/>
                <w:color w:val="auto"/>
                <w:sz w:val="24"/>
                <w:highlight w:val="none"/>
                <w:lang w:eastAsia="zh-CN"/>
              </w:rPr>
            </w:pPr>
            <w:r>
              <w:rPr>
                <w:rStyle w:val="36"/>
                <w:rFonts w:hint="eastAsia" w:ascii="仿宋" w:hAnsi="仿宋" w:eastAsia="仿宋" w:cs="仿宋"/>
                <w:color w:val="auto"/>
                <w:sz w:val="24"/>
                <w:highlight w:val="none"/>
                <w:lang w:val="en-US" w:eastAsia="zh-CN"/>
              </w:rPr>
              <w:t>1</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14:paraId="2FD7B4F1">
            <w:pPr>
              <w:pageBreakBefore w:val="0"/>
              <w:kinsoku/>
              <w:overflowPunct/>
              <w:topLinePunct w:val="0"/>
              <w:bidi w:val="0"/>
              <w:snapToGrid w:val="0"/>
              <w:spacing w:line="360" w:lineRule="auto"/>
              <w:jc w:val="center"/>
              <w:rPr>
                <w:rStyle w:val="36"/>
                <w:rFonts w:hint="eastAsia" w:ascii="仿宋" w:hAnsi="仿宋" w:eastAsia="仿宋" w:cs="仿宋"/>
                <w:color w:val="auto"/>
                <w:sz w:val="24"/>
                <w:highlight w:val="none"/>
                <w:lang w:eastAsia="zh-CN"/>
              </w:rPr>
            </w:pPr>
            <w:r>
              <w:rPr>
                <w:rStyle w:val="36"/>
                <w:rFonts w:hint="eastAsia" w:ascii="仿宋" w:hAnsi="仿宋" w:eastAsia="仿宋" w:cs="仿宋"/>
                <w:color w:val="auto"/>
                <w:sz w:val="24"/>
                <w:highlight w:val="none"/>
                <w:lang w:eastAsia="zh-CN"/>
              </w:rPr>
              <w:t>新建配套管网工程玠溪段取水泵船采购项目</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4999816">
            <w:pPr>
              <w:pageBreakBefore w:val="0"/>
              <w:kinsoku/>
              <w:overflowPunct/>
              <w:topLinePunct w:val="0"/>
              <w:bidi w:val="0"/>
              <w:snapToGrid w:val="0"/>
              <w:spacing w:line="360" w:lineRule="auto"/>
              <w:jc w:val="center"/>
              <w:rPr>
                <w:rFonts w:hint="eastAsia" w:ascii="仿宋" w:hAnsi="仿宋" w:eastAsia="仿宋" w:cs="仿宋"/>
                <w:color w:val="auto"/>
                <w:kern w:val="2"/>
                <w:sz w:val="24"/>
                <w:szCs w:val="24"/>
                <w:highlight w:val="none"/>
                <w:lang w:val="en-US" w:eastAsia="zh-CN" w:bidi="ar-SA"/>
              </w:rPr>
            </w:pPr>
            <w:r>
              <w:rPr>
                <w:rStyle w:val="36"/>
                <w:rFonts w:hint="eastAsia" w:ascii="仿宋" w:hAnsi="仿宋" w:eastAsia="仿宋" w:cs="仿宋"/>
                <w:color w:val="auto"/>
                <w:sz w:val="24"/>
                <w:highlight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108D6D5">
            <w:pPr>
              <w:pageBreakBefore w:val="0"/>
              <w:kinsoku/>
              <w:overflowPunct/>
              <w:topLinePunct w:val="0"/>
              <w:bidi w:val="0"/>
              <w:snapToGrid w:val="0"/>
              <w:spacing w:line="360" w:lineRule="auto"/>
              <w:jc w:val="center"/>
              <w:rPr>
                <w:rStyle w:val="36"/>
                <w:rFonts w:hint="eastAsia" w:ascii="仿宋" w:hAnsi="仿宋" w:eastAsia="仿宋" w:cs="仿宋"/>
                <w:color w:val="auto"/>
                <w:sz w:val="24"/>
                <w:highlight w:val="none"/>
                <w:lang w:eastAsia="zh-CN"/>
              </w:rPr>
            </w:pPr>
            <w:r>
              <w:rPr>
                <w:rStyle w:val="36"/>
                <w:rFonts w:hint="eastAsia" w:ascii="仿宋" w:hAnsi="仿宋" w:eastAsia="仿宋" w:cs="仿宋"/>
                <w:color w:val="auto"/>
                <w:sz w:val="24"/>
                <w:highlight w:val="none"/>
                <w:lang w:val="en-US" w:eastAsia="zh-CN"/>
              </w:rPr>
              <w:t>项</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13F7D8">
            <w:pPr>
              <w:pageBreakBefore w:val="0"/>
              <w:kinsoku/>
              <w:overflowPunct/>
              <w:topLinePunct w:val="0"/>
              <w:bidi w:val="0"/>
              <w:snapToGrid w:val="0"/>
              <w:spacing w:line="360" w:lineRule="auto"/>
              <w:jc w:val="center"/>
              <w:rPr>
                <w:rStyle w:val="36"/>
                <w:rFonts w:hint="default" w:ascii="仿宋" w:hAnsi="仿宋" w:eastAsia="仿宋" w:cs="仿宋"/>
                <w:color w:val="auto"/>
                <w:szCs w:val="24"/>
                <w:highlight w:val="none"/>
                <w:lang w:val="en-US" w:eastAsia="zh-CN"/>
              </w:rPr>
            </w:pPr>
            <w:r>
              <w:rPr>
                <w:rStyle w:val="36"/>
                <w:rFonts w:hint="eastAsia" w:ascii="仿宋" w:hAnsi="仿宋" w:eastAsia="仿宋" w:cs="仿宋"/>
                <w:color w:val="auto"/>
                <w:szCs w:val="24"/>
                <w:highlight w:val="none"/>
                <w:lang w:val="en-US" w:eastAsia="zh-CN"/>
              </w:rPr>
              <w:t>826000.00</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3A46C00">
            <w:pPr>
              <w:pageBreakBefore w:val="0"/>
              <w:kinsoku/>
              <w:overflowPunct/>
              <w:topLinePunct w:val="0"/>
              <w:bidi w:val="0"/>
              <w:snapToGrid w:val="0"/>
              <w:spacing w:line="360" w:lineRule="auto"/>
              <w:jc w:val="center"/>
              <w:rPr>
                <w:rStyle w:val="36"/>
                <w:rFonts w:hint="eastAsia" w:ascii="仿宋" w:hAnsi="仿宋" w:eastAsia="仿宋" w:cs="仿宋"/>
                <w:color w:val="auto"/>
                <w:sz w:val="24"/>
                <w:highlight w:val="none"/>
              </w:rPr>
            </w:pPr>
            <w:r>
              <w:rPr>
                <w:rStyle w:val="36"/>
                <w:rFonts w:hint="eastAsia" w:ascii="仿宋" w:hAnsi="仿宋" w:eastAsia="仿宋" w:cs="仿宋"/>
                <w:color w:val="auto"/>
                <w:sz w:val="24"/>
                <w:highlight w:val="none"/>
              </w:rPr>
              <w:t>详见</w:t>
            </w:r>
          </w:p>
          <w:p w14:paraId="02B28B60">
            <w:pPr>
              <w:pageBreakBefore w:val="0"/>
              <w:kinsoku/>
              <w:overflowPunct/>
              <w:topLinePunct w:val="0"/>
              <w:bidi w:val="0"/>
              <w:snapToGrid w:val="0"/>
              <w:spacing w:line="360" w:lineRule="auto"/>
              <w:jc w:val="center"/>
              <w:rPr>
                <w:rFonts w:hint="eastAsia" w:ascii="仿宋" w:hAnsi="仿宋" w:eastAsia="仿宋" w:cs="仿宋"/>
                <w:color w:val="auto"/>
                <w:kern w:val="2"/>
                <w:sz w:val="24"/>
                <w:szCs w:val="24"/>
                <w:highlight w:val="none"/>
                <w:lang w:val="en-US" w:eastAsia="zh-CN" w:bidi="ar-SA"/>
              </w:rPr>
            </w:pPr>
            <w:r>
              <w:rPr>
                <w:rStyle w:val="36"/>
                <w:rFonts w:hint="eastAsia" w:ascii="仿宋" w:hAnsi="仿宋" w:eastAsia="仿宋" w:cs="仿宋"/>
                <w:color w:val="auto"/>
                <w:sz w:val="24"/>
                <w:highlight w:val="none"/>
              </w:rPr>
              <w:t>采购需求</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39E00169">
            <w:pPr>
              <w:pageBreakBefore w:val="0"/>
              <w:kinsoku/>
              <w:overflowPunct/>
              <w:topLinePunct w:val="0"/>
              <w:bidi w:val="0"/>
              <w:snapToGrid w:val="0"/>
              <w:spacing w:line="360" w:lineRule="auto"/>
              <w:jc w:val="center"/>
              <w:rPr>
                <w:rStyle w:val="36"/>
                <w:rFonts w:hint="eastAsia" w:ascii="仿宋" w:hAnsi="仿宋" w:eastAsia="仿宋" w:cs="仿宋"/>
                <w:color w:val="auto"/>
                <w:szCs w:val="24"/>
                <w:highlight w:val="none"/>
              </w:rPr>
            </w:pPr>
          </w:p>
        </w:tc>
      </w:tr>
    </w:tbl>
    <w:p w14:paraId="6184ECD3">
      <w:pPr>
        <w:pStyle w:val="35"/>
        <w:pageBreakBefore w:val="0"/>
        <w:kinsoku/>
        <w:overflowPunct/>
        <w:topLinePunct w:val="0"/>
        <w:bidi w:val="0"/>
        <w:spacing w:line="360" w:lineRule="auto"/>
        <w:ind w:left="0" w:leftChars="0" w:firstLine="482" w:firstLineChars="200"/>
        <w:outlineLvl w:val="2"/>
        <w:rPr>
          <w:rFonts w:hint="eastAsia" w:ascii="仿宋" w:hAnsi="仿宋" w:eastAsia="仿宋" w:cs="仿宋"/>
          <w:color w:val="auto"/>
          <w:highlight w:val="none"/>
          <w:lang w:val="en-US"/>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详见采购文件。</w:t>
      </w:r>
    </w:p>
    <w:p w14:paraId="40508327">
      <w:pPr>
        <w:pStyle w:val="6"/>
        <w:pageBreakBefore w:val="0"/>
        <w:kinsoku/>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不</w:t>
      </w:r>
      <w:r>
        <w:rPr>
          <w:rFonts w:hint="eastAsia" w:ascii="仿宋" w:hAnsi="仿宋" w:eastAsia="仿宋" w:cs="仿宋"/>
          <w:b/>
          <w:color w:val="auto"/>
          <w:sz w:val="24"/>
          <w:highlight w:val="none"/>
        </w:rPr>
        <w:t>接受联合体投标</w:t>
      </w:r>
      <w:r>
        <w:rPr>
          <w:rFonts w:hint="eastAsia" w:ascii="仿宋" w:hAnsi="仿宋" w:eastAsia="仿宋" w:cs="仿宋"/>
          <w:color w:val="auto"/>
          <w:kern w:val="0"/>
          <w:sz w:val="24"/>
          <w:highlight w:val="none"/>
        </w:rPr>
        <w:t>。</w:t>
      </w:r>
    </w:p>
    <w:p w14:paraId="20F6D071">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27B722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具有独立承担民事责任的能力。</w:t>
      </w:r>
    </w:p>
    <w:p w14:paraId="573D8F1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rPr>
        <w:t>2.具有良好的商业信誉。</w:t>
      </w:r>
    </w:p>
    <w:p w14:paraId="082F0C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3.具有履行合同所必需的设备和专业技术、售后保障等能力。</w:t>
      </w:r>
    </w:p>
    <w:p w14:paraId="182EEC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4.有依法缴纳税收和社会保障资金的良好记录。</w:t>
      </w:r>
    </w:p>
    <w:p w14:paraId="5C556F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5.参加采购活动前三年内，没有重大违法记录、严重失信行为和行贿记录。</w:t>
      </w:r>
    </w:p>
    <w:p w14:paraId="1D9B495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6.法律、行政法规规定的其他条件。</w:t>
      </w:r>
    </w:p>
    <w:p w14:paraId="5A4D1D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7.本次采购不接受联合体投标。</w:t>
      </w:r>
    </w:p>
    <w:p w14:paraId="000D62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8.本项目的特定资格要求：具有机电工程施工</w:t>
      </w:r>
      <w:bookmarkStart w:id="37" w:name="_GoBack"/>
      <w:bookmarkEnd w:id="37"/>
      <w:r>
        <w:rPr>
          <w:rFonts w:hint="eastAsia" w:ascii="仿宋" w:hAnsi="仿宋" w:eastAsia="仿宋" w:cs="仿宋"/>
          <w:color w:val="auto"/>
          <w:sz w:val="24"/>
          <w:highlight w:val="none"/>
          <w:lang w:val="en-US" w:eastAsia="zh-CN"/>
        </w:rPr>
        <w:t>总承包三级及以上资质，</w:t>
      </w:r>
      <w:r>
        <w:rPr>
          <w:rFonts w:hint="eastAsia" w:ascii="仿宋" w:hAnsi="仿宋" w:eastAsia="仿宋" w:cs="仿宋"/>
          <w:color w:val="auto"/>
          <w:sz w:val="24"/>
          <w:szCs w:val="24"/>
          <w:highlight w:val="none"/>
          <w:u w:val="none"/>
          <w:lang w:val="en-US" w:eastAsia="zh-CN"/>
        </w:rPr>
        <w:t>投标人所投产品（泵船）生产厂家具备船舶建造条件，需提供船舶检验局相关资料。</w:t>
      </w:r>
    </w:p>
    <w:p w14:paraId="1F929A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i w:val="0"/>
          <w:iCs w:val="0"/>
          <w:caps w:val="0"/>
          <w:color w:val="auto"/>
          <w:spacing w:val="0"/>
          <w:sz w:val="24"/>
          <w:szCs w:val="24"/>
          <w:highlight w:val="none"/>
          <w:shd w:val="clear" w:fill="FFFFFF"/>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BCF0AF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 xml:space="preserve">文件 </w:t>
      </w:r>
    </w:p>
    <w:p w14:paraId="27B2318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szCs w:val="24"/>
          <w:highlight w:val="none"/>
          <w:u w:val="single"/>
          <w:lang w:val="en-US" w:eastAsia="zh-CN"/>
        </w:rPr>
        <w:t>月26日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szCs w:val="24"/>
          <w:highlight w:val="none"/>
          <w:u w:val="single"/>
          <w:lang w:val="en-US" w:eastAsia="zh-CN"/>
        </w:rPr>
        <w:t>月17日</w:t>
      </w:r>
      <w:r>
        <w:rPr>
          <w:rFonts w:hint="eastAsia" w:ascii="仿宋" w:hAnsi="仿宋" w:eastAsia="仿宋" w:cs="仿宋"/>
          <w:color w:val="auto"/>
          <w:sz w:val="24"/>
          <w:highlight w:val="none"/>
        </w:rPr>
        <w:t>，每天上午00:00至12:00 ，下午12:00至23:59（北京时间，线上获取法定节假日均可）</w:t>
      </w:r>
      <w:r>
        <w:rPr>
          <w:rFonts w:hint="eastAsia" w:ascii="仿宋" w:hAnsi="仿宋" w:eastAsia="仿宋" w:cs="仿宋"/>
          <w:color w:val="auto"/>
          <w:sz w:val="24"/>
          <w:highlight w:val="none"/>
          <w:lang w:eastAsia="zh-CN"/>
        </w:rPr>
        <w:t>。</w:t>
      </w:r>
    </w:p>
    <w:p w14:paraId="33B5685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2FDBCD81">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55E58454">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2C1B636">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B2F15C5">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szCs w:val="24"/>
          <w:highlight w:val="none"/>
          <w:u w:val="single"/>
          <w:lang w:val="en-US" w:eastAsia="zh-CN"/>
        </w:rPr>
        <w:t>月17日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646D61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 xml:space="preserve">/） </w:t>
      </w:r>
    </w:p>
    <w:p w14:paraId="79E66977">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szCs w:val="24"/>
          <w:highlight w:val="none"/>
          <w:u w:val="single"/>
          <w:lang w:val="en-US" w:eastAsia="zh-CN"/>
        </w:rPr>
        <w:t>月17日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52FFCB38">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w:t>
      </w:r>
    </w:p>
    <w:p w14:paraId="6AAA5B92">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五、投标保证金</w:t>
      </w:r>
    </w:p>
    <w:p w14:paraId="04815FA0">
      <w:pPr>
        <w:pageBreakBefore w:val="0"/>
        <w:kinsoku/>
        <w:overflowPunct/>
        <w:topLinePunct w:val="0"/>
        <w:bidi w:val="0"/>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投标保证金额：</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8260.00元（大写：捌仟贰佰陆拾元）</w:t>
      </w:r>
      <w:r>
        <w:rPr>
          <w:rFonts w:hint="eastAsia" w:ascii="仿宋" w:hAnsi="仿宋" w:eastAsia="仿宋" w:cs="仿宋"/>
          <w:color w:val="auto"/>
          <w:sz w:val="24"/>
          <w:highlight w:val="none"/>
        </w:rPr>
        <w:t>。</w:t>
      </w:r>
    </w:p>
    <w:p w14:paraId="450476CA">
      <w:pPr>
        <w:pageBreakBefore w:val="0"/>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pacing w:val="0"/>
          <w:kern w:val="2"/>
          <w:sz w:val="24"/>
          <w:szCs w:val="24"/>
          <w:highlight w:val="none"/>
          <w:lang w:val="en-US" w:eastAsia="zh-CN" w:bidi="ar-SA"/>
        </w:rPr>
        <w:t>投标人应于</w:t>
      </w:r>
      <w:r>
        <w:rPr>
          <w:rFonts w:hint="eastAsia" w:ascii="仿宋" w:hAnsi="仿宋" w:eastAsia="仿宋" w:cs="仿宋"/>
          <w:color w:val="auto"/>
          <w:spacing w:val="0"/>
          <w:kern w:val="2"/>
          <w:sz w:val="24"/>
          <w:szCs w:val="24"/>
          <w:highlight w:val="none"/>
          <w:u w:val="single"/>
          <w:lang w:val="en-US" w:eastAsia="zh-CN" w:bidi="ar-SA"/>
        </w:rPr>
        <w:t>2025年2月14日</w:t>
      </w:r>
      <w:r>
        <w:rPr>
          <w:rFonts w:hint="eastAsia" w:ascii="仿宋" w:hAnsi="仿宋" w:eastAsia="仿宋" w:cs="仿宋"/>
          <w:color w:val="auto"/>
          <w:spacing w:val="0"/>
          <w:kern w:val="2"/>
          <w:sz w:val="24"/>
          <w:szCs w:val="24"/>
          <w:highlight w:val="none"/>
          <w:lang w:val="en-US" w:eastAsia="zh-CN" w:bidi="ar-SA"/>
        </w:rPr>
        <w:t>16时前将投标保证金以电汇、转账、网上银行汇入指定账户，投标保证金以到账时间为准。</w:t>
      </w:r>
      <w:r>
        <w:rPr>
          <w:rFonts w:hint="eastAsia" w:ascii="仿宋" w:hAnsi="仿宋" w:eastAsia="仿宋" w:cs="仿宋"/>
          <w:b/>
          <w:bCs/>
          <w:color w:val="auto"/>
          <w:spacing w:val="0"/>
          <w:kern w:val="2"/>
          <w:sz w:val="24"/>
          <w:szCs w:val="24"/>
          <w:highlight w:val="none"/>
          <w:lang w:val="en-US" w:eastAsia="zh-CN" w:bidi="ar-SA"/>
        </w:rPr>
        <w:t>如因投标人自身原因，造成投标单位保证金未及时到账的，一律视为不响应招标文件，投标无效。投标人的投标保证金必须从其基本账户转出。</w:t>
      </w:r>
    </w:p>
    <w:p w14:paraId="35F1D1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开户名称：浙江华元工程咨询有限公司嵊州分公司；</w:t>
      </w:r>
    </w:p>
    <w:p w14:paraId="31F7EB8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开户银行：工行嵊州城西支行；</w:t>
      </w:r>
    </w:p>
    <w:p w14:paraId="453F912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账号：1211026809200053379。</w:t>
      </w:r>
    </w:p>
    <w:p w14:paraId="06D0C6CD">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3091B26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55D7BF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66A79D4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文件使自己的权益受到损害的，可以自获取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文件之日或者</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文件公告期限届满之日（公告期限届满后获取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以公告期限届满之日为准）起7个工作日内，以书面形式向采购人和采购代理机构提出质疑。质疑供应商对采购人、采购代理机构的答复不满意或者采购人、采购代理机构未在规定的时间内作出答复的，可以在</w:t>
      </w:r>
      <w:r>
        <w:rPr>
          <w:rFonts w:hint="eastAsia" w:ascii="仿宋" w:hAnsi="仿宋" w:eastAsia="仿宋" w:cs="仿宋"/>
          <w:color w:val="auto"/>
          <w:sz w:val="24"/>
          <w:highlight w:val="none"/>
          <w:lang w:val="en-US" w:eastAsia="zh-CN"/>
        </w:rPr>
        <w:t>收到</w:t>
      </w:r>
      <w:r>
        <w:rPr>
          <w:rFonts w:hint="eastAsia" w:ascii="仿宋" w:hAnsi="仿宋" w:eastAsia="仿宋" w:cs="仿宋"/>
          <w:color w:val="auto"/>
          <w:sz w:val="24"/>
          <w:highlight w:val="none"/>
        </w:rPr>
        <w:t>答复</w:t>
      </w:r>
      <w:r>
        <w:rPr>
          <w:rFonts w:hint="eastAsia" w:ascii="仿宋" w:hAnsi="仿宋" w:eastAsia="仿宋" w:cs="仿宋"/>
          <w:color w:val="auto"/>
          <w:sz w:val="24"/>
          <w:highlight w:val="none"/>
          <w:lang w:val="en-US" w:eastAsia="zh-CN"/>
        </w:rPr>
        <w:t>之日或答复</w:t>
      </w:r>
      <w:r>
        <w:rPr>
          <w:rFonts w:hint="eastAsia" w:ascii="仿宋" w:hAnsi="仿宋" w:eastAsia="仿宋" w:cs="仿宋"/>
          <w:color w:val="auto"/>
          <w:sz w:val="24"/>
          <w:highlight w:val="none"/>
        </w:rPr>
        <w:t>期满后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个工作日内向</w:t>
      </w:r>
      <w:r>
        <w:rPr>
          <w:rFonts w:hint="eastAsia" w:ascii="仿宋" w:hAnsi="仿宋" w:eastAsia="仿宋" w:cs="仿宋"/>
          <w:color w:val="auto"/>
          <w:sz w:val="24"/>
          <w:highlight w:val="none"/>
          <w:lang w:val="en-US" w:eastAsia="zh-CN"/>
        </w:rPr>
        <w:t>依法向采购人主管部门</w:t>
      </w:r>
      <w:r>
        <w:rPr>
          <w:rFonts w:hint="eastAsia" w:ascii="仿宋" w:hAnsi="仿宋" w:eastAsia="仿宋" w:cs="仿宋"/>
          <w:color w:val="auto"/>
          <w:sz w:val="24"/>
          <w:highlight w:val="none"/>
        </w:rPr>
        <w:t>投诉。</w:t>
      </w:r>
    </w:p>
    <w:p w14:paraId="7D5A63E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w:t>
      </w:r>
      <w:r>
        <w:rPr>
          <w:rFonts w:hint="eastAsia" w:ascii="仿宋" w:hAnsi="仿宋" w:eastAsia="仿宋" w:cs="仿宋"/>
          <w:i w:val="0"/>
          <w:iCs w:val="0"/>
          <w:caps w:val="0"/>
          <w:color w:val="auto"/>
          <w:spacing w:val="0"/>
          <w:sz w:val="24"/>
          <w:szCs w:val="24"/>
          <w:highlight w:val="none"/>
        </w:rPr>
        <w:t>供应商首次使用乐采云平台需要注册账号（注册的账号为政采云账号）。</w:t>
      </w:r>
      <w:r>
        <w:rPr>
          <w:rFonts w:hint="eastAsia" w:ascii="仿宋" w:hAnsi="仿宋" w:eastAsia="仿宋" w:cs="仿宋"/>
          <w:color w:val="auto"/>
          <w:sz w:val="24"/>
          <w:highlight w:val="none"/>
        </w:rPr>
        <w:t>（1）电子招投标的说明：①电子招投标：本项目以数据电文形式，依托“</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lang w:eastAsia="zh-CN"/>
        </w:rPr>
        <w:t>采云</w:t>
      </w:r>
      <w:r>
        <w:rPr>
          <w:rFonts w:hint="eastAsia" w:ascii="仿宋" w:hAnsi="仿宋" w:eastAsia="仿宋" w:cs="仿宋"/>
          <w:color w:val="auto"/>
          <w:sz w:val="24"/>
          <w:highlight w:val="none"/>
        </w:rPr>
        <w:t>电</w:t>
      </w:r>
      <w:r>
        <w:rPr>
          <w:rFonts w:hint="eastAsia" w:ascii="仿宋" w:hAnsi="仿宋" w:eastAsia="仿宋" w:cs="仿宋"/>
          <w:b w:val="0"/>
          <w:bCs w:val="0"/>
          <w:color w:val="auto"/>
          <w:sz w:val="24"/>
          <w:highlight w:val="none"/>
        </w:rPr>
        <w:t>子交易客户端”----前往“浙江政府采购网-下载专区-电子交易客户端”进行下载并安装；③</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文件的获取：使用账号登录或者使用CA登录</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平台（www.</w:t>
      </w:r>
      <w:r>
        <w:rPr>
          <w:rFonts w:hint="eastAsia" w:ascii="仿宋" w:hAnsi="仿宋" w:eastAsia="仿宋" w:cs="仿宋"/>
          <w:b w:val="0"/>
          <w:bCs w:val="0"/>
          <w:color w:val="auto"/>
          <w:sz w:val="24"/>
          <w:highlight w:val="none"/>
          <w:lang w:eastAsia="zh-CN"/>
        </w:rPr>
        <w:t>lecaiyun.com</w:t>
      </w:r>
      <w:r>
        <w:rPr>
          <w:rFonts w:hint="eastAsia" w:ascii="仿宋" w:hAnsi="仿宋" w:eastAsia="仿宋" w:cs="仿宋"/>
          <w:b w:val="0"/>
          <w:bCs w:val="0"/>
          <w:color w:val="auto"/>
          <w:sz w:val="24"/>
          <w:highlight w:val="none"/>
        </w:rPr>
        <w:t>）；进入“项目采购”应用，在获取采购文件菜单中选择项目，获取</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文件；④投标文件的制作：在“</w:t>
      </w:r>
      <w:r>
        <w:rPr>
          <w:rFonts w:hint="eastAsia" w:ascii="仿宋" w:hAnsi="仿宋" w:eastAsia="仿宋" w:cs="仿宋"/>
          <w:b w:val="0"/>
          <w:bCs w:val="0"/>
          <w:color w:val="auto"/>
          <w:sz w:val="24"/>
          <w:highlight w:val="none"/>
          <w:lang w:eastAsia="zh-CN"/>
        </w:rPr>
        <w:t>政采云电子交易客户端</w:t>
      </w:r>
      <w:r>
        <w:rPr>
          <w:rFonts w:hint="eastAsia" w:ascii="仿宋" w:hAnsi="仿宋" w:eastAsia="仿宋" w:cs="仿宋"/>
          <w:b w:val="0"/>
          <w:bCs w:val="0"/>
          <w:color w:val="auto"/>
          <w:sz w:val="24"/>
          <w:highlight w:val="none"/>
        </w:rPr>
        <w:t>”中完成“填写基本信息”、“导入投标文件”、“标书关联”、“标书检查”、“电子签名”、“生成电子标书”等操作；⑤采购人、采购机构将依托</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平台完成本项目的电子交易活动，平台不接受未按上述方式获取</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文件的供应商进行投标活动； ⑥对未按上述方式获取</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文件的供应商对该文件提出的质疑，采购人或采购代理机构将不予处理；⑦不提供</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文件纸质版；⑧投标文件的传输递交：投标人在投标截止时间前将加密的投标文件上传至</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平台，还可以在投标截止时间前直接提交或者以</w:t>
      </w:r>
      <w:r>
        <w:rPr>
          <w:rFonts w:hint="eastAsia" w:ascii="仿宋" w:hAnsi="仿宋" w:eastAsia="仿宋" w:cs="仿宋"/>
          <w:b w:val="0"/>
          <w:bCs w:val="0"/>
          <w:color w:val="auto"/>
          <w:sz w:val="24"/>
          <w:highlight w:val="none"/>
          <w:lang w:val="en-US" w:eastAsia="zh-CN"/>
        </w:rPr>
        <w:t>顺丰快递（建议）</w:t>
      </w:r>
      <w:r>
        <w:rPr>
          <w:rFonts w:hint="eastAsia" w:ascii="仿宋" w:hAnsi="仿宋" w:eastAsia="仿宋" w:cs="仿宋"/>
          <w:b w:val="0"/>
          <w:bCs w:val="0"/>
          <w:color w:val="auto"/>
          <w:sz w:val="24"/>
          <w:highlight w:val="none"/>
        </w:rPr>
        <w:t>方式递交备份投标文件1份。⑨投标文件的解密：投标人按照平台提示和</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文件的规定在半小时内完成在线解密。通过</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平台（www.</w:t>
      </w:r>
      <w:r>
        <w:rPr>
          <w:rFonts w:hint="eastAsia" w:ascii="仿宋" w:hAnsi="仿宋" w:eastAsia="仿宋" w:cs="仿宋"/>
          <w:b w:val="0"/>
          <w:bCs w:val="0"/>
          <w:color w:val="auto"/>
          <w:sz w:val="24"/>
          <w:highlight w:val="none"/>
          <w:lang w:eastAsia="zh-CN"/>
        </w:rPr>
        <w:t>lecaiyun.com</w:t>
      </w:r>
      <w:r>
        <w:rPr>
          <w:rFonts w:hint="eastAsia" w:ascii="仿宋" w:hAnsi="仿宋" w:eastAsia="仿宋" w:cs="仿宋"/>
          <w:b w:val="0"/>
          <w:bCs w:val="0"/>
          <w:color w:val="auto"/>
          <w:sz w:val="24"/>
          <w:highlight w:val="none"/>
        </w:rPr>
        <w:t>）上传递交的投标文件无法按时解密，投标供应商递交了备份投标文件的，以备份投标文件为依据，否则视为投标文件撤回。通过“</w:t>
      </w:r>
      <w:r>
        <w:rPr>
          <w:rFonts w:hint="eastAsia" w:ascii="仿宋" w:hAnsi="仿宋" w:eastAsia="仿宋" w:cs="仿宋"/>
          <w:b w:val="0"/>
          <w:bCs w:val="0"/>
          <w:color w:val="auto"/>
          <w:sz w:val="24"/>
          <w:highlight w:val="none"/>
          <w:lang w:val="en-US" w:eastAsia="zh-CN"/>
        </w:rPr>
        <w:t>乐采</w:t>
      </w:r>
      <w:r>
        <w:rPr>
          <w:rFonts w:hint="eastAsia" w:ascii="仿宋" w:hAnsi="仿宋" w:eastAsia="仿宋" w:cs="仿宋"/>
          <w:b w:val="0"/>
          <w:bCs w:val="0"/>
          <w:color w:val="auto"/>
          <w:sz w:val="24"/>
          <w:highlight w:val="none"/>
        </w:rPr>
        <w:t>云平台”上传递交的投标文件已按时解密的，备份投标文件自动失效。投标人仅提交备份投标文件，没有在</w:t>
      </w:r>
      <w:r>
        <w:rPr>
          <w:rFonts w:hint="eastAsia" w:ascii="仿宋" w:hAnsi="仿宋" w:eastAsia="仿宋" w:cs="仿宋"/>
          <w:b w:val="0"/>
          <w:bCs w:val="0"/>
          <w:color w:val="auto"/>
          <w:sz w:val="24"/>
          <w:highlight w:val="none"/>
          <w:lang w:val="en-US" w:eastAsia="zh-CN"/>
        </w:rPr>
        <w:t>乐采云</w:t>
      </w:r>
      <w:r>
        <w:rPr>
          <w:rFonts w:hint="eastAsia" w:ascii="仿宋" w:hAnsi="仿宋" w:eastAsia="仿宋" w:cs="仿宋"/>
          <w:b w:val="0"/>
          <w:bCs w:val="0"/>
          <w:color w:val="auto"/>
          <w:sz w:val="24"/>
          <w:highlight w:val="none"/>
        </w:rPr>
        <w:t>电子交易平台传输递交投标文件的，投标无效；⑩具体操作指南：详见</w:t>
      </w:r>
      <w:r>
        <w:rPr>
          <w:rFonts w:hint="eastAsia" w:ascii="仿宋" w:hAnsi="仿宋" w:eastAsia="仿宋" w:cs="仿宋"/>
          <w:b w:val="0"/>
          <w:bCs w:val="0"/>
          <w:color w:val="auto"/>
          <w:sz w:val="24"/>
          <w:highlight w:val="none"/>
          <w:lang w:val="en-US" w:eastAsia="zh-CN"/>
        </w:rPr>
        <w:t>乐采</w:t>
      </w:r>
      <w:r>
        <w:rPr>
          <w:rFonts w:hint="eastAsia" w:ascii="仿宋" w:hAnsi="仿宋" w:eastAsia="仿宋" w:cs="仿宋"/>
          <w:b w:val="0"/>
          <w:bCs w:val="0"/>
          <w:color w:val="auto"/>
          <w:sz w:val="24"/>
          <w:highlight w:val="none"/>
          <w:lang w:eastAsia="zh-CN"/>
        </w:rPr>
        <w:t>云</w:t>
      </w:r>
      <w:r>
        <w:rPr>
          <w:rFonts w:hint="eastAsia" w:ascii="仿宋" w:hAnsi="仿宋" w:eastAsia="仿宋" w:cs="仿宋"/>
          <w:b w:val="0"/>
          <w:bCs w:val="0"/>
          <w:color w:val="auto"/>
          <w:sz w:val="24"/>
          <w:highlight w:val="none"/>
        </w:rPr>
        <w:t>平台“服务中心-帮助文档-项目采购-操作流程-电子招投标-政府采购项目电子交易管理操作指南-供应商”。</w:t>
      </w:r>
    </w:p>
    <w:p w14:paraId="09A8E82B">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8C662FF">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125DA83D">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招   标 人：嵊州市水联贸易有限公司 </w:t>
      </w:r>
    </w:p>
    <w:p w14:paraId="072AA41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招标人地址：嵊州市剡湖街道雅石路74号        </w:t>
      </w:r>
    </w:p>
    <w:p w14:paraId="3396F03D">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 系 人：张筠丽</w:t>
      </w:r>
    </w:p>
    <w:p w14:paraId="2CA19654">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联系电话：0575-83291577</w:t>
      </w:r>
    </w:p>
    <w:p w14:paraId="1832C4F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质疑联系人：</w:t>
      </w:r>
      <w:r>
        <w:rPr>
          <w:rFonts w:hint="eastAsia" w:ascii="仿宋" w:hAnsi="仿宋" w:eastAsia="仿宋" w:cs="仿宋"/>
          <w:color w:val="auto"/>
          <w:sz w:val="24"/>
          <w:szCs w:val="24"/>
          <w:highlight w:val="none"/>
          <w:lang w:val="en-US" w:eastAsia="zh-CN"/>
        </w:rPr>
        <w:t>孙含妮</w:t>
      </w:r>
    </w:p>
    <w:p w14:paraId="76769BD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lang w:val="en-US" w:eastAsia="zh-CN"/>
        </w:rPr>
        <w:t>0575-83010535</w:t>
      </w:r>
    </w:p>
    <w:p w14:paraId="30626972">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7CDEE4F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浙江华元工程咨询有限公司</w:t>
      </w:r>
    </w:p>
    <w:p w14:paraId="00D176E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嵊州市三江街道兴旺街288-20号七楼　 </w:t>
      </w:r>
    </w:p>
    <w:p w14:paraId="5E85C1E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项目联系人：谢</w:t>
      </w:r>
      <w:r>
        <w:rPr>
          <w:rFonts w:hint="eastAsia" w:ascii="仿宋" w:hAnsi="仿宋" w:eastAsia="仿宋" w:cs="仿宋"/>
          <w:color w:val="auto"/>
          <w:sz w:val="24"/>
          <w:highlight w:val="none"/>
          <w:lang w:val="en-US" w:eastAsia="zh-CN"/>
        </w:rPr>
        <w:t>工</w:t>
      </w:r>
      <w:r>
        <w:rPr>
          <w:rFonts w:hint="eastAsia" w:ascii="仿宋" w:hAnsi="仿宋" w:eastAsia="仿宋" w:cs="仿宋"/>
          <w:color w:val="auto"/>
          <w:sz w:val="24"/>
          <w:highlight w:val="none"/>
        </w:rPr>
        <w:t xml:space="preserve">        </w:t>
      </w:r>
    </w:p>
    <w:p w14:paraId="2D1EF8D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项目联系方式（询问）：17758156314（办公室）</w:t>
      </w:r>
    </w:p>
    <w:p w14:paraId="70081EE7">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质疑联系人：</w:t>
      </w:r>
      <w:r>
        <w:rPr>
          <w:rFonts w:hint="eastAsia" w:ascii="仿宋" w:hAnsi="仿宋" w:eastAsia="仿宋" w:cs="仿宋"/>
          <w:color w:val="auto"/>
          <w:sz w:val="24"/>
          <w:szCs w:val="24"/>
          <w:highlight w:val="none"/>
          <w:lang w:val="en-US" w:eastAsia="zh-CN"/>
        </w:rPr>
        <w:t>董工</w:t>
      </w:r>
    </w:p>
    <w:p w14:paraId="322ECBAB">
      <w:pPr>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lang w:val="en-US" w:eastAsia="zh-CN"/>
        </w:rPr>
        <w:t>17758156314（办公室）</w:t>
      </w:r>
    </w:p>
    <w:p w14:paraId="31E3AB3F">
      <w:pPr>
        <w:pageBreakBefore w:val="0"/>
        <w:kinsoku/>
        <w:overflowPunct/>
        <w:topLinePunct w:val="0"/>
        <w:bidi w:val="0"/>
        <w:spacing w:line="360" w:lineRule="auto"/>
        <w:ind w:firstLine="482" w:firstLineChars="200"/>
        <w:rPr>
          <w:rFonts w:hint="eastAsia" w:ascii="仿宋" w:hAnsi="仿宋" w:eastAsia="仿宋" w:cs="仿宋"/>
          <w:b/>
          <w:color w:val="auto"/>
          <w:sz w:val="24"/>
          <w:highlight w:val="none"/>
        </w:rPr>
      </w:pPr>
      <w:bookmarkStart w:id="1" w:name="_Toc35393639"/>
      <w:bookmarkStart w:id="2" w:name="_Toc28359098"/>
      <w:bookmarkStart w:id="3" w:name="_Toc35393808"/>
      <w:bookmarkStart w:id="4" w:name="_Toc28359021"/>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采购监督管理部门信息： </w:t>
      </w:r>
    </w:p>
    <w:bookmarkEnd w:id="1"/>
    <w:bookmarkEnd w:id="2"/>
    <w:bookmarkEnd w:id="3"/>
    <w:bookmarkEnd w:id="4"/>
    <w:p w14:paraId="2DF8AE44">
      <w:pPr>
        <w:pageBreakBefore w:val="0"/>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名称：嵊州市水务集团有限公司</w:t>
      </w:r>
    </w:p>
    <w:p w14:paraId="50E18411">
      <w:pPr>
        <w:pageBreakBefore w:val="0"/>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联系人：吴鑫波</w:t>
      </w:r>
    </w:p>
    <w:p w14:paraId="4F509EA7">
      <w:pPr>
        <w:pageBreakBefore w:val="0"/>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联系电话：0575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83299669</w:t>
      </w:r>
    </w:p>
    <w:p w14:paraId="3421383C">
      <w:pPr>
        <w:keepNext w:val="0"/>
        <w:keepLines w:val="0"/>
        <w:pageBreakBefore w:val="0"/>
        <w:widowControl w:val="0"/>
        <w:kinsoku/>
        <w:wordWrap/>
        <w:overflowPunct/>
        <w:topLinePunct w:val="0"/>
        <w:autoSpaceDE/>
        <w:autoSpaceDN/>
        <w:bidi w:val="0"/>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若对项目采购电子交易系统操作有疑问，可登录</w:t>
      </w:r>
      <w:r>
        <w:rPr>
          <w:rFonts w:hint="eastAsia" w:ascii="仿宋" w:hAnsi="仿宋" w:eastAsia="仿宋" w:cs="仿宋"/>
          <w:color w:val="auto"/>
          <w:sz w:val="22"/>
          <w:szCs w:val="22"/>
          <w:highlight w:val="none"/>
          <w:lang w:eastAsia="zh-CN"/>
        </w:rPr>
        <w:t>乐采云</w:t>
      </w:r>
      <w:r>
        <w:rPr>
          <w:rFonts w:hint="eastAsia" w:ascii="仿宋" w:hAnsi="仿宋" w:eastAsia="仿宋" w:cs="仿宋"/>
          <w:color w:val="auto"/>
          <w:sz w:val="22"/>
          <w:szCs w:val="22"/>
          <w:highlight w:val="none"/>
        </w:rPr>
        <w:t>（https://www.lecaiyun.com/），点击右侧咨询小采，获取采小蜜智能服务管家帮助，或拨打</w:t>
      </w:r>
      <w:r>
        <w:rPr>
          <w:rFonts w:hint="eastAsia" w:ascii="仿宋" w:hAnsi="仿宋" w:eastAsia="仿宋" w:cs="仿宋"/>
          <w:color w:val="auto"/>
          <w:sz w:val="22"/>
          <w:szCs w:val="22"/>
          <w:highlight w:val="none"/>
          <w:lang w:eastAsia="zh-CN"/>
        </w:rPr>
        <w:t>乐采云</w:t>
      </w:r>
      <w:r>
        <w:rPr>
          <w:rFonts w:hint="eastAsia" w:ascii="仿宋" w:hAnsi="仿宋" w:eastAsia="仿宋" w:cs="仿宋"/>
          <w:color w:val="auto"/>
          <w:sz w:val="22"/>
          <w:szCs w:val="22"/>
          <w:highlight w:val="none"/>
        </w:rPr>
        <w:t>服务热线</w:t>
      </w:r>
      <w:r>
        <w:rPr>
          <w:rFonts w:hint="eastAsia" w:ascii="仿宋" w:hAnsi="仿宋" w:eastAsia="仿宋" w:cs="仿宋"/>
          <w:color w:val="auto"/>
          <w:sz w:val="22"/>
          <w:szCs w:val="22"/>
          <w:highlight w:val="none"/>
          <w:lang w:val="en-US" w:eastAsia="zh-CN"/>
        </w:rPr>
        <w:t>95763</w:t>
      </w:r>
      <w:r>
        <w:rPr>
          <w:rFonts w:hint="eastAsia" w:ascii="仿宋" w:hAnsi="仿宋" w:eastAsia="仿宋" w:cs="仿宋"/>
          <w:color w:val="auto"/>
          <w:sz w:val="22"/>
          <w:szCs w:val="22"/>
          <w:highlight w:val="none"/>
        </w:rPr>
        <w:t>获取热线服务帮助。</w:t>
      </w:r>
    </w:p>
    <w:p w14:paraId="1D241FD5">
      <w:pPr>
        <w:keepNext w:val="0"/>
        <w:keepLines w:val="0"/>
        <w:pageBreakBefore w:val="0"/>
        <w:widowControl w:val="0"/>
        <w:kinsoku/>
        <w:wordWrap/>
        <w:overflowPunct/>
        <w:topLinePunct w:val="0"/>
        <w:autoSpaceDE/>
        <w:autoSpaceDN/>
        <w:bidi w:val="0"/>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CA问题联系电话（人工）：汇信CA 400-888-4636；天谷CA 400-087-8198。</w:t>
      </w:r>
    </w:p>
    <w:p w14:paraId="34429D04">
      <w:pPr>
        <w:pStyle w:val="2"/>
        <w:pageBreakBefore w:val="0"/>
        <w:kinsoku/>
        <w:overflowPunct/>
        <w:topLinePunct w:val="0"/>
        <w:bidi w:val="0"/>
        <w:spacing w:line="360" w:lineRule="auto"/>
        <w:jc w:val="both"/>
        <w:outlineLvl w:val="9"/>
        <w:rPr>
          <w:rFonts w:hint="eastAsia" w:ascii="仿宋" w:hAnsi="仿宋" w:eastAsia="仿宋" w:cs="仿宋"/>
          <w:b w:val="0"/>
          <w:bCs w:val="0"/>
          <w:color w:val="auto"/>
          <w:sz w:val="28"/>
          <w:szCs w:val="28"/>
          <w:highlight w:val="none"/>
          <w:lang w:val="en-US" w:eastAsia="zh-CN"/>
        </w:rPr>
      </w:pPr>
    </w:p>
    <w:p w14:paraId="53BA3FDA">
      <w:pPr>
        <w:pageBreakBefore w:val="0"/>
        <w:kinsoku/>
        <w:overflowPunct/>
        <w:topLinePunct w:val="0"/>
        <w:bidi w:val="0"/>
        <w:spacing w:line="360" w:lineRule="auto"/>
        <w:rPr>
          <w:rFonts w:hint="eastAsia" w:ascii="仿宋" w:hAnsi="仿宋" w:eastAsia="仿宋" w:cs="仿宋"/>
          <w:color w:val="auto"/>
          <w:highlight w:val="none"/>
        </w:rPr>
      </w:pPr>
    </w:p>
    <w:p w14:paraId="2D864EB7">
      <w:pPr>
        <w:pageBreakBefore w:val="0"/>
        <w:kinsoku/>
        <w:overflowPunct/>
        <w:topLinePunct w:val="0"/>
        <w:bidi w:val="0"/>
        <w:spacing w:line="360" w:lineRule="auto"/>
        <w:rPr>
          <w:rFonts w:hint="eastAsia" w:ascii="仿宋" w:hAnsi="仿宋" w:eastAsia="仿宋" w:cs="仿宋"/>
          <w:b/>
          <w:color w:val="auto"/>
          <w:sz w:val="32"/>
          <w:szCs w:val="32"/>
          <w:highlight w:val="none"/>
        </w:rPr>
      </w:pPr>
      <w:bookmarkStart w:id="5" w:name="_Toc15391"/>
      <w:bookmarkStart w:id="6" w:name="_Toc32071"/>
      <w:r>
        <w:rPr>
          <w:rFonts w:hint="eastAsia" w:ascii="仿宋" w:hAnsi="仿宋" w:eastAsia="仿宋" w:cs="仿宋"/>
          <w:b/>
          <w:color w:val="auto"/>
          <w:sz w:val="32"/>
          <w:szCs w:val="32"/>
          <w:highlight w:val="none"/>
        </w:rPr>
        <w:br w:type="page"/>
      </w:r>
    </w:p>
    <w:p w14:paraId="00186DF8">
      <w:pPr>
        <w:pageBreakBefore w:val="0"/>
        <w:kinsoku/>
        <w:overflowPunct/>
        <w:topLinePunct w:val="0"/>
        <w:bidi w:val="0"/>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投标人须知</w:t>
      </w:r>
      <w:bookmarkEnd w:id="5"/>
      <w:bookmarkEnd w:id="6"/>
    </w:p>
    <w:p w14:paraId="6A6167F0">
      <w:pPr>
        <w:pageBreakBefore w:val="0"/>
        <w:kinsoku/>
        <w:overflowPunct/>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val="en-US" w:eastAsia="zh-CN"/>
        </w:rPr>
        <w:t>一、</w:t>
      </w:r>
      <w:r>
        <w:rPr>
          <w:rFonts w:hint="eastAsia" w:ascii="仿宋" w:hAnsi="仿宋" w:eastAsia="仿宋" w:cs="仿宋"/>
          <w:b/>
          <w:color w:val="auto"/>
          <w:sz w:val="32"/>
          <w:szCs w:val="20"/>
          <w:highlight w:val="none"/>
        </w:rPr>
        <w:t>前附表</w:t>
      </w:r>
    </w:p>
    <w:tbl>
      <w:tblPr>
        <w:tblStyle w:val="2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19"/>
      </w:tblGrid>
      <w:tr w14:paraId="7A94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61" w:type="dxa"/>
            <w:noWrap w:val="0"/>
            <w:vAlign w:val="center"/>
          </w:tcPr>
          <w:p w14:paraId="151BD29A">
            <w:pPr>
              <w:pageBreakBefore w:val="0"/>
              <w:kinsoku/>
              <w:wordWrap/>
              <w:overflowPunct/>
              <w:topLinePunct w:val="0"/>
              <w:bidi w:val="0"/>
              <w:adjustRightInd/>
              <w:spacing w:before="156" w:beforeLines="50" w:after="93" w:afterLines="3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19" w:type="dxa"/>
            <w:noWrap w:val="0"/>
            <w:vAlign w:val="center"/>
          </w:tcPr>
          <w:p w14:paraId="588B6B7B">
            <w:pPr>
              <w:pageBreakBefore w:val="0"/>
              <w:kinsoku/>
              <w:wordWrap/>
              <w:overflowPunct/>
              <w:topLinePunct w:val="0"/>
              <w:bidi w:val="0"/>
              <w:adjustRightInd/>
              <w:spacing w:before="156" w:beforeLines="50" w:after="93" w:afterLines="3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60A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61" w:type="dxa"/>
            <w:noWrap w:val="0"/>
            <w:vAlign w:val="center"/>
          </w:tcPr>
          <w:p w14:paraId="7B5CC875">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19" w:type="dxa"/>
            <w:noWrap w:val="0"/>
            <w:vAlign w:val="center"/>
          </w:tcPr>
          <w:p w14:paraId="60D1E361">
            <w:pPr>
              <w:pageBreakBefore w:val="0"/>
              <w:kinsoku/>
              <w:wordWrap/>
              <w:overflowPunct/>
              <w:topLinePunct w:val="0"/>
              <w:bidi w:val="0"/>
              <w:adjustRightInd/>
              <w:spacing w:line="360" w:lineRule="auto"/>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项目名称</w:t>
            </w:r>
            <w:r>
              <w:rPr>
                <w:rFonts w:hint="eastAsia" w:ascii="仿宋" w:hAnsi="仿宋" w:eastAsia="仿宋" w:cs="仿宋"/>
                <w:bCs/>
                <w:color w:val="auto"/>
                <w:sz w:val="24"/>
                <w:szCs w:val="24"/>
                <w:highlight w:val="none"/>
              </w:rPr>
              <w:t>：</w:t>
            </w:r>
            <w:r>
              <w:rPr>
                <w:rFonts w:hint="eastAsia" w:ascii="仿宋" w:hAnsi="仿宋" w:eastAsia="仿宋" w:cs="仿宋"/>
                <w:b w:val="0"/>
                <w:color w:val="auto"/>
                <w:sz w:val="24"/>
                <w:szCs w:val="24"/>
                <w:highlight w:val="none"/>
                <w:lang w:eastAsia="zh-CN"/>
              </w:rPr>
              <w:t>嵊州市和美乡村贵门规模化水厂及配套管网工程——新建配套管网工程玠溪段取水泵船采购项目</w:t>
            </w:r>
          </w:p>
          <w:p w14:paraId="1ABCA213">
            <w:pPr>
              <w:pageBreakBefore w:val="0"/>
              <w:kinsoku/>
              <w:wordWrap/>
              <w:overflowPunct/>
              <w:topLinePunct w:val="0"/>
              <w:bidi w:val="0"/>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项目的实施范围及内容：详见第三部分</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项目内容及要求</w:t>
            </w:r>
          </w:p>
        </w:tc>
      </w:tr>
      <w:tr w14:paraId="460C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1" w:type="dxa"/>
            <w:noWrap w:val="0"/>
            <w:vAlign w:val="center"/>
          </w:tcPr>
          <w:p w14:paraId="419C4130">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19" w:type="dxa"/>
            <w:noWrap w:val="0"/>
            <w:vAlign w:val="center"/>
          </w:tcPr>
          <w:p w14:paraId="0C4B59CB">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有效期：</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截止日起90天。</w:t>
            </w:r>
          </w:p>
        </w:tc>
      </w:tr>
      <w:tr w14:paraId="400A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1" w:type="dxa"/>
            <w:noWrap w:val="0"/>
            <w:vAlign w:val="center"/>
          </w:tcPr>
          <w:p w14:paraId="58115863">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19" w:type="dxa"/>
            <w:noWrap w:val="0"/>
            <w:vAlign w:val="center"/>
          </w:tcPr>
          <w:p w14:paraId="6ECF05FA">
            <w:pPr>
              <w:pageBreakBefore w:val="0"/>
              <w:kinsoku/>
              <w:overflowPunct/>
              <w:topLinePunct w:val="0"/>
              <w:bidi w:val="0"/>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投标保证金额：</w:t>
            </w:r>
            <w:r>
              <w:rPr>
                <w:rFonts w:hint="eastAsia" w:ascii="仿宋" w:hAnsi="仿宋" w:eastAsia="仿宋" w:cs="仿宋"/>
                <w:color w:val="auto"/>
                <w:sz w:val="24"/>
                <w:highlight w:val="none"/>
                <w:lang w:val="en-US" w:eastAsia="zh-CN"/>
              </w:rPr>
              <w:t>8260.00元（大写：捌仟贰佰陆拾元）；</w:t>
            </w:r>
          </w:p>
          <w:p w14:paraId="26D5E676">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于2025年2月14日16：00时前将投标保证金以电汇、转账、网上银行汇入指定账户，投标保证金以到账时间为准。如因投标人自身原因，造成投标单位保证金未及时到账的，一律视为不响应招标文件，投标无效。投标人的投标保证金必须从其基本账户转出。</w:t>
            </w:r>
          </w:p>
          <w:p w14:paraId="50B77FCC">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开户名称：浙江华元工程咨询有限公司嵊州分公司；</w:t>
            </w:r>
          </w:p>
          <w:p w14:paraId="27504774">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开户银行：工行嵊州城西支行；</w:t>
            </w:r>
          </w:p>
          <w:p w14:paraId="6310C39E">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账号：1211026809200053379。</w:t>
            </w:r>
          </w:p>
          <w:p w14:paraId="0EC162E1">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投标保证金的退还：未中标的投标人的投标保证金将在中标通知书发出之日起3个工作日内退还，中标供应商的投标保证金在中标供应商与招标人签订采购合同后5个工作日内退还。</w:t>
            </w:r>
          </w:p>
        </w:tc>
      </w:tr>
      <w:tr w14:paraId="656A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61" w:type="dxa"/>
            <w:noWrap w:val="0"/>
            <w:vAlign w:val="center"/>
          </w:tcPr>
          <w:p w14:paraId="3BBB983B">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19" w:type="dxa"/>
            <w:noWrap w:val="0"/>
            <w:vAlign w:val="center"/>
          </w:tcPr>
          <w:p w14:paraId="3AC614AD">
            <w:pPr>
              <w:pageBreakBefore w:val="0"/>
              <w:kinsoku/>
              <w:wordWrap/>
              <w:overflowPunct/>
              <w:topLinePunct w:val="0"/>
              <w:bidi w:val="0"/>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放弃投标函：报名后不参加投标的供应商，须在投标截止时间前三个工作日向采购代理机构提供书面说明并加盖公章。</w:t>
            </w:r>
          </w:p>
        </w:tc>
      </w:tr>
      <w:tr w14:paraId="04D5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1" w:type="dxa"/>
            <w:noWrap w:val="0"/>
            <w:vAlign w:val="center"/>
          </w:tcPr>
          <w:p w14:paraId="143292BA">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519" w:type="dxa"/>
            <w:noWrap w:val="0"/>
            <w:vAlign w:val="center"/>
          </w:tcPr>
          <w:p w14:paraId="79C2CB0F">
            <w:pPr>
              <w:pageBreakBefore w:val="0"/>
              <w:kinsoku/>
              <w:wordWrap/>
              <w:overflowPunct/>
              <w:topLinePunct w:val="0"/>
              <w:bidi w:val="0"/>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投标文件组成：</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“资信技术文件”、“报价文件”</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w:t>
            </w:r>
            <w:r>
              <w:rPr>
                <w:rFonts w:hint="eastAsia" w:ascii="仿宋" w:hAnsi="仿宋" w:eastAsia="仿宋" w:cs="仿宋"/>
                <w:color w:val="auto"/>
                <w:sz w:val="24"/>
                <w:highlight w:val="none"/>
                <w:lang w:eastAsia="zh-CN"/>
              </w:rPr>
              <w:t>。</w:t>
            </w:r>
          </w:p>
        </w:tc>
      </w:tr>
      <w:tr w14:paraId="4C35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61" w:type="dxa"/>
            <w:noWrap w:val="0"/>
            <w:vAlign w:val="center"/>
          </w:tcPr>
          <w:p w14:paraId="41703F38">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519" w:type="dxa"/>
            <w:noWrap w:val="0"/>
            <w:vAlign w:val="center"/>
          </w:tcPr>
          <w:p w14:paraId="4E663616">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备份投标文件送达地点：嵊州市三江街道兴旺街288-20号7楼；备份投标文件签收人员谢</w:t>
            </w:r>
            <w:r>
              <w:rPr>
                <w:rFonts w:hint="eastAsia" w:ascii="仿宋" w:hAnsi="仿宋" w:eastAsia="仿宋" w:cs="仿宋"/>
                <w:color w:val="auto"/>
                <w:kern w:val="28"/>
                <w:sz w:val="24"/>
                <w:szCs w:val="24"/>
                <w:highlight w:val="none"/>
                <w:lang w:eastAsia="zh-CN"/>
              </w:rPr>
              <w:t>工</w:t>
            </w:r>
            <w:r>
              <w:rPr>
                <w:rFonts w:hint="eastAsia" w:ascii="仿宋" w:hAnsi="仿宋" w:eastAsia="仿宋" w:cs="仿宋"/>
                <w:color w:val="auto"/>
                <w:kern w:val="28"/>
                <w:sz w:val="24"/>
                <w:szCs w:val="24"/>
                <w:highlight w:val="none"/>
              </w:rPr>
              <w:t>，联系电话：13454570777。</w:t>
            </w:r>
          </w:p>
          <w:p w14:paraId="487BB825">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0ECD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1" w:type="dxa"/>
            <w:noWrap w:val="0"/>
            <w:vAlign w:val="center"/>
          </w:tcPr>
          <w:p w14:paraId="6ED1C304">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519" w:type="dxa"/>
            <w:noWrap w:val="0"/>
            <w:vAlign w:val="center"/>
          </w:tcPr>
          <w:p w14:paraId="09B1411D">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开标</w:t>
            </w:r>
            <w:r>
              <w:rPr>
                <w:rFonts w:hint="eastAsia" w:ascii="仿宋" w:hAnsi="仿宋" w:eastAsia="仿宋" w:cs="仿宋"/>
                <w:b/>
                <w:color w:val="auto"/>
                <w:sz w:val="24"/>
                <w:szCs w:val="24"/>
                <w:highlight w:val="none"/>
              </w:rPr>
              <w:t>截止时间：</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0时整。</w:t>
            </w:r>
          </w:p>
        </w:tc>
      </w:tr>
      <w:tr w14:paraId="745A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61" w:type="dxa"/>
            <w:noWrap w:val="0"/>
            <w:vAlign w:val="center"/>
          </w:tcPr>
          <w:p w14:paraId="4381A4AA">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8519" w:type="dxa"/>
            <w:noWrap w:val="0"/>
            <w:vAlign w:val="center"/>
          </w:tcPr>
          <w:p w14:paraId="7B66322F">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联系方式：</w:t>
            </w:r>
            <w:r>
              <w:rPr>
                <w:rFonts w:hint="eastAsia" w:ascii="仿宋" w:hAnsi="仿宋" w:eastAsia="仿宋" w:cs="仿宋"/>
                <w:color w:val="auto"/>
                <w:sz w:val="24"/>
                <w:szCs w:val="24"/>
                <w:highlight w:val="none"/>
                <w:lang w:eastAsia="zh-CN"/>
              </w:rPr>
              <w:t>嵊州市水联贸易有限公司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张筠丽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 xml:space="preserve">0575-83291577 </w:t>
            </w:r>
          </w:p>
          <w:p w14:paraId="766E1F53">
            <w:pPr>
              <w:pageBreakBefore w:val="0"/>
              <w:kinsoku/>
              <w:wordWrap/>
              <w:overflowPunct/>
              <w:topLinePunct w:val="0"/>
              <w:autoSpaceDE w:val="0"/>
              <w:autoSpaceDN w:val="0"/>
              <w:bidi w:val="0"/>
              <w:adjustRightInd/>
              <w:spacing w:line="360" w:lineRule="auto"/>
              <w:ind w:firstLine="1200" w:firstLineChars="5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浙江华元工程咨询有限公司</w:t>
            </w:r>
            <w:r>
              <w:rPr>
                <w:rFonts w:hint="eastAsia" w:ascii="仿宋" w:hAnsi="仿宋" w:eastAsia="仿宋" w:cs="仿宋"/>
                <w:color w:val="auto"/>
                <w:sz w:val="24"/>
                <w:szCs w:val="24"/>
                <w:highlight w:val="none"/>
              </w:rPr>
              <w:t xml:space="preserve">    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工：</w:t>
            </w:r>
            <w:r>
              <w:rPr>
                <w:rFonts w:hint="eastAsia" w:ascii="仿宋" w:hAnsi="仿宋" w:eastAsia="仿宋" w:cs="仿宋"/>
                <w:color w:val="auto"/>
                <w:kern w:val="1"/>
                <w:sz w:val="24"/>
                <w:szCs w:val="24"/>
                <w:highlight w:val="none"/>
              </w:rPr>
              <w:t>13454570777</w:t>
            </w:r>
            <w:r>
              <w:rPr>
                <w:rFonts w:hint="eastAsia" w:ascii="仿宋" w:hAnsi="仿宋" w:eastAsia="仿宋" w:cs="仿宋"/>
                <w:color w:val="auto"/>
                <w:sz w:val="24"/>
                <w:szCs w:val="24"/>
                <w:highlight w:val="none"/>
              </w:rPr>
              <w:t xml:space="preserve"> </w:t>
            </w:r>
          </w:p>
        </w:tc>
      </w:tr>
      <w:tr w14:paraId="4557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1" w:type="dxa"/>
            <w:noWrap w:val="0"/>
            <w:vAlign w:val="center"/>
          </w:tcPr>
          <w:p w14:paraId="3BEF71E4">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8519" w:type="dxa"/>
            <w:noWrap w:val="0"/>
            <w:vAlign w:val="center"/>
          </w:tcPr>
          <w:p w14:paraId="0CC831F5">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现场踏勘：本项目不组织统一现场踏勘，投标人自行联系采购人进行现场踏勘。</w:t>
            </w:r>
          </w:p>
        </w:tc>
      </w:tr>
      <w:tr w14:paraId="16C1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noWrap w:val="0"/>
            <w:vAlign w:val="center"/>
          </w:tcPr>
          <w:p w14:paraId="19B60C7B">
            <w:pPr>
              <w:pageBreakBefore w:val="0"/>
              <w:tabs>
                <w:tab w:val="left" w:pos="573"/>
              </w:tabs>
              <w:kinsoku/>
              <w:wordWrap/>
              <w:overflowPunct/>
              <w:topLinePunct w:val="0"/>
              <w:autoSpaceDE w:val="0"/>
              <w:autoSpaceDN w:val="0"/>
              <w:bidi w:val="0"/>
              <w:adjustRightInd/>
              <w:spacing w:line="360" w:lineRule="auto"/>
              <w:jc w:val="center"/>
              <w:textAlignment w:val="bottom"/>
              <w:rPr>
                <w:rFonts w:hint="eastAsia" w:ascii="仿宋" w:hAnsi="仿宋" w:eastAsia="仿宋" w:cs="仿宋"/>
                <w:b/>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0</w:t>
            </w:r>
          </w:p>
        </w:tc>
        <w:tc>
          <w:tcPr>
            <w:tcW w:w="8519" w:type="dxa"/>
            <w:noWrap w:val="0"/>
            <w:vAlign w:val="center"/>
          </w:tcPr>
          <w:p w14:paraId="39126C55">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支付方式：</w:t>
            </w:r>
            <w:r>
              <w:rPr>
                <w:rFonts w:hint="eastAsia" w:ascii="仿宋" w:hAnsi="仿宋" w:eastAsia="仿宋" w:cs="仿宋"/>
                <w:snapToGrid w:val="0"/>
                <w:color w:val="auto"/>
                <w:kern w:val="28"/>
                <w:sz w:val="24"/>
                <w:highlight w:val="none"/>
                <w:lang w:eastAsia="zh-CN"/>
              </w:rPr>
              <w:t>货到现场安装经签收合格后，一个月内付至到货设备款的60%，调试运行合格后一个月内付至到货设备款的95%，余款5%待质保期满后无质量问题一个月内无息付清。</w:t>
            </w:r>
          </w:p>
        </w:tc>
      </w:tr>
      <w:tr w14:paraId="37F6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61" w:type="dxa"/>
            <w:noWrap w:val="0"/>
            <w:vAlign w:val="center"/>
          </w:tcPr>
          <w:p w14:paraId="486A8B3D">
            <w:pPr>
              <w:pageBreakBefore w:val="0"/>
              <w:tabs>
                <w:tab w:val="left" w:pos="573"/>
              </w:tabs>
              <w:kinsoku/>
              <w:wordWrap/>
              <w:overflowPunct/>
              <w:topLinePunct w:val="0"/>
              <w:autoSpaceDE w:val="0"/>
              <w:autoSpaceDN w:val="0"/>
              <w:bidi w:val="0"/>
              <w:adjustRightInd/>
              <w:spacing w:line="360" w:lineRule="auto"/>
              <w:jc w:val="center"/>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1</w:t>
            </w:r>
          </w:p>
        </w:tc>
        <w:tc>
          <w:tcPr>
            <w:tcW w:w="8519" w:type="dxa"/>
            <w:noWrap w:val="0"/>
            <w:vAlign w:val="center"/>
          </w:tcPr>
          <w:p w14:paraId="391FBD8D">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履约保证金支付方式：电汇/汇票/本票等转账方式或银行保函方式。</w:t>
            </w:r>
          </w:p>
          <w:p w14:paraId="4BEE2BC6">
            <w:pPr>
              <w:pStyle w:val="15"/>
              <w:keepNext w:val="0"/>
              <w:keepLines w:val="0"/>
              <w:pageBreakBefore w:val="0"/>
              <w:widowControl w:val="0"/>
              <w:tabs>
                <w:tab w:val="left" w:pos="180"/>
              </w:tabs>
              <w:kinsoku/>
              <w:wordWrap/>
              <w:overflowPunct/>
              <w:topLinePunct w:val="0"/>
              <w:bidi w:val="0"/>
              <w:adjustRightInd w:val="0"/>
              <w:snapToGrid w:val="0"/>
              <w:spacing w:before="0" w:beforeLines="0" w:after="0" w:afterLines="0"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val="0"/>
                <w:bCs w:val="0"/>
                <w:color w:val="auto"/>
                <w:sz w:val="24"/>
                <w:szCs w:val="24"/>
                <w:highlight w:val="none"/>
              </w:rPr>
              <w:t>履约保证金：</w:t>
            </w:r>
            <w:r>
              <w:rPr>
                <w:rFonts w:hint="eastAsia" w:ascii="仿宋" w:hAnsi="仿宋" w:eastAsia="仿宋" w:cs="仿宋"/>
                <w:color w:val="auto"/>
                <w:kern w:val="2"/>
                <w:sz w:val="24"/>
                <w:szCs w:val="24"/>
                <w:highlight w:val="none"/>
                <w:lang w:val="en-US" w:eastAsia="zh-CN" w:bidi="ar-SA"/>
              </w:rPr>
              <w:t>履约保证金按合同金额的1%计取。中标单位在中标通知书发出后5个工作日内向采购人递交履约保证金，履约保证金待项目完工验收合格后30日内无息退回。</w:t>
            </w:r>
          </w:p>
        </w:tc>
      </w:tr>
      <w:tr w14:paraId="42DF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61" w:type="dxa"/>
            <w:noWrap w:val="0"/>
            <w:vAlign w:val="center"/>
          </w:tcPr>
          <w:p w14:paraId="5A6ADB04">
            <w:pPr>
              <w:pageBreakBefore w:val="0"/>
              <w:kinsoku/>
              <w:overflowPunct/>
              <w:topLinePunct w:val="0"/>
              <w:autoSpaceDE w:val="0"/>
              <w:autoSpaceDN w:val="0"/>
              <w:bidi w:val="0"/>
              <w:spacing w:line="360" w:lineRule="auto"/>
              <w:jc w:val="cente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19" w:type="dxa"/>
            <w:noWrap w:val="0"/>
            <w:vAlign w:val="center"/>
          </w:tcPr>
          <w:p w14:paraId="4366BA0E">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b/>
                <w:bCs/>
                <w:color w:val="auto"/>
                <w:sz w:val="24"/>
                <w:szCs w:val="24"/>
                <w:highlight w:val="none"/>
                <w:lang w:val="en-US" w:eastAsia="zh-CN"/>
              </w:rPr>
              <w:t xml:space="preserve">项目属性与核心产品 </w:t>
            </w:r>
            <w:r>
              <w:rPr>
                <w:rFonts w:hint="eastAsia" w:ascii="仿宋" w:hAnsi="仿宋" w:eastAsia="仿宋" w:cs="仿宋"/>
                <w:b/>
                <w:color w:val="auto"/>
                <w:spacing w:val="-20"/>
                <w:sz w:val="24"/>
                <w:highlight w:val="none"/>
                <w:lang w:val="en-US" w:eastAsia="zh-CN"/>
              </w:rPr>
              <w:t xml:space="preserve"> </w:t>
            </w:r>
            <w:r>
              <w:rPr>
                <w:rFonts w:hint="eastAsia" w:ascii="仿宋" w:hAnsi="仿宋" w:eastAsia="仿宋" w:cs="仿宋"/>
                <w:snapToGrid w:val="0"/>
                <w:color w:val="auto"/>
                <w:kern w:val="28"/>
                <w:sz w:val="24"/>
                <w:highlight w:val="none"/>
                <w:lang w:eastAsia="zh-CN"/>
              </w:rPr>
              <w:t>☑A货物类，单一产品或核心产品为：</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snapToGrid w:val="0"/>
                <w:color w:val="auto"/>
                <w:kern w:val="28"/>
                <w:sz w:val="24"/>
                <w:highlight w:val="none"/>
                <w:lang w:eastAsia="zh-CN"/>
              </w:rPr>
              <w:t>。</w:t>
            </w:r>
          </w:p>
          <w:p w14:paraId="23D5540B">
            <w:pPr>
              <w:keepNext w:val="0"/>
              <w:keepLines w:val="0"/>
              <w:pageBreakBefore w:val="0"/>
              <w:widowControl w:val="0"/>
              <w:kinsoku/>
              <w:wordWrap/>
              <w:overflowPunct/>
              <w:topLinePunct w:val="0"/>
              <w:bidi w:val="0"/>
              <w:adjustRightInd w:val="0"/>
              <w:spacing w:line="360" w:lineRule="auto"/>
              <w:ind w:left="0" w:leftChars="0" w:right="0" w:rightChars="0" w:firstLine="2400" w:firstLineChars="1000"/>
              <w:rPr>
                <w:rFonts w:hint="eastAsia" w:ascii="仿宋" w:hAnsi="仿宋" w:eastAsia="仿宋" w:cs="仿宋"/>
                <w:b w:val="0"/>
                <w:bCs w:val="0"/>
                <w:color w:val="auto"/>
                <w:sz w:val="24"/>
                <w:szCs w:val="24"/>
                <w:highlight w:val="none"/>
              </w:rPr>
            </w:pPr>
            <w:r>
              <w:rPr>
                <w:rFonts w:hint="eastAsia" w:ascii="仿宋" w:hAnsi="仿宋" w:eastAsia="仿宋" w:cs="仿宋"/>
                <w:snapToGrid w:val="0"/>
                <w:color w:val="auto"/>
                <w:kern w:val="28"/>
                <w:sz w:val="24"/>
                <w:highlight w:val="none"/>
                <w:lang w:eastAsia="zh-CN"/>
              </w:rPr>
              <w:t>☐B服务类。</w:t>
            </w:r>
          </w:p>
        </w:tc>
      </w:tr>
      <w:tr w14:paraId="7978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noWrap w:val="0"/>
            <w:vAlign w:val="center"/>
          </w:tcPr>
          <w:p w14:paraId="7E42F2D9">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8519" w:type="dxa"/>
            <w:noWrap w:val="0"/>
            <w:vAlign w:val="center"/>
          </w:tcPr>
          <w:p w14:paraId="43C4BD53">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①中标人须向招标代理机构按如下标准和规定</w:t>
            </w:r>
            <w:r>
              <w:rPr>
                <w:rFonts w:hint="eastAsia" w:ascii="仿宋" w:hAnsi="仿宋" w:eastAsia="仿宋" w:cs="仿宋"/>
                <w:color w:val="auto"/>
                <w:sz w:val="24"/>
                <w:szCs w:val="24"/>
                <w:highlight w:val="none"/>
                <w:lang w:val="en-US" w:eastAsia="zh-CN"/>
              </w:rPr>
              <w:t>下浮40%</w:t>
            </w:r>
            <w:r>
              <w:rPr>
                <w:rFonts w:hint="eastAsia" w:ascii="仿宋" w:hAnsi="仿宋" w:eastAsia="仿宋" w:cs="仿宋"/>
                <w:color w:val="auto"/>
                <w:sz w:val="24"/>
                <w:szCs w:val="24"/>
                <w:highlight w:val="none"/>
              </w:rPr>
              <w:t>交纳中标服务费，请在投标报价中自行考虑：</w:t>
            </w:r>
          </w:p>
          <w:tbl>
            <w:tblPr>
              <w:tblStyle w:val="25"/>
              <w:tblW w:w="8503" w:type="dxa"/>
              <w:tblInd w:w="-113" w:type="dxa"/>
              <w:tblLayout w:type="fixed"/>
              <w:tblCellMar>
                <w:top w:w="0" w:type="dxa"/>
                <w:left w:w="108" w:type="dxa"/>
                <w:bottom w:w="0" w:type="dxa"/>
                <w:right w:w="108" w:type="dxa"/>
              </w:tblCellMar>
            </w:tblPr>
            <w:tblGrid>
              <w:gridCol w:w="3841"/>
              <w:gridCol w:w="2409"/>
              <w:gridCol w:w="2253"/>
            </w:tblGrid>
            <w:tr w14:paraId="64E207EE">
              <w:tblPrEx>
                <w:tblCellMar>
                  <w:top w:w="0" w:type="dxa"/>
                  <w:left w:w="108" w:type="dxa"/>
                  <w:bottom w:w="0" w:type="dxa"/>
                  <w:right w:w="108" w:type="dxa"/>
                </w:tblCellMar>
              </w:tblPrEx>
              <w:trPr>
                <w:trHeight w:val="959" w:hRule="atLeast"/>
              </w:trPr>
              <w:tc>
                <w:tcPr>
                  <w:tcW w:w="3841"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43B24C3C">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采购类型金额（万元）        </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3DF3DDEB">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2253" w:type="dxa"/>
                  <w:tcBorders>
                    <w:top w:val="single" w:color="000000" w:sz="4" w:space="0"/>
                    <w:left w:val="single" w:color="000000" w:sz="4" w:space="0"/>
                    <w:bottom w:val="single" w:color="000000" w:sz="4" w:space="0"/>
                    <w:right w:val="single" w:color="000000" w:sz="4" w:space="0"/>
                  </w:tcBorders>
                  <w:noWrap/>
                  <w:vAlign w:val="center"/>
                </w:tcPr>
                <w:p w14:paraId="3DD83F52">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r>
            <w:tr w14:paraId="293D898B">
              <w:tblPrEx>
                <w:tblCellMar>
                  <w:top w:w="0" w:type="dxa"/>
                  <w:left w:w="108" w:type="dxa"/>
                  <w:bottom w:w="0" w:type="dxa"/>
                  <w:right w:w="108" w:type="dxa"/>
                </w:tblCellMar>
              </w:tblPrEx>
              <w:trPr>
                <w:trHeight w:val="486" w:hRule="atLeast"/>
              </w:trPr>
              <w:tc>
                <w:tcPr>
                  <w:tcW w:w="3841" w:type="dxa"/>
                  <w:tcBorders>
                    <w:top w:val="single" w:color="000000" w:sz="4" w:space="0"/>
                    <w:left w:val="single" w:color="000000" w:sz="4" w:space="0"/>
                    <w:bottom w:val="single" w:color="000000" w:sz="4" w:space="0"/>
                    <w:right w:val="single" w:color="000000" w:sz="4" w:space="0"/>
                  </w:tcBorders>
                  <w:noWrap/>
                  <w:vAlign w:val="center"/>
                </w:tcPr>
                <w:p w14:paraId="25D1D93C">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6EFFBA43">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253" w:type="dxa"/>
                  <w:tcBorders>
                    <w:top w:val="single" w:color="000000" w:sz="4" w:space="0"/>
                    <w:left w:val="single" w:color="000000" w:sz="4" w:space="0"/>
                    <w:bottom w:val="single" w:color="000000" w:sz="4" w:space="0"/>
                    <w:right w:val="single" w:color="000000" w:sz="4" w:space="0"/>
                  </w:tcBorders>
                  <w:noWrap/>
                  <w:vAlign w:val="center"/>
                </w:tcPr>
                <w:p w14:paraId="08B0A9B3">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r>
            <w:tr w14:paraId="7D8013CD">
              <w:tblPrEx>
                <w:tblCellMar>
                  <w:top w:w="0" w:type="dxa"/>
                  <w:left w:w="108" w:type="dxa"/>
                  <w:bottom w:w="0" w:type="dxa"/>
                  <w:right w:w="108" w:type="dxa"/>
                </w:tblCellMar>
              </w:tblPrEx>
              <w:trPr>
                <w:trHeight w:val="486" w:hRule="atLeast"/>
              </w:trPr>
              <w:tc>
                <w:tcPr>
                  <w:tcW w:w="3841" w:type="dxa"/>
                  <w:tcBorders>
                    <w:top w:val="single" w:color="000000" w:sz="4" w:space="0"/>
                    <w:left w:val="single" w:color="000000" w:sz="4" w:space="0"/>
                    <w:bottom w:val="single" w:color="000000" w:sz="4" w:space="0"/>
                    <w:right w:val="single" w:color="000000" w:sz="4" w:space="0"/>
                  </w:tcBorders>
                  <w:noWrap/>
                  <w:vAlign w:val="center"/>
                </w:tcPr>
                <w:p w14:paraId="399C1E5B">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15A5493F">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253" w:type="dxa"/>
                  <w:tcBorders>
                    <w:top w:val="single" w:color="000000" w:sz="4" w:space="0"/>
                    <w:left w:val="single" w:color="000000" w:sz="4" w:space="0"/>
                    <w:bottom w:val="single" w:color="000000" w:sz="4" w:space="0"/>
                    <w:right w:val="single" w:color="000000" w:sz="4" w:space="0"/>
                  </w:tcBorders>
                  <w:noWrap/>
                  <w:vAlign w:val="center"/>
                </w:tcPr>
                <w:p w14:paraId="2C54D97B">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r>
            <w:tr w14:paraId="1E858A25">
              <w:tblPrEx>
                <w:tblCellMar>
                  <w:top w:w="0" w:type="dxa"/>
                  <w:left w:w="108" w:type="dxa"/>
                  <w:bottom w:w="0" w:type="dxa"/>
                  <w:right w:w="108" w:type="dxa"/>
                </w:tblCellMar>
              </w:tblPrEx>
              <w:trPr>
                <w:trHeight w:val="486" w:hRule="atLeast"/>
              </w:trPr>
              <w:tc>
                <w:tcPr>
                  <w:tcW w:w="3841" w:type="dxa"/>
                  <w:tcBorders>
                    <w:top w:val="single" w:color="000000" w:sz="4" w:space="0"/>
                    <w:left w:val="single" w:color="000000" w:sz="4" w:space="0"/>
                    <w:bottom w:val="single" w:color="000000" w:sz="4" w:space="0"/>
                    <w:right w:val="single" w:color="000000" w:sz="4" w:space="0"/>
                  </w:tcBorders>
                  <w:noWrap/>
                  <w:vAlign w:val="center"/>
                </w:tcPr>
                <w:p w14:paraId="079C6849">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226A21A3">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2253" w:type="dxa"/>
                  <w:tcBorders>
                    <w:top w:val="single" w:color="000000" w:sz="4" w:space="0"/>
                    <w:left w:val="single" w:color="000000" w:sz="4" w:space="0"/>
                    <w:bottom w:val="single" w:color="000000" w:sz="4" w:space="0"/>
                    <w:right w:val="single" w:color="000000" w:sz="4" w:space="0"/>
                  </w:tcBorders>
                  <w:noWrap/>
                  <w:vAlign w:val="center"/>
                </w:tcPr>
                <w:p w14:paraId="73BC13C6">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r>
            <w:tr w14:paraId="1DF341DA">
              <w:tblPrEx>
                <w:tblCellMar>
                  <w:top w:w="0" w:type="dxa"/>
                  <w:left w:w="108" w:type="dxa"/>
                  <w:bottom w:w="0" w:type="dxa"/>
                  <w:right w:w="108" w:type="dxa"/>
                </w:tblCellMar>
              </w:tblPrEx>
              <w:trPr>
                <w:trHeight w:val="506" w:hRule="atLeast"/>
              </w:trPr>
              <w:tc>
                <w:tcPr>
                  <w:tcW w:w="3841" w:type="dxa"/>
                  <w:tcBorders>
                    <w:top w:val="single" w:color="000000" w:sz="4" w:space="0"/>
                    <w:left w:val="single" w:color="000000" w:sz="4" w:space="0"/>
                    <w:bottom w:val="single" w:color="000000" w:sz="4" w:space="0"/>
                    <w:right w:val="single" w:color="000000" w:sz="4" w:space="0"/>
                  </w:tcBorders>
                  <w:noWrap/>
                  <w:vAlign w:val="center"/>
                </w:tcPr>
                <w:p w14:paraId="112F0DDB">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5D98B36F">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2253" w:type="dxa"/>
                  <w:tcBorders>
                    <w:top w:val="single" w:color="000000" w:sz="4" w:space="0"/>
                    <w:left w:val="single" w:color="000000" w:sz="4" w:space="0"/>
                    <w:bottom w:val="single" w:color="000000" w:sz="4" w:space="0"/>
                    <w:right w:val="single" w:color="000000" w:sz="4" w:space="0"/>
                  </w:tcBorders>
                  <w:noWrap/>
                  <w:vAlign w:val="center"/>
                </w:tcPr>
                <w:p w14:paraId="487CDA17">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r>
          </w:tbl>
          <w:p w14:paraId="60E5C604">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②中标服务费的交纳方式：</w:t>
            </w:r>
          </w:p>
          <w:p w14:paraId="1C10AF25">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用银行支票、汇票、电汇、现金等付款方式直接交纳中标服务费。</w:t>
            </w:r>
          </w:p>
          <w:p w14:paraId="0BCE3D00">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其他费用按实收取，由中标（成交）供应商在领取中标（成交）通知书时支付。</w:t>
            </w:r>
          </w:p>
          <w:p w14:paraId="04ACD18E">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公司名称:浙江华元工程咨询有限公司嵊州分公司</w:t>
            </w:r>
          </w:p>
          <w:p w14:paraId="3C432A83">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开户行:工行嵊州城西支行</w:t>
            </w:r>
          </w:p>
          <w:p w14:paraId="27BD784F">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账号:1211026809200053379</w:t>
            </w:r>
          </w:p>
        </w:tc>
      </w:tr>
      <w:tr w14:paraId="2A3D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noWrap w:val="0"/>
            <w:vAlign w:val="center"/>
          </w:tcPr>
          <w:p w14:paraId="0891B4B0">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519" w:type="dxa"/>
            <w:noWrap w:val="0"/>
            <w:vAlign w:val="center"/>
          </w:tcPr>
          <w:p w14:paraId="31B26186">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3002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1" w:type="dxa"/>
            <w:noWrap w:val="0"/>
            <w:vAlign w:val="center"/>
          </w:tcPr>
          <w:p w14:paraId="718EFDEA">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8519" w:type="dxa"/>
            <w:noWrap w:val="0"/>
            <w:vAlign w:val="center"/>
          </w:tcPr>
          <w:p w14:paraId="5C789135">
            <w:pPr>
              <w:pageBreakBefore w:val="0"/>
              <w:kinsoku/>
              <w:wordWrap/>
              <w:overflowPunct/>
              <w:topLinePunct w:val="0"/>
              <w:bidi w:val="0"/>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w:t>
            </w:r>
            <w:r>
              <w:rPr>
                <w:rFonts w:hint="eastAsia" w:ascii="仿宋" w:hAnsi="仿宋" w:eastAsia="仿宋" w:cs="仿宋"/>
                <w:b w:val="0"/>
                <w:bCs w:val="0"/>
                <w:color w:val="auto"/>
                <w:sz w:val="24"/>
                <w:szCs w:val="24"/>
                <w:highlight w:val="none"/>
              </w:rPr>
              <w:t>释：凡涉及本采购文件的解释权属于采购单位</w:t>
            </w:r>
            <w:r>
              <w:rPr>
                <w:rFonts w:hint="eastAsia" w:ascii="仿宋" w:hAnsi="仿宋" w:eastAsia="仿宋" w:cs="仿宋"/>
                <w:b w:val="0"/>
                <w:bCs w:val="0"/>
                <w:color w:val="auto"/>
                <w:sz w:val="24"/>
                <w:szCs w:val="24"/>
                <w:highlight w:val="none"/>
                <w:lang w:val="en-US" w:eastAsia="zh-CN"/>
              </w:rPr>
              <w:t>及采购代理机构</w:t>
            </w:r>
            <w:r>
              <w:rPr>
                <w:rFonts w:hint="eastAsia" w:ascii="仿宋" w:hAnsi="仿宋" w:eastAsia="仿宋" w:cs="仿宋"/>
                <w:b w:val="0"/>
                <w:bCs w:val="0"/>
                <w:color w:val="auto"/>
                <w:sz w:val="24"/>
                <w:szCs w:val="24"/>
                <w:highlight w:val="none"/>
              </w:rPr>
              <w:t>。</w:t>
            </w:r>
          </w:p>
        </w:tc>
      </w:tr>
      <w:tr w14:paraId="2BC0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380" w:type="dxa"/>
            <w:gridSpan w:val="2"/>
            <w:noWrap w:val="0"/>
            <w:vAlign w:val="center"/>
          </w:tcPr>
          <w:p w14:paraId="1EE3AF65">
            <w:pPr>
              <w:pageBreakBefore w:val="0"/>
              <w:kinsoku/>
              <w:wordWrap/>
              <w:overflowPunct/>
              <w:topLinePunct w:val="0"/>
              <w:bidi w:val="0"/>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注：排名第一的预中标候选人放弃中标资格或因质疑、投诉被取消预中标资格或不能履行合同的，</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val="en-US" w:eastAsia="zh-CN"/>
              </w:rPr>
              <w:t>应当</w:t>
            </w:r>
            <w:r>
              <w:rPr>
                <w:rFonts w:hint="eastAsia" w:ascii="仿宋" w:hAnsi="仿宋" w:eastAsia="仿宋" w:cs="仿宋"/>
                <w:b w:val="0"/>
                <w:bCs w:val="0"/>
                <w:color w:val="auto"/>
                <w:sz w:val="24"/>
                <w:szCs w:val="24"/>
                <w:highlight w:val="none"/>
              </w:rPr>
              <w:t>重新招标。</w:t>
            </w:r>
          </w:p>
        </w:tc>
      </w:tr>
    </w:tbl>
    <w:p w14:paraId="6ABD0FE1">
      <w:pPr>
        <w:pStyle w:val="3"/>
        <w:pageBreakBefore w:val="0"/>
        <w:tabs>
          <w:tab w:val="left" w:pos="358"/>
          <w:tab w:val="clear" w:pos="432"/>
        </w:tabs>
        <w:kinsoku/>
        <w:overflowPunct/>
        <w:topLinePunct w:val="0"/>
        <w:bidi w:val="0"/>
        <w:spacing w:line="360" w:lineRule="auto"/>
        <w:jc w:val="center"/>
        <w:rPr>
          <w:rFonts w:hint="eastAsia" w:ascii="仿宋" w:hAnsi="仿宋" w:eastAsia="仿宋" w:cs="仿宋"/>
          <w:color w:val="auto"/>
          <w:sz w:val="32"/>
          <w:szCs w:val="32"/>
          <w:highlight w:val="none"/>
        </w:rPr>
      </w:pPr>
      <w:bookmarkStart w:id="7" w:name="_Toc54978890"/>
      <w:bookmarkStart w:id="8" w:name="_Toc872"/>
      <w:bookmarkStart w:id="9" w:name="_Toc10076"/>
      <w:bookmarkStart w:id="10" w:name="_Toc12075"/>
      <w:bookmarkStart w:id="11" w:name="_Toc31687"/>
      <w:r>
        <w:rPr>
          <w:rFonts w:hint="eastAsia" w:ascii="仿宋" w:hAnsi="仿宋" w:eastAsia="仿宋" w:cs="仿宋"/>
          <w:color w:val="auto"/>
          <w:sz w:val="32"/>
          <w:szCs w:val="32"/>
          <w:highlight w:val="none"/>
        </w:rPr>
        <w:t>二、总则</w:t>
      </w:r>
      <w:bookmarkEnd w:id="7"/>
    </w:p>
    <w:p w14:paraId="3443E4BE">
      <w:pPr>
        <w:adjustRightInd w:val="0"/>
        <w:snapToGrid w:val="0"/>
        <w:spacing w:line="360" w:lineRule="auto"/>
        <w:ind w:firstLine="0" w:firstLineChars="0"/>
        <w:jc w:val="left"/>
        <w:outlineLvl w:val="1"/>
        <w:rPr>
          <w:rFonts w:hint="eastAsia" w:ascii="仿宋" w:hAnsi="仿宋" w:eastAsia="仿宋" w:cs="仿宋"/>
          <w:b/>
          <w:color w:val="auto"/>
          <w:sz w:val="24"/>
          <w:szCs w:val="24"/>
          <w:highlight w:val="none"/>
        </w:rPr>
      </w:pPr>
      <w:bookmarkStart w:id="12" w:name="_Toc82338242"/>
      <w:bookmarkStart w:id="13" w:name="_Toc82873325"/>
      <w:r>
        <w:rPr>
          <w:rFonts w:hint="eastAsia" w:ascii="仿宋" w:hAnsi="仿宋" w:eastAsia="仿宋" w:cs="仿宋"/>
          <w:b/>
          <w:color w:val="auto"/>
          <w:sz w:val="24"/>
          <w:szCs w:val="24"/>
          <w:highlight w:val="none"/>
        </w:rPr>
        <w:t>1.适用范围</w:t>
      </w:r>
    </w:p>
    <w:p w14:paraId="140F8BCA">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6F578FB8">
      <w:pPr>
        <w:adjustRightInd/>
        <w:spacing w:line="360" w:lineRule="auto"/>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4A13BF0E">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2.1“采购人”系指招标公告中载明的本项目的采购人。</w:t>
      </w:r>
    </w:p>
    <w:p w14:paraId="33179F95">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2.2“采购机构”系指招标公告中载明的本项目的采购机构。</w:t>
      </w:r>
    </w:p>
    <w:p w14:paraId="40A44F4F">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2.3“投标人”系指是指响应招标、参加投标竞争的法人、其他组织或者自然人。</w:t>
      </w:r>
    </w:p>
    <w:p w14:paraId="5EEDCE49">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2.4“负责人”系指法人企业的法定负责人，或其他组织为法律、行政法规规定代表单位行使职权的主要负责人，或自然人本人。</w:t>
      </w:r>
    </w:p>
    <w:p w14:paraId="75F3008D">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w:t>
      </w:r>
    </w:p>
    <w:p w14:paraId="23A58CF1">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2.6“电子交易平台”是指本项目采购活动所依托的采购云平台（https://www.</w:t>
      </w:r>
      <w:r>
        <w:rPr>
          <w:rFonts w:hint="eastAsia" w:ascii="仿宋" w:hAnsi="仿宋" w:eastAsia="仿宋" w:cs="仿宋"/>
          <w:color w:val="auto"/>
          <w:sz w:val="24"/>
          <w:szCs w:val="24"/>
          <w:highlight w:val="none"/>
          <w:lang w:eastAsia="zh-CN"/>
        </w:rPr>
        <w:t>lecaiyun.com</w:t>
      </w:r>
      <w:r>
        <w:rPr>
          <w:rFonts w:hint="eastAsia" w:ascii="仿宋" w:hAnsi="仿宋" w:eastAsia="仿宋" w:cs="仿宋"/>
          <w:color w:val="auto"/>
          <w:sz w:val="24"/>
          <w:szCs w:val="24"/>
          <w:highlight w:val="none"/>
        </w:rPr>
        <w:t>/）。</w:t>
      </w:r>
    </w:p>
    <w:p w14:paraId="4BD304AC">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rPr>
        <w:t>”系指实质性要求条款，“▲”系产品采购项目中单一产品或核心产品，“</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”系指不适用本项目的要求。</w:t>
      </w:r>
    </w:p>
    <w:p w14:paraId="0421BF06">
      <w:pPr>
        <w:adjustRightIn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3.采购项目需要落实的采购政策</w:t>
      </w:r>
    </w:p>
    <w:p w14:paraId="4634A3D7">
      <w:pPr>
        <w:adjustRightIn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3.1本项目原则上采购本国生产的货物、工程和服务，不允许采购进口产品。除非采购人采购进口产品，已经在采购活动开始前向</w:t>
      </w:r>
      <w:r>
        <w:rPr>
          <w:rFonts w:hint="eastAsia" w:ascii="仿宋" w:hAnsi="仿宋" w:eastAsia="仿宋" w:cs="仿宋"/>
          <w:color w:val="auto"/>
          <w:sz w:val="24"/>
          <w:szCs w:val="24"/>
          <w:highlight w:val="none"/>
          <w:lang w:eastAsia="zh-CN"/>
        </w:rPr>
        <w:t>监管</w:t>
      </w:r>
      <w:r>
        <w:rPr>
          <w:rFonts w:hint="eastAsia" w:ascii="仿宋" w:hAnsi="仿宋" w:eastAsia="仿宋" w:cs="仿宋"/>
          <w:color w:val="auto"/>
          <w:sz w:val="24"/>
          <w:szCs w:val="24"/>
          <w:highlight w:val="none"/>
        </w:rPr>
        <w:t>部门提出申请并获得</w:t>
      </w:r>
      <w:r>
        <w:rPr>
          <w:rFonts w:hint="eastAsia" w:ascii="仿宋" w:hAnsi="仿宋" w:eastAsia="仿宋" w:cs="仿宋"/>
          <w:color w:val="auto"/>
          <w:sz w:val="24"/>
          <w:szCs w:val="24"/>
          <w:highlight w:val="none"/>
          <w:lang w:eastAsia="zh-CN"/>
        </w:rPr>
        <w:t>监管</w:t>
      </w:r>
      <w:r>
        <w:rPr>
          <w:rFonts w:hint="eastAsia" w:ascii="仿宋" w:hAnsi="仿宋" w:eastAsia="仿宋" w:cs="仿宋"/>
          <w:color w:val="auto"/>
          <w:sz w:val="24"/>
          <w:szCs w:val="24"/>
          <w:highlight w:val="none"/>
        </w:rPr>
        <w:t>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CD3E029">
      <w:pPr>
        <w:adjustRightIn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4.询问、质疑、投诉</w:t>
      </w:r>
    </w:p>
    <w:p w14:paraId="658360D4">
      <w:pPr>
        <w:autoSpaceDE w:val="0"/>
        <w:autoSpaceDN w:val="0"/>
        <w:adjustRightInd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4.1供应商询问</w:t>
      </w:r>
    </w:p>
    <w:p w14:paraId="6103B2F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748C2A">
      <w:pPr>
        <w:autoSpaceDE w:val="0"/>
        <w:autoSpaceDN w:val="0"/>
        <w:adjustRightInd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4.2供应商质疑</w:t>
      </w:r>
    </w:p>
    <w:p w14:paraId="2BDCB84E">
      <w:pPr>
        <w:widowControl w:val="0"/>
        <w:adjustRightInd w:val="0"/>
        <w:spacing w:line="360" w:lineRule="auto"/>
        <w:ind w:firstLine="480" w:firstLineChars="200"/>
        <w:jc w:val="both"/>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0"/>
          <w:sz w:val="24"/>
          <w:szCs w:val="21"/>
          <w:highlight w:val="none"/>
          <w:lang w:val="zh-CN" w:eastAsia="zh-CN" w:bidi="ar-SA"/>
        </w:rPr>
        <w:t>4.2</w:t>
      </w:r>
      <w:r>
        <w:rPr>
          <w:rFonts w:hint="eastAsia" w:ascii="仿宋" w:hAnsi="仿宋" w:eastAsia="仿宋" w:cs="仿宋"/>
          <w:snapToGrid w:val="0"/>
          <w:color w:val="auto"/>
          <w:kern w:val="2"/>
          <w:sz w:val="24"/>
          <w:szCs w:val="21"/>
          <w:highlight w:val="none"/>
          <w:lang w:val="en-US" w:eastAsia="zh-CN" w:bidi="ar-SA"/>
        </w:rPr>
        <w:t>.1提出质疑的供应商应当是参与所质疑项目采购活动的供应商。潜在供应商已依法获取其可质疑的招标文件的，可以对该文件提出质疑。</w:t>
      </w:r>
    </w:p>
    <w:p w14:paraId="2907DD47">
      <w:pPr>
        <w:widowControl w:val="0"/>
        <w:adjustRightInd w:val="0"/>
        <w:spacing w:line="360" w:lineRule="auto"/>
        <w:ind w:firstLine="480" w:firstLineChars="200"/>
        <w:jc w:val="both"/>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0"/>
          <w:sz w:val="24"/>
          <w:szCs w:val="21"/>
          <w:highlight w:val="none"/>
          <w:lang w:val="zh-CN" w:eastAsia="zh-CN" w:bidi="ar-SA"/>
        </w:rPr>
        <w:t>4.2</w:t>
      </w:r>
      <w:r>
        <w:rPr>
          <w:rFonts w:hint="eastAsia" w:ascii="仿宋" w:hAnsi="仿宋" w:eastAsia="仿宋" w:cs="仿宋"/>
          <w:snapToGrid w:val="0"/>
          <w:color w:val="auto"/>
          <w:kern w:val="2"/>
          <w:sz w:val="24"/>
          <w:szCs w:val="21"/>
          <w:highlight w:val="none"/>
          <w:lang w:val="en-US" w:eastAsia="zh-CN" w:bidi="ar-SA"/>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A57F67B">
      <w:pPr>
        <w:widowControl/>
        <w:adjustRightInd w:val="0"/>
        <w:snapToGrid w:val="0"/>
        <w:spacing w:line="360" w:lineRule="auto"/>
        <w:ind w:firstLine="480" w:firstLineChars="200"/>
        <w:jc w:val="both"/>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4.2.2.1对招标文件提出质疑的，质疑期限为供应商获得招标文件之日或者招标文件公告期限届满之日起计算。</w:t>
      </w:r>
    </w:p>
    <w:p w14:paraId="2833795D">
      <w:pPr>
        <w:widowControl w:val="0"/>
        <w:adjustRightInd w:val="0"/>
        <w:spacing w:line="360" w:lineRule="auto"/>
        <w:ind w:firstLine="480" w:firstLineChars="200"/>
        <w:jc w:val="both"/>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4.2.2.2对采购过程提出质疑的，质疑期限为各采购程序环节结束之日起计算。对同一采购程序环节的质疑，供应商须一次性提出。</w:t>
      </w:r>
    </w:p>
    <w:p w14:paraId="603C1082">
      <w:pPr>
        <w:widowControl w:val="0"/>
        <w:adjustRightInd w:val="0"/>
        <w:spacing w:line="360" w:lineRule="auto"/>
        <w:ind w:firstLine="480" w:firstLineChars="200"/>
        <w:jc w:val="both"/>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4.2.2.3对采购结果提出质疑的，质疑期限自采购结果公告期限届满之日起计算。</w:t>
      </w:r>
    </w:p>
    <w:p w14:paraId="59441D3F">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w:t>
      </w:r>
      <w:r>
        <w:rPr>
          <w:rFonts w:hint="eastAsia" w:ascii="仿宋" w:hAnsi="仿宋" w:eastAsia="仿宋" w:cs="仿宋"/>
          <w:snapToGrid w:val="0"/>
          <w:color w:val="auto"/>
          <w:kern w:val="2"/>
          <w:sz w:val="24"/>
          <w:szCs w:val="21"/>
          <w:highlight w:val="none"/>
          <w:lang w:val="en-US" w:eastAsia="zh-CN" w:bidi="ar-SA"/>
        </w:rPr>
        <w:t>供应商提出质疑应当提交质疑函和必要的证明材料。质疑函应当包括下列内容：</w:t>
      </w:r>
    </w:p>
    <w:p w14:paraId="7DC9F06E">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4.2.3.1供应商的姓名或者名称、地址、邮编、联系人及联系电话；</w:t>
      </w:r>
    </w:p>
    <w:p w14:paraId="17F2DA02">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4.2.3.2质疑项目的名称、编号；</w:t>
      </w:r>
    </w:p>
    <w:p w14:paraId="07A845FF">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4.2.3.3具体、明确的质疑事项和与质疑事项相关的请求；</w:t>
      </w:r>
    </w:p>
    <w:p w14:paraId="42D161DB">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4.2.3.4事实依据；</w:t>
      </w:r>
    </w:p>
    <w:p w14:paraId="15EBA9B6">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4.2.3.5必要的法律依据；</w:t>
      </w:r>
    </w:p>
    <w:p w14:paraId="100CE4A8">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4.2.3.6提出质疑的日期。</w:t>
      </w:r>
    </w:p>
    <w:p w14:paraId="65F36F0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48B02F32">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质疑函范本及制作说明详见附件1。</w:t>
      </w:r>
    </w:p>
    <w:p w14:paraId="61B7C786">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4.2</w:t>
      </w:r>
      <w:r>
        <w:rPr>
          <w:rFonts w:hint="eastAsia" w:ascii="仿宋" w:hAnsi="仿宋" w:eastAsia="仿宋" w:cs="仿宋"/>
          <w:color w:val="auto"/>
          <w:kern w:val="0"/>
          <w:sz w:val="24"/>
          <w:szCs w:val="24"/>
          <w:highlight w:val="none"/>
          <w:lang w:val="en-US" w:eastAsia="zh-CN"/>
        </w:rPr>
        <w:t>.4采购人或者采购机构应当在收到供应商的书面质疑后七个工作日内作出答复，并以书面形式通知质疑供应商和其他与质疑处理结果有利害关系的采购当事人，但答复的内容不得涉及商业秘密。</w:t>
      </w:r>
    </w:p>
    <w:p w14:paraId="128382D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4.2</w:t>
      </w:r>
      <w:r>
        <w:rPr>
          <w:rFonts w:hint="eastAsia" w:ascii="仿宋" w:hAnsi="仿宋" w:eastAsia="仿宋" w:cs="仿宋"/>
          <w:color w:val="auto"/>
          <w:kern w:val="0"/>
          <w:sz w:val="24"/>
          <w:szCs w:val="24"/>
          <w:highlight w:val="none"/>
          <w:lang w:val="en-US" w:eastAsia="zh-CN"/>
        </w:rPr>
        <w:t>.5询问或者质疑事项可能影响采购结果的，采购人应当暂停签订合同，已经签订合同的，应当中止履行合同。</w:t>
      </w:r>
    </w:p>
    <w:p w14:paraId="694AF425">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4.3供应商投诉</w:t>
      </w:r>
    </w:p>
    <w:p w14:paraId="0132AB6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4.3.1质疑供应商对采购人、采购机构的答复不满意或者采购人、采购机构未在规定的时间内作出答复的，可以在答复期满后十五个工作日内向同级采购监督管理部门提出投诉。</w:t>
      </w:r>
    </w:p>
    <w:p w14:paraId="55C90E7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w:t>
      </w:r>
      <w:r>
        <w:rPr>
          <w:rFonts w:hint="eastAsia" w:ascii="仿宋" w:hAnsi="仿宋" w:eastAsia="仿宋" w:cs="仿宋"/>
          <w:color w:val="auto"/>
          <w:kern w:val="0"/>
          <w:sz w:val="24"/>
          <w:szCs w:val="24"/>
          <w:highlight w:val="none"/>
          <w:lang w:val="zh-CN" w:eastAsia="zh-CN"/>
        </w:rPr>
        <w:t>2</w:t>
      </w:r>
      <w:r>
        <w:rPr>
          <w:rFonts w:hint="eastAsia" w:ascii="仿宋" w:hAnsi="仿宋" w:eastAsia="仿宋" w:cs="仿宋"/>
          <w:color w:val="auto"/>
          <w:kern w:val="0"/>
          <w:sz w:val="24"/>
          <w:szCs w:val="24"/>
          <w:highlight w:val="none"/>
          <w:lang w:val="en-US" w:eastAsia="zh-CN"/>
        </w:rPr>
        <w:t>供应商投诉的事项不得超出已质疑事项的范围，基于质疑答复内容提出的投诉事项除外。</w:t>
      </w:r>
    </w:p>
    <w:p w14:paraId="471B19A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4.3.3供应商投诉应当有明确的请求和必要的证明材料。</w:t>
      </w:r>
    </w:p>
    <w:p w14:paraId="6386B61D">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4.3.5以联合体形式参加采购活动的，其投诉应当由组成联合体的所有供应商共同提出。</w:t>
      </w:r>
    </w:p>
    <w:p w14:paraId="01CC0E5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投诉书范本及制作说明详见附件2。</w:t>
      </w:r>
    </w:p>
    <w:p w14:paraId="529E8965">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36A933D">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5．招标文件的构成</w:t>
      </w:r>
    </w:p>
    <w:p w14:paraId="1794283B">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5.1招标文件包括下列文件及附件：</w:t>
      </w:r>
    </w:p>
    <w:p w14:paraId="342A4CCE">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5.1.1采购公告；</w:t>
      </w:r>
    </w:p>
    <w:p w14:paraId="586E6320">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5.1.2投标人须知；</w:t>
      </w:r>
    </w:p>
    <w:p w14:paraId="13384963">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5.1.3采购需求；</w:t>
      </w:r>
    </w:p>
    <w:p w14:paraId="1316D285">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5.1.4评标办法；</w:t>
      </w:r>
    </w:p>
    <w:p w14:paraId="19A91C2E">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5.1.5合同主要条款；</w:t>
      </w:r>
    </w:p>
    <w:p w14:paraId="38538B0D">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5.1.6</w:t>
      </w:r>
      <w:r>
        <w:rPr>
          <w:rFonts w:hint="eastAsia" w:ascii="仿宋" w:hAnsi="仿宋" w:eastAsia="仿宋" w:cs="仿宋"/>
          <w:snapToGrid w:val="0"/>
          <w:color w:val="auto"/>
          <w:kern w:val="2"/>
          <w:sz w:val="24"/>
          <w:szCs w:val="24"/>
          <w:highlight w:val="none"/>
          <w:lang w:val="en-US" w:eastAsia="zh-CN" w:bidi="ar-SA"/>
        </w:rPr>
        <w:t>投标文件格式。</w:t>
      </w:r>
    </w:p>
    <w:p w14:paraId="404828B0">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210EA66E">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6.招标文件的澄清、修改</w:t>
      </w:r>
    </w:p>
    <w:p w14:paraId="4F40F641">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6.1已获取招标文件的潜在投标人，若有问题需要澄清，应于投标截止时间前，以书面形式向采购机构提出。</w:t>
      </w:r>
    </w:p>
    <w:p w14:paraId="1F480D07">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927260">
      <w:pPr>
        <w:adjustRightInd/>
        <w:spacing w:line="360" w:lineRule="auto"/>
        <w:ind w:firstLine="0" w:firstLineChars="0"/>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5B48D0B">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7.招标文件的获取</w:t>
      </w:r>
    </w:p>
    <w:p w14:paraId="0D2C8FAA">
      <w:pPr>
        <w:adjustRightInd w:val="0"/>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7D35F37D">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8.开标前答疑会或现场考察</w:t>
      </w:r>
    </w:p>
    <w:p w14:paraId="3DF133E5">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采购人组织潜在投标人现场考察或者召开开标前答疑会的，潜在投标人按第二部分投标人须知前附表的规定参加现场考察或者开标前答疑会。</w:t>
      </w:r>
    </w:p>
    <w:p w14:paraId="63CC16FD">
      <w:pPr>
        <w:widowControl w:val="0"/>
        <w:adjustRightInd w:val="0"/>
        <w:spacing w:line="360" w:lineRule="auto"/>
        <w:ind w:firstLine="482" w:firstLineChars="200"/>
        <w:jc w:val="both"/>
        <w:rPr>
          <w:rFonts w:hint="eastAsia" w:ascii="仿宋" w:hAnsi="仿宋" w:eastAsia="仿宋" w:cs="仿宋"/>
          <w:b/>
          <w:snapToGrid w:val="0"/>
          <w:color w:val="auto"/>
          <w:kern w:val="2"/>
          <w:sz w:val="21"/>
          <w:szCs w:val="24"/>
          <w:highlight w:val="none"/>
          <w:lang w:val="en-US" w:eastAsia="zh-CN" w:bidi="ar-SA"/>
        </w:rPr>
      </w:pPr>
      <w:r>
        <w:rPr>
          <w:rFonts w:hint="eastAsia" w:ascii="仿宋" w:hAnsi="仿宋" w:eastAsia="仿宋" w:cs="仿宋"/>
          <w:b/>
          <w:snapToGrid w:val="0"/>
          <w:color w:val="auto"/>
          <w:kern w:val="28"/>
          <w:sz w:val="24"/>
          <w:szCs w:val="24"/>
          <w:highlight w:val="none"/>
          <w:lang w:val="en-US" w:eastAsia="zh-CN" w:bidi="ar-SA"/>
        </w:rPr>
        <w:t>9.投标保证金</w:t>
      </w:r>
    </w:p>
    <w:p w14:paraId="30FBA011">
      <w:pPr>
        <w:widowControl/>
        <w:adjustRightInd w:val="0"/>
        <w:snapToGrid w:val="0"/>
        <w:spacing w:line="360" w:lineRule="auto"/>
        <w:ind w:firstLine="470" w:firstLineChars="196"/>
        <w:jc w:val="both"/>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投标保证金：人民币8260元（大写：捌仟贰佰陆拾元整）</w:t>
      </w:r>
    </w:p>
    <w:p w14:paraId="0BAD99F7">
      <w:pPr>
        <w:widowControl/>
        <w:adjustRightInd w:val="0"/>
        <w:snapToGrid w:val="0"/>
        <w:spacing w:line="360" w:lineRule="auto"/>
        <w:ind w:firstLine="470" w:firstLineChars="196"/>
        <w:jc w:val="both"/>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投标人应于2025年2月14日16时前将投标保证金以网上银行、电汇、汇票或转帐形式投标人的基本账户汇入指定帐户。</w:t>
      </w:r>
    </w:p>
    <w:p w14:paraId="3B0B75D7">
      <w:pPr>
        <w:widowControl/>
        <w:adjustRightInd w:val="0"/>
        <w:snapToGrid w:val="0"/>
        <w:spacing w:line="360" w:lineRule="auto"/>
        <w:ind w:firstLine="470" w:firstLineChars="196"/>
        <w:jc w:val="both"/>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投标保证金的退还：未中标的投标人的投标保证金将在中标通知书发出之日起3个工作日内退还，中标人的投标保证金在中标人与招标人签订采购合同后5个工作日内退还。</w:t>
      </w:r>
    </w:p>
    <w:p w14:paraId="583C72F0">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10.投标文件的语言</w:t>
      </w:r>
    </w:p>
    <w:p w14:paraId="365A61A9">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345CA60F">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11.投标文件的组成</w:t>
      </w:r>
    </w:p>
    <w:p w14:paraId="5400B2E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w:t>
      </w:r>
      <w:r>
        <w:rPr>
          <w:rFonts w:hint="eastAsia" w:ascii="仿宋" w:hAnsi="仿宋" w:eastAsia="仿宋" w:cs="仿宋"/>
          <w:b/>
          <w:color w:val="auto"/>
          <w:sz w:val="24"/>
          <w:szCs w:val="24"/>
          <w:highlight w:val="none"/>
          <w:lang w:eastAsia="zh-CN"/>
        </w:rPr>
        <w:t>证明</w:t>
      </w:r>
      <w:r>
        <w:rPr>
          <w:rFonts w:hint="eastAsia" w:ascii="仿宋" w:hAnsi="仿宋" w:eastAsia="仿宋" w:cs="仿宋"/>
          <w:b/>
          <w:color w:val="auto"/>
          <w:sz w:val="24"/>
          <w:szCs w:val="24"/>
          <w:highlight w:val="none"/>
        </w:rPr>
        <w:t>文件</w:t>
      </w:r>
      <w:r>
        <w:rPr>
          <w:rFonts w:hint="eastAsia" w:ascii="仿宋" w:hAnsi="仿宋" w:eastAsia="仿宋" w:cs="仿宋"/>
          <w:color w:val="auto"/>
          <w:sz w:val="24"/>
          <w:szCs w:val="24"/>
          <w:highlight w:val="none"/>
        </w:rPr>
        <w:t>：</w:t>
      </w:r>
    </w:p>
    <w:p w14:paraId="54699E68">
      <w:pPr>
        <w:pageBreakBefore w:val="0"/>
        <w:widowControl/>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rPr>
        <w:t>营业执照</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lang w:val="zh-CN"/>
        </w:rPr>
        <w:t>件；</w:t>
      </w:r>
    </w:p>
    <w:p w14:paraId="1EA1F5A0">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lang w:val="en-US" w:eastAsia="zh-CN"/>
        </w:rPr>
        <w:t>11.1.2</w:t>
      </w:r>
      <w:r>
        <w:rPr>
          <w:rFonts w:hint="eastAsia" w:ascii="仿宋" w:hAnsi="仿宋" w:eastAsia="仿宋" w:cs="仿宋"/>
          <w:color w:val="auto"/>
          <w:sz w:val="24"/>
          <w:szCs w:val="24"/>
          <w:highlight w:val="none"/>
          <w:lang w:val="zh-CN"/>
        </w:rPr>
        <w:t>符合参加采购活动应当具备的一般条件的承诺函</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lang w:val="zh-CN"/>
        </w:rPr>
        <w:t>；</w:t>
      </w:r>
    </w:p>
    <w:p w14:paraId="04658F09">
      <w:pPr>
        <w:pageBreakBefore w:val="0"/>
        <w:kinsoku/>
        <w:wordWrap/>
        <w:overflowPunct/>
        <w:topLinePunct w:val="0"/>
        <w:bidi w:val="0"/>
        <w:adjustRightInd/>
        <w:spacing w:line="360" w:lineRule="auto"/>
        <w:ind w:firstLine="42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11.1.3</w:t>
      </w:r>
      <w:r>
        <w:rPr>
          <w:rFonts w:hint="eastAsia" w:ascii="仿宋" w:hAnsi="仿宋" w:eastAsia="仿宋" w:cs="仿宋"/>
          <w:color w:val="auto"/>
          <w:sz w:val="24"/>
          <w:szCs w:val="24"/>
          <w:highlight w:val="none"/>
        </w:rPr>
        <w:t>具有履行合同所必需的设备和专业技术能力的承诺函</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b w:val="0"/>
          <w:bCs/>
          <w:color w:val="auto"/>
          <w:sz w:val="24"/>
          <w:szCs w:val="24"/>
          <w:highlight w:val="none"/>
          <w:lang w:eastAsia="zh-CN"/>
        </w:rPr>
        <w:t>；</w:t>
      </w:r>
    </w:p>
    <w:p w14:paraId="16C517E2">
      <w:pPr>
        <w:pageBreakBefore w:val="0"/>
        <w:kinsoku/>
        <w:wordWrap/>
        <w:overflowPunct/>
        <w:topLinePunct w:val="0"/>
        <w:bidi w:val="0"/>
        <w:adjustRightInd/>
        <w:spacing w:line="360" w:lineRule="auto"/>
        <w:ind w:firstLine="42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11.1.4开标时提供《采购活动现场确认声明书》，发送至邮箱 2418551644@qq.com。</w:t>
      </w:r>
    </w:p>
    <w:p w14:paraId="13E0EC3B">
      <w:pPr>
        <w:pageBreakBefore w:val="0"/>
        <w:kinsoku/>
        <w:wordWrap/>
        <w:overflowPunct/>
        <w:topLinePunct w:val="0"/>
        <w:bidi w:val="0"/>
        <w:adjustRightInd/>
        <w:spacing w:line="360" w:lineRule="auto"/>
        <w:ind w:firstLine="42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eastAsia="zh-CN"/>
        </w:rPr>
        <w:t>商务</w:t>
      </w:r>
      <w:r>
        <w:rPr>
          <w:rFonts w:hint="eastAsia" w:ascii="仿宋" w:hAnsi="仿宋" w:eastAsia="仿宋" w:cs="仿宋"/>
          <w:b/>
          <w:bCs w:val="0"/>
          <w:color w:val="auto"/>
          <w:sz w:val="24"/>
          <w:szCs w:val="24"/>
          <w:highlight w:val="none"/>
        </w:rPr>
        <w:t>技术</w:t>
      </w:r>
      <w:r>
        <w:rPr>
          <w:rFonts w:hint="eastAsia" w:ascii="仿宋" w:hAnsi="仿宋" w:eastAsia="仿宋" w:cs="仿宋"/>
          <w:b/>
          <w:bCs w:val="0"/>
          <w:color w:val="auto"/>
          <w:sz w:val="24"/>
          <w:szCs w:val="24"/>
          <w:highlight w:val="none"/>
          <w:lang w:eastAsia="zh-CN"/>
        </w:rPr>
        <w:t>文件</w:t>
      </w:r>
    </w:p>
    <w:p w14:paraId="781DDF9B">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lang w:val="zh-CN"/>
        </w:rPr>
        <w:t>1投标声明书（格式见附件）；</w:t>
      </w:r>
    </w:p>
    <w:p w14:paraId="0F93B792">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 xml:space="preserve">11.2.2 </w:t>
      </w:r>
      <w:r>
        <w:rPr>
          <w:rFonts w:hint="eastAsia" w:ascii="仿宋" w:hAnsi="仿宋" w:eastAsia="仿宋" w:cs="仿宋"/>
          <w:color w:val="auto"/>
          <w:sz w:val="24"/>
          <w:szCs w:val="24"/>
          <w:highlight w:val="none"/>
          <w:lang w:val="zh-CN"/>
        </w:rPr>
        <w:t>营业执照扫描件；</w:t>
      </w:r>
    </w:p>
    <w:p w14:paraId="6E932F6B">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或法定代表人身份证明</w:t>
      </w:r>
      <w:r>
        <w:rPr>
          <w:rFonts w:hint="eastAsia" w:ascii="仿宋" w:hAnsi="仿宋" w:eastAsia="仿宋" w:cs="仿宋"/>
          <w:color w:val="auto"/>
          <w:sz w:val="24"/>
          <w:szCs w:val="24"/>
          <w:highlight w:val="none"/>
          <w:lang w:val="zh-CN"/>
        </w:rPr>
        <w:t>；</w:t>
      </w:r>
    </w:p>
    <w:p w14:paraId="05E52B7D">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11.2.4</w:t>
      </w:r>
      <w:r>
        <w:rPr>
          <w:rFonts w:hint="eastAsia" w:ascii="仿宋" w:hAnsi="仿宋" w:eastAsia="仿宋" w:cs="仿宋"/>
          <w:color w:val="auto"/>
          <w:sz w:val="24"/>
          <w:szCs w:val="24"/>
          <w:highlight w:val="none"/>
        </w:rPr>
        <w:t>评标标准相应的商务技术</w:t>
      </w:r>
      <w:r>
        <w:rPr>
          <w:rFonts w:hint="eastAsia" w:ascii="仿宋" w:hAnsi="仿宋" w:eastAsia="仿宋" w:cs="仿宋"/>
          <w:color w:val="auto"/>
          <w:sz w:val="24"/>
          <w:szCs w:val="24"/>
          <w:highlight w:val="none"/>
          <w:lang w:val="zh-CN"/>
        </w:rPr>
        <w:t>资料；</w:t>
      </w:r>
    </w:p>
    <w:p w14:paraId="5D7C09DA">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11.2.5</w:t>
      </w:r>
      <w:r>
        <w:rPr>
          <w:rFonts w:hint="eastAsia" w:ascii="仿宋" w:hAnsi="仿宋" w:eastAsia="仿宋" w:cs="仿宋"/>
          <w:color w:val="auto"/>
          <w:sz w:val="24"/>
          <w:szCs w:val="24"/>
          <w:highlight w:val="none"/>
          <w:lang w:val="zh-CN"/>
        </w:rPr>
        <w:t>商务资信响应表、</w:t>
      </w:r>
      <w:r>
        <w:rPr>
          <w:rFonts w:hint="eastAsia" w:ascii="仿宋" w:hAnsi="仿宋" w:eastAsia="仿宋" w:cs="仿宋"/>
          <w:color w:val="auto"/>
          <w:sz w:val="24"/>
          <w:szCs w:val="24"/>
          <w:highlight w:val="none"/>
          <w:lang w:val="en-US" w:eastAsia="zh-CN"/>
        </w:rPr>
        <w:t>商务技术</w:t>
      </w:r>
      <w:r>
        <w:rPr>
          <w:rFonts w:hint="eastAsia" w:ascii="仿宋" w:hAnsi="仿宋" w:eastAsia="仿宋" w:cs="仿宋"/>
          <w:color w:val="auto"/>
          <w:sz w:val="24"/>
          <w:szCs w:val="24"/>
          <w:highlight w:val="none"/>
          <w:lang w:val="zh-CN"/>
        </w:rPr>
        <w:t>偏离表；</w:t>
      </w:r>
    </w:p>
    <w:p w14:paraId="59F6A801">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11.2.6</w:t>
      </w:r>
      <w:r>
        <w:rPr>
          <w:rFonts w:hint="eastAsia" w:ascii="仿宋" w:hAnsi="仿宋" w:eastAsia="仿宋" w:cs="仿宋"/>
          <w:color w:val="auto"/>
          <w:sz w:val="24"/>
          <w:szCs w:val="24"/>
          <w:highlight w:val="none"/>
          <w:lang w:val="zh-CN"/>
        </w:rPr>
        <w:t>廉政承诺书；</w:t>
      </w:r>
    </w:p>
    <w:p w14:paraId="369586A1">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11.2.7</w:t>
      </w:r>
      <w:r>
        <w:rPr>
          <w:rFonts w:hint="eastAsia" w:ascii="仿宋" w:hAnsi="仿宋" w:eastAsia="仿宋" w:cs="仿宋"/>
          <w:color w:val="auto"/>
          <w:sz w:val="24"/>
          <w:szCs w:val="24"/>
          <w:highlight w:val="none"/>
          <w:lang w:val="zh-CN"/>
        </w:rPr>
        <w:t>投标人认为需要提供的与投标评标有关的其他资料。</w:t>
      </w:r>
    </w:p>
    <w:p w14:paraId="29F26B8F">
      <w:pPr>
        <w:pageBreakBefore w:val="0"/>
        <w:kinsoku/>
        <w:wordWrap/>
        <w:overflowPunct/>
        <w:topLinePunct w:val="0"/>
        <w:bidi w:val="0"/>
        <w:adjustRightInd/>
        <w:spacing w:line="360" w:lineRule="auto"/>
        <w:ind w:firstLine="42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.3报价</w:t>
      </w:r>
      <w:r>
        <w:rPr>
          <w:rFonts w:hint="eastAsia" w:ascii="仿宋" w:hAnsi="仿宋" w:eastAsia="仿宋" w:cs="仿宋"/>
          <w:b/>
          <w:bCs/>
          <w:color w:val="auto"/>
          <w:sz w:val="24"/>
          <w:szCs w:val="24"/>
          <w:highlight w:val="none"/>
          <w:lang w:eastAsia="zh-CN"/>
        </w:rPr>
        <w:t>文件</w:t>
      </w:r>
    </w:p>
    <w:p w14:paraId="3C3BCF90">
      <w:pPr>
        <w:pageBreakBefore w:val="0"/>
        <w:tabs>
          <w:tab w:val="left" w:pos="399"/>
        </w:tabs>
        <w:kinsoku/>
        <w:wordWrap/>
        <w:overflowPunct/>
        <w:topLinePunct w:val="0"/>
        <w:bidi w:val="0"/>
        <w:adjustRightInd/>
        <w:spacing w:line="360" w:lineRule="auto"/>
        <w:ind w:firstLine="42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11.3.1</w:t>
      </w:r>
      <w:r>
        <w:rPr>
          <w:rFonts w:hint="eastAsia" w:ascii="仿宋" w:hAnsi="仿宋" w:eastAsia="仿宋" w:cs="仿宋"/>
          <w:b w:val="0"/>
          <w:bCs w:val="0"/>
          <w:color w:val="auto"/>
          <w:sz w:val="24"/>
          <w:szCs w:val="24"/>
          <w:highlight w:val="none"/>
          <w:lang w:val="zh-CN"/>
        </w:rPr>
        <w:t>开标一览表（</w:t>
      </w:r>
      <w:r>
        <w:rPr>
          <w:rFonts w:hint="eastAsia" w:ascii="仿宋" w:hAnsi="仿宋" w:eastAsia="仿宋" w:cs="仿宋"/>
          <w:b w:val="0"/>
          <w:bCs w:val="0"/>
          <w:color w:val="auto"/>
          <w:sz w:val="24"/>
          <w:szCs w:val="24"/>
          <w:highlight w:val="none"/>
        </w:rPr>
        <w:t>格式见附件</w:t>
      </w:r>
      <w:r>
        <w:rPr>
          <w:rFonts w:hint="eastAsia" w:ascii="仿宋" w:hAnsi="仿宋" w:eastAsia="仿宋" w:cs="仿宋"/>
          <w:b w:val="0"/>
          <w:bCs w:val="0"/>
          <w:color w:val="auto"/>
          <w:sz w:val="24"/>
          <w:szCs w:val="24"/>
          <w:highlight w:val="none"/>
          <w:lang w:val="zh-CN"/>
        </w:rPr>
        <w:t>）；</w:t>
      </w:r>
    </w:p>
    <w:p w14:paraId="3F999F3A">
      <w:pPr>
        <w:pageBreakBefore w:val="0"/>
        <w:tabs>
          <w:tab w:val="left" w:pos="399"/>
        </w:tabs>
        <w:kinsoku/>
        <w:wordWrap/>
        <w:overflowPunct/>
        <w:topLinePunct w:val="0"/>
        <w:bidi w:val="0"/>
        <w:adjustRightInd/>
        <w:spacing w:line="360" w:lineRule="auto"/>
        <w:ind w:firstLine="42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11.3.2投标报价明细表</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rPr>
        <w:t>格式见附件</w:t>
      </w:r>
      <w:r>
        <w:rPr>
          <w:rFonts w:hint="eastAsia" w:ascii="仿宋" w:hAnsi="仿宋" w:eastAsia="仿宋" w:cs="仿宋"/>
          <w:b w:val="0"/>
          <w:bCs w:val="0"/>
          <w:color w:val="auto"/>
          <w:sz w:val="24"/>
          <w:szCs w:val="24"/>
          <w:highlight w:val="none"/>
          <w:lang w:val="zh-CN"/>
        </w:rPr>
        <w:t>）；</w:t>
      </w:r>
    </w:p>
    <w:p w14:paraId="3E002DFA">
      <w:pPr>
        <w:pageBreakBefore w:val="0"/>
        <w:tabs>
          <w:tab w:val="left" w:pos="399"/>
        </w:tabs>
        <w:kinsoku/>
        <w:wordWrap/>
        <w:overflowPunct/>
        <w:topLinePunct w:val="0"/>
        <w:bidi w:val="0"/>
        <w:adjustRightInd/>
        <w:spacing w:line="360" w:lineRule="auto"/>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11.3.3</w:t>
      </w:r>
      <w:r>
        <w:rPr>
          <w:rFonts w:hint="eastAsia" w:ascii="仿宋" w:hAnsi="仿宋" w:eastAsia="仿宋" w:cs="仿宋"/>
          <w:b w:val="0"/>
          <w:bCs w:val="0"/>
          <w:color w:val="auto"/>
          <w:sz w:val="24"/>
          <w:szCs w:val="24"/>
          <w:highlight w:val="none"/>
        </w:rPr>
        <w:t>投标人针对报价需要说明的其他文件和说明，格式自拟。</w:t>
      </w:r>
    </w:p>
    <w:p w14:paraId="5DFD3FB5">
      <w:pPr>
        <w:pageBreakBefore w:val="0"/>
        <w:tabs>
          <w:tab w:val="left" w:pos="399"/>
        </w:tabs>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.4投标时提供的人员、业绩、荣誉、资质、项目案例等，必须为投标人本身所具有。</w:t>
      </w:r>
    </w:p>
    <w:bookmarkEnd w:id="12"/>
    <w:bookmarkEnd w:id="13"/>
    <w:p w14:paraId="69159F4E">
      <w:pPr>
        <w:adjustRightInd w:val="0"/>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124D23DA">
      <w:pPr>
        <w:adjustRightInd w:val="0"/>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szCs w:val="24"/>
          <w:highlight w:val="none"/>
        </w:rPr>
        <w:t>投标人提供虚假材料投标的，投标无效。</w:t>
      </w:r>
    </w:p>
    <w:p w14:paraId="776B9F9E">
      <w:pPr>
        <w:widowControl w:val="0"/>
        <w:adjustRightInd w:val="0"/>
        <w:snapToGrid w:val="0"/>
        <w:spacing w:before="0" w:line="360" w:lineRule="auto"/>
        <w:ind w:firstLine="0" w:firstLineChars="0"/>
        <w:jc w:val="both"/>
        <w:outlineLvl w:val="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12</w:t>
      </w:r>
      <w:r>
        <w:rPr>
          <w:rFonts w:hint="eastAsia" w:ascii="仿宋" w:hAnsi="仿宋" w:eastAsia="仿宋" w:cs="仿宋"/>
          <w:b/>
          <w:color w:val="auto"/>
          <w:kern w:val="0"/>
          <w:sz w:val="24"/>
          <w:szCs w:val="24"/>
          <w:highlight w:val="none"/>
          <w:lang w:val="zh-CN" w:eastAsia="zh-CN" w:bidi="ar-SA"/>
        </w:rPr>
        <w:t>.</w:t>
      </w:r>
      <w:r>
        <w:rPr>
          <w:rFonts w:hint="eastAsia" w:ascii="仿宋" w:hAnsi="仿宋" w:eastAsia="仿宋" w:cs="仿宋"/>
          <w:b/>
          <w:color w:val="auto"/>
          <w:kern w:val="2"/>
          <w:sz w:val="24"/>
          <w:szCs w:val="24"/>
          <w:highlight w:val="none"/>
          <w:lang w:val="en-US" w:eastAsia="zh-CN" w:bidi="ar-SA"/>
        </w:rPr>
        <w:t>投标文件的编制</w:t>
      </w:r>
    </w:p>
    <w:p w14:paraId="293A481E">
      <w:pPr>
        <w:adjustRightIn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5693F367">
      <w:pPr>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1084A837">
      <w:pPr>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12.3使用“乐采云电子交易客户端”需要提前申领CA数字证书，申领流程请自行前往“浙江政府采购网-下载专区-电子交易客户端-CA驱动和申领流程”进行查阅。</w:t>
      </w:r>
    </w:p>
    <w:p w14:paraId="1C0E1D11">
      <w:pPr>
        <w:adjustRightInd w:val="0"/>
        <w:snapToGri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4361A52C">
      <w:pPr>
        <w:widowControl w:val="0"/>
        <w:adjustRightInd w:val="0"/>
        <w:snapToGrid w:val="0"/>
        <w:spacing w:before="0" w:line="360" w:lineRule="auto"/>
        <w:ind w:firstLine="480" w:firstLineChars="20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13.1投标文件按照招标文件第六部分格式要</w:t>
      </w:r>
      <w:r>
        <w:rPr>
          <w:rFonts w:hint="eastAsia" w:ascii="仿宋" w:hAnsi="仿宋" w:eastAsia="仿宋" w:cs="仿宋"/>
          <w:color w:val="auto"/>
          <w:kern w:val="2"/>
          <w:sz w:val="24"/>
          <w:szCs w:val="20"/>
          <w:highlight w:val="none"/>
          <w:lang w:val="en-US" w:eastAsia="zh-CN" w:bidi="ar-SA"/>
        </w:rPr>
        <w:t>求进行签署、盖章。</w:t>
      </w:r>
      <w:r>
        <w:rPr>
          <w:rFonts w:hint="eastAsia" w:ascii="仿宋" w:hAnsi="仿宋" w:eastAsia="仿宋" w:cs="仿宋"/>
          <w:b/>
          <w:color w:val="auto"/>
          <w:kern w:val="2"/>
          <w:sz w:val="24"/>
          <w:szCs w:val="20"/>
          <w:highlight w:val="none"/>
          <w:lang w:val="en-US" w:eastAsia="zh-CN" w:bidi="ar-SA"/>
        </w:rPr>
        <w:t>★投标人的投标文件未按照招标文件要求签署、盖章的，其投标无效</w:t>
      </w:r>
      <w:r>
        <w:rPr>
          <w:rFonts w:hint="eastAsia" w:ascii="仿宋" w:hAnsi="仿宋" w:eastAsia="仿宋" w:cs="仿宋"/>
          <w:color w:val="auto"/>
          <w:kern w:val="2"/>
          <w:sz w:val="24"/>
          <w:szCs w:val="24"/>
          <w:highlight w:val="none"/>
          <w:lang w:val="en-US" w:eastAsia="zh-CN" w:bidi="ar-SA"/>
        </w:rPr>
        <w:t>。</w:t>
      </w:r>
    </w:p>
    <w:p w14:paraId="72AB0D77">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13.2为确保网上操作合法、有效和安全，投标人应当在投标截止时间前完成在“采购云平台”的身份认证，确保在电子投标过程中能够对相关数据电文进行加密和使用电子签名。</w:t>
      </w:r>
    </w:p>
    <w:p w14:paraId="481817A6">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13.3招标文件对投标文件签署、盖章的要求适用于电子签名。</w:t>
      </w:r>
    </w:p>
    <w:p w14:paraId="7D8D3781">
      <w:pPr>
        <w:widowControl w:val="0"/>
        <w:adjustRightInd w:val="0"/>
        <w:spacing w:before="0" w:line="360" w:lineRule="auto"/>
        <w:ind w:firstLine="0" w:firstLineChars="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14.投标文件的提交、补充、修改、撤回</w:t>
      </w:r>
    </w:p>
    <w:p w14:paraId="4BB2DAA4">
      <w:pPr>
        <w:widowControl w:val="0"/>
        <w:adjustRightInd w:val="0"/>
        <w:spacing w:before="156"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35973A">
      <w:pPr>
        <w:widowControl w:val="0"/>
        <w:adjustRightIn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14.2电子交易平台收到投标文件，将妥善保存并即时向供应商发出确认回执通知。在投标截止时间前，除供应商补充、修改或者撤回投标文件外，任何单位和个人不得解密或提取投标文件。</w:t>
      </w:r>
    </w:p>
    <w:p w14:paraId="5E71BCF3">
      <w:pPr>
        <w:widowControl w:val="0"/>
        <w:adjustRightIn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14.3采购人、采购机构可以视情况延长投标文件提交的截止时间。在上述情况下，采购机构与投标人以前在投标截止期方面的全部权利、责任和义务，将适用于延长至新的投标截止期。</w:t>
      </w:r>
    </w:p>
    <w:p w14:paraId="60D7F48E">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15.备份投标文件</w:t>
      </w:r>
    </w:p>
    <w:p w14:paraId="14AA89D3">
      <w:pPr>
        <w:widowControl w:val="0"/>
        <w:adjustRightInd w:val="0"/>
        <w:spacing w:line="360" w:lineRule="auto"/>
        <w:ind w:firstLine="360" w:firstLineChars="15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15.1投标人在电子交易平台传输递交投标文件后，还可以在投标截止时间前直接提交或者以邮政快递方式递交备份投标文件1份，</w:t>
      </w:r>
      <w:r>
        <w:rPr>
          <w:rFonts w:hint="eastAsia" w:ascii="仿宋" w:hAnsi="仿宋" w:eastAsia="仿宋" w:cs="仿宋"/>
          <w:b/>
          <w:snapToGrid w:val="0"/>
          <w:color w:val="auto"/>
          <w:kern w:val="2"/>
          <w:sz w:val="24"/>
          <w:szCs w:val="24"/>
          <w:highlight w:val="none"/>
          <w:lang w:val="en-US" w:eastAsia="zh-CN" w:bidi="ar-SA"/>
        </w:rPr>
        <w:t>但采购人、采购机构不强制或变相强制投标人提交备份投标文件。</w:t>
      </w:r>
    </w:p>
    <w:p w14:paraId="0E5C6817">
      <w:pPr>
        <w:widowControl w:val="0"/>
        <w:adjustRightInd w:val="0"/>
        <w:spacing w:line="360" w:lineRule="auto"/>
        <w:ind w:firstLine="480"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15.2备份投标文件须在“乐采云投标客户端”制作生成，并储存在</w:t>
      </w:r>
      <w:r>
        <w:rPr>
          <w:rFonts w:hint="eastAsia" w:ascii="仿宋" w:hAnsi="仿宋" w:eastAsia="仿宋" w:cs="仿宋"/>
          <w:snapToGrid w:val="0"/>
          <w:color w:val="auto"/>
          <w:kern w:val="2"/>
          <w:sz w:val="24"/>
          <w:szCs w:val="21"/>
          <w:highlight w:val="none"/>
          <w:lang w:val="en-US" w:eastAsia="zh-CN" w:bidi="ar-SA"/>
        </w:rPr>
        <w:t>U盘</w:t>
      </w:r>
      <w:r>
        <w:rPr>
          <w:rFonts w:hint="eastAsia" w:ascii="仿宋" w:hAnsi="仿宋" w:eastAsia="仿宋" w:cs="仿宋"/>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napToGrid w:val="0"/>
          <w:color w:val="auto"/>
          <w:kern w:val="2"/>
          <w:sz w:val="24"/>
          <w:szCs w:val="21"/>
          <w:highlight w:val="none"/>
          <w:lang w:val="en-US" w:eastAsia="zh-CN" w:bidi="ar-SA"/>
        </w:rPr>
        <w:t>不符合上述制作、</w:t>
      </w:r>
      <w:r>
        <w:rPr>
          <w:rFonts w:hint="eastAsia" w:ascii="仿宋" w:hAnsi="仿宋" w:eastAsia="仿宋" w:cs="仿宋"/>
          <w:b/>
          <w:snapToGrid w:val="0"/>
          <w:color w:val="auto"/>
          <w:kern w:val="2"/>
          <w:sz w:val="24"/>
          <w:szCs w:val="24"/>
          <w:highlight w:val="none"/>
          <w:lang w:val="en-US" w:eastAsia="zh-CN" w:bidi="ar-SA"/>
        </w:rPr>
        <w:t>存储、密封规定的备份投标文件将被视为无效或者被拒绝接收。</w:t>
      </w:r>
    </w:p>
    <w:p w14:paraId="7248E7F8">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15.3直接提交备份投标文件的，投标人应于投标截止时间前在招标公告中载明的开标地点将备份投标文件提交给采购机构，采购机构将拒绝接受逾期送达的备份投标文件。</w:t>
      </w:r>
    </w:p>
    <w:p w14:paraId="794CAB85">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kern w:val="2"/>
          <w:sz w:val="24"/>
          <w:szCs w:val="24"/>
          <w:highlight w:val="none"/>
          <w:lang w:val="en-US" w:eastAsia="zh-CN" w:bidi="ar-SA"/>
        </w:rPr>
        <w:t>招标文件第二部分投标人须知前附表规定的备份投标文件送达地点；</w:t>
      </w:r>
      <w:r>
        <w:rPr>
          <w:rFonts w:hint="eastAsia" w:ascii="仿宋" w:hAnsi="仿宋" w:eastAsia="仿宋" w:cs="仿宋"/>
          <w:snapToGrid w:val="0"/>
          <w:color w:val="auto"/>
          <w:kern w:val="2"/>
          <w:sz w:val="24"/>
          <w:szCs w:val="24"/>
          <w:highlight w:val="none"/>
          <w:lang w:val="en-US" w:eastAsia="zh-CN" w:bidi="ar-SA"/>
        </w:rPr>
        <w:t>送达时间以签收人签收时间为准。采购机构将拒绝接受逾期送达的备份投标文件。邮寄过程中，电子备份投标文件发生泄露、遗失、损坏或延期送达等情况的，由投标人自行负责。</w:t>
      </w:r>
    </w:p>
    <w:p w14:paraId="40FF7FB7">
      <w:pPr>
        <w:widowControl w:val="0"/>
        <w:adjustRightInd w:val="0"/>
        <w:spacing w:line="360" w:lineRule="auto"/>
        <w:ind w:firstLine="479" w:firstLineChars="199"/>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15.5投标人仅提交备份投标文件，没有在电子交易平台传输递交投标文件的，投标无效。</w:t>
      </w:r>
    </w:p>
    <w:p w14:paraId="7DE1230E">
      <w:pPr>
        <w:widowControl w:val="0"/>
        <w:adjustRightInd w:val="0"/>
        <w:spacing w:before="0" w:line="360" w:lineRule="auto"/>
        <w:ind w:firstLine="0" w:firstLineChars="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16.投标文件的无效处理</w:t>
      </w:r>
    </w:p>
    <w:p w14:paraId="2E904515">
      <w:pPr>
        <w:pageBreakBefore w:val="0"/>
        <w:widowControl w:val="0"/>
        <w:kinsoku/>
        <w:wordWrap/>
        <w:overflowPunct/>
        <w:topLinePunct w:val="0"/>
        <w:autoSpaceDE/>
        <w:autoSpaceDN/>
        <w:bidi w:val="0"/>
        <w:adjustRightInd w:val="0"/>
        <w:spacing w:line="360" w:lineRule="auto"/>
        <w:ind w:left="546" w:leftChars="114" w:hanging="307" w:hangingChars="128"/>
        <w:jc w:val="both"/>
        <w:textAlignment w:val="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有下列情况之一的，投标无效：</w:t>
      </w:r>
    </w:p>
    <w:p w14:paraId="61B4A7D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1投标人不具备招标文件中规定的资格要求的（投标人未提供有效的资格文件的，视为投标人不具备招标文件中规定的资格要求）；</w:t>
      </w:r>
    </w:p>
    <w:p w14:paraId="21EA9D9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2投标文件未按照招标文件要求签署、盖章的；</w:t>
      </w:r>
    </w:p>
    <w:p w14:paraId="1E5B201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3采购人拟采购的产品属于政府强制采购的节能产品品目清单范围的，投标人未按招标文件要求提供国家确定的认证机构出具的、处于有效期之内的节能产品认证证书的；</w:t>
      </w:r>
    </w:p>
    <w:p w14:paraId="461195A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4投标文件含有采购人不能接受的附加条件的；</w:t>
      </w:r>
    </w:p>
    <w:p w14:paraId="6527047F">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5投标文件中承诺的投标有效期少于招标文件中载明的投标有效期的；</w:t>
      </w:r>
    </w:p>
    <w:p w14:paraId="6CFE80E9">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6投标文件出现不是唯一的、有选择性投标报价的;</w:t>
      </w:r>
    </w:p>
    <w:p w14:paraId="4EDB78F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7投标报价超过招标文件中规定的预算金额或者最高限价的;</w:t>
      </w:r>
    </w:p>
    <w:p w14:paraId="3EEBC8EF">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8报价明显低于其他通过符合性审查投标人的报价，有可能影响产品质量或者不能诚信履约的，未能按要求提供书面说明或者提交相关证明材料，不能证明其报价合理性的;</w:t>
      </w:r>
    </w:p>
    <w:p w14:paraId="735047E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9投标人对根据修正原则修正后的报价不确认的；</w:t>
      </w:r>
    </w:p>
    <w:p w14:paraId="4B73561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10投标人提供虚假材料投标的；</w:t>
      </w:r>
    </w:p>
    <w:p w14:paraId="7436558F">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11投标人有恶意串通、妨碍其他投标人的竞争行为、损害采购人或者其他投标人的合法权益情形的；</w:t>
      </w:r>
    </w:p>
    <w:p w14:paraId="2E37356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12投标人仅提交备份投标文件，没有在电子交易平台传输递交投标文件的，投标无效；</w:t>
      </w:r>
    </w:p>
    <w:p w14:paraId="2AFDA175">
      <w:pPr>
        <w:keepNext/>
        <w:keepLines/>
        <w:pageBreakBefore w:val="0"/>
        <w:widowControl w:val="0"/>
        <w:tabs>
          <w:tab w:val="left" w:pos="432"/>
        </w:tabs>
        <w:kinsoku/>
        <w:wordWrap/>
        <w:overflowPunct/>
        <w:topLinePunct w:val="0"/>
        <w:autoSpaceDE/>
        <w:autoSpaceDN/>
        <w:bidi w:val="0"/>
        <w:adjustRightInd/>
        <w:spacing w:line="360" w:lineRule="auto"/>
        <w:ind w:left="488" w:leftChars="228" w:hanging="9" w:hangingChars="4"/>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16.1.13 投标文件不满足招标文件的其它实质性要求的；</w:t>
      </w:r>
    </w:p>
    <w:p w14:paraId="2104CB9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14法律、法规、规章（适用本市的）及省级以上规范性文件（适用本市的）规定的其他无效情形。</w:t>
      </w:r>
    </w:p>
    <w:p w14:paraId="50C2B299">
      <w:pPr>
        <w:pageBreakBefore w:val="0"/>
        <w:widowControl w:val="0"/>
        <w:kinsoku/>
        <w:wordWrap/>
        <w:overflowPunct/>
        <w:topLinePunct w:val="0"/>
        <w:autoSpaceDE/>
        <w:autoSpaceDN/>
        <w:bidi w:val="0"/>
        <w:adjustRightInd w:val="0"/>
        <w:snapToGrid w:val="0"/>
        <w:spacing w:line="360" w:lineRule="auto"/>
        <w:ind w:left="0" w:leftChars="0" w:firstLine="472" w:firstLineChars="196"/>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16.2废标。</w:t>
      </w:r>
      <w:r>
        <w:rPr>
          <w:rFonts w:hint="eastAsia" w:ascii="仿宋" w:hAnsi="仿宋" w:eastAsia="仿宋" w:cs="仿宋"/>
          <w:color w:val="auto"/>
          <w:kern w:val="2"/>
          <w:sz w:val="24"/>
          <w:szCs w:val="24"/>
          <w:highlight w:val="none"/>
          <w:lang w:val="en-US" w:eastAsia="zh-CN" w:bidi="ar-SA"/>
        </w:rPr>
        <w:t>根据《中华人民共和国政府采购法》第三十六条之规定，在采购中，出现下列情形之一的，应予废标：</w:t>
      </w:r>
    </w:p>
    <w:p w14:paraId="62EE8D1D">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16.2.1符合专业条件的供应商或者对招标文件作实质响应的供应商不足3家的；</w:t>
      </w:r>
    </w:p>
    <w:p w14:paraId="00AB7775">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16.2.2出现影响采购公正的违法、违规行为的；</w:t>
      </w:r>
    </w:p>
    <w:p w14:paraId="75E69399">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16.2.3投标人的报价均超过了采购预算，采购人不能支付的；</w:t>
      </w:r>
    </w:p>
    <w:p w14:paraId="40C6D0A4">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16.2.4因重大变故，采购任务取消的。</w:t>
      </w:r>
    </w:p>
    <w:p w14:paraId="7311D1F6">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废标后，采购机构应当将废标理由通知所有投标人。</w:t>
      </w:r>
    </w:p>
    <w:p w14:paraId="0BA9D98D">
      <w:pPr>
        <w:widowControl w:val="0"/>
        <w:adjustRightInd w:val="0"/>
        <w:spacing w:before="0" w:line="360" w:lineRule="auto"/>
        <w:ind w:firstLine="0" w:firstLineChars="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17.投标有效期</w:t>
      </w:r>
    </w:p>
    <w:p w14:paraId="758D6DE2">
      <w:pPr>
        <w:adjustRightInd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宋体" w:hAnsi="宋体" w:eastAsia="宋体" w:cs="宋体"/>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5B18795">
      <w:pPr>
        <w:widowControl w:val="0"/>
        <w:adjustRightIn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17.2投标文件合格投递后，自投标截止日期起，在投标有效期内有效。</w:t>
      </w:r>
    </w:p>
    <w:p w14:paraId="31E458DB">
      <w:pPr>
        <w:widowControl w:val="0"/>
        <w:adjustRightIn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17.3在原定投标有效期满之前，如果出现特殊情况，采购机构可以以书面形式通知投标人延长投标有效期。投标人同意延长的，不得要求或被允许修改其投标文件，投标人拒绝延长的，其投标无效。</w:t>
      </w:r>
    </w:p>
    <w:p w14:paraId="2F69098B">
      <w:pPr>
        <w:widowControl w:val="0"/>
        <w:adjustRightInd w:val="0"/>
        <w:spacing w:before="0" w:line="360" w:lineRule="auto"/>
        <w:ind w:left="0" w:leftChars="0" w:firstLine="0" w:firstLineChars="0"/>
        <w:jc w:val="center"/>
        <w:rPr>
          <w:rFonts w:hint="default" w:ascii="仿宋" w:hAnsi="仿宋" w:eastAsia="仿宋" w:cs="仿宋"/>
          <w:b/>
          <w:color w:val="auto"/>
          <w:kern w:val="2"/>
          <w:sz w:val="32"/>
          <w:szCs w:val="20"/>
          <w:highlight w:val="none"/>
          <w:lang w:val="en-US" w:eastAsia="zh-CN" w:bidi="ar-SA"/>
        </w:rPr>
      </w:pPr>
      <w:r>
        <w:rPr>
          <w:rFonts w:hint="eastAsia" w:ascii="仿宋" w:hAnsi="仿宋" w:eastAsia="仿宋" w:cs="仿宋"/>
          <w:b/>
          <w:color w:val="auto"/>
          <w:kern w:val="2"/>
          <w:sz w:val="32"/>
          <w:szCs w:val="20"/>
          <w:highlight w:val="none"/>
          <w:lang w:val="en-US" w:eastAsia="zh-CN" w:bidi="ar-SA"/>
        </w:rPr>
        <w:t>四、开标</w:t>
      </w:r>
    </w:p>
    <w:p w14:paraId="0044857A">
      <w:pPr>
        <w:widowControl w:val="0"/>
        <w:autoSpaceDE w:val="0"/>
        <w:autoSpaceDN w:val="0"/>
        <w:adjustRightInd w:val="0"/>
        <w:spacing w:before="0" w:line="360" w:lineRule="auto"/>
        <w:ind w:left="0" w:leftChars="0" w:firstLine="0" w:firstLineChars="0"/>
        <w:contextualSpacing/>
        <w:jc w:val="both"/>
        <w:rPr>
          <w:rFonts w:hint="eastAsia" w:ascii="仿宋" w:hAnsi="仿宋" w:eastAsia="仿宋" w:cs="仿宋"/>
          <w:color w:val="auto"/>
          <w:sz w:val="24"/>
          <w:szCs w:val="22"/>
          <w:highlight w:val="none"/>
          <w:lang w:val="en-US" w:eastAsia="zh-CN" w:bidi="ar-SA"/>
        </w:rPr>
      </w:pPr>
      <w:r>
        <w:rPr>
          <w:rFonts w:hint="eastAsia" w:ascii="仿宋" w:hAnsi="仿宋" w:eastAsia="仿宋" w:cs="仿宋"/>
          <w:b/>
          <w:color w:val="auto"/>
          <w:sz w:val="24"/>
          <w:szCs w:val="24"/>
          <w:highlight w:val="none"/>
          <w:lang w:val="en-US" w:eastAsia="zh-CN" w:bidi="ar-SA"/>
        </w:rPr>
        <w:t>18.开标</w:t>
      </w:r>
    </w:p>
    <w:p w14:paraId="0E9A77FC">
      <w:pPr>
        <w:widowControl w:val="0"/>
        <w:autoSpaceDE w:val="0"/>
        <w:autoSpaceDN w:val="0"/>
        <w:adjustRightInd w:val="0"/>
        <w:spacing w:before="0" w:line="360" w:lineRule="auto"/>
        <w:ind w:left="0" w:firstLine="480" w:firstLineChars="200"/>
        <w:contextualSpacing/>
        <w:jc w:val="both"/>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18.1采购机构按照招标文件规定的时间通过电子交易平台组织开标，所有投标人均应当准时在线参加。投标人不足3家的，不得开标。</w:t>
      </w:r>
    </w:p>
    <w:p w14:paraId="4D35ABD5">
      <w:pPr>
        <w:widowControl w:val="0"/>
        <w:autoSpaceDE w:val="0"/>
        <w:autoSpaceDN w:val="0"/>
        <w:adjustRightInd w:val="0"/>
        <w:spacing w:before="0" w:line="360" w:lineRule="auto"/>
        <w:ind w:left="0" w:firstLine="240" w:firstLineChars="100"/>
        <w:contextualSpacing/>
        <w:jc w:val="both"/>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　18.2开标时，电子交易平台按开标时间自动提取所有投标文件。采购机构依托电子交易平台发起开始解密指令，投标人按照平台提示和招标文件的规定在半小时内完成在线解密。</w:t>
      </w:r>
    </w:p>
    <w:p w14:paraId="58956BAE">
      <w:pPr>
        <w:widowControl w:val="0"/>
        <w:autoSpaceDE w:val="0"/>
        <w:autoSpaceDN w:val="0"/>
        <w:adjustRightInd w:val="0"/>
        <w:spacing w:before="0" w:line="360" w:lineRule="auto"/>
        <w:ind w:left="0" w:firstLine="240" w:firstLineChars="100"/>
        <w:contextualSpacing/>
        <w:jc w:val="both"/>
        <w:rPr>
          <w:rFonts w:hint="eastAsia" w:ascii="仿宋" w:hAnsi="仿宋" w:eastAsia="仿宋" w:cs="仿宋"/>
          <w:b/>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　18.3</w:t>
      </w:r>
      <w:r>
        <w:rPr>
          <w:rFonts w:hint="eastAsia" w:ascii="仿宋" w:hAnsi="仿宋" w:eastAsia="仿宋" w:cs="仿宋"/>
          <w:b/>
          <w:color w:val="auto"/>
          <w:sz w:val="24"/>
          <w:szCs w:val="22"/>
          <w:highlight w:val="none"/>
          <w:lang w:val="en-US" w:eastAsia="zh-CN" w:bidi="ar-SA"/>
        </w:rPr>
        <w:t>投标文件未按时解密，投标人提供了备份投标文件的，以备份投标文件作为依据，否则视为投标文件撤回。投标文件已按时解密的，备份投标文件自动失效。</w:t>
      </w:r>
    </w:p>
    <w:p w14:paraId="6F8E42DD">
      <w:pPr>
        <w:widowControl/>
        <w:adjustRightInd w:val="0"/>
        <w:spacing w:before="100" w:beforeAutospacing="1" w:after="240" w:line="360" w:lineRule="auto"/>
        <w:ind w:firstLine="0" w:firstLineChars="0"/>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0D2C166B">
      <w:pPr>
        <w:widowControl w:val="0"/>
        <w:adjustRightInd w:val="0"/>
        <w:spacing w:before="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19.1依据法律、法规和招标文件规定，采购人或采购人代表或采购代理机构对投标人进行资格审查，以确定投标人是否具备投标资格。</w:t>
      </w:r>
    </w:p>
    <w:p w14:paraId="1FAFCAC4">
      <w:pPr>
        <w:adjustRightInd w:val="0"/>
        <w:snapToGrid w:val="0"/>
        <w:spacing w:line="360" w:lineRule="auto"/>
        <w:ind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CD033CE">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20</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64C53AA9">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E567BFD">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0745950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48AF24B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4报价评审。</w:t>
      </w:r>
    </w:p>
    <w:p w14:paraId="032B881A">
      <w:pPr>
        <w:pageBreakBefore w:val="0"/>
        <w:widowControl w:val="0"/>
        <w:kinsoku/>
        <w:wordWrap/>
        <w:overflowPunct/>
        <w:topLinePunct w:val="0"/>
        <w:autoSpaceDE/>
        <w:autoSpaceDN/>
        <w:bidi w:val="0"/>
        <w:adjustRightInd w:val="0"/>
        <w:spacing w:before="0" w:line="360" w:lineRule="auto"/>
        <w:ind w:left="0" w:leftChars="0" w:firstLine="508" w:firstLineChars="212"/>
        <w:jc w:val="both"/>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20.4.1投标文件报价出现前后不一致的，按照下列规定修正：</w:t>
      </w:r>
    </w:p>
    <w:p w14:paraId="58FCC9A7">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20.4.1.1投标文件中开标一览表(报价表)内容与投标文件中相应内容不一致的，以开标一览表(报价表)为准;</w:t>
      </w:r>
    </w:p>
    <w:p w14:paraId="17189A6C">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20.4.1.2大写金额和小写金额不一致的，以大写金额为准;</w:t>
      </w:r>
    </w:p>
    <w:p w14:paraId="2D1E1838">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20.4.1.3单价金额小数点或者百分比有明显错位的，以开标一览表的总价为准，并修改单价;</w:t>
      </w:r>
    </w:p>
    <w:p w14:paraId="540570B6">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20.4.1.4总价金额与按单价汇总金额不一致的，以单价金额计算结果为准。</w:t>
      </w:r>
    </w:p>
    <w:p w14:paraId="2CFDDD3F">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20.4.1.5同时出现两种以上不一致的，按照20.4.1规定的顺序修正。修正后的报价按照财政部第87号令 《政府采购货物和服务招标投标管理办法》第五十一条第二款的规定经投标人确认后产生约束力。</w:t>
      </w:r>
    </w:p>
    <w:p w14:paraId="36D31A6E">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20.</w:t>
      </w:r>
      <w:r>
        <w:rPr>
          <w:rFonts w:hint="eastAsia" w:ascii="仿宋" w:hAnsi="仿宋" w:eastAsia="仿宋" w:cs="仿宋"/>
          <w:color w:val="auto"/>
          <w:kern w:val="0"/>
          <w:sz w:val="24"/>
          <w:szCs w:val="24"/>
          <w:highlight w:val="none"/>
        </w:rPr>
        <w:t>4.2投标文件出现不是唯一的、有选择性投标报价的，投标无效。</w:t>
      </w:r>
    </w:p>
    <w:p w14:paraId="18F23F70">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20.</w:t>
      </w:r>
      <w:r>
        <w:rPr>
          <w:rFonts w:hint="eastAsia" w:ascii="仿宋" w:hAnsi="仿宋" w:eastAsia="仿宋" w:cs="仿宋"/>
          <w:color w:val="auto"/>
          <w:kern w:val="0"/>
          <w:sz w:val="24"/>
          <w:szCs w:val="24"/>
          <w:highlight w:val="none"/>
        </w:rPr>
        <w:t>4.3投标报价超过招标文件中规定的预算金额或者最高限价的，投标无效。</w:t>
      </w:r>
    </w:p>
    <w:p w14:paraId="27BD8438">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0ED008">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652A6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C106A8">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C3C31A">
      <w:pPr>
        <w:adjustRightInd w:val="0"/>
        <w:snapToGrid w:val="0"/>
        <w:spacing w:line="360" w:lineRule="auto"/>
        <w:ind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62FC4CF1">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21.确定中标供应商</w:t>
      </w:r>
    </w:p>
    <w:p w14:paraId="498484C3">
      <w:pPr>
        <w:widowControl w:val="0"/>
        <w:adjustRightInd w:val="0"/>
        <w:snapToGrid w:val="0"/>
        <w:spacing w:before="0" w:line="360" w:lineRule="auto"/>
        <w:ind w:firstLine="480" w:firstLineChars="20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38D09749">
      <w:pPr>
        <w:widowControl w:val="0"/>
        <w:adjustRightInd w:val="0"/>
        <w:snapToGrid w:val="0"/>
        <w:spacing w:before="0" w:line="360" w:lineRule="auto"/>
        <w:ind w:firstLine="0" w:firstLineChars="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22.中标通知与中标结果公告</w:t>
      </w:r>
    </w:p>
    <w:p w14:paraId="1602D4A4">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22.1自中标人确定之日起2个工作日内，采购机构编制发布采购结果公告，同时通过电子交易平台或纸质形式向中标人发出中标通知书。</w:t>
      </w:r>
    </w:p>
    <w:p w14:paraId="12A23D17">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22.2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具体信息以乐采云系统模板为准）。</w:t>
      </w:r>
    </w:p>
    <w:p w14:paraId="701A97CB">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22.3公告期限为1个工作日。</w:t>
      </w:r>
    </w:p>
    <w:p w14:paraId="7FB86F4E">
      <w:pPr>
        <w:adjustRightInd w:val="0"/>
        <w:snapToGrid w:val="0"/>
        <w:spacing w:line="360" w:lineRule="auto"/>
        <w:ind w:left="120" w:leftChars="57" w:firstLine="482" w:firstLineChars="150"/>
        <w:jc w:val="center"/>
        <w:rPr>
          <w:rFonts w:hint="eastAsia" w:ascii="仿宋" w:hAnsi="仿宋" w:eastAsia="仿宋" w:cs="仿宋"/>
          <w:b/>
          <w:color w:val="auto"/>
          <w:sz w:val="32"/>
          <w:szCs w:val="24"/>
          <w:highlight w:val="none"/>
        </w:rPr>
      </w:pPr>
      <w:r>
        <w:rPr>
          <w:rFonts w:hint="eastAsia" w:ascii="仿宋" w:hAnsi="仿宋" w:eastAsia="仿宋" w:cs="仿宋"/>
          <w:b/>
          <w:color w:val="auto"/>
          <w:sz w:val="32"/>
          <w:szCs w:val="24"/>
          <w:highlight w:val="none"/>
        </w:rPr>
        <w:t>七、合同授予</w:t>
      </w:r>
    </w:p>
    <w:p w14:paraId="546BABCE">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23.</w:t>
      </w:r>
      <w:r>
        <w:rPr>
          <w:rFonts w:hint="eastAsia" w:ascii="仿宋" w:hAnsi="仿宋" w:eastAsia="仿宋" w:cs="仿宋"/>
          <w:color w:val="auto"/>
          <w:kern w:val="2"/>
          <w:sz w:val="24"/>
          <w:szCs w:val="24"/>
          <w:highlight w:val="none"/>
          <w:lang w:val="en-US" w:eastAsia="zh-CN" w:bidi="ar-SA"/>
        </w:rPr>
        <w:t>合同主要条款详见第五部分拟签订的合同文本。</w:t>
      </w:r>
    </w:p>
    <w:p w14:paraId="53565DDE">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24.合同的签订</w:t>
      </w:r>
    </w:p>
    <w:p w14:paraId="136850F2">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24.1采购人与中标人应当通过电子交易平台在中标通知书发出之日起三十日内，按照招标文件确定的事项签订采购合同，并在合同签订之日起2个工作日内依法发布合同公告。</w:t>
      </w:r>
    </w:p>
    <w:p w14:paraId="4AB2729A">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2</w:t>
      </w:r>
      <w:r>
        <w:rPr>
          <w:rFonts w:hint="eastAsia" w:ascii="仿宋" w:hAnsi="仿宋" w:eastAsia="仿宋" w:cs="仿宋"/>
          <w:color w:val="auto"/>
          <w:kern w:val="2"/>
          <w:sz w:val="24"/>
          <w:szCs w:val="20"/>
          <w:highlight w:val="none"/>
          <w:lang w:val="en-US" w:eastAsia="zh-CN" w:bidi="ar-SA"/>
        </w:rPr>
        <w:t>4</w:t>
      </w:r>
      <w:r>
        <w:rPr>
          <w:rFonts w:hint="eastAsia" w:ascii="仿宋" w:hAnsi="仿宋" w:eastAsia="仿宋" w:cs="仿宋"/>
          <w:color w:val="auto"/>
          <w:kern w:val="2"/>
          <w:sz w:val="24"/>
          <w:szCs w:val="20"/>
          <w:highlight w:val="none"/>
          <w:lang w:val="zh-CN" w:eastAsia="zh-CN" w:bidi="ar-SA"/>
        </w:rPr>
        <w:t>.2中标人按规定的日期、时间、地点，由法定代表人或其授权代表与采购人代表签订合同。如中标人为联合体的，由联合体成员各方法定代表人或其授权代表与采购人代表签订合同。</w:t>
      </w:r>
    </w:p>
    <w:p w14:paraId="398939AB">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24.3如签订合同并生效后，供应商无故拒绝或延期，除按照合同条款处理外，列入不良行为记录一次，并给予通报。</w:t>
      </w:r>
    </w:p>
    <w:p w14:paraId="3AB4C709">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24.4中标供应商拒绝与采购人签订合同的，采购人重新开展采购活动。</w:t>
      </w:r>
    </w:p>
    <w:p w14:paraId="32B2039B">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24.5采购合同由采购人与中标供应商根据招标文件、投标文件等内容的约定进行合同签订，并提交（代理机构或采购人）进行备案。</w:t>
      </w:r>
    </w:p>
    <w:p w14:paraId="7AA325AD">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25.履约保证金</w:t>
      </w:r>
    </w:p>
    <w:p w14:paraId="2188488D">
      <w:pPr>
        <w:adjustRightInd w:val="0"/>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履约保证金按合同金额的1%计取，中标单位中标通知书发出后5个工作日内向采购人递交履约保证金，履约保证金待项目完工验收合格且无违约问题后30日内无息退回。</w:t>
      </w:r>
    </w:p>
    <w:p w14:paraId="559A3D55">
      <w:pPr>
        <w:pageBreakBefore w:val="0"/>
        <w:kinsoku/>
        <w:wordWrap/>
        <w:overflowPunct/>
        <w:topLinePunct w:val="0"/>
        <w:bidi w:val="0"/>
        <w:adjustRightInd/>
        <w:snapToGrid w:val="0"/>
        <w:spacing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57DE3EEC">
      <w:pPr>
        <w:pageBreakBefore w:val="0"/>
        <w:kinsoku/>
        <w:wordWrap/>
        <w:overflowPunct/>
        <w:topLinePunct w:val="0"/>
        <w:bidi w:val="0"/>
        <w:adjustRightInd/>
        <w:snapToGrid w:val="0"/>
        <w:spacing w:line="360" w:lineRule="auto"/>
        <w:jc w:val="center"/>
        <w:textAlignment w:val="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验收</w:t>
      </w:r>
    </w:p>
    <w:p w14:paraId="0A901BEB">
      <w:pPr>
        <w:widowControl w:val="0"/>
        <w:adjustRightInd w:val="0"/>
        <w:spacing w:line="360" w:lineRule="auto"/>
        <w:ind w:left="479" w:hanging="479" w:hangingChars="199"/>
        <w:jc w:val="both"/>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26.验收</w:t>
      </w:r>
    </w:p>
    <w:p w14:paraId="030C01AA">
      <w:pPr>
        <w:pageBreakBefore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0CFFB3">
      <w:pPr>
        <w:pageBreakBefore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2采购人可以邀请第三方机构参与验收。第三方机构的意见作为验收书的参考资料一并存档。</w:t>
      </w:r>
    </w:p>
    <w:p w14:paraId="41808072">
      <w:pPr>
        <w:pageBreakBefore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F57A66">
      <w:pPr>
        <w:pageBreakBefore w:val="0"/>
        <w:kinsoku/>
        <w:overflowPunct/>
        <w:topLinePunct w:val="0"/>
        <w:bidi w:val="0"/>
        <w:snapToGrid w:val="0"/>
        <w:spacing w:line="360" w:lineRule="auto"/>
        <w:ind w:firstLine="480" w:firstLineChars="200"/>
        <w:jc w:val="left"/>
        <w:outlineLvl w:val="0"/>
        <w:rPr>
          <w:rFonts w:hint="eastAsia" w:ascii="仿宋" w:hAnsi="仿宋" w:eastAsia="仿宋" w:cs="仿宋"/>
          <w:snapToGrid w:val="0"/>
          <w:color w:val="auto"/>
          <w:kern w:val="0"/>
          <w:sz w:val="24"/>
          <w:szCs w:val="24"/>
          <w:highlight w:val="none"/>
          <w:shd w:val="clear" w:fill="F4B083" w:themeFill="accent2" w:themeFillTint="99"/>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14" w:name="_Hlt74730295"/>
      <w:bookmarkEnd w:id="14"/>
      <w:bookmarkStart w:id="15" w:name="_Hlt75236290"/>
      <w:bookmarkEnd w:id="15"/>
      <w:bookmarkStart w:id="16" w:name="_Hlt75236011"/>
      <w:bookmarkEnd w:id="16"/>
      <w:bookmarkStart w:id="17" w:name="_Hlt75236101"/>
      <w:bookmarkEnd w:id="17"/>
      <w:bookmarkStart w:id="18" w:name="_Hlt68072998"/>
      <w:bookmarkEnd w:id="18"/>
      <w:bookmarkStart w:id="19" w:name="_Hlt68072990"/>
      <w:bookmarkEnd w:id="19"/>
      <w:bookmarkStart w:id="20" w:name="_Hlt68057669"/>
      <w:bookmarkEnd w:id="20"/>
      <w:bookmarkStart w:id="21" w:name="_Hlt74714665"/>
      <w:bookmarkEnd w:id="21"/>
      <w:bookmarkStart w:id="22" w:name="_Hlt74729768"/>
      <w:bookmarkEnd w:id="22"/>
      <w:bookmarkStart w:id="23" w:name="_Hlt74707468"/>
      <w:bookmarkEnd w:id="23"/>
      <w:bookmarkStart w:id="24" w:name="_Hlt68403820"/>
      <w:bookmarkEnd w:id="24"/>
      <w:bookmarkStart w:id="25" w:name="_Hlt68073093"/>
      <w:bookmarkEnd w:id="25"/>
      <w:r>
        <w:rPr>
          <w:rFonts w:hint="eastAsia" w:ascii="仿宋" w:hAnsi="仿宋" w:eastAsia="仿宋" w:cs="仿宋"/>
          <w:color w:val="auto"/>
          <w:sz w:val="24"/>
          <w:szCs w:val="24"/>
          <w:highlight w:val="none"/>
          <w:lang w:val="en-US" w:eastAsia="zh-CN"/>
        </w:rPr>
        <w:t>相关主管部门。</w:t>
      </w:r>
    </w:p>
    <w:p w14:paraId="77F99D25">
      <w:pPr>
        <w:adjustRightInd w:val="0"/>
        <w:snapToGrid w:val="0"/>
        <w:spacing w:line="360" w:lineRule="auto"/>
        <w:ind w:firstLine="3357" w:firstLineChars="1045"/>
        <w:rPr>
          <w:rFonts w:hint="eastAsia" w:ascii="仿宋" w:hAnsi="仿宋" w:eastAsia="仿宋" w:cs="仿宋"/>
          <w:b/>
          <w:color w:val="auto"/>
          <w:sz w:val="32"/>
          <w:szCs w:val="24"/>
          <w:highlight w:val="none"/>
        </w:rPr>
      </w:pPr>
    </w:p>
    <w:p w14:paraId="451AC37B">
      <w:pPr>
        <w:adjustRightInd w:val="0"/>
        <w:snapToGrid w:val="0"/>
        <w:spacing w:line="360" w:lineRule="auto"/>
        <w:ind w:firstLine="3357" w:firstLineChars="1045"/>
        <w:rPr>
          <w:rFonts w:hint="eastAsia" w:ascii="仿宋" w:hAnsi="仿宋" w:eastAsia="仿宋" w:cs="仿宋"/>
          <w:b/>
          <w:color w:val="auto"/>
          <w:sz w:val="24"/>
          <w:szCs w:val="24"/>
          <w:highlight w:val="none"/>
        </w:rPr>
      </w:pPr>
      <w:r>
        <w:rPr>
          <w:rFonts w:hint="eastAsia" w:ascii="仿宋" w:hAnsi="仿宋" w:eastAsia="仿宋" w:cs="仿宋"/>
          <w:b/>
          <w:color w:val="auto"/>
          <w:sz w:val="32"/>
          <w:szCs w:val="24"/>
          <w:highlight w:val="none"/>
          <w:lang w:val="en-US" w:eastAsia="zh-CN"/>
        </w:rPr>
        <w:t>九</w:t>
      </w:r>
      <w:r>
        <w:rPr>
          <w:rFonts w:hint="eastAsia" w:ascii="仿宋" w:hAnsi="仿宋" w:eastAsia="仿宋" w:cs="仿宋"/>
          <w:b/>
          <w:color w:val="auto"/>
          <w:sz w:val="32"/>
          <w:szCs w:val="24"/>
          <w:highlight w:val="none"/>
        </w:rPr>
        <w:t>、电子交易活动的中止</w:t>
      </w:r>
    </w:p>
    <w:p w14:paraId="47D594E2">
      <w:pPr>
        <w:widowControl w:val="0"/>
        <w:adjustRightInd w:val="0"/>
        <w:snapToGrid w:val="0"/>
        <w:spacing w:before="0" w:line="360" w:lineRule="auto"/>
        <w:ind w:firstLine="0" w:firstLineChars="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27</w:t>
      </w:r>
      <w:r>
        <w:rPr>
          <w:rFonts w:hint="eastAsia" w:ascii="仿宋" w:hAnsi="仿宋" w:eastAsia="仿宋" w:cs="仿宋"/>
          <w:b/>
          <w:color w:val="auto"/>
          <w:kern w:val="2"/>
          <w:sz w:val="24"/>
          <w:szCs w:val="24"/>
          <w:highlight w:val="none"/>
          <w:lang w:val="en-US" w:eastAsia="zh-CN" w:bidi="ar-SA"/>
        </w:rPr>
        <w:t>.电子交易活动的中止。</w:t>
      </w:r>
      <w:r>
        <w:rPr>
          <w:rFonts w:hint="eastAsia" w:ascii="仿宋" w:hAnsi="仿宋" w:eastAsia="仿宋" w:cs="仿宋"/>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3C8115D7">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27.1电子交易平台发生故障而无法登录访问的；</w:t>
      </w:r>
    </w:p>
    <w:p w14:paraId="1B64A02C">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27.2电子交易平台应用或数据库出现错误，不能进行正常操作的；</w:t>
      </w:r>
    </w:p>
    <w:p w14:paraId="2CE94B33">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27.3电子交易平台发现严重安全漏洞，有潜在泄密危险的；</w:t>
      </w:r>
    </w:p>
    <w:p w14:paraId="18F8E51B">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27.4病毒发作导致不能进行正常操作的；</w:t>
      </w:r>
    </w:p>
    <w:p w14:paraId="65FA5863">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27.5其他无法保证电子交易的公平、公正和安全的情况。</w:t>
      </w:r>
    </w:p>
    <w:p w14:paraId="457108D4">
      <w:pPr>
        <w:widowControl w:val="0"/>
        <w:numPr>
          <w:ilvl w:val="0"/>
          <w:numId w:val="0"/>
        </w:numPr>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1079F916">
      <w:pPr>
        <w:ind w:firstLine="0" w:firstLineChars="0"/>
        <w:jc w:val="center"/>
        <w:outlineLvl w:val="0"/>
        <w:rPr>
          <w:rFonts w:hint="eastAsia" w:ascii="仿宋" w:hAnsi="仿宋" w:eastAsia="仿宋" w:cs="仿宋"/>
          <w:b/>
          <w:color w:val="auto"/>
          <w:sz w:val="36"/>
          <w:szCs w:val="36"/>
          <w:highlight w:val="none"/>
        </w:rPr>
        <w:sectPr>
          <w:footerReference r:id="rId11" w:type="default"/>
          <w:pgSz w:w="11906" w:h="16838"/>
          <w:pgMar w:top="1440" w:right="1417" w:bottom="1440" w:left="1417" w:header="851" w:footer="992" w:gutter="0"/>
          <w:pgNumType w:fmt="decimal" w:start="1"/>
          <w:cols w:space="720" w:num="1"/>
          <w:docGrid w:type="lines" w:linePitch="312" w:charSpace="0"/>
        </w:sectPr>
      </w:pPr>
    </w:p>
    <w:bookmarkEnd w:id="8"/>
    <w:bookmarkEnd w:id="9"/>
    <w:bookmarkEnd w:id="10"/>
    <w:bookmarkEnd w:id="11"/>
    <w:p w14:paraId="5C3883C8">
      <w:pPr>
        <w:pageBreakBefore w:val="0"/>
        <w:kinsoku/>
        <w:overflowPunct/>
        <w:topLinePunct w:val="0"/>
        <w:bidi w:val="0"/>
        <w:spacing w:line="360" w:lineRule="auto"/>
        <w:jc w:val="center"/>
        <w:rPr>
          <w:rFonts w:hint="eastAsia" w:ascii="仿宋" w:hAnsi="仿宋" w:eastAsia="仿宋" w:cs="仿宋"/>
          <w:b/>
          <w:bCs/>
          <w:color w:val="auto"/>
          <w:sz w:val="36"/>
          <w:szCs w:val="36"/>
          <w:highlight w:val="none"/>
          <w:lang w:val="en-US" w:eastAsia="zh-CN"/>
        </w:rPr>
      </w:pPr>
      <w:bookmarkStart w:id="26" w:name="_Toc13216"/>
      <w:bookmarkStart w:id="27" w:name="_Toc1067"/>
      <w:r>
        <w:rPr>
          <w:rFonts w:hint="eastAsia" w:ascii="仿宋" w:hAnsi="仿宋" w:eastAsia="仿宋" w:cs="仿宋"/>
          <w:b/>
          <w:bCs/>
          <w:color w:val="auto"/>
          <w:sz w:val="36"/>
          <w:szCs w:val="36"/>
          <w:highlight w:val="none"/>
        </w:rPr>
        <w:t xml:space="preserve">第三章 </w:t>
      </w:r>
      <w:r>
        <w:rPr>
          <w:rFonts w:hint="eastAsia" w:ascii="仿宋" w:hAnsi="仿宋" w:eastAsia="仿宋" w:cs="仿宋"/>
          <w:b/>
          <w:bCs/>
          <w:color w:val="auto"/>
          <w:sz w:val="36"/>
          <w:szCs w:val="36"/>
          <w:highlight w:val="none"/>
          <w:lang w:val="en-US" w:eastAsia="zh-CN"/>
        </w:rPr>
        <w:t>采购需求</w:t>
      </w:r>
    </w:p>
    <w:p w14:paraId="709E75D8">
      <w:pPr>
        <w:keepNext w:val="0"/>
        <w:keepLines w:val="0"/>
        <w:pageBreakBefore w:val="0"/>
        <w:widowControl/>
        <w:kinsoku/>
        <w:wordWrap/>
        <w:overflowPunct/>
        <w:topLinePunct w:val="0"/>
        <w:autoSpaceDE/>
        <w:autoSpaceDN/>
        <w:bidi w:val="0"/>
        <w:spacing w:line="360" w:lineRule="auto"/>
        <w:jc w:val="left"/>
        <w:textAlignment w:val="auto"/>
        <w:outlineLvl w:val="1"/>
        <w:rPr>
          <w:rFonts w:hint="eastAsia" w:ascii="仿宋" w:hAnsi="仿宋" w:eastAsia="仿宋" w:cs="仿宋"/>
          <w:color w:val="auto"/>
          <w:kern w:val="0"/>
          <w:sz w:val="24"/>
          <w:szCs w:val="24"/>
          <w:highlight w:val="none"/>
          <w:lang w:eastAsia="en-US"/>
        </w:rPr>
      </w:pPr>
      <w:bookmarkStart w:id="28" w:name="_Toc13466"/>
      <w:r>
        <w:rPr>
          <w:rFonts w:hint="eastAsia" w:ascii="仿宋" w:hAnsi="仿宋" w:eastAsia="仿宋" w:cs="仿宋"/>
          <w:color w:val="auto"/>
          <w:kern w:val="0"/>
          <w:sz w:val="24"/>
          <w:szCs w:val="24"/>
          <w:highlight w:val="none"/>
          <w:lang w:eastAsia="en-US"/>
        </w:rPr>
        <w:t>1、项目概况</w:t>
      </w:r>
    </w:p>
    <w:p w14:paraId="289DCFA4">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本项目为丰潭水库取水泵船</w:t>
      </w:r>
      <w:r>
        <w:rPr>
          <w:rFonts w:hint="eastAsia" w:ascii="仿宋" w:hAnsi="仿宋" w:eastAsia="仿宋" w:cs="仿宋"/>
          <w:color w:val="auto"/>
          <w:kern w:val="0"/>
          <w:sz w:val="24"/>
          <w:szCs w:val="24"/>
          <w:highlight w:val="none"/>
          <w:lang w:eastAsia="en-US"/>
        </w:rPr>
        <w:t>供水工程：建设内容</w:t>
      </w:r>
      <w:r>
        <w:rPr>
          <w:rFonts w:hint="eastAsia" w:ascii="仿宋" w:hAnsi="仿宋" w:eastAsia="仿宋" w:cs="仿宋"/>
          <w:color w:val="auto"/>
          <w:kern w:val="0"/>
          <w:sz w:val="24"/>
          <w:szCs w:val="24"/>
          <w:highlight w:val="none"/>
          <w:lang w:val="en-US" w:eastAsia="zh-CN"/>
        </w:rPr>
        <w:t>主要由</w:t>
      </w:r>
      <w:r>
        <w:rPr>
          <w:rFonts w:hint="eastAsia" w:ascii="仿宋" w:hAnsi="仿宋" w:eastAsia="仿宋" w:cs="仿宋"/>
          <w:color w:val="auto"/>
          <w:kern w:val="0"/>
          <w:sz w:val="24"/>
          <w:szCs w:val="24"/>
          <w:highlight w:val="none"/>
          <w:lang w:eastAsia="en-US"/>
        </w:rPr>
        <w:t>取水</w:t>
      </w:r>
      <w:r>
        <w:rPr>
          <w:rFonts w:hint="eastAsia" w:ascii="仿宋" w:hAnsi="仿宋" w:eastAsia="仿宋" w:cs="仿宋"/>
          <w:color w:val="auto"/>
          <w:kern w:val="0"/>
          <w:sz w:val="24"/>
          <w:szCs w:val="24"/>
          <w:highlight w:val="none"/>
          <w:lang w:val="en-US" w:eastAsia="zh-CN"/>
        </w:rPr>
        <w:t>浮船</w:t>
      </w:r>
      <w:r>
        <w:rPr>
          <w:rFonts w:hint="eastAsia"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水泵、阀门、进出口</w:t>
      </w:r>
      <w:r>
        <w:rPr>
          <w:rFonts w:hint="eastAsia" w:ascii="仿宋" w:hAnsi="仿宋" w:eastAsia="仿宋" w:cs="仿宋"/>
          <w:color w:val="auto"/>
          <w:kern w:val="0"/>
          <w:sz w:val="24"/>
          <w:szCs w:val="24"/>
          <w:highlight w:val="none"/>
          <w:lang w:eastAsia="en-US"/>
        </w:rPr>
        <w:t>输水</w:t>
      </w:r>
      <w:r>
        <w:rPr>
          <w:rFonts w:hint="eastAsia" w:ascii="仿宋" w:hAnsi="仿宋" w:eastAsia="仿宋" w:cs="仿宋"/>
          <w:color w:val="auto"/>
          <w:kern w:val="0"/>
          <w:sz w:val="24"/>
          <w:szCs w:val="24"/>
          <w:highlight w:val="none"/>
          <w:lang w:val="en-US" w:eastAsia="zh-CN"/>
        </w:rPr>
        <w:t>管道</w:t>
      </w:r>
      <w:r>
        <w:rPr>
          <w:rFonts w:hint="eastAsia"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浮船与岸边对接的浮动式输水管路、</w:t>
      </w:r>
      <w:r>
        <w:rPr>
          <w:rFonts w:hint="eastAsia" w:ascii="仿宋" w:hAnsi="仿宋" w:eastAsia="仿宋" w:cs="仿宋"/>
          <w:color w:val="auto"/>
          <w:kern w:val="0"/>
          <w:sz w:val="24"/>
          <w:szCs w:val="24"/>
          <w:highlight w:val="none"/>
          <w:lang w:eastAsia="en-US"/>
        </w:rPr>
        <w:t>舾装</w:t>
      </w:r>
      <w:r>
        <w:rPr>
          <w:rFonts w:hint="eastAsia" w:ascii="仿宋" w:hAnsi="仿宋" w:eastAsia="仿宋" w:cs="仿宋"/>
          <w:color w:val="auto"/>
          <w:kern w:val="0"/>
          <w:sz w:val="24"/>
          <w:szCs w:val="24"/>
          <w:highlight w:val="none"/>
          <w:lang w:val="en-US" w:eastAsia="zh-CN"/>
        </w:rPr>
        <w:t>锚固设施、检修起吊装置、现场电气控制部分等设施组成。</w:t>
      </w:r>
    </w:p>
    <w:p w14:paraId="6C3BD9A4">
      <w:pPr>
        <w:keepNext w:val="0"/>
        <w:keepLines w:val="0"/>
        <w:pageBreakBefore w:val="0"/>
        <w:widowControl w:val="0"/>
        <w:kinsoku/>
        <w:wordWrap/>
        <w:overflowPunct/>
        <w:topLinePunct w:val="0"/>
        <w:autoSpaceDE/>
        <w:autoSpaceDN/>
        <w:bidi w:val="0"/>
        <w:adjustRightInd/>
        <w:snapToGrid/>
        <w:spacing w:after="0" w:afterLines="0" w:line="360" w:lineRule="auto"/>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2、详细清单 </w:t>
      </w:r>
    </w:p>
    <w:tbl>
      <w:tblPr>
        <w:tblStyle w:val="25"/>
        <w:tblW w:w="88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2420"/>
        <w:gridCol w:w="2960"/>
        <w:gridCol w:w="865"/>
        <w:gridCol w:w="960"/>
        <w:gridCol w:w="902"/>
      </w:tblGrid>
      <w:tr w14:paraId="3C40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25C0873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序号</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14:paraId="57146FA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项目名称</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14:paraId="438E31F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规格型号</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A1C137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FBE6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1235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备注</w:t>
            </w:r>
          </w:p>
        </w:tc>
      </w:tr>
      <w:tr w14:paraId="44DC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7E36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一</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C5475">
            <w:pPr>
              <w:keepNext w:val="0"/>
              <w:keepLines w:val="0"/>
              <w:pageBreakBefore w:val="0"/>
              <w:widowControl w:val="0"/>
              <w:tabs>
                <w:tab w:val="left" w:pos="437"/>
              </w:tabs>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船体部分</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53BC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F457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1E1C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68538A7C">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6970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D4F6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C27D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智能型模块拼装式浮坞</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872F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BC12.6m×6m×1.3m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9BC9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53C9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艘</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37A82745">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2104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2397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6BB2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船体连接装置</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1EF8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配套</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D851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C5EE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套</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5332508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2D37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2C11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63B9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船舶专用安全护栏</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2F47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HHL1050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80BF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6229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套</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093EF221">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2863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8C79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B386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自动调节拦污装置</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AC58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HLW20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9888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859E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套</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6439128E">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630D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C3B0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二</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C337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设备及管路部分</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6118C">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55CB9">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A99DF">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742A90F">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3568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8252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CD52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船用水泵（含电机）</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82FB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Q=100m³/h,H=105m,55KW</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CF94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4BB8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台</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A25300C">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5F6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105E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0DB5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多功能水泵控制阀</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27416">
            <w:pPr>
              <w:keepNext w:val="0"/>
              <w:keepLines w:val="0"/>
              <w:pageBreakBefore w:val="0"/>
              <w:widowControl w:val="0"/>
              <w:tabs>
                <w:tab w:val="left" w:pos="447"/>
                <w:tab w:val="center" w:pos="1672"/>
              </w:tabs>
              <w:kinsoku/>
              <w:wordWrap/>
              <w:overflowPunct/>
              <w:topLinePunct w:val="0"/>
              <w:autoSpaceDE/>
              <w:autoSpaceDN/>
              <w:bidi w:val="0"/>
              <w:adjustRightInd/>
              <w:snapToGrid/>
              <w:spacing w:after="0" w:afterLines="0" w:line="360" w:lineRule="auto"/>
              <w:jc w:val="left"/>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DN150,PN16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D196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BFE8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73EE285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出水总管上1只</w:t>
            </w:r>
          </w:p>
        </w:tc>
      </w:tr>
      <w:tr w14:paraId="2F20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4DA5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8048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双法兰限位伸缩节</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A667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DN150,PN16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1088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64F3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36D242A1">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5869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7A4D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E36B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手动蝶阀</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B5E5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DN150,PN16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A312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FA5E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AAC355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1EE0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CBA3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5</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4D99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手动蝶阀</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2A7E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DN100,PN16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6C03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CABC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02F6102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A7B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C66F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6</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509F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船用起吊装置</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A647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439D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5707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E4469E6">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1164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9C6B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7</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6D2A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起吊葫芦 （配跑车）</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04EC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29E9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84AA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58CE89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6809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EE4D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8</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1E14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进水弯管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17BD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DN200,PN10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E1C1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D8EC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467973E8">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36A1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14AE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9</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C965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真空引水罐</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39ADA">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71BA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BAAC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0BA18D1A">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73C9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52FC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10</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A321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进水变径管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5E1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DN200-DN125,PN16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F39C5">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BB72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52D8DA0A">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2F27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6357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0923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出口变径</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5AA0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DN80-DN150,PN16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2AB8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E966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C1BED33">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2D78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C5BE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05DE5">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出口弯管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486D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DN150,PN16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E93F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BB49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71DE75F1">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4DA5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3195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13</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1525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管支撑</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04B30">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B2FE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D79F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490E4E95">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7283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4B67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14</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528C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汇水总管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E6AC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DN150,PN16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0365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01CF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6253D5A4">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7CF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A8C4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15</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FD36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高强度耐压软管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6AFD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DN150,PN16,10m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FE74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FCB8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根</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56402E41">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6860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8A02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16</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7995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金属直管</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C23F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DN150,PN16,9m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D3DF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FF53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根</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41CD343A">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24D3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3BFC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17</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1B04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标准件</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0E8E6">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A210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0B5A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套</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021678BE">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3F81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1223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三</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4D37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舾装设施</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BF529">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E512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D8C4A">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6026E780">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2E6C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3161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A738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霍尔锚</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4E96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300KG</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7DA6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0A91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70E001A">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4C59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B68F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6672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霍尔锚</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CD9C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75KG</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75FC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0C10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420BB7C2">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784F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FBE2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F11C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带缆桩</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B2A79">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BF17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6766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772632E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2540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F351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29F1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钢丝绳</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78BD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Ф16,240m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29AE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7A98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根</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691B09B8">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D64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CFCB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5</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0826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钢丝绳</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A19E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Ф12,240m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8201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8DF2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根</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E06FB7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04C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9849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6</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F9FC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钢丝绳夹</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EF15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Ф16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FD20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F6E8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358AAA4">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5F01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F15B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7</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734D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钢丝绳夹</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AB37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Ф12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3943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09A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4C0D0887">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609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67935">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四</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A1CA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消防设施</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5D567">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64E0E">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4408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373EC3E">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3FBC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4504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62FF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手提式灭火器</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AAAB8">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91F4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BD7C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0DBBB2AF">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33D6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6967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FDD7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消防水桶</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164C1">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3A15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3249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5928F471">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6C7D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F64F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9024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0.03m3消防砂箱</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4A608">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E9C2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B23E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0D56A54">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80F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6243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五</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DE80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救生系统</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45710">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CF5BC">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95F86">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30A8495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359D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E16B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36BF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救生衣</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835D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4EAE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F28C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件</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5734475">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7C5F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7DE0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B5C6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救生圈</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504A1">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0A96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0E7E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319AA4CC">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1239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6F4A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六</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F068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电气部分</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9C383">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871D2">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A5755">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94B848E">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8E2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E4C6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584D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水泵变频柜</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409B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GGD，安装位置：浮船。含岸边远程启停控制（含手机APP）</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E018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EDBE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523707B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含PLC</w:t>
            </w:r>
          </w:p>
        </w:tc>
      </w:tr>
      <w:tr w14:paraId="1179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BB01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A1D1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照明</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427B5">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ZM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4D31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7F4B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套</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7C0D934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zh-CN"/>
              </w:rPr>
            </w:pPr>
          </w:p>
        </w:tc>
      </w:tr>
      <w:tr w14:paraId="6E83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494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七</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9562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自控、仪表</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97A2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54CA0">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74DB7">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49CA16FB">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0A8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C36C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5A39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压力表</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FF85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Ф100，0～1.6MPa</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CE88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DCE36">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64F613F">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7D4C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6C8F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23A6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真空表</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00CB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Ф100，0～-0.1MPa</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D14A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967C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个</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8AC1D7E">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3C56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42075">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八</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0864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船上电缆及桥架</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D90E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泵船范围内电缆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60FD4">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C6716">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5C43EAAA">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138C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5D39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5E9B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电缆</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DCCD6">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zh-CN"/>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3A96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97931">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A088228">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5004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7886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756D">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电缆</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DF3A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YJV-3*70+1*35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C048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A95F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米</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482BB822">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7D6E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ED49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3790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电缆</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D689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KVVP 3*1.5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66C8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F0ED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米</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11026A8C">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41D0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FED69">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BF01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电缆桥架</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D0C49">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0B4DE">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59CAE">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465A3804">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8B3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15D92">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2.1</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D24A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坞上桥架</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F043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200*100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52FB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BE03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米</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79D096C5">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7D36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80E1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2.2</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2ECE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电缆安装辅件</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80C9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799F8">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957FE">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套</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972D89F">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1E95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1C9EC">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十</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93F5">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防雷系统</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198B8">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E16C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4D864">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套</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1693D68">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0D28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4F280">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十一</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0BDB5">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运输费</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59937">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B242B">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11A27">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项</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61129F1C">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r w14:paraId="7820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C2A9A">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十二</w:t>
            </w:r>
          </w:p>
        </w:tc>
        <w:tc>
          <w:tcPr>
            <w:tcW w:w="2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223C1">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安装费</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F0A77">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BE17F">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529F3">
            <w:pPr>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项</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5002DFD">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仿宋" w:hAnsi="仿宋" w:eastAsia="仿宋" w:cs="仿宋"/>
                <w:color w:val="auto"/>
                <w:kern w:val="0"/>
                <w:sz w:val="24"/>
                <w:szCs w:val="24"/>
                <w:highlight w:val="none"/>
                <w:lang w:val="en-US" w:eastAsia="en-US"/>
              </w:rPr>
            </w:pPr>
          </w:p>
        </w:tc>
      </w:tr>
    </w:tbl>
    <w:p w14:paraId="71EB4181">
      <w:pPr>
        <w:keepNext w:val="0"/>
        <w:keepLines w:val="0"/>
        <w:pageBreakBefore w:val="0"/>
        <w:widowControl w:val="0"/>
        <w:kinsoku/>
        <w:wordWrap/>
        <w:overflowPunct/>
        <w:topLinePunct w:val="0"/>
        <w:autoSpaceDE/>
        <w:autoSpaceDN/>
        <w:bidi w:val="0"/>
        <w:adjustRightInd/>
        <w:snapToGrid/>
        <w:spacing w:after="0" w:afterLines="0" w:line="240" w:lineRule="auto"/>
        <w:jc w:val="left"/>
        <w:textAlignment w:val="auto"/>
        <w:rPr>
          <w:rFonts w:hint="eastAsia" w:ascii="仿宋" w:hAnsi="仿宋" w:eastAsia="仿宋" w:cs="仿宋"/>
          <w:color w:val="auto"/>
          <w:kern w:val="0"/>
          <w:sz w:val="22"/>
          <w:szCs w:val="22"/>
          <w:highlight w:val="none"/>
          <w:lang w:eastAsia="en-US"/>
        </w:rPr>
      </w:pPr>
      <w:r>
        <w:rPr>
          <w:rFonts w:hint="eastAsia" w:ascii="仿宋" w:hAnsi="仿宋" w:eastAsia="仿宋" w:cs="仿宋"/>
          <w:color w:val="auto"/>
          <w:kern w:val="0"/>
          <w:sz w:val="22"/>
          <w:szCs w:val="22"/>
          <w:highlight w:val="none"/>
          <w:lang w:eastAsia="en-US"/>
        </w:rPr>
        <w:t xml:space="preserve">注 ： </w:t>
      </w:r>
    </w:p>
    <w:p w14:paraId="2C1A9C6E">
      <w:pPr>
        <w:keepNext w:val="0"/>
        <w:keepLines w:val="0"/>
        <w:pageBreakBefore w:val="0"/>
        <w:widowControl w:val="0"/>
        <w:kinsoku/>
        <w:wordWrap/>
        <w:overflowPunct/>
        <w:topLinePunct w:val="0"/>
        <w:autoSpaceDE/>
        <w:autoSpaceDN/>
        <w:bidi w:val="0"/>
        <w:adjustRightInd/>
        <w:snapToGrid/>
        <w:spacing w:after="0" w:afterLines="0" w:line="360" w:lineRule="auto"/>
        <w:jc w:val="left"/>
        <w:textAlignment w:val="auto"/>
        <w:rPr>
          <w:rFonts w:hint="eastAsia" w:ascii="仿宋" w:hAnsi="仿宋" w:eastAsia="仿宋" w:cs="仿宋"/>
          <w:color w:val="auto"/>
          <w:kern w:val="0"/>
          <w:sz w:val="22"/>
          <w:szCs w:val="22"/>
          <w:highlight w:val="none"/>
          <w:lang w:eastAsia="en-US"/>
        </w:rPr>
      </w:pPr>
      <w:r>
        <w:rPr>
          <w:rFonts w:hint="eastAsia" w:ascii="仿宋" w:hAnsi="仿宋" w:eastAsia="仿宋" w:cs="仿宋"/>
          <w:color w:val="auto"/>
          <w:kern w:val="0"/>
          <w:sz w:val="22"/>
          <w:szCs w:val="22"/>
          <w:highlight w:val="none"/>
          <w:lang w:eastAsia="en-US"/>
        </w:rPr>
        <w:t>（1）本次采购货物采购数量为设计图纸设计数量，招标人可依据工程进度、设计变更做出相应调整，且招标人不承担任何责任。对于属于整套设备运行和安装所必需的部件、辅助性材料，即使招标人在本次采购要求中未列出或数量不足，</w:t>
      </w:r>
      <w:r>
        <w:rPr>
          <w:rFonts w:hint="eastAsia" w:ascii="仿宋" w:hAnsi="仿宋" w:eastAsia="仿宋" w:cs="仿宋"/>
          <w:color w:val="auto"/>
          <w:kern w:val="0"/>
          <w:sz w:val="22"/>
          <w:szCs w:val="22"/>
          <w:highlight w:val="none"/>
          <w:lang w:eastAsia="zh-CN"/>
        </w:rPr>
        <w:t>投标人</w:t>
      </w:r>
      <w:r>
        <w:rPr>
          <w:rFonts w:hint="eastAsia" w:ascii="仿宋" w:hAnsi="仿宋" w:eastAsia="仿宋" w:cs="仿宋"/>
          <w:color w:val="auto"/>
          <w:kern w:val="0"/>
          <w:sz w:val="22"/>
          <w:szCs w:val="22"/>
          <w:highlight w:val="none"/>
          <w:lang w:eastAsia="en-US"/>
        </w:rPr>
        <w:t xml:space="preserve">仍需在执行合同时补足。 </w:t>
      </w:r>
    </w:p>
    <w:p w14:paraId="71BBBB80">
      <w:pPr>
        <w:keepNext w:val="0"/>
        <w:keepLines w:val="0"/>
        <w:pageBreakBefore w:val="0"/>
        <w:widowControl w:val="0"/>
        <w:kinsoku/>
        <w:wordWrap/>
        <w:overflowPunct/>
        <w:topLinePunct w:val="0"/>
        <w:autoSpaceDE/>
        <w:autoSpaceDN/>
        <w:bidi w:val="0"/>
        <w:adjustRightInd/>
        <w:snapToGrid/>
        <w:spacing w:after="0" w:afterLines="0" w:line="360" w:lineRule="auto"/>
        <w:jc w:val="left"/>
        <w:textAlignment w:val="auto"/>
        <w:rPr>
          <w:rFonts w:hint="eastAsia" w:ascii="仿宋" w:hAnsi="仿宋" w:eastAsia="仿宋" w:cs="仿宋"/>
          <w:color w:val="auto"/>
          <w:kern w:val="0"/>
          <w:sz w:val="22"/>
          <w:szCs w:val="22"/>
          <w:highlight w:val="none"/>
          <w:lang w:eastAsia="en-US"/>
        </w:rPr>
      </w:pPr>
      <w:r>
        <w:rPr>
          <w:rFonts w:hint="eastAsia" w:ascii="仿宋" w:hAnsi="仿宋" w:eastAsia="仿宋" w:cs="仿宋"/>
          <w:color w:val="auto"/>
          <w:kern w:val="0"/>
          <w:sz w:val="22"/>
          <w:szCs w:val="22"/>
          <w:highlight w:val="none"/>
          <w:lang w:eastAsia="en-US"/>
        </w:rPr>
        <w:t>（2）</w:t>
      </w:r>
      <w:r>
        <w:rPr>
          <w:rFonts w:hint="eastAsia" w:ascii="仿宋" w:hAnsi="仿宋" w:eastAsia="仿宋" w:cs="仿宋"/>
          <w:color w:val="auto"/>
          <w:kern w:val="0"/>
          <w:sz w:val="22"/>
          <w:szCs w:val="22"/>
          <w:highlight w:val="none"/>
          <w:lang w:eastAsia="zh-CN"/>
        </w:rPr>
        <w:t>投标人</w:t>
      </w:r>
      <w:r>
        <w:rPr>
          <w:rFonts w:hint="eastAsia" w:ascii="仿宋" w:hAnsi="仿宋" w:eastAsia="仿宋" w:cs="仿宋"/>
          <w:color w:val="auto"/>
          <w:kern w:val="0"/>
          <w:sz w:val="22"/>
          <w:szCs w:val="22"/>
          <w:highlight w:val="none"/>
          <w:lang w:val="en-US" w:eastAsia="zh-CN"/>
        </w:rPr>
        <w:t>应</w:t>
      </w:r>
      <w:r>
        <w:rPr>
          <w:rFonts w:hint="eastAsia" w:ascii="仿宋" w:hAnsi="仿宋" w:eastAsia="仿宋" w:cs="仿宋"/>
          <w:color w:val="auto"/>
          <w:kern w:val="0"/>
          <w:sz w:val="22"/>
          <w:szCs w:val="22"/>
          <w:highlight w:val="none"/>
          <w:lang w:eastAsia="en-US"/>
        </w:rPr>
        <w:t>购买设备保险，设备到场验收前发生的一切问题，招标人不承担任何责任。</w:t>
      </w:r>
    </w:p>
    <w:p w14:paraId="5F3DDC4F">
      <w:pPr>
        <w:adjustRightInd/>
        <w:jc w:val="left"/>
        <w:rPr>
          <w:rFonts w:hint="eastAsia" w:ascii="仿宋" w:hAnsi="仿宋" w:eastAsia="仿宋" w:cs="仿宋"/>
          <w:b/>
          <w:bCs/>
          <w:color w:val="auto"/>
          <w:sz w:val="30"/>
          <w:szCs w:val="30"/>
          <w:highlight w:val="none"/>
          <w:lang w:val="en-US" w:eastAsia="zh-CN" w:bidi="ar-SA"/>
        </w:rPr>
      </w:pPr>
      <w:bookmarkStart w:id="29" w:name="_Toc21159"/>
      <w:r>
        <w:rPr>
          <w:rFonts w:hint="eastAsia" w:ascii="仿宋" w:hAnsi="仿宋" w:eastAsia="仿宋" w:cs="仿宋"/>
          <w:color w:val="auto"/>
          <w:kern w:val="0"/>
          <w:sz w:val="30"/>
          <w:szCs w:val="30"/>
          <w:highlight w:val="none"/>
          <w:lang w:val="en-US" w:eastAsia="zh-CN"/>
        </w:rPr>
        <w:br w:type="page"/>
      </w:r>
      <w:r>
        <w:rPr>
          <w:rFonts w:hint="eastAsia" w:ascii="仿宋" w:hAnsi="仿宋" w:eastAsia="仿宋" w:cs="仿宋"/>
          <w:b/>
          <w:bCs/>
          <w:color w:val="auto"/>
          <w:sz w:val="30"/>
          <w:szCs w:val="30"/>
          <w:highlight w:val="none"/>
          <w:lang w:val="en-US" w:eastAsia="zh-CN" w:bidi="ar-SA"/>
        </w:rPr>
        <w:t>2、浮船泵站技术标准</w:t>
      </w:r>
      <w:bookmarkEnd w:id="29"/>
    </w:p>
    <w:p w14:paraId="4B3F381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一、产品设计、制造、检验和验收标准 </w:t>
      </w:r>
    </w:p>
    <w:p w14:paraId="40AB889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1、《钢质内河船舶建造规范》(2016)及 2019《修改通报》。  </w:t>
      </w:r>
    </w:p>
    <w:p w14:paraId="48E7EE4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2、《内河船舶法定检验技术规则》(2011)。 </w:t>
      </w:r>
    </w:p>
    <w:p w14:paraId="7B772B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3、船体按 JT/T360-2004《内河船舶船体建造精度》进行制造。  </w:t>
      </w:r>
    </w:p>
    <w:p w14:paraId="13F89E9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4、管系按 CB/Z345-85《船舶管系布置和安装通用技术条件》要求进行施工。  </w:t>
      </w:r>
    </w:p>
    <w:p w14:paraId="3133869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5、电气按《船舶电气设备安装工艺》(CB/T3909-1999)和《船舶电缆敷设工艺》(CB/T3908-1999)进行制造及安装。 </w:t>
      </w:r>
    </w:p>
    <w:p w14:paraId="029D20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6、《中国造船质量标准》(中船总) </w:t>
      </w:r>
    </w:p>
    <w:p w14:paraId="795E6A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7、造船管理规范 </w:t>
      </w:r>
    </w:p>
    <w:p w14:paraId="60EC64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8、内河船船稳性规范(1993) </w:t>
      </w:r>
    </w:p>
    <w:p w14:paraId="7068288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9、内河船舶消防设备规范(1992) </w:t>
      </w:r>
    </w:p>
    <w:p w14:paraId="109E575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10、内河船舶救生设备规范(1992) </w:t>
      </w:r>
    </w:p>
    <w:p w14:paraId="6938CD2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11、内河船舶载重线规范(1995) </w:t>
      </w:r>
    </w:p>
    <w:p w14:paraId="3725AA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12、内河钢质船舶出厂质量评级标准 </w:t>
      </w:r>
    </w:p>
    <w:p w14:paraId="545B47F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13、船舶与船用产品监督检验条例 </w:t>
      </w:r>
    </w:p>
    <w:p w14:paraId="3D1717A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14、GB/T19000-ISO9000 质量管理、质量保证标准 </w:t>
      </w:r>
    </w:p>
    <w:p w14:paraId="340C76F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二、设计内容及技术要求 </w:t>
      </w:r>
    </w:p>
    <w:p w14:paraId="6C1A61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1、设计规模：取水泵船设计规模 </w:t>
      </w:r>
      <w:r>
        <w:rPr>
          <w:rFonts w:hint="eastAsia" w:ascii="仿宋" w:hAnsi="仿宋" w:eastAsia="仿宋" w:cs="仿宋"/>
          <w:color w:val="auto"/>
          <w:kern w:val="0"/>
          <w:sz w:val="24"/>
          <w:szCs w:val="24"/>
          <w:highlight w:val="none"/>
          <w:lang w:val="en-US" w:eastAsia="zh-CN"/>
        </w:rPr>
        <w:t>240</w:t>
      </w:r>
      <w:r>
        <w:rPr>
          <w:rFonts w:hint="eastAsia" w:ascii="仿宋" w:hAnsi="仿宋" w:eastAsia="仿宋" w:cs="仿宋"/>
          <w:color w:val="auto"/>
          <w:kern w:val="0"/>
          <w:sz w:val="24"/>
          <w:szCs w:val="24"/>
          <w:highlight w:val="none"/>
          <w:lang w:eastAsia="en-US"/>
        </w:rPr>
        <w:t>0m</w:t>
      </w:r>
      <w:r>
        <w:rPr>
          <w:rFonts w:hint="eastAsia" w:ascii="仿宋" w:hAnsi="仿宋" w:eastAsia="仿宋" w:cs="仿宋"/>
          <w:color w:val="auto"/>
          <w:kern w:val="0"/>
          <w:sz w:val="24"/>
          <w:szCs w:val="24"/>
          <w:highlight w:val="none"/>
          <w:vertAlign w:val="superscript"/>
          <w:lang w:val="en-US" w:eastAsia="zh-CN"/>
        </w:rPr>
        <w:t>3</w:t>
      </w:r>
      <w:r>
        <w:rPr>
          <w:rFonts w:hint="eastAsia" w:ascii="仿宋" w:hAnsi="仿宋" w:eastAsia="仿宋" w:cs="仿宋"/>
          <w:color w:val="auto"/>
          <w:kern w:val="0"/>
          <w:sz w:val="24"/>
          <w:szCs w:val="24"/>
          <w:highlight w:val="none"/>
          <w:lang w:eastAsia="en-US"/>
        </w:rPr>
        <w:t xml:space="preserve">/d。 </w:t>
      </w:r>
    </w:p>
    <w:p w14:paraId="45E4B6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2、泵船包含内容：浮船尺寸为 </w:t>
      </w:r>
      <w:r>
        <w:rPr>
          <w:rFonts w:hint="eastAsia" w:ascii="仿宋" w:hAnsi="仿宋" w:eastAsia="仿宋" w:cs="仿宋"/>
          <w:color w:val="auto"/>
          <w:kern w:val="0"/>
          <w:sz w:val="24"/>
          <w:szCs w:val="24"/>
          <w:highlight w:val="none"/>
          <w:lang w:val="en-US" w:eastAsia="zh-CN"/>
        </w:rPr>
        <w:t>12.6×6×1.3</w:t>
      </w:r>
      <w:r>
        <w:rPr>
          <w:rFonts w:hint="eastAsia" w:ascii="仿宋" w:hAnsi="仿宋" w:eastAsia="仿宋" w:cs="仿宋"/>
          <w:color w:val="auto"/>
          <w:kern w:val="0"/>
          <w:sz w:val="24"/>
          <w:szCs w:val="24"/>
          <w:highlight w:val="none"/>
          <w:lang w:eastAsia="en-US"/>
        </w:rPr>
        <w:t xml:space="preserve">m（在满足稳定安全运行的前提下，可对船体尺寸进行调整，施工图纸需经设计单位复核无误后方可实施），浮船吃水深度 0.7m，水泵上承式布置，泵船包含船体、进、出水管路、舾装设备、输水管道及浮体、泵、阀、真空系统、仪表等设计图纸全部内容。  </w:t>
      </w:r>
    </w:p>
    <w:p w14:paraId="3EE9C77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3、设备性能参数:泵船</w:t>
      </w:r>
      <w:r>
        <w:rPr>
          <w:rFonts w:hint="eastAsia" w:ascii="仿宋" w:hAnsi="仿宋" w:eastAsia="仿宋" w:cs="仿宋"/>
          <w:color w:val="auto"/>
          <w:kern w:val="0"/>
          <w:sz w:val="24"/>
          <w:szCs w:val="24"/>
          <w:highlight w:val="none"/>
          <w:lang w:val="en-US" w:eastAsia="zh-CN"/>
        </w:rPr>
        <w:t>上</w:t>
      </w:r>
      <w:r>
        <w:rPr>
          <w:rFonts w:hint="eastAsia" w:ascii="仿宋" w:hAnsi="仿宋" w:eastAsia="仿宋" w:cs="仿宋"/>
          <w:color w:val="auto"/>
          <w:kern w:val="0"/>
          <w:sz w:val="24"/>
          <w:szCs w:val="24"/>
          <w:highlight w:val="none"/>
          <w:lang w:eastAsia="en-US"/>
        </w:rPr>
        <w:t xml:space="preserve">设置立式离心泵数量 </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en-US"/>
        </w:rPr>
        <w:t xml:space="preserve"> 台, </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en-US"/>
        </w:rPr>
        <w:t xml:space="preserve"> 用 1 备，水泵、进出水管及阀件等设计参数见设计图纸。</w:t>
      </w:r>
    </w:p>
    <w:p w14:paraId="681E59A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4、管材:取水泵船进出水管采用 Q235-B 型钢管，管道连接方式采用焊接。</w:t>
      </w:r>
    </w:p>
    <w:p w14:paraId="60D4344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5、泵船安全使用期限至少为 30 年,在正常情况下无需大修，水线以下油漆终生免维护，仅每年在水上部分统刷一次油漆。</w:t>
      </w:r>
    </w:p>
    <w:p w14:paraId="7C6281C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6、泵船实际干舷满足 MSA(船舶与海上设施法定检验规范)《内河船舶法定检验技术规范》(2011)的有关要求,稳性满足 MSA(船舶与海上设施法定检验规范 )《内河船舶法定检验技术规范》(2011)对停泊于内河 C 级航区取水泵船的要求，泵船的干舷尺寸、吃水深度(不得大于 0.8m)，船体深考虑风、浪及其它附加力矩冲击的影响，在受风浪冲击、风压作用及船舶移位时，泵船横倾角小于 </w:t>
      </w:r>
      <w:r>
        <w:rPr>
          <w:rFonts w:hint="eastAsia" w:ascii="仿宋" w:hAnsi="仿宋" w:eastAsia="仿宋" w:cs="仿宋"/>
          <w:color w:val="auto"/>
          <w:kern w:val="0"/>
          <w:sz w:val="24"/>
          <w:szCs w:val="24"/>
          <w:highlight w:val="none"/>
          <w:lang w:val="en-US" w:eastAsia="en-US" w:bidi="ar-SA"/>
        </w:rPr>
        <w:t>2°，并满足在最大横倾角时约有 0.</w:t>
      </w: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US" w:eastAsia="en-US" w:bidi="ar-SA"/>
        </w:rPr>
        <w:t xml:space="preserve"> 米的干舷(其干舷变化值小于 0.2m,船舶最</w:t>
      </w:r>
      <w:r>
        <w:rPr>
          <w:rFonts w:hint="eastAsia" w:ascii="仿宋" w:hAnsi="仿宋" w:eastAsia="仿宋" w:cs="仿宋"/>
          <w:color w:val="auto"/>
          <w:kern w:val="0"/>
          <w:sz w:val="24"/>
          <w:szCs w:val="24"/>
          <w:highlight w:val="none"/>
          <w:lang w:eastAsia="en-US"/>
        </w:rPr>
        <w:t>小干舷为 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en-US"/>
        </w:rPr>
        <w:t>m); 泵船的复原力矩大于风压产生的最大横倾力矩。</w:t>
      </w:r>
    </w:p>
    <w:p w14:paraId="176A15F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7、泵船主船体为钢质，全电焊，横骨架式结构,主船体是一个对称的方箱形结构，艏艉削斜，全船分为多个水密隔舱(每个舱配人孔盖 1 只 )，具有良好的抗沉性，能保证船体遭到损坏进水,仍有足够的浮力;船体准确布置设备安装位置 ,使船体左右的重量保持平衡;力争不增加压载,使船体保持水平状态; 降低船体重心,提高运行稳定性;水泵舱内设有集水坑(污水井)，用于收集检修积水，并及时通过排放。  </w:t>
      </w:r>
    </w:p>
    <w:p w14:paraId="18131BD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8、管道防腐</w:t>
      </w:r>
    </w:p>
    <w:p w14:paraId="4D9B095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1)管道内壁防腐:管道内壁涂装 WH30 白色环氧底漆 2 道,WH40 白色饮水舱无毒面漆 1 道。 </w:t>
      </w:r>
    </w:p>
    <w:p w14:paraId="38AC262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2)管道外壁防腐:WH20 特种环氧底漆 2 道,环氧云铁中间漆 1 道,WH50 聚氨酯面漆(氟碳)2 道。 </w:t>
      </w:r>
    </w:p>
    <w:p w14:paraId="29B4AB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9、船体防腐</w:t>
      </w:r>
    </w:p>
    <w:p w14:paraId="36E3310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1)钢材表面处理</w:t>
      </w:r>
    </w:p>
    <w:p w14:paraId="0060206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a、钢材在原料阶段的,厚度大于或等于 2mm 的钢板、型材均采用抛丸(喷砂)进行预处理;</w:t>
      </w:r>
    </w:p>
    <w:p w14:paraId="30CE8B5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b、除锈后的表面及时涂上规定防锈底漆;</w:t>
      </w:r>
    </w:p>
    <w:p w14:paraId="5A1683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c、钢材表面预处理前均除去表面的油污、水分和杂物;</w:t>
      </w:r>
    </w:p>
    <w:p w14:paraId="57EA993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d、经抛丸、喷丸、酸洗除锈后的表面质量均符合相关规范要求。</w:t>
      </w:r>
    </w:p>
    <w:p w14:paraId="407582D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2)二次除锈</w:t>
      </w:r>
    </w:p>
    <w:p w14:paraId="3BB147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a、二次除锈的主要方式为喷丸除锈和动力工具除锈。二次除锈作业前 ,均先清除焊缝周围残存的焊渣和飞溅物,以及表面的油污和水;</w:t>
      </w:r>
    </w:p>
    <w:p w14:paraId="52D30A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b、尽量在好天气时和室内工场进行二次除锈作业,除锈结束后清 除表面的油污、尘埃等异物、并及时喷涂规定的底漆; </w:t>
      </w:r>
    </w:p>
    <w:p w14:paraId="41C662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c、表面清理质量符合相关规范要求。 </w:t>
      </w:r>
    </w:p>
    <w:p w14:paraId="1190083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10、电气要求</w:t>
      </w:r>
    </w:p>
    <w:p w14:paraId="04762A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1）供货范围及要求</w:t>
      </w:r>
    </w:p>
    <w:p w14:paraId="212C24C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default" w:ascii="仿宋" w:hAnsi="仿宋" w:eastAsia="仿宋" w:cs="仿宋"/>
          <w:color w:val="auto"/>
          <w:kern w:val="0"/>
          <w:sz w:val="24"/>
          <w:szCs w:val="24"/>
          <w:highlight w:val="none"/>
          <w:lang w:eastAsia="en-US"/>
        </w:rPr>
        <w:t>a、供方应提供供货范围内所有电动设备的电控装置及相关材料。成套供货的电控设备</w:t>
      </w:r>
      <w:r>
        <w:rPr>
          <w:rFonts w:hint="eastAsia" w:ascii="仿宋" w:hAnsi="仿宋" w:eastAsia="仿宋" w:cs="仿宋"/>
          <w:color w:val="auto"/>
          <w:kern w:val="0"/>
          <w:sz w:val="24"/>
          <w:szCs w:val="24"/>
          <w:highlight w:val="none"/>
          <w:lang w:eastAsia="zh-CN"/>
        </w:rPr>
        <w:t>，</w:t>
      </w:r>
      <w:r>
        <w:rPr>
          <w:rFonts w:hint="default" w:ascii="仿宋" w:hAnsi="仿宋" w:eastAsia="仿宋" w:cs="仿宋"/>
          <w:color w:val="auto"/>
          <w:kern w:val="0"/>
          <w:sz w:val="24"/>
          <w:szCs w:val="24"/>
          <w:highlight w:val="none"/>
          <w:lang w:eastAsia="en-US"/>
        </w:rPr>
        <w:t>应具有完善的保护功能,以确保在各种运行和故障情况下不损坏设备</w:t>
      </w:r>
      <w:r>
        <w:rPr>
          <w:rFonts w:hint="eastAsia" w:ascii="仿宋" w:hAnsi="仿宋" w:eastAsia="仿宋" w:cs="仿宋"/>
          <w:color w:val="auto"/>
          <w:kern w:val="0"/>
          <w:sz w:val="24"/>
          <w:szCs w:val="24"/>
          <w:highlight w:val="none"/>
          <w:lang w:eastAsia="zh-CN"/>
        </w:rPr>
        <w:t>，</w:t>
      </w:r>
      <w:r>
        <w:rPr>
          <w:rFonts w:hint="default" w:ascii="仿宋" w:hAnsi="仿宋" w:eastAsia="仿宋" w:cs="仿宋"/>
          <w:color w:val="auto"/>
          <w:kern w:val="0"/>
          <w:sz w:val="24"/>
          <w:szCs w:val="24"/>
          <w:highlight w:val="none"/>
          <w:lang w:eastAsia="en-US"/>
        </w:rPr>
        <w:t>不危及人身安全。</w:t>
      </w:r>
    </w:p>
    <w:p w14:paraId="5A7BD4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default" w:ascii="仿宋" w:hAnsi="仿宋" w:eastAsia="仿宋" w:cs="仿宋"/>
          <w:color w:val="auto"/>
          <w:kern w:val="0"/>
          <w:sz w:val="24"/>
          <w:szCs w:val="24"/>
          <w:highlight w:val="none"/>
          <w:lang w:eastAsia="en-US"/>
        </w:rPr>
        <w:t>b、设备控制功能由供方完成，满足就地现场控制要求，并预留远控的相关接点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控制柜设置远程4G模块，可手机远程APP操作浮船水泵的启停</w:t>
      </w:r>
      <w:r>
        <w:rPr>
          <w:rFonts w:hint="default" w:ascii="仿宋" w:hAnsi="仿宋" w:eastAsia="仿宋" w:cs="仿宋"/>
          <w:color w:val="auto"/>
          <w:kern w:val="0"/>
          <w:sz w:val="24"/>
          <w:szCs w:val="24"/>
          <w:highlight w:val="none"/>
          <w:lang w:eastAsia="en-US"/>
        </w:rPr>
        <w:t>。</w:t>
      </w:r>
    </w:p>
    <w:p w14:paraId="20068F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default" w:ascii="仿宋" w:hAnsi="仿宋" w:eastAsia="仿宋" w:cs="仿宋"/>
          <w:color w:val="auto"/>
          <w:kern w:val="0"/>
          <w:sz w:val="24"/>
          <w:szCs w:val="24"/>
          <w:highlight w:val="none"/>
          <w:lang w:eastAsia="en-US"/>
        </w:rPr>
        <w:t>c、供方提供取水泵到</w:t>
      </w:r>
      <w:r>
        <w:rPr>
          <w:rFonts w:hint="eastAsia" w:ascii="仿宋" w:hAnsi="仿宋" w:eastAsia="仿宋" w:cs="仿宋"/>
          <w:color w:val="auto"/>
          <w:kern w:val="0"/>
          <w:sz w:val="24"/>
          <w:szCs w:val="24"/>
          <w:highlight w:val="none"/>
          <w:lang w:val="en-US" w:eastAsia="zh-CN"/>
        </w:rPr>
        <w:t>浮船水泵柜的</w:t>
      </w:r>
      <w:r>
        <w:rPr>
          <w:rFonts w:hint="default" w:ascii="仿宋" w:hAnsi="仿宋" w:eastAsia="仿宋" w:cs="仿宋"/>
          <w:color w:val="auto"/>
          <w:kern w:val="0"/>
          <w:sz w:val="24"/>
          <w:szCs w:val="24"/>
          <w:highlight w:val="none"/>
          <w:lang w:eastAsia="en-US"/>
        </w:rPr>
        <w:t>动力电缆，</w:t>
      </w:r>
      <w:r>
        <w:rPr>
          <w:rFonts w:hint="eastAsia" w:ascii="仿宋" w:hAnsi="仿宋" w:eastAsia="仿宋" w:cs="仿宋"/>
          <w:color w:val="auto"/>
          <w:kern w:val="0"/>
          <w:sz w:val="24"/>
          <w:szCs w:val="24"/>
          <w:highlight w:val="none"/>
          <w:lang w:val="en-US" w:eastAsia="zh-CN"/>
        </w:rPr>
        <w:t>水泵柜</w:t>
      </w:r>
      <w:r>
        <w:rPr>
          <w:rFonts w:hint="default" w:ascii="仿宋" w:hAnsi="仿宋" w:eastAsia="仿宋" w:cs="仿宋"/>
          <w:color w:val="auto"/>
          <w:kern w:val="0"/>
          <w:sz w:val="24"/>
          <w:szCs w:val="24"/>
          <w:highlight w:val="none"/>
          <w:lang w:eastAsia="en-US"/>
        </w:rPr>
        <w:t>至</w:t>
      </w:r>
      <w:r>
        <w:rPr>
          <w:rFonts w:hint="eastAsia" w:ascii="仿宋" w:hAnsi="仿宋" w:eastAsia="仿宋" w:cs="仿宋"/>
          <w:color w:val="auto"/>
          <w:kern w:val="0"/>
          <w:sz w:val="24"/>
          <w:szCs w:val="24"/>
          <w:highlight w:val="none"/>
          <w:lang w:val="en-US" w:eastAsia="zh-CN"/>
        </w:rPr>
        <w:t>岸上取电点的</w:t>
      </w:r>
      <w:r>
        <w:rPr>
          <w:rFonts w:hint="default" w:ascii="仿宋" w:hAnsi="仿宋" w:eastAsia="仿宋" w:cs="仿宋"/>
          <w:color w:val="auto"/>
          <w:kern w:val="0"/>
          <w:sz w:val="24"/>
          <w:szCs w:val="24"/>
          <w:highlight w:val="none"/>
          <w:lang w:eastAsia="en-US"/>
        </w:rPr>
        <w:t>进线电缆</w:t>
      </w:r>
      <w:r>
        <w:rPr>
          <w:rFonts w:hint="eastAsia" w:ascii="仿宋" w:hAnsi="仿宋" w:eastAsia="仿宋" w:cs="仿宋"/>
          <w:color w:val="auto"/>
          <w:kern w:val="0"/>
          <w:sz w:val="24"/>
          <w:szCs w:val="24"/>
          <w:highlight w:val="none"/>
          <w:lang w:val="en-US" w:eastAsia="zh-CN"/>
        </w:rPr>
        <w:t>由需方提供及敷设</w:t>
      </w:r>
      <w:r>
        <w:rPr>
          <w:rFonts w:hint="default" w:ascii="仿宋" w:hAnsi="仿宋" w:eastAsia="仿宋" w:cs="仿宋"/>
          <w:color w:val="auto"/>
          <w:kern w:val="0"/>
          <w:sz w:val="24"/>
          <w:szCs w:val="24"/>
          <w:highlight w:val="none"/>
          <w:lang w:eastAsia="en-US"/>
        </w:rPr>
        <w:t>。</w:t>
      </w:r>
    </w:p>
    <w:p w14:paraId="4AD829E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eastAsia="en-US"/>
        </w:rPr>
        <w:t>电气装置</w:t>
      </w:r>
    </w:p>
    <w:p w14:paraId="427D5F4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eastAsia="en-US"/>
        </w:rPr>
        <w:t>a、</w:t>
      </w:r>
      <w:r>
        <w:rPr>
          <w:rFonts w:hint="eastAsia" w:ascii="仿宋" w:hAnsi="仿宋" w:eastAsia="仿宋" w:cs="仿宋"/>
          <w:color w:val="auto"/>
          <w:kern w:val="0"/>
          <w:sz w:val="24"/>
          <w:szCs w:val="24"/>
          <w:highlight w:val="none"/>
          <w:lang w:val="en-US" w:eastAsia="zh-CN"/>
        </w:rPr>
        <w:t>浮船水泵柜布置在浮船内，采用户外304不锈钢材质，</w:t>
      </w:r>
      <w:r>
        <w:rPr>
          <w:rFonts w:hint="default" w:ascii="仿宋" w:hAnsi="仿宋" w:eastAsia="仿宋" w:cs="仿宋"/>
          <w:color w:val="auto"/>
          <w:kern w:val="0"/>
          <w:sz w:val="24"/>
          <w:szCs w:val="24"/>
          <w:highlight w:val="none"/>
          <w:lang w:eastAsia="en-US"/>
        </w:rPr>
        <w:t>板厚1.5mm</w:t>
      </w:r>
      <w:r>
        <w:rPr>
          <w:rFonts w:hint="eastAsia" w:ascii="仿宋" w:hAnsi="仿宋" w:eastAsia="仿宋" w:cs="仿宋"/>
          <w:color w:val="auto"/>
          <w:kern w:val="0"/>
          <w:sz w:val="24"/>
          <w:szCs w:val="24"/>
          <w:highlight w:val="none"/>
          <w:lang w:eastAsia="zh-CN"/>
        </w:rPr>
        <w:t>。</w:t>
      </w:r>
    </w:p>
    <w:p w14:paraId="50932EA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b</w:t>
      </w:r>
      <w:r>
        <w:rPr>
          <w:rFonts w:hint="default" w:ascii="仿宋" w:hAnsi="仿宋" w:eastAsia="仿宋" w:cs="仿宋"/>
          <w:color w:val="auto"/>
          <w:kern w:val="0"/>
          <w:sz w:val="24"/>
          <w:szCs w:val="24"/>
          <w:highlight w:val="none"/>
          <w:lang w:eastAsia="en-US"/>
        </w:rPr>
        <w:t xml:space="preserve">、电源电压在±10%范围内变化时，所配电气设备和控制系统能正常工作。 </w:t>
      </w:r>
    </w:p>
    <w:p w14:paraId="5F92BF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c、</w:t>
      </w:r>
      <w:r>
        <w:rPr>
          <w:rFonts w:hint="default" w:ascii="仿宋" w:hAnsi="仿宋" w:eastAsia="仿宋" w:cs="仿宋"/>
          <w:color w:val="auto"/>
          <w:kern w:val="0"/>
          <w:sz w:val="24"/>
          <w:szCs w:val="24"/>
          <w:highlight w:val="none"/>
          <w:lang w:eastAsia="en-US"/>
        </w:rPr>
        <w:t>浮体取水泵站设备采用380V</w:t>
      </w:r>
      <w:r>
        <w:rPr>
          <w:rFonts w:hint="eastAsia" w:ascii="仿宋" w:hAnsi="仿宋" w:eastAsia="仿宋" w:cs="仿宋"/>
          <w:color w:val="auto"/>
          <w:kern w:val="0"/>
          <w:sz w:val="24"/>
          <w:szCs w:val="24"/>
          <w:highlight w:val="none"/>
          <w:lang w:val="en-US" w:eastAsia="zh-CN"/>
        </w:rPr>
        <w:t>+N，单电源</w:t>
      </w:r>
      <w:r>
        <w:rPr>
          <w:rFonts w:hint="default" w:ascii="仿宋" w:hAnsi="仿宋" w:eastAsia="仿宋" w:cs="仿宋"/>
          <w:color w:val="auto"/>
          <w:kern w:val="0"/>
          <w:sz w:val="24"/>
          <w:szCs w:val="24"/>
          <w:highlight w:val="none"/>
          <w:lang w:eastAsia="en-US"/>
        </w:rPr>
        <w:t>供电。</w:t>
      </w:r>
    </w:p>
    <w:p w14:paraId="23DB2F4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d、</w:t>
      </w:r>
      <w:r>
        <w:rPr>
          <w:rFonts w:hint="default" w:ascii="仿宋" w:hAnsi="仿宋" w:eastAsia="仿宋" w:cs="仿宋"/>
          <w:color w:val="auto"/>
          <w:kern w:val="0"/>
          <w:sz w:val="24"/>
          <w:szCs w:val="24"/>
          <w:highlight w:val="none"/>
          <w:lang w:eastAsia="en-US"/>
        </w:rPr>
        <w:t xml:space="preserve"> </w:t>
      </w:r>
      <w:r>
        <w:rPr>
          <w:rFonts w:hint="default" w:ascii="仿宋" w:hAnsi="仿宋" w:eastAsia="仿宋" w:cs="仿宋"/>
          <w:color w:val="auto"/>
          <w:kern w:val="0"/>
          <w:sz w:val="24"/>
          <w:szCs w:val="24"/>
          <w:highlight w:val="none"/>
          <w:lang w:val="en-US" w:eastAsia="zh-CN"/>
        </w:rPr>
        <w:t>配电箱</w:t>
      </w:r>
      <w:r>
        <w:rPr>
          <w:rFonts w:hint="default" w:ascii="仿宋" w:hAnsi="仿宋" w:eastAsia="仿宋" w:cs="仿宋"/>
          <w:color w:val="auto"/>
          <w:kern w:val="0"/>
          <w:sz w:val="24"/>
          <w:szCs w:val="24"/>
          <w:highlight w:val="none"/>
          <w:lang w:eastAsia="en-US"/>
        </w:rPr>
        <w:t>元件要求</w:t>
      </w:r>
    </w:p>
    <w:p w14:paraId="0E9270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zh-CN"/>
        </w:rPr>
      </w:pPr>
      <w:r>
        <w:rPr>
          <w:rFonts w:hint="default" w:ascii="仿宋" w:hAnsi="仿宋" w:eastAsia="仿宋" w:cs="仿宋"/>
          <w:color w:val="auto"/>
          <w:kern w:val="0"/>
          <w:sz w:val="24"/>
          <w:szCs w:val="24"/>
          <w:highlight w:val="none"/>
          <w:lang w:eastAsia="en-US"/>
        </w:rPr>
        <w:t>（1）塑壳断路器、小型断路器、接触器、</w:t>
      </w:r>
      <w:r>
        <w:rPr>
          <w:rFonts w:hint="eastAsia" w:ascii="仿宋" w:hAnsi="仿宋" w:eastAsia="仿宋" w:cs="仿宋"/>
          <w:color w:val="auto"/>
          <w:kern w:val="0"/>
          <w:sz w:val="24"/>
          <w:szCs w:val="24"/>
          <w:highlight w:val="none"/>
          <w:lang w:val="en-US" w:eastAsia="zh-CN"/>
        </w:rPr>
        <w:t>浪涌保护器</w:t>
      </w:r>
      <w:r>
        <w:rPr>
          <w:rFonts w:hint="default" w:ascii="仿宋" w:hAnsi="仿宋" w:eastAsia="仿宋" w:cs="仿宋"/>
          <w:color w:val="auto"/>
          <w:kern w:val="0"/>
          <w:sz w:val="24"/>
          <w:szCs w:val="24"/>
          <w:highlight w:val="none"/>
          <w:lang w:eastAsia="en-US"/>
        </w:rPr>
        <w:t>选用（人民，</w:t>
      </w:r>
      <w:r>
        <w:rPr>
          <w:rFonts w:hint="eastAsia" w:ascii="仿宋" w:hAnsi="仿宋" w:eastAsia="仿宋" w:cs="仿宋"/>
          <w:color w:val="auto"/>
          <w:kern w:val="0"/>
          <w:sz w:val="24"/>
          <w:szCs w:val="24"/>
          <w:highlight w:val="none"/>
          <w:lang w:val="en-US" w:eastAsia="zh-CN"/>
        </w:rPr>
        <w:t>正泰</w:t>
      </w:r>
      <w:r>
        <w:rPr>
          <w:rFonts w:hint="default" w:ascii="仿宋" w:hAnsi="仿宋" w:eastAsia="仿宋" w:cs="仿宋"/>
          <w:color w:val="auto"/>
          <w:kern w:val="0"/>
          <w:sz w:val="24"/>
          <w:szCs w:val="24"/>
          <w:highlight w:val="none"/>
          <w:lang w:eastAsia="en-US"/>
        </w:rPr>
        <w:t>）或优于以上品牌</w:t>
      </w:r>
      <w:r>
        <w:rPr>
          <w:rFonts w:hint="default" w:ascii="仿宋" w:hAnsi="仿宋" w:eastAsia="仿宋" w:cs="仿宋"/>
          <w:color w:val="auto"/>
          <w:kern w:val="0"/>
          <w:sz w:val="24"/>
          <w:szCs w:val="24"/>
          <w:highlight w:val="none"/>
          <w:lang w:eastAsia="zh-CN"/>
        </w:rPr>
        <w:t>，</w:t>
      </w:r>
    </w:p>
    <w:p w14:paraId="65CFD47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default"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eastAsia="en-US"/>
        </w:rPr>
        <w:t>）变频器选用：上海</w:t>
      </w:r>
      <w:r>
        <w:rPr>
          <w:rFonts w:hint="eastAsia" w:ascii="仿宋" w:hAnsi="仿宋" w:eastAsia="仿宋" w:cs="仿宋"/>
          <w:color w:val="auto"/>
          <w:kern w:val="0"/>
          <w:sz w:val="24"/>
          <w:szCs w:val="24"/>
          <w:highlight w:val="none"/>
          <w:lang w:val="en-US" w:eastAsia="zh-CN"/>
        </w:rPr>
        <w:t>众辰</w:t>
      </w:r>
      <w:r>
        <w:rPr>
          <w:rFonts w:hint="default" w:ascii="仿宋" w:hAnsi="仿宋" w:eastAsia="仿宋" w:cs="仿宋"/>
          <w:color w:val="auto"/>
          <w:kern w:val="0"/>
          <w:sz w:val="24"/>
          <w:szCs w:val="24"/>
          <w:highlight w:val="none"/>
          <w:lang w:eastAsia="en-US"/>
        </w:rPr>
        <w:t xml:space="preserve">、 </w:t>
      </w:r>
      <w:r>
        <w:rPr>
          <w:rFonts w:hint="eastAsia" w:ascii="仿宋" w:hAnsi="仿宋" w:eastAsia="仿宋" w:cs="仿宋"/>
          <w:color w:val="auto"/>
          <w:kern w:val="0"/>
          <w:sz w:val="24"/>
          <w:szCs w:val="24"/>
          <w:highlight w:val="none"/>
          <w:lang w:val="en-US" w:eastAsia="zh-CN"/>
        </w:rPr>
        <w:t>深圳日业</w:t>
      </w:r>
      <w:r>
        <w:rPr>
          <w:rFonts w:hint="default" w:ascii="仿宋" w:hAnsi="仿宋" w:eastAsia="仿宋" w:cs="仿宋"/>
          <w:color w:val="auto"/>
          <w:kern w:val="0"/>
          <w:sz w:val="24"/>
          <w:szCs w:val="24"/>
          <w:highlight w:val="none"/>
          <w:lang w:eastAsia="en-US"/>
        </w:rPr>
        <w:t>优于上述系列；</w:t>
      </w:r>
    </w:p>
    <w:p w14:paraId="087374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eastAsia="en-US"/>
        </w:rPr>
      </w:pPr>
      <w:r>
        <w:rPr>
          <w:rFonts w:hint="default"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eastAsia="en-US"/>
        </w:rPr>
        <w:t>）转换开关、按钮、指示灯等元器件均选用国内知名品牌的产品；</w:t>
      </w:r>
    </w:p>
    <w:p w14:paraId="025474B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4</w:t>
      </w:r>
      <w:r>
        <w:rPr>
          <w:rFonts w:hint="default"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柜内设置2台变频器，采用一拖一控制方式</w:t>
      </w:r>
      <w:r>
        <w:rPr>
          <w:rFonts w:hint="default" w:ascii="仿宋" w:hAnsi="仿宋" w:eastAsia="仿宋" w:cs="仿宋"/>
          <w:color w:val="auto"/>
          <w:kern w:val="0"/>
          <w:sz w:val="24"/>
          <w:szCs w:val="24"/>
          <w:highlight w:val="none"/>
          <w:lang w:eastAsia="en-US"/>
        </w:rPr>
        <w:t>；</w:t>
      </w:r>
    </w:p>
    <w:p w14:paraId="225FCFB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5</w:t>
      </w:r>
      <w:r>
        <w:rPr>
          <w:rFonts w:hint="default"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柜内设置多功能仪表。</w:t>
      </w:r>
    </w:p>
    <w:p w14:paraId="38F898F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6</w:t>
      </w:r>
      <w:r>
        <w:rPr>
          <w:rFonts w:hint="default"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柜内设置自动除湿及散热功能。</w:t>
      </w:r>
    </w:p>
    <w:p w14:paraId="4EDBBF9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lang w:eastAsia="en-US"/>
        </w:rPr>
        <w:t>智能型模块拼装式浮坞在“远程智能控制”上：需配置无线网关可采用4G或5G或INTERNET网链接；可通过手机等移动终端访问控制系统，查看与设置参数；可实现系统内的各设备联动启停操作，实现一键启停。</w:t>
      </w:r>
    </w:p>
    <w:p w14:paraId="08B08F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三、水泵技术要求</w:t>
      </w:r>
    </w:p>
    <w:tbl>
      <w:tblPr>
        <w:tblStyle w:val="25"/>
        <w:tblpPr w:leftFromText="180" w:rightFromText="180" w:vertAnchor="text" w:horzAnchor="margin" w:tblpY="519"/>
        <w:tblW w:w="9698" w:type="dxa"/>
        <w:tblInd w:w="0" w:type="dxa"/>
        <w:tblLayout w:type="autofit"/>
        <w:tblCellMar>
          <w:top w:w="0" w:type="dxa"/>
          <w:left w:w="108" w:type="dxa"/>
          <w:bottom w:w="0" w:type="dxa"/>
          <w:right w:w="108" w:type="dxa"/>
        </w:tblCellMar>
      </w:tblPr>
      <w:tblGrid>
        <w:gridCol w:w="1904"/>
        <w:gridCol w:w="2430"/>
        <w:gridCol w:w="1002"/>
        <w:gridCol w:w="4362"/>
      </w:tblGrid>
      <w:tr w14:paraId="36E2A836">
        <w:tblPrEx>
          <w:tblCellMar>
            <w:top w:w="0" w:type="dxa"/>
            <w:left w:w="108" w:type="dxa"/>
            <w:bottom w:w="0" w:type="dxa"/>
            <w:right w:w="108" w:type="dxa"/>
          </w:tblCellMar>
        </w:tblPrEx>
        <w:trPr>
          <w:trHeight w:val="90"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14:paraId="0998882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名称</w:t>
            </w:r>
          </w:p>
        </w:tc>
        <w:tc>
          <w:tcPr>
            <w:tcW w:w="2430" w:type="dxa"/>
            <w:tcBorders>
              <w:top w:val="single" w:color="auto" w:sz="4" w:space="0"/>
              <w:left w:val="nil"/>
              <w:bottom w:val="single" w:color="auto" w:sz="4" w:space="0"/>
              <w:right w:val="single" w:color="auto" w:sz="4" w:space="0"/>
            </w:tcBorders>
            <w:noWrap w:val="0"/>
            <w:vAlign w:val="center"/>
          </w:tcPr>
          <w:p w14:paraId="7BC6784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型号</w:t>
            </w:r>
          </w:p>
        </w:tc>
        <w:tc>
          <w:tcPr>
            <w:tcW w:w="1002" w:type="dxa"/>
            <w:tcBorders>
              <w:top w:val="single" w:color="auto" w:sz="4" w:space="0"/>
              <w:left w:val="nil"/>
              <w:bottom w:val="single" w:color="auto" w:sz="4" w:space="0"/>
              <w:right w:val="single" w:color="auto" w:sz="4" w:space="0"/>
            </w:tcBorders>
            <w:noWrap w:val="0"/>
            <w:vAlign w:val="center"/>
          </w:tcPr>
          <w:p w14:paraId="3B88F4A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数量</w:t>
            </w:r>
          </w:p>
        </w:tc>
        <w:tc>
          <w:tcPr>
            <w:tcW w:w="4362" w:type="dxa"/>
            <w:tcBorders>
              <w:top w:val="single" w:color="auto" w:sz="4" w:space="0"/>
              <w:left w:val="nil"/>
              <w:bottom w:val="single" w:color="auto" w:sz="4" w:space="0"/>
              <w:right w:val="single" w:color="auto" w:sz="4" w:space="0"/>
            </w:tcBorders>
            <w:noWrap w:val="0"/>
            <w:vAlign w:val="center"/>
          </w:tcPr>
          <w:p w14:paraId="48F3AB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07634F6C">
        <w:tblPrEx>
          <w:tblCellMar>
            <w:top w:w="0" w:type="dxa"/>
            <w:left w:w="108" w:type="dxa"/>
            <w:bottom w:w="0" w:type="dxa"/>
            <w:right w:w="108" w:type="dxa"/>
          </w:tblCellMar>
        </w:tblPrEx>
        <w:trPr>
          <w:trHeight w:val="90"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14:paraId="6330F9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水泵</w:t>
            </w:r>
          </w:p>
        </w:tc>
        <w:tc>
          <w:tcPr>
            <w:tcW w:w="2430" w:type="dxa"/>
            <w:tcBorders>
              <w:top w:val="single" w:color="auto" w:sz="4" w:space="0"/>
              <w:left w:val="nil"/>
              <w:bottom w:val="single" w:color="auto" w:sz="4" w:space="0"/>
              <w:right w:val="single" w:color="auto" w:sz="4" w:space="0"/>
            </w:tcBorders>
            <w:noWrap w:val="0"/>
            <w:vAlign w:val="center"/>
          </w:tcPr>
          <w:p w14:paraId="0D6371D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100m3/h，105m</w:t>
            </w:r>
          </w:p>
        </w:tc>
        <w:tc>
          <w:tcPr>
            <w:tcW w:w="1002" w:type="dxa"/>
            <w:tcBorders>
              <w:top w:val="single" w:color="auto" w:sz="4" w:space="0"/>
              <w:left w:val="nil"/>
              <w:bottom w:val="single" w:color="auto" w:sz="4" w:space="0"/>
              <w:right w:val="single" w:color="auto" w:sz="4" w:space="0"/>
            </w:tcBorders>
            <w:noWrap w:val="0"/>
            <w:vAlign w:val="center"/>
          </w:tcPr>
          <w:p w14:paraId="4792E66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4362" w:type="dxa"/>
            <w:vMerge w:val="restart"/>
            <w:tcBorders>
              <w:top w:val="single" w:color="auto" w:sz="4" w:space="0"/>
              <w:left w:val="nil"/>
              <w:right w:val="single" w:color="auto" w:sz="4" w:space="0"/>
            </w:tcBorders>
            <w:noWrap w:val="0"/>
            <w:vAlign w:val="center"/>
          </w:tcPr>
          <w:p w14:paraId="79E8F5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2台变频</w:t>
            </w:r>
          </w:p>
        </w:tc>
      </w:tr>
      <w:tr w14:paraId="3EF19234">
        <w:tblPrEx>
          <w:tblCellMar>
            <w:top w:w="0" w:type="dxa"/>
            <w:left w:w="108" w:type="dxa"/>
            <w:bottom w:w="0" w:type="dxa"/>
            <w:right w:w="108" w:type="dxa"/>
          </w:tblCellMar>
        </w:tblPrEx>
        <w:trPr>
          <w:trHeight w:val="90"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14:paraId="6194F28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变频电机</w:t>
            </w:r>
          </w:p>
        </w:tc>
        <w:tc>
          <w:tcPr>
            <w:tcW w:w="2430" w:type="dxa"/>
            <w:tcBorders>
              <w:top w:val="single" w:color="auto" w:sz="4" w:space="0"/>
              <w:left w:val="nil"/>
              <w:bottom w:val="single" w:color="auto" w:sz="4" w:space="0"/>
              <w:right w:val="single" w:color="auto" w:sz="4" w:space="0"/>
            </w:tcBorders>
            <w:noWrap w:val="0"/>
            <w:vAlign w:val="center"/>
          </w:tcPr>
          <w:p w14:paraId="5B5AB9C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55KW，380V</w:t>
            </w:r>
          </w:p>
        </w:tc>
        <w:tc>
          <w:tcPr>
            <w:tcW w:w="1002" w:type="dxa"/>
            <w:tcBorders>
              <w:top w:val="single" w:color="auto" w:sz="4" w:space="0"/>
              <w:left w:val="nil"/>
              <w:bottom w:val="single" w:color="auto" w:sz="4" w:space="0"/>
              <w:right w:val="single" w:color="auto" w:sz="4" w:space="0"/>
            </w:tcBorders>
            <w:noWrap w:val="0"/>
            <w:vAlign w:val="center"/>
          </w:tcPr>
          <w:p w14:paraId="342E0C1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4362" w:type="dxa"/>
            <w:vMerge w:val="continue"/>
            <w:tcBorders>
              <w:left w:val="nil"/>
              <w:bottom w:val="single" w:color="auto" w:sz="4" w:space="0"/>
              <w:right w:val="single" w:color="auto" w:sz="4" w:space="0"/>
            </w:tcBorders>
            <w:noWrap w:val="0"/>
            <w:vAlign w:val="center"/>
          </w:tcPr>
          <w:p w14:paraId="51527BC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p>
        </w:tc>
      </w:tr>
      <w:tr w14:paraId="5E8B473E">
        <w:tblPrEx>
          <w:tblCellMar>
            <w:top w:w="0" w:type="dxa"/>
            <w:left w:w="108" w:type="dxa"/>
            <w:bottom w:w="0" w:type="dxa"/>
            <w:right w:w="108" w:type="dxa"/>
          </w:tblCellMar>
        </w:tblPrEx>
        <w:trPr>
          <w:trHeight w:val="90" w:hRule="atLeast"/>
        </w:trPr>
        <w:tc>
          <w:tcPr>
            <w:tcW w:w="4334" w:type="dxa"/>
            <w:gridSpan w:val="2"/>
            <w:tcBorders>
              <w:top w:val="single" w:color="auto" w:sz="4" w:space="0"/>
              <w:left w:val="single" w:color="auto" w:sz="4" w:space="0"/>
              <w:bottom w:val="single" w:color="auto" w:sz="4" w:space="0"/>
              <w:right w:val="single" w:color="auto" w:sz="4" w:space="0"/>
            </w:tcBorders>
            <w:noWrap w:val="0"/>
            <w:vAlign w:val="center"/>
          </w:tcPr>
          <w:p w14:paraId="24B069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水泵公共底座</w:t>
            </w:r>
          </w:p>
        </w:tc>
        <w:tc>
          <w:tcPr>
            <w:tcW w:w="1002" w:type="dxa"/>
            <w:tcBorders>
              <w:top w:val="single" w:color="auto" w:sz="4" w:space="0"/>
              <w:left w:val="nil"/>
              <w:bottom w:val="single" w:color="auto" w:sz="4" w:space="0"/>
              <w:right w:val="single" w:color="auto" w:sz="4" w:space="0"/>
            </w:tcBorders>
            <w:noWrap w:val="0"/>
            <w:vAlign w:val="center"/>
          </w:tcPr>
          <w:p w14:paraId="593C9C1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4362" w:type="dxa"/>
            <w:tcBorders>
              <w:top w:val="single" w:color="auto" w:sz="4" w:space="0"/>
              <w:left w:val="nil"/>
              <w:bottom w:val="single" w:color="auto" w:sz="4" w:space="0"/>
              <w:right w:val="single" w:color="auto" w:sz="4" w:space="0"/>
            </w:tcBorders>
            <w:noWrap w:val="0"/>
            <w:vAlign w:val="center"/>
          </w:tcPr>
          <w:p w14:paraId="0745558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p>
        </w:tc>
      </w:tr>
    </w:tbl>
    <w:p w14:paraId="14C8966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1、取水泵数量</w:t>
      </w:r>
    </w:p>
    <w:p w14:paraId="7ABED19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2、水泵技术要求</w:t>
      </w:r>
    </w:p>
    <w:p w14:paraId="4203ED3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2.1一般要求</w:t>
      </w:r>
    </w:p>
    <w:p w14:paraId="1752CD3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1）泵的设计、生产应符合最新有效的标准。</w:t>
      </w:r>
    </w:p>
    <w:p w14:paraId="034C6FA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2）每台泵及其附属设备的布置方式应能在不中断整套装置运行的情况下，便于进行操作、维修和拆卸。</w:t>
      </w:r>
    </w:p>
    <w:p w14:paraId="1727E4F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3）并列运行或备用泵采用同样的设计，即具有可更换性。故障时备用泵应能立即投入运行，以防止整套装置停运。</w:t>
      </w:r>
    </w:p>
    <w:p w14:paraId="0D2667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4）应提供吊耳、吊环和其他专用滑轮，以便对泵及其部件进行检修。</w:t>
      </w:r>
    </w:p>
    <w:p w14:paraId="2C31076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5）所有泵都应满足本质安全的要求，泵的所有转动部分都应有保护罩。</w:t>
      </w:r>
    </w:p>
    <w:p w14:paraId="775BC95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2.2泵的参数本标段内的水泵都包含配套电机。</w:t>
      </w:r>
    </w:p>
    <w:p w14:paraId="29F7835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表3 新泵及配套电机参数</w:t>
      </w:r>
    </w:p>
    <w:tbl>
      <w:tblPr>
        <w:tblStyle w:val="25"/>
        <w:tblW w:w="53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130"/>
        <w:gridCol w:w="850"/>
        <w:gridCol w:w="740"/>
        <w:gridCol w:w="910"/>
        <w:gridCol w:w="840"/>
        <w:gridCol w:w="760"/>
        <w:gridCol w:w="990"/>
        <w:gridCol w:w="890"/>
        <w:gridCol w:w="770"/>
        <w:gridCol w:w="746"/>
      </w:tblGrid>
      <w:tr w14:paraId="1F88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blHeader/>
        </w:trPr>
        <w:tc>
          <w:tcPr>
            <w:tcW w:w="504" w:type="pct"/>
            <w:noWrap/>
            <w:vAlign w:val="center"/>
          </w:tcPr>
          <w:p w14:paraId="0BB2261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名称</w:t>
            </w:r>
          </w:p>
        </w:tc>
        <w:tc>
          <w:tcPr>
            <w:tcW w:w="588" w:type="pct"/>
            <w:noWrap/>
            <w:vAlign w:val="center"/>
          </w:tcPr>
          <w:p w14:paraId="5E81C58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流量</w:t>
            </w:r>
          </w:p>
        </w:tc>
        <w:tc>
          <w:tcPr>
            <w:tcW w:w="442" w:type="pct"/>
            <w:noWrap/>
            <w:vAlign w:val="center"/>
          </w:tcPr>
          <w:p w14:paraId="0991BE5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扬程</w:t>
            </w:r>
          </w:p>
        </w:tc>
        <w:tc>
          <w:tcPr>
            <w:tcW w:w="385" w:type="pct"/>
            <w:noWrap w:val="0"/>
            <w:vAlign w:val="center"/>
          </w:tcPr>
          <w:p w14:paraId="76230D9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功率</w:t>
            </w:r>
          </w:p>
        </w:tc>
        <w:tc>
          <w:tcPr>
            <w:tcW w:w="474" w:type="pct"/>
            <w:noWrap w:val="0"/>
            <w:vAlign w:val="center"/>
          </w:tcPr>
          <w:p w14:paraId="0C58EAD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电压</w:t>
            </w:r>
          </w:p>
        </w:tc>
        <w:tc>
          <w:tcPr>
            <w:tcW w:w="437" w:type="pct"/>
            <w:noWrap w:val="0"/>
            <w:vAlign w:val="center"/>
          </w:tcPr>
          <w:p w14:paraId="641F61F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叶轮</w:t>
            </w:r>
          </w:p>
        </w:tc>
        <w:tc>
          <w:tcPr>
            <w:tcW w:w="396" w:type="pct"/>
            <w:noWrap w:val="0"/>
            <w:vAlign w:val="center"/>
          </w:tcPr>
          <w:p w14:paraId="452F44E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密封</w:t>
            </w:r>
          </w:p>
          <w:p w14:paraId="36F1358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形式</w:t>
            </w:r>
          </w:p>
        </w:tc>
        <w:tc>
          <w:tcPr>
            <w:tcW w:w="515" w:type="pct"/>
            <w:noWrap w:val="0"/>
            <w:vAlign w:val="center"/>
          </w:tcPr>
          <w:p w14:paraId="646CF4C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泵形式</w:t>
            </w:r>
          </w:p>
        </w:tc>
        <w:tc>
          <w:tcPr>
            <w:tcW w:w="463" w:type="pct"/>
            <w:noWrap w:val="0"/>
            <w:vAlign w:val="center"/>
          </w:tcPr>
          <w:p w14:paraId="1CC321C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介质</w:t>
            </w:r>
          </w:p>
        </w:tc>
        <w:tc>
          <w:tcPr>
            <w:tcW w:w="401" w:type="pct"/>
            <w:noWrap w:val="0"/>
            <w:vAlign w:val="center"/>
          </w:tcPr>
          <w:p w14:paraId="2404968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数量</w:t>
            </w:r>
          </w:p>
        </w:tc>
        <w:tc>
          <w:tcPr>
            <w:tcW w:w="388" w:type="pct"/>
            <w:noWrap w:val="0"/>
            <w:vAlign w:val="center"/>
          </w:tcPr>
          <w:p w14:paraId="2BC417F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37E9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04" w:type="pct"/>
            <w:noWrap/>
            <w:vAlign w:val="center"/>
          </w:tcPr>
          <w:p w14:paraId="053E35C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取水泵</w:t>
            </w:r>
          </w:p>
        </w:tc>
        <w:tc>
          <w:tcPr>
            <w:tcW w:w="588" w:type="pct"/>
            <w:noWrap/>
            <w:vAlign w:val="center"/>
          </w:tcPr>
          <w:p w14:paraId="551C824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100 m³/h</w:t>
            </w:r>
          </w:p>
        </w:tc>
        <w:tc>
          <w:tcPr>
            <w:tcW w:w="442" w:type="pct"/>
            <w:noWrap/>
            <w:vAlign w:val="center"/>
          </w:tcPr>
          <w:p w14:paraId="247B9CD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105m</w:t>
            </w:r>
          </w:p>
        </w:tc>
        <w:tc>
          <w:tcPr>
            <w:tcW w:w="385" w:type="pct"/>
            <w:noWrap w:val="0"/>
            <w:vAlign w:val="center"/>
          </w:tcPr>
          <w:p w14:paraId="5343B32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55kW</w:t>
            </w:r>
          </w:p>
        </w:tc>
        <w:tc>
          <w:tcPr>
            <w:tcW w:w="474" w:type="pct"/>
            <w:noWrap w:val="0"/>
            <w:vAlign w:val="center"/>
          </w:tcPr>
          <w:p w14:paraId="60E3768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380V</w:t>
            </w:r>
          </w:p>
        </w:tc>
        <w:tc>
          <w:tcPr>
            <w:tcW w:w="437" w:type="pct"/>
            <w:noWrap w:val="0"/>
            <w:vAlign w:val="center"/>
          </w:tcPr>
          <w:p w14:paraId="5725F25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S304</w:t>
            </w:r>
          </w:p>
        </w:tc>
        <w:tc>
          <w:tcPr>
            <w:tcW w:w="396" w:type="pct"/>
            <w:noWrap w:val="0"/>
            <w:vAlign w:val="center"/>
          </w:tcPr>
          <w:p w14:paraId="23B8968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机械密封</w:t>
            </w:r>
          </w:p>
        </w:tc>
        <w:tc>
          <w:tcPr>
            <w:tcW w:w="515" w:type="pct"/>
            <w:tcBorders>
              <w:bottom w:val="single" w:color="auto" w:sz="4" w:space="0"/>
            </w:tcBorders>
            <w:noWrap w:val="0"/>
            <w:vAlign w:val="center"/>
          </w:tcPr>
          <w:p w14:paraId="1999845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水平中</w:t>
            </w:r>
          </w:p>
          <w:p w14:paraId="4D064C5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开卧式</w:t>
            </w:r>
          </w:p>
        </w:tc>
        <w:tc>
          <w:tcPr>
            <w:tcW w:w="463" w:type="pct"/>
            <w:tcBorders>
              <w:bottom w:val="single" w:color="auto" w:sz="4" w:space="0"/>
            </w:tcBorders>
            <w:noWrap w:val="0"/>
            <w:vAlign w:val="center"/>
          </w:tcPr>
          <w:p w14:paraId="4E9304A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河水</w:t>
            </w:r>
          </w:p>
        </w:tc>
        <w:tc>
          <w:tcPr>
            <w:tcW w:w="401" w:type="pct"/>
            <w:noWrap w:val="0"/>
            <w:vAlign w:val="center"/>
          </w:tcPr>
          <w:p w14:paraId="7203C96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1台</w:t>
            </w:r>
          </w:p>
        </w:tc>
        <w:tc>
          <w:tcPr>
            <w:tcW w:w="388" w:type="pct"/>
            <w:noWrap w:val="0"/>
            <w:vAlign w:val="center"/>
          </w:tcPr>
          <w:p w14:paraId="5B69570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变频</w:t>
            </w:r>
          </w:p>
        </w:tc>
      </w:tr>
    </w:tbl>
    <w:p w14:paraId="497E394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2.3水泵的性能要求</w:t>
      </w:r>
    </w:p>
    <w:p w14:paraId="07A22A8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取水泵采用卧式单级双吸水平中开离心泵，水泵吸进口和吐出口均在泵轴中心线下方，与泵轴线垂直，泵体中分面处于泵轴心线上，检修时不需拆卸进出水管路、拿开泵盖即可取出转子部件。所有取水泵转向保持一致。</w:t>
      </w:r>
    </w:p>
    <w:p w14:paraId="6C82BE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水泵的功率以最终满足流量和扬程条件为优先而确定，在满足实际所需的流量扬程情况下，因品牌选择不同可能导致的功率不同，功率根据实际确定。</w:t>
      </w:r>
    </w:p>
    <w:p w14:paraId="31AB74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1）水泵的第一临界转速不低于工作转速的125%。当一台水泵事故断电停泵，而其出口阀门又出现故障，其余水泵正在运行时，该水泵应能承受在最大反转速下(100%额定转速)连续反转5分钟，该时设备应无任何损坏。</w:t>
      </w:r>
    </w:p>
    <w:p w14:paraId="7B1AD29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每台水泵应能在25%额定反转速情况下起动，并不会引起电动机过载或对水泵零部件的损坏。</w:t>
      </w:r>
    </w:p>
    <w:p w14:paraId="3F57715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2）泵的流量与扬程的性能曲线（Q－H曲线）应当变化平缓、高效区域（</w:t>
      </w:r>
      <w:r>
        <w:rPr>
          <w:rFonts w:hint="eastAsia" w:ascii="仿宋" w:hAnsi="仿宋" w:eastAsia="仿宋" w:cs="仿宋"/>
          <w:color w:val="auto"/>
          <w:kern w:val="0"/>
          <w:sz w:val="24"/>
          <w:szCs w:val="24"/>
          <w:highlight w:val="none"/>
          <w:lang w:val="en-US" w:eastAsia="zh-CN"/>
        </w:rPr>
        <w:sym w:font="Symbol" w:char="F068"/>
      </w:r>
      <w:r>
        <w:rPr>
          <w:rFonts w:hint="eastAsia" w:ascii="仿宋" w:hAnsi="仿宋" w:eastAsia="仿宋" w:cs="仿宋"/>
          <w:color w:val="auto"/>
          <w:kern w:val="0"/>
          <w:sz w:val="24"/>
          <w:szCs w:val="24"/>
          <w:highlight w:val="none"/>
          <w:lang w:val="en-US" w:eastAsia="zh-CN"/>
        </w:rPr>
        <w:t>≥82%）宽广。从额定流量（正常运行点）到零流量的压力升高值不超过额定流量时扬程的20%。水泵流量与效率曲线在水泵额定工况点±15%范围内保证平滑。</w:t>
      </w:r>
    </w:p>
    <w:p w14:paraId="66135C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3）水泵额定工况点应处于水泵高效区。水泵的流量、扬程、效率在正常运行点下符合GB3216的规定。</w:t>
      </w:r>
    </w:p>
    <w:p w14:paraId="5F6A194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4）水泵本体设计保证水泵在保证点的流量、扬程、效率不产生负偏差，若产生正偏差应不超过3%。</w:t>
      </w:r>
    </w:p>
    <w:p w14:paraId="066E2A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5）水泵的最小流量不超过额定流量的25%。</w:t>
      </w:r>
    </w:p>
    <w:p w14:paraId="725213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6）泵的振动应在无汽蚀运转条件下测量，轴承处的振动值应符合JB/T8097的规定。即轴承在各方向振动（双向振幅）值不大于0.05mm。</w:t>
      </w:r>
    </w:p>
    <w:p w14:paraId="4A017BA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7）事故停泵或正常停泵时，允许短时水体倒流而不损坏水泵和电机。水泵的反转速应允许达到正常转速的120%，此时设备无任何损害。</w:t>
      </w:r>
    </w:p>
    <w:p w14:paraId="01A30CD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8）在泵的设计上有减少必须汽蚀余量及提高泵有效汽蚀余量的措施。叶轮及叶轮室流道上必须采用抗汽蚀的材料。整个水泵具有良好的抗汽蚀性能。</w:t>
      </w:r>
    </w:p>
    <w:p w14:paraId="5A5652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泵的转子及其主要的旋转部件应进行静平衡和动平衡测试试验。其精度符合或高于国家标准。静平衡精度不低于GB9239中的G6.3级，动平衡精度不低于GB9239中的G2.5级。泵的振动在无汽蚀运转条件下测量，电机轴承处和电机座上法兰处的振动值符合JB/T8097的规定。</w:t>
      </w:r>
    </w:p>
    <w:p w14:paraId="458844D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10）正常运行时，泵的噪声符合JB/T8098的要求，同时满足DL5053－1996中的有关规定“即距泵体外壁1m、距地面高（泵高＋1）/2m处的噪声不大于85dB（A）”。</w:t>
      </w:r>
    </w:p>
    <w:p w14:paraId="425E7D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11）泵的设计满足在规定的工作条件下连续运行而不出现过度的变形、磨损和振动值增大超标、噪音增大超标以及某些部件温度过高而影响泵的使用寿命等问题。</w:t>
      </w:r>
    </w:p>
    <w:p w14:paraId="44B61C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12）泵在使用范围内能稳定、安全、经济地连续运行，设计正常工况下的累计连续运行时间不低于8000小时，叶轮累计连续运行时间不低于30000小时。</w:t>
      </w:r>
    </w:p>
    <w:p w14:paraId="455E22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 泵具备在全扬程范围内能连续运行的能力而不产生过载等问题。卖方保证所供的水泵能完全适应该工程的设计运行工况，且保证水泵设计运行工况均在水泵的高效区（</w:t>
      </w:r>
      <w:r>
        <w:rPr>
          <w:rFonts w:hint="eastAsia" w:ascii="仿宋" w:hAnsi="仿宋" w:eastAsia="仿宋" w:cs="仿宋"/>
          <w:color w:val="auto"/>
          <w:kern w:val="0"/>
          <w:sz w:val="24"/>
          <w:szCs w:val="24"/>
          <w:highlight w:val="none"/>
          <w:lang w:val="en-US" w:eastAsia="zh-CN"/>
        </w:rPr>
        <w:sym w:font="Symbol" w:char="F068"/>
      </w:r>
      <w:r>
        <w:rPr>
          <w:rFonts w:hint="eastAsia" w:ascii="仿宋" w:hAnsi="仿宋" w:eastAsia="仿宋" w:cs="仿宋"/>
          <w:color w:val="auto"/>
          <w:kern w:val="0"/>
          <w:sz w:val="24"/>
          <w:szCs w:val="24"/>
          <w:highlight w:val="none"/>
          <w:lang w:val="en-US" w:eastAsia="zh-CN"/>
        </w:rPr>
        <w:t>≥82%）范围内。</w:t>
      </w:r>
    </w:p>
    <w:p w14:paraId="600722A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 水泵的水力性能试验按照国家标准《离心泵、混流泵、轴流泵和旋涡泵试验方法》（GB/T3216－89）中的“B级”（即“工程Ⅰ级”）标准或等同的国际标准执行。每台泵均要进行不少于13个点的性能试验，其13个点均匀地分布在整条曲线上。</w:t>
      </w:r>
    </w:p>
    <w:p w14:paraId="1CEDEF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15)轴的临界转速比额定转速大25%。</w:t>
      </w:r>
    </w:p>
    <w:p w14:paraId="7840F25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16)泵为卧式安装，泵壳于轴心线水平分开，上部为泵盖，下部为泵体，吸进口和吐出口均在泵轴线下方的泵体上，其中心线与轴线垂直。检修时只需揭开泵盖就能取出转子部件。</w:t>
      </w:r>
    </w:p>
    <w:p w14:paraId="1EE0D13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17)叶轮及流道设计技术先进，叶轮及导流壳流道的表面粗糙度≤12.5 </w:t>
      </w:r>
      <w:r>
        <w:rPr>
          <w:rFonts w:hint="eastAsia" w:ascii="仿宋" w:hAnsi="仿宋" w:eastAsia="仿宋" w:cs="仿宋"/>
          <w:color w:val="auto"/>
          <w:kern w:val="0"/>
          <w:sz w:val="24"/>
          <w:szCs w:val="24"/>
          <w:highlight w:val="none"/>
          <w:lang w:val="en-US" w:eastAsia="zh-CN"/>
        </w:rPr>
        <w:sym w:font="Symbol" w:char="F06D"/>
      </w:r>
      <w:r>
        <w:rPr>
          <w:rFonts w:hint="eastAsia" w:ascii="仿宋" w:hAnsi="仿宋" w:eastAsia="仿宋" w:cs="仿宋"/>
          <w:color w:val="auto"/>
          <w:kern w:val="0"/>
          <w:sz w:val="24"/>
          <w:szCs w:val="24"/>
          <w:highlight w:val="none"/>
          <w:lang w:val="en-US" w:eastAsia="zh-CN"/>
        </w:rPr>
        <w:t>m。泵体内部阻力损失小，运行效率高，泵设计成高效节能型水泵。泵体应是耐磨、耐腐蚀材质，且过流表面应平滑，足够通过进入叶轮的固体或纤维物质。</w:t>
      </w:r>
    </w:p>
    <w:p w14:paraId="4C6B8AC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18)叶轮材质为304不锈钢，泵壳材质为QT450-10球铁（环氧树脂喷涂），轴材质为2Cr13不锈钢，轴套材质为304不锈钢。泵所有联接螺栓材质均为不锈钢（地脚螺栓除外）。</w:t>
      </w:r>
    </w:p>
    <w:p w14:paraId="6508DD3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 叶轮应可靠地固定在轴上，以防止旋转时产生轴向和径向移动。</w:t>
      </w:r>
    </w:p>
    <w:p w14:paraId="57B49F8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 泵与电机轴承均采用SKF或FAG轴承。</w:t>
      </w:r>
    </w:p>
    <w:p w14:paraId="64D462F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 所有水泵轴端采用机械密封，冷却水由泵自身提供。泵进出水口采用法兰连接，反法兰、连接螺栓、带内护环的金属石墨缠绕垫片由卖方提供。</w:t>
      </w:r>
    </w:p>
    <w:p w14:paraId="6A423B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 每个承受水压的零件均进行水压试验，试验压力为使用范围内最大压力的1.5倍，持续5分钟，没有渗漏。</w:t>
      </w:r>
    </w:p>
    <w:p w14:paraId="16E427F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 水泵在运行工况下产生的力及力矩由水泵机组本体承受，经泵座及电动机座传递给水泵基础。</w:t>
      </w:r>
    </w:p>
    <w:p w14:paraId="6750B9B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水泵电动机，防护等级不小于IP55，绝缘等级不低于F级。水泵驱动器为连续负荷的电动机，其功率可使水泵在额定工况下达到额定出力。电机容量应满足在额定电压下，水泵在任何工况条件下，都不会超过满负荷电流。水泵、电机能够适应高温、高湿运行的要求。</w:t>
      </w:r>
    </w:p>
    <w:p w14:paraId="0F3F63A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25)水泵、电机的外表应美观光滑、整洁、无划痕、锈斑和压伤，防腐层应均匀，色调一致，无气泡和剥落现象。泵壳须经过耐锈蚀工艺处理，铸铁部分需经过电泳处理，延长水泵使用的寿命</w:t>
      </w:r>
    </w:p>
    <w:p w14:paraId="535C5C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 转动部位防护罩要求</w:t>
      </w:r>
    </w:p>
    <w:p w14:paraId="0DB97D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所有转动部分不得外露，均设置防护罩。防护罩设计符合国家相关标准，有足够的强度和刚度，表面光滑、无毛刺和尖锐棱角；所有防护罩采用碳钢（Q235）材质（或不锈钢材质），厚度≥2.0mm ,机械设备轴封的防护网采用铝合金（LY-12），厚度≥2.0mm ,严禁使用其他材料代替。具体要求如下：</w:t>
      </w:r>
    </w:p>
    <w:p w14:paraId="5E19F2B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a.防护罩结构和布局应设计合理，使人体不能直接进入危险区域。</w:t>
      </w:r>
    </w:p>
    <w:p w14:paraId="3E1AFBD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b防护罩应尽量采用封闭机构，当需要采用网状结构时，应符合下列要求：</w:t>
      </w:r>
    </w:p>
    <w:p w14:paraId="0E53BD4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表格4 防护罩要求</w:t>
      </w:r>
    </w:p>
    <w:tbl>
      <w:tblPr>
        <w:tblStyle w:val="25"/>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292"/>
        <w:gridCol w:w="1293"/>
        <w:gridCol w:w="1292"/>
        <w:gridCol w:w="1293"/>
        <w:gridCol w:w="1293"/>
      </w:tblGrid>
      <w:tr w14:paraId="000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noWrap w:val="0"/>
            <w:vAlign w:val="center"/>
          </w:tcPr>
          <w:p w14:paraId="4B45183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网眼及孔</w:t>
            </w:r>
          </w:p>
        </w:tc>
        <w:tc>
          <w:tcPr>
            <w:tcW w:w="1292" w:type="dxa"/>
            <w:noWrap w:val="0"/>
            <w:vAlign w:val="center"/>
          </w:tcPr>
          <w:p w14:paraId="591484D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＜6.5mm</w:t>
            </w:r>
          </w:p>
        </w:tc>
        <w:tc>
          <w:tcPr>
            <w:tcW w:w="1293" w:type="dxa"/>
            <w:noWrap w:val="0"/>
            <w:vAlign w:val="center"/>
          </w:tcPr>
          <w:p w14:paraId="0C54789E">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＜12.5mm</w:t>
            </w:r>
          </w:p>
        </w:tc>
        <w:tc>
          <w:tcPr>
            <w:tcW w:w="1292" w:type="dxa"/>
            <w:noWrap w:val="0"/>
            <w:vAlign w:val="center"/>
          </w:tcPr>
          <w:p w14:paraId="0958EB6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＜20mm</w:t>
            </w:r>
          </w:p>
        </w:tc>
        <w:tc>
          <w:tcPr>
            <w:tcW w:w="1293" w:type="dxa"/>
            <w:noWrap w:val="0"/>
            <w:vAlign w:val="center"/>
          </w:tcPr>
          <w:p w14:paraId="66118F2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＜47mm</w:t>
            </w:r>
          </w:p>
        </w:tc>
        <w:tc>
          <w:tcPr>
            <w:tcW w:w="1293" w:type="dxa"/>
            <w:noWrap w:val="0"/>
            <w:vAlign w:val="center"/>
          </w:tcPr>
          <w:p w14:paraId="1650FDA4">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＜76mm</w:t>
            </w:r>
          </w:p>
        </w:tc>
      </w:tr>
      <w:tr w14:paraId="5E6E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noWrap w:val="0"/>
            <w:vAlign w:val="center"/>
          </w:tcPr>
          <w:p w14:paraId="2201B0A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防止误通过部位</w:t>
            </w:r>
          </w:p>
        </w:tc>
        <w:tc>
          <w:tcPr>
            <w:tcW w:w="1292" w:type="dxa"/>
            <w:noWrap w:val="0"/>
            <w:vAlign w:val="center"/>
          </w:tcPr>
          <w:p w14:paraId="192AD2E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防止指尖</w:t>
            </w:r>
          </w:p>
        </w:tc>
        <w:tc>
          <w:tcPr>
            <w:tcW w:w="1293" w:type="dxa"/>
            <w:noWrap w:val="0"/>
            <w:vAlign w:val="center"/>
          </w:tcPr>
          <w:p w14:paraId="4D7684D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防止手指</w:t>
            </w:r>
          </w:p>
        </w:tc>
        <w:tc>
          <w:tcPr>
            <w:tcW w:w="1292" w:type="dxa"/>
            <w:noWrap w:val="0"/>
            <w:vAlign w:val="center"/>
          </w:tcPr>
          <w:p w14:paraId="1C0E0585">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防止手掌</w:t>
            </w:r>
          </w:p>
        </w:tc>
        <w:tc>
          <w:tcPr>
            <w:tcW w:w="1293" w:type="dxa"/>
            <w:noWrap w:val="0"/>
            <w:vAlign w:val="center"/>
          </w:tcPr>
          <w:p w14:paraId="1670BB2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防止上肢</w:t>
            </w:r>
          </w:p>
        </w:tc>
        <w:tc>
          <w:tcPr>
            <w:tcW w:w="1293" w:type="dxa"/>
            <w:noWrap w:val="0"/>
            <w:vAlign w:val="center"/>
          </w:tcPr>
          <w:p w14:paraId="50E62DF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防止足尖</w:t>
            </w:r>
          </w:p>
        </w:tc>
      </w:tr>
      <w:tr w14:paraId="1EE7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noWrap w:val="0"/>
            <w:vAlign w:val="center"/>
          </w:tcPr>
          <w:p w14:paraId="4DD9394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安全距离</w:t>
            </w:r>
          </w:p>
        </w:tc>
        <w:tc>
          <w:tcPr>
            <w:tcW w:w="1292" w:type="dxa"/>
            <w:noWrap w:val="0"/>
            <w:vAlign w:val="center"/>
          </w:tcPr>
          <w:p w14:paraId="4B97105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≥35mm</w:t>
            </w:r>
          </w:p>
        </w:tc>
        <w:tc>
          <w:tcPr>
            <w:tcW w:w="1293" w:type="dxa"/>
            <w:noWrap w:val="0"/>
            <w:vAlign w:val="center"/>
          </w:tcPr>
          <w:p w14:paraId="06BAB66C">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≥92mm</w:t>
            </w:r>
          </w:p>
        </w:tc>
        <w:tc>
          <w:tcPr>
            <w:tcW w:w="1292" w:type="dxa"/>
            <w:noWrap w:val="0"/>
            <w:vAlign w:val="center"/>
          </w:tcPr>
          <w:p w14:paraId="455662A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≥135mm</w:t>
            </w:r>
          </w:p>
        </w:tc>
        <w:tc>
          <w:tcPr>
            <w:tcW w:w="1293" w:type="dxa"/>
            <w:noWrap w:val="0"/>
            <w:vAlign w:val="center"/>
          </w:tcPr>
          <w:p w14:paraId="6F16DE9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≥460mm</w:t>
            </w:r>
          </w:p>
        </w:tc>
        <w:tc>
          <w:tcPr>
            <w:tcW w:w="1293" w:type="dxa"/>
            <w:noWrap w:val="0"/>
            <w:vAlign w:val="center"/>
          </w:tcPr>
          <w:p w14:paraId="3B353E3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≥150mm</w:t>
            </w:r>
          </w:p>
        </w:tc>
      </w:tr>
    </w:tbl>
    <w:p w14:paraId="4DD17FA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c.为所有正常情况下能够伸手摸到运动部件安装防护装置或封闭。</w:t>
      </w:r>
    </w:p>
    <w:p w14:paraId="658FF6F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d.如果无法给这些设备安装有效的防护装置，应将它们封闭起来（如加装护栏）。</w:t>
      </w:r>
    </w:p>
    <w:p w14:paraId="2497BDB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e.防护装置的设计要保证让维护人员便于拆除和进行更换。</w:t>
      </w:r>
    </w:p>
    <w:p w14:paraId="108DC9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f.制作后的防护罩应遵照GB6527.2《安全色使用导则》要求。</w:t>
      </w:r>
    </w:p>
    <w:p w14:paraId="4DEFE9E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g.机械设备防护罩，应采用固定式防护罩，经常进行调节和维护的运动部件，应优先采用联锁式防护罩，条件不允许时，可采用开启式或可调节式防护罩。</w:t>
      </w:r>
    </w:p>
    <w:p w14:paraId="381EB98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h.防护罩表面光滑无毛刺和尖锐棱角，严禁产生新的危险源。</w:t>
      </w:r>
    </w:p>
    <w:p w14:paraId="5951ABB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i.防护罩设计不影响视线和正常操作，防护网应坚固，便于设备的检查和维修，便于运行人员的巡视检查。</w:t>
      </w:r>
    </w:p>
    <w:p w14:paraId="050749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j.对轮防护罩在烤漆前，要进行酸洗和喷丸处理并加2道防锈漆来进行油漆防锈处理。对轮防护罩表面现场粘贴安全注意事项警示标识（该标示应符合国家相关标准）。</w:t>
      </w:r>
    </w:p>
    <w:p w14:paraId="03CEFB8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 电气技术要求</w:t>
      </w:r>
    </w:p>
    <w:p w14:paraId="16AE80E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3.1标准：</w:t>
      </w:r>
    </w:p>
    <w:p w14:paraId="7039A8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卖方在设计、制造、安装等过程中，至少应遵循下列标准，但不限于此：</w:t>
      </w:r>
    </w:p>
    <w:p w14:paraId="174122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《大中型火力发电厂设计技术规范》                    GB 50660</w:t>
      </w:r>
    </w:p>
    <w:p w14:paraId="235F7BB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《电力工程制图标准》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DL 5028</w:t>
      </w:r>
    </w:p>
    <w:p w14:paraId="248CBF0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《火力发电厂厂用电设计技术规定》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DL/T 5153</w:t>
      </w:r>
    </w:p>
    <w:p w14:paraId="1D19FA0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《火力发电厂、变电所二次接线设计技术规程》          DL/T5136</w:t>
      </w:r>
    </w:p>
    <w:p w14:paraId="6DCA664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《电力工程电缆设计规范》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 50217</w:t>
      </w:r>
    </w:p>
    <w:p w14:paraId="30187D1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《火力发电厂和变电所照明设计技术规定》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DL/T 5390</w:t>
      </w:r>
    </w:p>
    <w:p w14:paraId="1D42F5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《3～110kV高压配电装置设计规范》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 50060</w:t>
      </w:r>
    </w:p>
    <w:p w14:paraId="563A10C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《交流电气装置的过电压保护和绝缘配合设计规范》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GB/T 50064</w:t>
      </w:r>
    </w:p>
    <w:p w14:paraId="728471A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《电测量及电能计量装置设计技术规程》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DL/T5137</w:t>
      </w:r>
    </w:p>
    <w:p w14:paraId="368FE03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《建筑物防雷设计规范》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 50057</w:t>
      </w:r>
    </w:p>
    <w:p w14:paraId="188FFE3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《火力发电厂、变电所直流系统设计技术规定》DL/T5044</w:t>
      </w:r>
    </w:p>
    <w:p w14:paraId="7088BE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《低压配电设计规范》  </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 50054</w:t>
      </w:r>
    </w:p>
    <w:p w14:paraId="307C5E2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《交流电气装置的接地设计规范》                       GB/T 50065</w:t>
      </w:r>
    </w:p>
    <w:p w14:paraId="4751BE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《电力工程直流系统设计技术规程》                     DL/T 5044</w:t>
      </w:r>
    </w:p>
    <w:p w14:paraId="0240C22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《继电保护和安全自动装置技术规程》                   GB14285</w:t>
      </w:r>
    </w:p>
    <w:p w14:paraId="6DBD6DC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《户内交流高压开关柜订货技术条件》                   DL/T404 </w:t>
      </w:r>
    </w:p>
    <w:p w14:paraId="227878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《3～35kV交流金属封闭开关设备》</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GB3906 </w:t>
      </w:r>
    </w:p>
    <w:p w14:paraId="2C6DE92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《交流高压电器动热稳定试验方法》</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GB2706 </w:t>
      </w:r>
    </w:p>
    <w:p w14:paraId="31C409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《交流高压电器在长期工作时的发热》</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GB763</w:t>
      </w:r>
    </w:p>
    <w:p w14:paraId="76210C8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《高压开关设备常温下的机械试验》</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GB3309 </w:t>
      </w:r>
    </w:p>
    <w:p w14:paraId="14F3C8F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《高压输变电设备的绝缘配合》</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GB311.1 </w:t>
      </w:r>
    </w:p>
    <w:p w14:paraId="2D0B5B1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《交流高压接触器》</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GB14808 </w:t>
      </w:r>
    </w:p>
    <w:p w14:paraId="35D45B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《交流接触器》</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IEC-470 </w:t>
      </w:r>
    </w:p>
    <w:p w14:paraId="18F2DB7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《外壳防护等级的分类》</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GB4208 </w:t>
      </w:r>
    </w:p>
    <w:p w14:paraId="7E6930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《交流高压断路器》</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GB1984 </w:t>
      </w:r>
    </w:p>
    <w:p w14:paraId="2FD6CDD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《交流高压隔离开关》</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GB1985 </w:t>
      </w:r>
    </w:p>
    <w:p w14:paraId="03033C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《高压开关柜通用技术条件》</w:t>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ab/>
      </w:r>
      <w:r>
        <w:rPr>
          <w:rFonts w:hint="eastAsia" w:ascii="仿宋" w:hAnsi="仿宋" w:eastAsia="仿宋" w:cs="仿宋"/>
          <w:color w:val="auto"/>
          <w:kern w:val="0"/>
          <w:sz w:val="24"/>
          <w:szCs w:val="24"/>
          <w:highlight w:val="none"/>
          <w:lang w:val="en-US" w:eastAsia="zh-CN"/>
        </w:rPr>
        <w:t xml:space="preserve">        GB-11022 </w:t>
      </w:r>
    </w:p>
    <w:p w14:paraId="2B53BBC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此外还包括船上电气设备应遵循的相关标准等。</w:t>
      </w:r>
    </w:p>
    <w:p w14:paraId="4AF9AB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3.6主要设备技术规范：</w:t>
      </w:r>
    </w:p>
    <w:p w14:paraId="18EB5A7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电动机技术要求：</w:t>
      </w:r>
    </w:p>
    <w:p w14:paraId="0D37A88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趸船上所有电动机除满足本规范外，还应满足买方的其它有关电动机设备技术条件书要求。取水泵配套的电动机采用卧式异步电动机。</w:t>
      </w:r>
    </w:p>
    <w:p w14:paraId="34234C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电动机的设计、制造及试验除符合中国现行的国家标准或相应的国际标准外，还满足如下要求：</w:t>
      </w:r>
    </w:p>
    <w:p w14:paraId="3B4573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1）电动机的设计、制造必须与它所驱动的设备的运行条件和维护要求一致。</w:t>
      </w:r>
    </w:p>
    <w:p w14:paraId="0A0E147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2）电动机基本性能保证值的允许误差满足《旋转电机·定额和性能》（GB755）或相应的IEC标准的要求。</w:t>
      </w:r>
    </w:p>
    <w:p w14:paraId="63B447D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3）除非买方同意或有另外的规定，电动机的额定功率比它所驱动的设备长期连续运行所需功率至少留有10%的设计冗余。</w:t>
      </w:r>
    </w:p>
    <w:p w14:paraId="7605DF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4）在设计的环境条件下，电动机应能承受所有的热应力和机械应力。</w:t>
      </w:r>
    </w:p>
    <w:p w14:paraId="176F142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5）电动机采用全封闭型式，各项性能指标均应不受室外气候变化的影响。</w:t>
      </w:r>
    </w:p>
    <w:p w14:paraId="5CC57F2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6）电动机的防护等级必须满足环境条件的要求，其中取水泵电动机的防护等级为IP55。</w:t>
      </w:r>
    </w:p>
    <w:p w14:paraId="76B3EE3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7）电动机的绝缘等级为F级，按B级温升考虑。绝缘能承受周围环境的影响。</w:t>
      </w:r>
    </w:p>
    <w:p w14:paraId="51DE615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8）电动机的连接导线与绕组的绝缘具有相同的绝缘等级。</w:t>
      </w:r>
    </w:p>
    <w:p w14:paraId="21866BF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9）电动机轴承结构是密封的，能隔绝污物和水，并不使油进入线圈。</w:t>
      </w:r>
    </w:p>
    <w:p w14:paraId="622B2E8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10）电动机有吊环或其它起吊用设施，使电动机能够简便安全地起吊。</w:t>
      </w:r>
    </w:p>
    <w:p w14:paraId="2CE1B35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11）所有露天布置的电动机及其它电气设备设计防雨设施。</w:t>
      </w:r>
    </w:p>
    <w:p w14:paraId="7340F43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12）电动机能在电源电压变化为额定电压的±10%内，或频率变化为额定频率的±5%内，或电压和频率同时改变，但变化之和的绝对值在10%内时连续满载运行。</w:t>
      </w:r>
    </w:p>
    <w:p w14:paraId="47851A8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13）电动机为直接起动式，能按被驱动设备的转速—转矩曲线所示的载荷进行成功的起动。当电源电压降低到额定电压的55%时，电动机能实现自动起动。</w:t>
      </w:r>
    </w:p>
    <w:p w14:paraId="0E8E5B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14）电动机的起动电流，达到与满足其应用要求的良好性能与经济设计一致的最低电流值。除非得到买方的书面认可，否则，在额定电压条件下，电动机的最大起动电流不超过其额定电流的600%。</w:t>
      </w:r>
    </w:p>
    <w:p w14:paraId="2289D9B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15）在规定的起动电压的极限值范围之内，电动机转子允许起动时间不低于其加速时间。</w:t>
      </w:r>
    </w:p>
    <w:p w14:paraId="2D718E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16）电动机在冷态下起动不少于2次，每次的起动循环周期不大于5分钟；热态起动不少于1 次。如果起动时间不超过2～3秒，电动机能够多次起动。</w:t>
      </w:r>
    </w:p>
    <w:p w14:paraId="4711797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电动机能承受从正常工作电源快速或慢速切换到另一个电源时施加在电动机上的扭矩引起的应力和过电压对绝缘的损害。此时考虑电动机的剩余电压值可能是正常输入电压值的50%，与切换后的电源相位差达到180度。</w:t>
      </w:r>
    </w:p>
    <w:p w14:paraId="2F8EC3A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18）对于装有防滴式外壳的电动机，采用弹性耐磨涂层对定子绕组的端部线匝和通风槽片进行处理。</w:t>
      </w:r>
    </w:p>
    <w:p w14:paraId="744251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19)电动机的结构能耐受标准规定的正反转的超速值，而不造成设备损坏。</w:t>
      </w:r>
    </w:p>
    <w:p w14:paraId="6BA82B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20)电动机的振动幅度不超过标准所规定的数值。卖方将采取一切合理的预防措施，将电动机的振动保持在允许限度内。</w:t>
      </w:r>
    </w:p>
    <w:p w14:paraId="3C213C9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电动机的最高噪音水平符合所列规范和标准的要求。距外壳1米远处，电动机的平均声压级不大于85dB（A声级）。如果预计设备的最大音级超过规定的容许极限，卖方将采取措施降低噪音，以满足规范和标准的要求。具体采取的措施将经买方审查认可。</w:t>
      </w:r>
    </w:p>
    <w:p w14:paraId="36D3895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22)电动机所有引线，均接到各自接线盒，并带有标记和识别符号。所有接线盒均抗腐蚀，接线盒防护等级为IP55。</w:t>
      </w:r>
    </w:p>
    <w:p w14:paraId="3AB418E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23)电动机不允许磁性槽契结构，定子采用真空压力整浸无溶漆工艺（VPI）处理，转子结构设计有可靠的防止鼠笼断条的改进措施。</w:t>
      </w:r>
    </w:p>
    <w:p w14:paraId="3F376CE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24)在现场和规定的环境中完全符合规范地运行条件下，电动机的设计能保证其使用寿命不低于30年。</w:t>
      </w:r>
    </w:p>
    <w:p w14:paraId="7681F3E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25)电动机内部接线与外部电缆进行连接的连接器应由卖方负责提供。</w:t>
      </w:r>
    </w:p>
    <w:p w14:paraId="57FF25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26)设计与结构要求</w:t>
      </w:r>
    </w:p>
    <w:p w14:paraId="0201D0D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①外壳的通风与保护</w:t>
      </w:r>
    </w:p>
    <w:p w14:paraId="007868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电动机应为立式异步电动机，其外壳防护等级应不低于IP55级。电动机的设计应达到这类设备所需要的任何特殊转矩要求。</w:t>
      </w:r>
    </w:p>
    <w:p w14:paraId="4B6431D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除了防爆电动机外，电动机应设有排放口。</w:t>
      </w:r>
    </w:p>
    <w:p w14:paraId="2EC0E49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②每台电动机应装设有电动机机座接地的装置，两个接地装置应位于电动机完全相反的两侧。</w:t>
      </w:r>
    </w:p>
    <w:p w14:paraId="142274D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③轴承</w:t>
      </w:r>
    </w:p>
    <w:p w14:paraId="039A55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电动机和轴承的结构应能排除尘垢和水份的侵入，并防止润滑剂到达电动机绕组。</w:t>
      </w:r>
    </w:p>
    <w:p w14:paraId="484638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轴承采用的产品，须经卖方确认，任何一台电动机的耐磨轴承应达到150,000小时的最低额定使用寿命。</w:t>
      </w:r>
    </w:p>
    <w:p w14:paraId="0E80957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套筒式轴承应有接近气隙的简便方法，以便在不拆下轴承盖的情况下利用气隙测量仪检测轴承的磨损。</w:t>
      </w:r>
    </w:p>
    <w:p w14:paraId="0A1F87F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套筒式轴承应为油环式套筒轴承。该轴承应采用拼和式轴承箱和拼和式端盖组合而成的结构，这样在不需拆卸电动机或拆下电动机的半联轴器的情况下，便可检查和更换轴承。</w:t>
      </w:r>
    </w:p>
    <w:p w14:paraId="49C1EBF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提供的所有油位观察仪均应带有标志，以显示电动机在停用状态和运行状态的正确油位。如果两种状态下的油位之差是明显的。应提供检查正常轴承润滑油流动的方法。</w:t>
      </w:r>
    </w:p>
    <w:p w14:paraId="73FD66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具有耐磨轴承的电动机应配备润滑油加油嘴，这样不必拆卸电机便可将润滑油通过轴承盖注入轴承。电动机在装运时，应正确地将轴承盖包装或加注制造厂商允许的润滑油，并应在电动机上配备排泄装置和写有在将电动机投入运转之前需要完成的调整的固定说明标牌。</w:t>
      </w:r>
    </w:p>
    <w:p w14:paraId="1097667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卖方应在设备使用说明书中提供一份完整的推荐使用并完全适用的润滑油和防锈剂清单，包括其商标牌号和油品名称，并在电动机设备铭牌（可以使用单独的设备铭牌）上标明。</w:t>
      </w:r>
    </w:p>
    <w:p w14:paraId="59B5B70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④联轴器</w:t>
      </w:r>
    </w:p>
    <w:p w14:paraId="74E3D1F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套筒式轴承的电动机的设计应采用带有限制轴端浮动的联轴器，以防止被驱动设备将轴向推力传递给电动机轴承。电动机和联轴器的端部浮动应符合所列标准中的有关的规定。</w:t>
      </w:r>
    </w:p>
    <w:p w14:paraId="293B922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⑤转向</w:t>
      </w:r>
    </w:p>
    <w:p w14:paraId="146828B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多相电动机的端子处应有显示出与电动机铭牌所示的规定旋转方向一致的相序标牌，并由一个箭头标志指示出电动机的旋转方向。倘若没有规定旋转方向，则应在电动机上标出与相序T1、T2、T3一致的旋转方向。</w:t>
      </w:r>
    </w:p>
    <w:p w14:paraId="5D3CE30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⑥安装与装定位销</w:t>
      </w:r>
    </w:p>
    <w:p w14:paraId="11EB45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除特殊应用外，卧式电动机应采用底脚安装方式，立式电动机应采用底座安装方式。电机调整座采用加强型设计。卖方应与被驱动设备制造厂商协调安装的细节。</w:t>
      </w:r>
    </w:p>
    <w:p w14:paraId="41FE4FF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电动机的设计应便于通过电动机底座或安装法兰钻孔（最好是垂直钻孔），以便电动机与被驱动设备安装好后装入定位销钉。</w:t>
      </w:r>
    </w:p>
    <w:p w14:paraId="53D3A57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当因电动机结构的限制而使垂直销钉无法安装时，电动机底座与轴垂直方向应加工或浇注为一个按销钉允许最小的角度，并提供一个导向角。</w:t>
      </w:r>
    </w:p>
    <w:p w14:paraId="5390BAF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⑦排水孔</w:t>
      </w:r>
    </w:p>
    <w:p w14:paraId="1232EAB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每台电动机应设有一个排水孔，以防内部水的积聚。</w:t>
      </w:r>
    </w:p>
    <w:p w14:paraId="520AA3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27）附件</w:t>
      </w:r>
    </w:p>
    <w:p w14:paraId="04A5E71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接线盒和接线板</w:t>
      </w:r>
    </w:p>
    <w:p w14:paraId="4F24B0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安装在电动机机座上的可穿线的导线管接线盒应连接来自电动机的所有引线，包括电动机的主引线、内部加热器的引线和过热保护装置的引线。</w:t>
      </w:r>
    </w:p>
    <w:p w14:paraId="79E2BC9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电动机电源回路主引线的接线盒应采用斜开口型（从上面或下面均可接线）。接线盒应可以从电动机上拆下来。电动机内部引线的引出口应足够大，以便使与引线连在一起的端子连接器的各部分都可以通过。</w:t>
      </w:r>
    </w:p>
    <w:p w14:paraId="5ED87D5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对于卧式电动机，除非特殊情况，主引线的接线盒从电动机头部看应安装在电动机的右侧。</w:t>
      </w:r>
    </w:p>
    <w:p w14:paraId="1AF914B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相对于主引线接线盒，立式电动机的热保护装置的接线盒应是顺时针方向约45°～90°（俯视）；加热器的接线盒应是逆时针方向约45°～90°。</w:t>
      </w:r>
    </w:p>
    <w:p w14:paraId="151A21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主引线接线盒的尺寸应足够大。所有接线盒的开孔在设备供货时不应被敲开。</w:t>
      </w:r>
    </w:p>
    <w:p w14:paraId="5DF9CFF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重量达到或超过20kg的电动机应装有起吊环、起吊钩或其它便于安全起吊电动机的装置。</w:t>
      </w:r>
    </w:p>
    <w:p w14:paraId="4A64B1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每台电动机上应装有一个耐腐蚀铭牌，铭牌上的标注内容应符合所列标准的要求，字样、符号应清晰耐久。</w:t>
      </w:r>
    </w:p>
    <w:p w14:paraId="7DB56BB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在电动机正常运行时，其铭牌的安装位置应明显可见。</w:t>
      </w:r>
    </w:p>
    <w:p w14:paraId="0BB6561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在单独的铭牌和电动机外形图上还应列出电动机起动的限制条件。</w:t>
      </w:r>
    </w:p>
    <w:p w14:paraId="789B236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如果使用了耐磨轴承，则应在铭牌上标明耐磨轴承应用标准的编号。</w:t>
      </w:r>
    </w:p>
    <w:p w14:paraId="14F611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四、阀门类技术要求</w:t>
      </w:r>
    </w:p>
    <w:p w14:paraId="10266D4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1、蝶阀招标技术条款 </w:t>
      </w:r>
    </w:p>
    <w:p w14:paraId="7C062F1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.1 </w:t>
      </w:r>
      <w:r>
        <w:rPr>
          <w:rFonts w:hint="eastAsia" w:ascii="仿宋" w:hAnsi="仿宋" w:eastAsia="仿宋" w:cs="仿宋"/>
          <w:color w:val="auto"/>
          <w:kern w:val="0"/>
          <w:sz w:val="24"/>
          <w:szCs w:val="24"/>
          <w:highlight w:val="none"/>
          <w:lang w:val="en-US" w:eastAsia="zh-CN"/>
        </w:rPr>
        <w:t xml:space="preserve">工作内容与说明 </w:t>
      </w:r>
    </w:p>
    <w:p w14:paraId="0F3EBEE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.1.1 </w:t>
      </w:r>
      <w:r>
        <w:rPr>
          <w:rFonts w:hint="eastAsia" w:ascii="仿宋" w:hAnsi="仿宋" w:eastAsia="仿宋" w:cs="仿宋"/>
          <w:color w:val="auto"/>
          <w:kern w:val="0"/>
          <w:sz w:val="24"/>
          <w:szCs w:val="24"/>
          <w:highlight w:val="none"/>
          <w:lang w:val="en-US" w:eastAsia="zh-CN"/>
        </w:rPr>
        <w:t xml:space="preserve">本技术条款规定了本次招标的丰潭水库取水泵船供水工程泵站上所采用的手动法兰式蝶阀的结构形式技术要求。 </w:t>
      </w:r>
    </w:p>
    <w:p w14:paraId="037F7D4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.1.2 </w:t>
      </w:r>
      <w:r>
        <w:rPr>
          <w:rFonts w:hint="eastAsia" w:ascii="仿宋" w:hAnsi="仿宋" w:eastAsia="仿宋" w:cs="仿宋"/>
          <w:color w:val="auto"/>
          <w:kern w:val="0"/>
          <w:sz w:val="24"/>
          <w:szCs w:val="24"/>
          <w:highlight w:val="none"/>
          <w:lang w:val="en-US" w:eastAsia="zh-CN"/>
        </w:rPr>
        <w:t xml:space="preserve">投标人所提供的蝶阀应是专业制造厂技术成熟的最终产品，投标人应对所提供蝶阀运行的安全和可靠性、以及蝶阀的质量和性能在质保期內负全部责任。 </w:t>
      </w:r>
    </w:p>
    <w:p w14:paraId="41618A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.1.3 </w:t>
      </w:r>
      <w:r>
        <w:rPr>
          <w:rFonts w:hint="eastAsia" w:ascii="仿宋" w:hAnsi="仿宋" w:eastAsia="仿宋" w:cs="仿宋"/>
          <w:color w:val="auto"/>
          <w:kern w:val="0"/>
          <w:sz w:val="24"/>
          <w:szCs w:val="24"/>
          <w:highlight w:val="none"/>
          <w:lang w:val="en-US" w:eastAsia="zh-CN"/>
        </w:rPr>
        <w:t xml:space="preserve">投标人应承担设备材料的到货验收、构件的制作、安装及直至交给业主的全部工作，以及业主或监理工程师认为有必要的设备出厂检查验收等。 </w:t>
      </w:r>
    </w:p>
    <w:p w14:paraId="0544061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.1.4 </w:t>
      </w:r>
      <w:r>
        <w:rPr>
          <w:rFonts w:hint="eastAsia" w:ascii="仿宋" w:hAnsi="仿宋" w:eastAsia="仿宋" w:cs="仿宋"/>
          <w:color w:val="auto"/>
          <w:kern w:val="0"/>
          <w:sz w:val="24"/>
          <w:szCs w:val="24"/>
          <w:highlight w:val="none"/>
          <w:lang w:val="en-US" w:eastAsia="zh-CN"/>
        </w:rPr>
        <w:t xml:space="preserve">执行标准 </w:t>
      </w:r>
    </w:p>
    <w:p w14:paraId="090D24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阀门的所有零部件及阀门的制造和测试应采用国标或部标相应质量标准，以及本技术条件规定的标准： </w:t>
      </w:r>
    </w:p>
    <w:p w14:paraId="521897A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GB/T1220-1989 </w:t>
      </w:r>
      <w:r>
        <w:rPr>
          <w:rFonts w:hint="eastAsia" w:ascii="仿宋" w:hAnsi="仿宋" w:eastAsia="仿宋" w:cs="仿宋"/>
          <w:color w:val="auto"/>
          <w:kern w:val="0"/>
          <w:sz w:val="24"/>
          <w:szCs w:val="24"/>
          <w:highlight w:val="none"/>
          <w:lang w:val="en-US" w:eastAsia="zh-CN"/>
        </w:rPr>
        <w:t xml:space="preserve">通用阀门标志 </w:t>
      </w:r>
    </w:p>
    <w:p w14:paraId="2807F94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JB/T928-1999 </w:t>
      </w:r>
      <w:r>
        <w:rPr>
          <w:rFonts w:hint="eastAsia" w:ascii="仿宋" w:hAnsi="仿宋" w:eastAsia="仿宋" w:cs="仿宋"/>
          <w:color w:val="auto"/>
          <w:kern w:val="0"/>
          <w:sz w:val="24"/>
          <w:szCs w:val="24"/>
          <w:highlight w:val="none"/>
          <w:lang w:val="en-US" w:eastAsia="zh-CN"/>
        </w:rPr>
        <w:t xml:space="preserve">通用阀门供货要求 </w:t>
      </w:r>
    </w:p>
    <w:p w14:paraId="4D8B7A7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JB/T5300-1991 </w:t>
      </w:r>
      <w:r>
        <w:rPr>
          <w:rFonts w:hint="eastAsia" w:ascii="仿宋" w:hAnsi="仿宋" w:eastAsia="仿宋" w:cs="仿宋"/>
          <w:color w:val="auto"/>
          <w:kern w:val="0"/>
          <w:sz w:val="24"/>
          <w:szCs w:val="24"/>
          <w:highlight w:val="none"/>
          <w:lang w:val="en-US" w:eastAsia="zh-CN"/>
        </w:rPr>
        <w:t xml:space="preserve">通用阀门材料 </w:t>
      </w:r>
    </w:p>
    <w:p w14:paraId="1871842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GB/T12238-1989 </w:t>
      </w:r>
      <w:r>
        <w:rPr>
          <w:rFonts w:hint="eastAsia" w:ascii="仿宋" w:hAnsi="仿宋" w:eastAsia="仿宋" w:cs="仿宋"/>
          <w:color w:val="auto"/>
          <w:kern w:val="0"/>
          <w:sz w:val="24"/>
          <w:szCs w:val="24"/>
          <w:highlight w:val="none"/>
          <w:lang w:val="en-US" w:eastAsia="zh-CN"/>
        </w:rPr>
        <w:t xml:space="preserve">通用阀门法兰和对夹连接蝶阀 </w:t>
      </w:r>
    </w:p>
    <w:p w14:paraId="58478C3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JB/I8527-1997 </w:t>
      </w:r>
      <w:r>
        <w:rPr>
          <w:rFonts w:hint="eastAsia" w:ascii="仿宋" w:hAnsi="仿宋" w:eastAsia="仿宋" w:cs="仿宋"/>
          <w:color w:val="auto"/>
          <w:kern w:val="0"/>
          <w:sz w:val="24"/>
          <w:szCs w:val="24"/>
          <w:highlight w:val="none"/>
          <w:lang w:val="en-US" w:eastAsia="zh-CN"/>
        </w:rPr>
        <w:t xml:space="preserve">金属硬密封蝶阀 </w:t>
      </w:r>
    </w:p>
    <w:p w14:paraId="02E92B6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GB/T9119-2000 </w:t>
      </w:r>
      <w:r>
        <w:rPr>
          <w:rFonts w:hint="eastAsia" w:ascii="仿宋" w:hAnsi="仿宋" w:eastAsia="仿宋" w:cs="仿宋"/>
          <w:color w:val="auto"/>
          <w:kern w:val="0"/>
          <w:sz w:val="24"/>
          <w:szCs w:val="24"/>
          <w:highlight w:val="none"/>
          <w:lang w:val="en-US" w:eastAsia="zh-CN"/>
        </w:rPr>
        <w:t xml:space="preserve">平面、突面板式平焊钢制管法兰 </w:t>
      </w:r>
    </w:p>
    <w:p w14:paraId="4221F1A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GB/T17241 </w:t>
      </w:r>
      <w:r>
        <w:rPr>
          <w:rFonts w:hint="eastAsia" w:ascii="仿宋" w:hAnsi="仿宋" w:eastAsia="仿宋" w:cs="仿宋"/>
          <w:color w:val="auto"/>
          <w:kern w:val="0"/>
          <w:sz w:val="24"/>
          <w:szCs w:val="24"/>
          <w:highlight w:val="none"/>
          <w:lang w:val="en-US" w:eastAsia="zh-CN"/>
        </w:rPr>
        <w:t xml:space="preserve">整体铸铁管法兰 </w:t>
      </w:r>
    </w:p>
    <w:p w14:paraId="3E5ADB2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GBT1047-2005 </w:t>
      </w:r>
      <w:r>
        <w:rPr>
          <w:rFonts w:hint="eastAsia" w:ascii="仿宋" w:hAnsi="仿宋" w:eastAsia="仿宋" w:cs="仿宋"/>
          <w:color w:val="auto"/>
          <w:kern w:val="0"/>
          <w:sz w:val="24"/>
          <w:szCs w:val="24"/>
          <w:highlight w:val="none"/>
          <w:lang w:val="en-US" w:eastAsia="zh-CN"/>
        </w:rPr>
        <w:t xml:space="preserve">管道元件 </w:t>
      </w:r>
      <w:r>
        <w:rPr>
          <w:rFonts w:hint="default" w:ascii="仿宋" w:hAnsi="仿宋" w:eastAsia="仿宋" w:cs="仿宋"/>
          <w:color w:val="auto"/>
          <w:kern w:val="0"/>
          <w:sz w:val="24"/>
          <w:szCs w:val="24"/>
          <w:highlight w:val="none"/>
          <w:lang w:val="en-US" w:eastAsia="zh-CN"/>
        </w:rPr>
        <w:t>DN(</w:t>
      </w:r>
      <w:r>
        <w:rPr>
          <w:rFonts w:hint="eastAsia" w:ascii="仿宋" w:hAnsi="仿宋" w:eastAsia="仿宋" w:cs="仿宋"/>
          <w:color w:val="auto"/>
          <w:kern w:val="0"/>
          <w:sz w:val="24"/>
          <w:szCs w:val="24"/>
          <w:highlight w:val="none"/>
          <w:lang w:val="en-US" w:eastAsia="zh-CN"/>
        </w:rPr>
        <w:t>公差尺寸</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的定义和使用 </w:t>
      </w:r>
    </w:p>
    <w:p w14:paraId="6AAC51E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JB/T53171-1999 </w:t>
      </w:r>
      <w:r>
        <w:rPr>
          <w:rFonts w:hint="eastAsia" w:ascii="仿宋" w:hAnsi="仿宋" w:eastAsia="仿宋" w:cs="仿宋"/>
          <w:color w:val="auto"/>
          <w:kern w:val="0"/>
          <w:sz w:val="24"/>
          <w:szCs w:val="24"/>
          <w:highlight w:val="none"/>
          <w:lang w:val="en-US" w:eastAsia="zh-CN"/>
        </w:rPr>
        <w:t xml:space="preserve">蝶阀产品质量分等 </w:t>
      </w:r>
    </w:p>
    <w:p w14:paraId="41681D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GB/T12221-205 </w:t>
      </w:r>
      <w:r>
        <w:rPr>
          <w:rFonts w:hint="eastAsia" w:ascii="仿宋" w:hAnsi="仿宋" w:eastAsia="仿宋" w:cs="仿宋"/>
          <w:color w:val="auto"/>
          <w:kern w:val="0"/>
          <w:sz w:val="24"/>
          <w:szCs w:val="24"/>
          <w:highlight w:val="none"/>
          <w:lang w:val="en-US" w:eastAsia="zh-CN"/>
        </w:rPr>
        <w:t xml:space="preserve">法兰连接金属阀门结构长度 </w:t>
      </w:r>
    </w:p>
    <w:p w14:paraId="32572C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GB/1227-2005 </w:t>
      </w:r>
      <w:r>
        <w:rPr>
          <w:rFonts w:hint="eastAsia" w:ascii="仿宋" w:hAnsi="仿宋" w:eastAsia="仿宋" w:cs="仿宋"/>
          <w:color w:val="auto"/>
          <w:kern w:val="0"/>
          <w:sz w:val="24"/>
          <w:szCs w:val="24"/>
          <w:highlight w:val="none"/>
          <w:lang w:val="en-US" w:eastAsia="zh-CN"/>
        </w:rPr>
        <w:t xml:space="preserve">通用阀门球墨铸铁技术条件 </w:t>
      </w:r>
    </w:p>
    <w:p w14:paraId="426DC4F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GB/T1047-1995 </w:t>
      </w:r>
      <w:r>
        <w:rPr>
          <w:rFonts w:hint="eastAsia" w:ascii="仿宋" w:hAnsi="仿宋" w:eastAsia="仿宋" w:cs="仿宋"/>
          <w:color w:val="auto"/>
          <w:kern w:val="0"/>
          <w:sz w:val="24"/>
          <w:szCs w:val="24"/>
          <w:highlight w:val="none"/>
          <w:lang w:val="en-US" w:eastAsia="zh-CN"/>
        </w:rPr>
        <w:t xml:space="preserve">管道元件的公称通经 </w:t>
      </w:r>
    </w:p>
    <w:p w14:paraId="26A51C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GBT1048-1990 </w:t>
      </w:r>
      <w:r>
        <w:rPr>
          <w:rFonts w:hint="eastAsia" w:ascii="仿宋" w:hAnsi="仿宋" w:eastAsia="仿宋" w:cs="仿宋"/>
          <w:color w:val="auto"/>
          <w:kern w:val="0"/>
          <w:sz w:val="24"/>
          <w:szCs w:val="24"/>
          <w:highlight w:val="none"/>
          <w:lang w:val="en-US" w:eastAsia="zh-CN"/>
        </w:rPr>
        <w:t xml:space="preserve">管道元件公称压力 </w:t>
      </w:r>
    </w:p>
    <w:p w14:paraId="42011FD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JBT106-2004 </w:t>
      </w:r>
      <w:r>
        <w:rPr>
          <w:rFonts w:hint="eastAsia" w:ascii="仿宋" w:hAnsi="仿宋" w:eastAsia="仿宋" w:cs="仿宋"/>
          <w:color w:val="auto"/>
          <w:kern w:val="0"/>
          <w:sz w:val="24"/>
          <w:szCs w:val="24"/>
          <w:highlight w:val="none"/>
          <w:lang w:val="en-US" w:eastAsia="zh-CN"/>
        </w:rPr>
        <w:t xml:space="preserve">阀门的标志和涂漆 </w:t>
      </w:r>
    </w:p>
    <w:p w14:paraId="17F4083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JB/I74-1994 </w:t>
      </w:r>
      <w:r>
        <w:rPr>
          <w:rFonts w:hint="eastAsia" w:ascii="仿宋" w:hAnsi="仿宋" w:eastAsia="仿宋" w:cs="仿宋"/>
          <w:color w:val="auto"/>
          <w:kern w:val="0"/>
          <w:sz w:val="24"/>
          <w:szCs w:val="24"/>
          <w:highlight w:val="none"/>
          <w:lang w:val="en-US" w:eastAsia="zh-CN"/>
        </w:rPr>
        <w:t xml:space="preserve">管道法兰技术条件 </w:t>
      </w:r>
    </w:p>
    <w:p w14:paraId="44BDE57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GB/120-2007 </w:t>
      </w:r>
      <w:r>
        <w:rPr>
          <w:rFonts w:hint="eastAsia" w:ascii="仿宋" w:hAnsi="仿宋" w:eastAsia="仿宋" w:cs="仿宋"/>
          <w:color w:val="auto"/>
          <w:kern w:val="0"/>
          <w:sz w:val="24"/>
          <w:szCs w:val="24"/>
          <w:highlight w:val="none"/>
          <w:lang w:val="en-US" w:eastAsia="zh-CN"/>
        </w:rPr>
        <w:t xml:space="preserve">不锈钢棒 </w:t>
      </w:r>
    </w:p>
    <w:p w14:paraId="3D2E782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JBT7928-1999 </w:t>
      </w:r>
      <w:r>
        <w:rPr>
          <w:rFonts w:hint="eastAsia" w:ascii="仿宋" w:hAnsi="仿宋" w:eastAsia="仿宋" w:cs="仿宋"/>
          <w:color w:val="auto"/>
          <w:kern w:val="0"/>
          <w:sz w:val="24"/>
          <w:szCs w:val="24"/>
          <w:highlight w:val="none"/>
          <w:lang w:val="en-US" w:eastAsia="zh-CN"/>
        </w:rPr>
        <w:t xml:space="preserve">通用阀门供货要求 </w:t>
      </w:r>
    </w:p>
    <w:p w14:paraId="4D7AB35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JB/T8528-1997 </w:t>
      </w:r>
      <w:r>
        <w:rPr>
          <w:rFonts w:hint="eastAsia" w:ascii="仿宋" w:hAnsi="仿宋" w:eastAsia="仿宋" w:cs="仿宋"/>
          <w:color w:val="auto"/>
          <w:kern w:val="0"/>
          <w:sz w:val="24"/>
          <w:szCs w:val="24"/>
          <w:highlight w:val="none"/>
          <w:lang w:val="en-US" w:eastAsia="zh-CN"/>
        </w:rPr>
        <w:t xml:space="preserve">普通型阀门电动装置技术条件 </w:t>
      </w:r>
    </w:p>
    <w:p w14:paraId="16B463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GB12223-1989 </w:t>
      </w:r>
      <w:r>
        <w:rPr>
          <w:rFonts w:hint="eastAsia" w:ascii="仿宋" w:hAnsi="仿宋" w:eastAsia="仿宋" w:cs="仿宋"/>
          <w:color w:val="auto"/>
          <w:kern w:val="0"/>
          <w:sz w:val="24"/>
          <w:szCs w:val="24"/>
          <w:highlight w:val="none"/>
          <w:lang w:val="en-US" w:eastAsia="zh-CN"/>
        </w:rPr>
        <w:t xml:space="preserve">部分回转阀门驱动装置的连接 </w:t>
      </w:r>
    </w:p>
    <w:p w14:paraId="71D4489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GB/T12232-1989 </w:t>
      </w:r>
      <w:r>
        <w:rPr>
          <w:rFonts w:hint="eastAsia" w:ascii="仿宋" w:hAnsi="仿宋" w:eastAsia="仿宋" w:cs="仿宋"/>
          <w:color w:val="auto"/>
          <w:kern w:val="0"/>
          <w:sz w:val="24"/>
          <w:szCs w:val="24"/>
          <w:highlight w:val="none"/>
          <w:lang w:val="en-US" w:eastAsia="zh-CN"/>
        </w:rPr>
        <w:t xml:space="preserve">通用阀门法兰连接铁制闸阀 </w:t>
      </w:r>
    </w:p>
    <w:p w14:paraId="2D9E00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GB/T13927-2008 </w:t>
      </w:r>
      <w:r>
        <w:rPr>
          <w:rFonts w:hint="eastAsia" w:ascii="仿宋" w:hAnsi="仿宋" w:eastAsia="仿宋" w:cs="仿宋"/>
          <w:color w:val="auto"/>
          <w:kern w:val="0"/>
          <w:sz w:val="24"/>
          <w:szCs w:val="24"/>
          <w:highlight w:val="none"/>
          <w:lang w:val="en-US" w:eastAsia="zh-CN"/>
        </w:rPr>
        <w:t xml:space="preserve">通用阀门压力试验 </w:t>
      </w:r>
    </w:p>
    <w:p w14:paraId="2EBEEEB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JBT7748-1995 </w:t>
      </w:r>
      <w:r>
        <w:rPr>
          <w:rFonts w:hint="eastAsia" w:ascii="仿宋" w:hAnsi="仿宋" w:eastAsia="仿宋" w:cs="仿宋"/>
          <w:color w:val="auto"/>
          <w:kern w:val="0"/>
          <w:sz w:val="24"/>
          <w:szCs w:val="24"/>
          <w:highlight w:val="none"/>
          <w:lang w:val="en-US" w:eastAsia="zh-CN"/>
        </w:rPr>
        <w:t xml:space="preserve">阀门清洁度和测定方法 </w:t>
      </w:r>
    </w:p>
    <w:p w14:paraId="6A0314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JB/TQ677-1989 </w:t>
      </w:r>
      <w:r>
        <w:rPr>
          <w:rFonts w:hint="eastAsia" w:ascii="仿宋" w:hAnsi="仿宋" w:eastAsia="仿宋" w:cs="仿宋"/>
          <w:color w:val="auto"/>
          <w:kern w:val="0"/>
          <w:sz w:val="24"/>
          <w:szCs w:val="24"/>
          <w:highlight w:val="none"/>
          <w:lang w:val="en-US" w:eastAsia="zh-CN"/>
        </w:rPr>
        <w:t xml:space="preserve">阀门产品抽样和等级评定方法 </w:t>
      </w:r>
    </w:p>
    <w:p w14:paraId="38C70FB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JBT7927-1999 </w:t>
      </w:r>
      <w:r>
        <w:rPr>
          <w:rFonts w:hint="eastAsia" w:ascii="仿宋" w:hAnsi="仿宋" w:eastAsia="仿宋" w:cs="仿宋"/>
          <w:color w:val="auto"/>
          <w:kern w:val="0"/>
          <w:sz w:val="24"/>
          <w:szCs w:val="24"/>
          <w:highlight w:val="none"/>
          <w:lang w:val="en-US" w:eastAsia="zh-CN"/>
        </w:rPr>
        <w:t xml:space="preserve">阀门铸钢件外观质量要求 </w:t>
      </w:r>
    </w:p>
    <w:p w14:paraId="4311CEE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JB</w:t>
      </w:r>
      <w:r>
        <w:rPr>
          <w:rFonts w:hint="eastAsia" w:ascii="仿宋" w:hAnsi="仿宋" w:eastAsia="仿宋" w:cs="仿宋"/>
          <w:color w:val="auto"/>
          <w:kern w:val="0"/>
          <w:sz w:val="24"/>
          <w:szCs w:val="24"/>
          <w:highlight w:val="none"/>
          <w:lang w:val="en-US" w:eastAsia="zh-CN"/>
        </w:rPr>
        <w:t>①</w:t>
      </w:r>
      <w:r>
        <w:rPr>
          <w:rFonts w:hint="default" w:ascii="仿宋" w:hAnsi="仿宋" w:eastAsia="仿宋" w:cs="仿宋"/>
          <w:color w:val="auto"/>
          <w:kern w:val="0"/>
          <w:sz w:val="24"/>
          <w:szCs w:val="24"/>
          <w:highlight w:val="none"/>
          <w:lang w:val="en-US" w:eastAsia="zh-CN"/>
        </w:rPr>
        <w:t xml:space="preserve">9092-1999 </w:t>
      </w:r>
      <w:r>
        <w:rPr>
          <w:rFonts w:hint="eastAsia" w:ascii="仿宋" w:hAnsi="仿宋" w:eastAsia="仿宋" w:cs="仿宋"/>
          <w:color w:val="auto"/>
          <w:kern w:val="0"/>
          <w:sz w:val="24"/>
          <w:szCs w:val="24"/>
          <w:highlight w:val="none"/>
          <w:lang w:val="en-US" w:eastAsia="zh-CN"/>
        </w:rPr>
        <w:t xml:space="preserve">阀门的检验与试验 </w:t>
      </w:r>
    </w:p>
    <w:p w14:paraId="526B22A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GB/T4622.2-2003 </w:t>
      </w:r>
      <w:r>
        <w:rPr>
          <w:rFonts w:hint="eastAsia" w:ascii="仿宋" w:hAnsi="仿宋" w:eastAsia="仿宋" w:cs="仿宋"/>
          <w:color w:val="auto"/>
          <w:kern w:val="0"/>
          <w:sz w:val="24"/>
          <w:szCs w:val="24"/>
          <w:highlight w:val="none"/>
          <w:lang w:val="en-US" w:eastAsia="zh-CN"/>
        </w:rPr>
        <w:t xml:space="preserve">缠绕式垫片管法兰用垫片尺寸 </w:t>
      </w:r>
    </w:p>
    <w:p w14:paraId="7CB51D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本技术协议条款不限于以上所列标准还包括相关标准及标准中引用的技术要求，以上所列标准，在合同执行过程中如有新的版本时，则按新颁发的版本执行。 </w:t>
      </w:r>
    </w:p>
    <w:p w14:paraId="4B9122C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5</w:t>
      </w:r>
      <w:r>
        <w:rPr>
          <w:rFonts w:hint="default"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 xml:space="preserve">主要性能及技术要求 </w:t>
      </w:r>
    </w:p>
    <w:p w14:paraId="30917F3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 xml:space="preserve">名称：法兰式手动蝶阀 </w:t>
      </w:r>
    </w:p>
    <w:p w14:paraId="3655CD4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 xml:space="preserve">介质：原水、清水 </w:t>
      </w:r>
    </w:p>
    <w:p w14:paraId="37BE1A4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法兰接头</w:t>
      </w: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6</w:t>
      </w:r>
      <w:r>
        <w:rPr>
          <w:rFonts w:hint="default" w:ascii="仿宋" w:hAnsi="仿宋" w:eastAsia="仿宋" w:cs="仿宋"/>
          <w:color w:val="auto"/>
          <w:kern w:val="0"/>
          <w:sz w:val="24"/>
          <w:szCs w:val="24"/>
          <w:highlight w:val="none"/>
          <w:lang w:val="en-US" w:eastAsia="zh-CN"/>
        </w:rPr>
        <w:t xml:space="preserve">MPa </w:t>
      </w:r>
    </w:p>
    <w:p w14:paraId="70BD87A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 xml:space="preserve">安装方式：水平； </w:t>
      </w:r>
    </w:p>
    <w:p w14:paraId="5F83B3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US" w:eastAsia="zh-CN"/>
        </w:rPr>
        <w:t>介质流速≤</w:t>
      </w:r>
      <w:r>
        <w:rPr>
          <w:rFonts w:hint="default" w:ascii="仿宋" w:hAnsi="仿宋" w:eastAsia="仿宋" w:cs="仿宋"/>
          <w:color w:val="auto"/>
          <w:kern w:val="0"/>
          <w:sz w:val="24"/>
          <w:szCs w:val="24"/>
          <w:highlight w:val="none"/>
          <w:lang w:val="en-US" w:eastAsia="zh-CN"/>
        </w:rPr>
        <w:t xml:space="preserve">3m/s </w:t>
      </w:r>
    </w:p>
    <w:p w14:paraId="55CB686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val="en-US" w:eastAsia="zh-CN"/>
        </w:rPr>
        <w:t>介质温度</w:t>
      </w:r>
      <w:r>
        <w:rPr>
          <w:rFonts w:hint="default" w:ascii="仿宋" w:hAnsi="仿宋" w:eastAsia="仿宋" w:cs="仿宋"/>
          <w:color w:val="auto"/>
          <w:kern w:val="0"/>
          <w:sz w:val="24"/>
          <w:szCs w:val="24"/>
          <w:highlight w:val="none"/>
          <w:lang w:val="en-US" w:eastAsia="zh-CN"/>
        </w:rPr>
        <w:t>:0~60</w:t>
      </w:r>
      <w:r>
        <w:rPr>
          <w:rFonts w:hint="eastAsia" w:ascii="仿宋" w:hAnsi="仿宋" w:eastAsia="仿宋" w:cs="仿宋"/>
          <w:color w:val="auto"/>
          <w:kern w:val="0"/>
          <w:sz w:val="24"/>
          <w:szCs w:val="24"/>
          <w:highlight w:val="none"/>
          <w:lang w:val="en-US" w:eastAsia="zh-CN"/>
        </w:rPr>
        <w:t xml:space="preserve">℃ </w:t>
      </w:r>
    </w:p>
    <w:p w14:paraId="1010BDB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en-US" w:eastAsia="zh-CN"/>
        </w:rPr>
        <w:t xml:space="preserve">环境条件：潮湿多尘； </w:t>
      </w:r>
    </w:p>
    <w:p w14:paraId="669FBAA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val="en-US" w:eastAsia="zh-CN"/>
        </w:rPr>
        <w:t xml:space="preserve">附件：提供连接阀门两端的配对法兰、螺栓、螺母和垫片等 </w:t>
      </w:r>
    </w:p>
    <w:p w14:paraId="3A4360F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val="en-US" w:eastAsia="zh-CN"/>
        </w:rPr>
        <w:t>规格、数量</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见统计表 </w:t>
      </w:r>
      <w:r>
        <w:rPr>
          <w:rFonts w:hint="default" w:ascii="仿宋" w:hAnsi="仿宋" w:eastAsia="仿宋" w:cs="仿宋"/>
          <w:color w:val="auto"/>
          <w:kern w:val="0"/>
          <w:sz w:val="24"/>
          <w:szCs w:val="24"/>
          <w:highlight w:val="none"/>
          <w:lang w:val="en-US" w:eastAsia="zh-CN"/>
        </w:rPr>
        <w:t>3-1</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 xml:space="preserve">3-2) </w:t>
      </w:r>
    </w:p>
    <w:p w14:paraId="4F6B80A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.2 </w:t>
      </w:r>
      <w:r>
        <w:rPr>
          <w:rFonts w:hint="eastAsia" w:ascii="仿宋" w:hAnsi="仿宋" w:eastAsia="仿宋" w:cs="仿宋"/>
          <w:color w:val="auto"/>
          <w:kern w:val="0"/>
          <w:sz w:val="24"/>
          <w:szCs w:val="24"/>
          <w:highlight w:val="none"/>
          <w:lang w:val="en-US" w:eastAsia="zh-CN"/>
        </w:rPr>
        <w:t xml:space="preserve">蝶阀结构及技术要求 </w:t>
      </w:r>
    </w:p>
    <w:p w14:paraId="317DCD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.2.1 </w:t>
      </w:r>
      <w:r>
        <w:rPr>
          <w:rFonts w:hint="eastAsia" w:ascii="仿宋" w:hAnsi="仿宋" w:eastAsia="仿宋" w:cs="仿宋"/>
          <w:color w:val="auto"/>
          <w:kern w:val="0"/>
          <w:sz w:val="24"/>
          <w:szCs w:val="24"/>
          <w:highlight w:val="none"/>
          <w:lang w:val="en-US" w:eastAsia="zh-CN"/>
        </w:rPr>
        <w:t xml:space="preserve">阀体结构 </w:t>
      </w:r>
    </w:p>
    <w:p w14:paraId="091B80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本次招标蝶阀压力为中低压阀门，拟主要选用短系列软、软密封蝶阀。投标企 </w:t>
      </w:r>
    </w:p>
    <w:p w14:paraId="1902584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业需保证密封件的使用寿命，密封件必须便于更换  </w:t>
      </w:r>
    </w:p>
    <w:p w14:paraId="7013AA3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 xml:space="preserve">手动蝶阀由阀体、蝶板、传动涡轮等部分组成。 </w:t>
      </w:r>
    </w:p>
    <w:p w14:paraId="723ED31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 xml:space="preserve">蝶阀的结构形式：二维偏心结构，双向承压。阀门的设计制造，应保证蝶板工作时，一侧为 </w:t>
      </w:r>
      <w:r>
        <w:rPr>
          <w:rFonts w:hint="default" w:ascii="仿宋" w:hAnsi="仿宋" w:eastAsia="仿宋" w:cs="仿宋"/>
          <w:color w:val="auto"/>
          <w:kern w:val="0"/>
          <w:sz w:val="24"/>
          <w:szCs w:val="24"/>
          <w:highlight w:val="none"/>
          <w:lang w:val="en-US" w:eastAsia="zh-CN"/>
        </w:rPr>
        <w:t xml:space="preserve">1.1 </w:t>
      </w:r>
      <w:r>
        <w:rPr>
          <w:rFonts w:hint="eastAsia" w:ascii="仿宋" w:hAnsi="仿宋" w:eastAsia="仿宋" w:cs="仿宋"/>
          <w:color w:val="auto"/>
          <w:kern w:val="0"/>
          <w:sz w:val="24"/>
          <w:szCs w:val="24"/>
          <w:highlight w:val="none"/>
          <w:lang w:val="en-US" w:eastAsia="zh-CN"/>
        </w:rPr>
        <w:t xml:space="preserve">倍公称压力，另一侧为无压时不漏水，双向承压阀门要求能够双向承压，双向均为零泄漏。 </w:t>
      </w:r>
    </w:p>
    <w:p w14:paraId="4A2342A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 xml:space="preserve">阀门应能在承受公称压力下可靠的开启和关闭。 </w:t>
      </w:r>
    </w:p>
    <w:p w14:paraId="2C73EBE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US" w:eastAsia="zh-CN"/>
        </w:rPr>
        <w:t xml:space="preserve">阀门全开为 </w:t>
      </w:r>
      <w:r>
        <w:rPr>
          <w:rFonts w:hint="default" w:ascii="仿宋" w:hAnsi="仿宋" w:eastAsia="仿宋" w:cs="仿宋"/>
          <w:color w:val="auto"/>
          <w:kern w:val="0"/>
          <w:sz w:val="24"/>
          <w:szCs w:val="24"/>
          <w:highlight w:val="none"/>
          <w:lang w:val="en-US" w:eastAsia="zh-CN"/>
        </w:rPr>
        <w:t>90</w:t>
      </w:r>
      <w:r>
        <w:rPr>
          <w:rFonts w:hint="eastAsia" w:ascii="仿宋" w:hAnsi="仿宋" w:eastAsia="仿宋" w:cs="仿宋"/>
          <w:color w:val="auto"/>
          <w:kern w:val="0"/>
          <w:sz w:val="24"/>
          <w:szCs w:val="24"/>
          <w:highlight w:val="none"/>
          <w:lang w:val="en-US" w:eastAsia="zh-CN"/>
        </w:rPr>
        <w:t xml:space="preserve">°，全关为 </w:t>
      </w:r>
      <w:r>
        <w:rPr>
          <w:rFonts w:hint="default"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val="en-US" w:eastAsia="zh-CN"/>
        </w:rPr>
        <w:t xml:space="preserve">°。阀门顺时针旋转为关，逆时针为开。 </w:t>
      </w:r>
    </w:p>
    <w:p w14:paraId="4709CA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val="en-US" w:eastAsia="zh-CN"/>
        </w:rPr>
        <w:t xml:space="preserve">阀板釆用流线型衍架结构，刚性强，流阻小，流阻系数不大于 </w:t>
      </w:r>
      <w:r>
        <w:rPr>
          <w:rFonts w:hint="default" w:ascii="仿宋" w:hAnsi="仿宋" w:eastAsia="仿宋" w:cs="仿宋"/>
          <w:color w:val="auto"/>
          <w:kern w:val="0"/>
          <w:sz w:val="24"/>
          <w:szCs w:val="24"/>
          <w:highlight w:val="none"/>
          <w:lang w:val="en-US" w:eastAsia="zh-CN"/>
        </w:rPr>
        <w:t>0.2</w:t>
      </w:r>
      <w:r>
        <w:rPr>
          <w:rFonts w:hint="eastAsia" w:ascii="仿宋" w:hAnsi="仿宋" w:eastAsia="仿宋" w:cs="仿宋"/>
          <w:color w:val="auto"/>
          <w:kern w:val="0"/>
          <w:sz w:val="24"/>
          <w:szCs w:val="24"/>
          <w:highlight w:val="none"/>
          <w:lang w:val="en-US" w:eastAsia="zh-CN"/>
        </w:rPr>
        <w:t xml:space="preserve">，不必从阀 </w:t>
      </w:r>
    </w:p>
    <w:p w14:paraId="2AB017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门上拆下阀杆、阀瓣便可更换密封圈。阀瓣参国标</w:t>
      </w:r>
      <w:r>
        <w:rPr>
          <w:rFonts w:hint="default" w:ascii="仿宋" w:hAnsi="仿宋" w:eastAsia="仿宋" w:cs="仿宋"/>
          <w:color w:val="auto"/>
          <w:kern w:val="0"/>
          <w:sz w:val="24"/>
          <w:szCs w:val="24"/>
          <w:highlight w:val="none"/>
          <w:lang w:val="en-US" w:eastAsia="zh-CN"/>
        </w:rPr>
        <w:t>(GiB12227-89</w:t>
      </w:r>
      <w:r>
        <w:rPr>
          <w:rFonts w:hint="eastAsia" w:ascii="仿宋" w:hAnsi="仿宋" w:eastAsia="仿宋" w:cs="仿宋"/>
          <w:color w:val="auto"/>
          <w:kern w:val="0"/>
          <w:sz w:val="24"/>
          <w:szCs w:val="24"/>
          <w:highlight w:val="none"/>
          <w:lang w:val="en-US" w:eastAsia="zh-CN"/>
        </w:rPr>
        <w:t xml:space="preserve">）。 </w:t>
      </w:r>
    </w:p>
    <w:p w14:paraId="458FAFA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en-US" w:eastAsia="zh-CN"/>
        </w:rPr>
        <w:t>阀轴须为不锈钢材料，为减小水阻，阀轴与蝶板采用锲销连接。阀轴的轴套需采用自润式轴承，运行中磨擦阻力小，且无需注油。相应的物理、化学主要控制指标详见国标</w:t>
      </w:r>
      <w:r>
        <w:rPr>
          <w:rFonts w:hint="default" w:ascii="仿宋" w:hAnsi="仿宋" w:eastAsia="仿宋" w:cs="仿宋"/>
          <w:color w:val="auto"/>
          <w:kern w:val="0"/>
          <w:sz w:val="24"/>
          <w:szCs w:val="24"/>
          <w:highlight w:val="none"/>
          <w:lang w:val="en-US" w:eastAsia="zh-CN"/>
        </w:rPr>
        <w:t>(GB/1220-2007)</w:t>
      </w:r>
      <w:r>
        <w:rPr>
          <w:rFonts w:hint="eastAsia" w:ascii="仿宋" w:hAnsi="仿宋" w:eastAsia="仿宋" w:cs="仿宋"/>
          <w:color w:val="auto"/>
          <w:kern w:val="0"/>
          <w:sz w:val="24"/>
          <w:szCs w:val="24"/>
          <w:highlight w:val="none"/>
          <w:lang w:val="en-US" w:eastAsia="zh-CN"/>
        </w:rPr>
        <w:t xml:space="preserve">。 </w:t>
      </w:r>
    </w:p>
    <w:p w14:paraId="537D6E9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val="en-US" w:eastAsia="zh-CN"/>
        </w:rPr>
        <w:t>阀销釆用退拔销结构或蝶板轴孔内径对称交叉分布</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骑缝销</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，销不得位于阀轴的中心线上，销的数量不得多于两根，可将阀瓣阀轴紧密结合一起，不致松动，不致消弱阀轴的强度且具有良好的互换性。 </w:t>
      </w:r>
    </w:p>
    <w:p w14:paraId="1907A98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val="en-US" w:eastAsia="zh-CN"/>
        </w:rPr>
        <w:t xml:space="preserve">阀门本体及配对法兰 </w:t>
      </w:r>
    </w:p>
    <w:p w14:paraId="30FA2B7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本体及配对法兰均采用 </w:t>
      </w:r>
      <w:r>
        <w:rPr>
          <w:rFonts w:hint="default" w:ascii="仿宋" w:hAnsi="仿宋" w:eastAsia="仿宋" w:cs="仿宋"/>
          <w:color w:val="auto"/>
          <w:kern w:val="0"/>
          <w:sz w:val="24"/>
          <w:szCs w:val="24"/>
          <w:highlight w:val="none"/>
          <w:lang w:val="en-US" w:eastAsia="zh-CN"/>
        </w:rPr>
        <w:t>GB/</w:t>
      </w:r>
      <w:r>
        <w:rPr>
          <w:rFonts w:hint="eastAsia" w:ascii="仿宋" w:hAnsi="仿宋" w:eastAsia="仿宋" w:cs="仿宋"/>
          <w:color w:val="auto"/>
          <w:kern w:val="0"/>
          <w:sz w:val="24"/>
          <w:szCs w:val="24"/>
          <w:highlight w:val="none"/>
          <w:lang w:val="en-US" w:eastAsia="zh-CN"/>
        </w:rPr>
        <w:t>T9124.1-2019</w:t>
      </w:r>
      <w:r>
        <w:rPr>
          <w:rFonts w:hint="default"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的平面</w:t>
      </w:r>
      <w:r>
        <w:rPr>
          <w:rFonts w:hint="default" w:ascii="仿宋" w:hAnsi="仿宋" w:eastAsia="仿宋" w:cs="仿宋"/>
          <w:color w:val="auto"/>
          <w:kern w:val="0"/>
          <w:sz w:val="24"/>
          <w:szCs w:val="24"/>
          <w:highlight w:val="none"/>
          <w:lang w:val="en-US" w:eastAsia="zh-CN"/>
        </w:rPr>
        <w:t>(FF)</w:t>
      </w:r>
      <w:r>
        <w:rPr>
          <w:rFonts w:hint="eastAsia" w:ascii="仿宋" w:hAnsi="仿宋" w:eastAsia="仿宋" w:cs="仿宋"/>
          <w:color w:val="auto"/>
          <w:kern w:val="0"/>
          <w:sz w:val="24"/>
          <w:szCs w:val="24"/>
          <w:highlight w:val="none"/>
          <w:lang w:val="en-US" w:eastAsia="zh-CN"/>
        </w:rPr>
        <w:t>板式平焊钢制管法兰， 法兰内径均釆用系列标准。法兰垫片材质为</w:t>
      </w:r>
      <w:r>
        <w:rPr>
          <w:rFonts w:hint="default"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CN"/>
        </w:rPr>
        <w:t xml:space="preserve">钢和金属缠绕垫，螺栓、螺母材质强度选用 </w:t>
      </w:r>
      <w:r>
        <w:rPr>
          <w:rFonts w:hint="default" w:ascii="仿宋" w:hAnsi="仿宋" w:eastAsia="仿宋" w:cs="仿宋"/>
          <w:color w:val="auto"/>
          <w:kern w:val="0"/>
          <w:sz w:val="24"/>
          <w:szCs w:val="24"/>
          <w:highlight w:val="none"/>
          <w:lang w:val="en-US" w:eastAsia="zh-CN"/>
        </w:rPr>
        <w:t xml:space="preserve">8.8 </w:t>
      </w:r>
      <w:r>
        <w:rPr>
          <w:rFonts w:hint="eastAsia" w:ascii="仿宋" w:hAnsi="仿宋" w:eastAsia="仿宋" w:cs="仿宋"/>
          <w:color w:val="auto"/>
          <w:kern w:val="0"/>
          <w:sz w:val="24"/>
          <w:szCs w:val="24"/>
          <w:highlight w:val="none"/>
          <w:lang w:val="en-US" w:eastAsia="zh-CN"/>
        </w:rPr>
        <w:t>级。</w:t>
      </w:r>
      <w:r>
        <w:rPr>
          <w:rFonts w:hint="default" w:ascii="仿宋" w:hAnsi="仿宋" w:eastAsia="仿宋" w:cs="仿宋"/>
          <w:color w:val="auto"/>
          <w:kern w:val="0"/>
          <w:sz w:val="24"/>
          <w:szCs w:val="24"/>
          <w:highlight w:val="none"/>
          <w:lang w:val="en-US" w:eastAsia="zh-CN"/>
        </w:rPr>
        <w:t xml:space="preserve"> </w:t>
      </w:r>
    </w:p>
    <w:p w14:paraId="45AACAC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.2.2 </w:t>
      </w:r>
      <w:r>
        <w:rPr>
          <w:rFonts w:hint="eastAsia" w:ascii="仿宋" w:hAnsi="仿宋" w:eastAsia="仿宋" w:cs="仿宋"/>
          <w:color w:val="auto"/>
          <w:kern w:val="0"/>
          <w:sz w:val="24"/>
          <w:szCs w:val="24"/>
          <w:highlight w:val="none"/>
          <w:lang w:val="en-US" w:eastAsia="zh-CN"/>
        </w:rPr>
        <w:t xml:space="preserve">蝶阀主要零部件材质 </w:t>
      </w:r>
    </w:p>
    <w:p w14:paraId="1CBD50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 xml:space="preserve">阀门主要零件所用的材料必须有供货单位的材质证明书。材料的机械强度、化学成分应满足相应的国家标准。 </w:t>
      </w:r>
    </w:p>
    <w:p w14:paraId="2D1D10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 xml:space="preserve">阀门配套的外购件必须具有质量合格证书。 </w:t>
      </w:r>
    </w:p>
    <w:p w14:paraId="2B6A9FA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 xml:space="preserve">设备主要零部件材质选用，应满足设计压力、工作特性的要求。 </w:t>
      </w:r>
    </w:p>
    <w:p w14:paraId="493CC7B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 xml:space="preserve">主要零部件材料如下表： </w:t>
      </w:r>
    </w:p>
    <w:p w14:paraId="31C60C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蝶阀主要零部件材料表</w:t>
      </w:r>
    </w:p>
    <w:p w14:paraId="2CDE16F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000"/>
        <w:gridCol w:w="4267"/>
        <w:gridCol w:w="1533"/>
      </w:tblGrid>
      <w:tr w14:paraId="06A2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14:paraId="1B8197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序号</w:t>
            </w:r>
          </w:p>
        </w:tc>
        <w:tc>
          <w:tcPr>
            <w:tcW w:w="2000" w:type="dxa"/>
            <w:vAlign w:val="center"/>
          </w:tcPr>
          <w:p w14:paraId="16D721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部位</w:t>
            </w:r>
          </w:p>
        </w:tc>
        <w:tc>
          <w:tcPr>
            <w:tcW w:w="4267" w:type="dxa"/>
            <w:vAlign w:val="center"/>
          </w:tcPr>
          <w:p w14:paraId="6303FB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管压</w:t>
            </w: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6</w:t>
            </w:r>
            <w:r>
              <w:rPr>
                <w:rFonts w:hint="default" w:ascii="仿宋" w:hAnsi="仿宋" w:eastAsia="仿宋" w:cs="仿宋"/>
                <w:color w:val="auto"/>
                <w:kern w:val="0"/>
                <w:sz w:val="24"/>
                <w:szCs w:val="24"/>
                <w:highlight w:val="none"/>
                <w:lang w:val="en-US" w:eastAsia="zh-CN"/>
              </w:rPr>
              <w:t>MPa</w:t>
            </w:r>
            <w:r>
              <w:rPr>
                <w:rFonts w:hint="eastAsia" w:ascii="仿宋" w:hAnsi="仿宋" w:eastAsia="仿宋" w:cs="仿宋"/>
                <w:color w:val="auto"/>
                <w:kern w:val="0"/>
                <w:sz w:val="24"/>
                <w:szCs w:val="24"/>
                <w:highlight w:val="none"/>
                <w:lang w:val="en-US" w:eastAsia="zh-CN"/>
              </w:rPr>
              <w:t xml:space="preserve"> 材料名称</w:t>
            </w:r>
          </w:p>
        </w:tc>
        <w:tc>
          <w:tcPr>
            <w:tcW w:w="1533" w:type="dxa"/>
            <w:vAlign w:val="center"/>
          </w:tcPr>
          <w:p w14:paraId="7D1096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备注</w:t>
            </w:r>
          </w:p>
        </w:tc>
      </w:tr>
      <w:tr w14:paraId="632B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14:paraId="0EFABC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default" w:ascii="仿宋" w:hAnsi="仿宋" w:eastAsia="仿宋" w:cs="仿宋"/>
                <w:color w:val="auto"/>
                <w:kern w:val="0"/>
                <w:sz w:val="24"/>
                <w:szCs w:val="24"/>
                <w:highlight w:val="none"/>
                <w:lang w:val="en-US" w:eastAsia="zh-CN"/>
              </w:rPr>
              <w:t>1</w:t>
            </w:r>
          </w:p>
        </w:tc>
        <w:tc>
          <w:tcPr>
            <w:tcW w:w="2000" w:type="dxa"/>
            <w:vAlign w:val="center"/>
          </w:tcPr>
          <w:p w14:paraId="16A989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阀体</w:t>
            </w:r>
          </w:p>
        </w:tc>
        <w:tc>
          <w:tcPr>
            <w:tcW w:w="4267" w:type="dxa"/>
            <w:vAlign w:val="center"/>
          </w:tcPr>
          <w:p w14:paraId="7F572F2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 xml:space="preserve">球墨铸铁 </w:t>
            </w:r>
            <w:r>
              <w:rPr>
                <w:rFonts w:hint="default" w:ascii="仿宋" w:hAnsi="仿宋" w:eastAsia="仿宋" w:cs="仿宋"/>
                <w:color w:val="auto"/>
                <w:kern w:val="0"/>
                <w:sz w:val="24"/>
                <w:szCs w:val="24"/>
                <w:highlight w:val="none"/>
                <w:lang w:val="en-US" w:eastAsia="zh-CN"/>
              </w:rPr>
              <w:t xml:space="preserve">QT450-10 </w:t>
            </w:r>
            <w:r>
              <w:rPr>
                <w:rFonts w:hint="eastAsia" w:ascii="仿宋" w:hAnsi="仿宋" w:eastAsia="仿宋" w:cs="仿宋"/>
                <w:color w:val="auto"/>
                <w:kern w:val="0"/>
                <w:sz w:val="24"/>
                <w:szCs w:val="24"/>
                <w:highlight w:val="none"/>
                <w:lang w:val="en-US" w:eastAsia="zh-CN"/>
              </w:rPr>
              <w:t>或等同</w:t>
            </w:r>
          </w:p>
        </w:tc>
        <w:tc>
          <w:tcPr>
            <w:tcW w:w="1533" w:type="dxa"/>
            <w:vAlign w:val="center"/>
          </w:tcPr>
          <w:p w14:paraId="199E2D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p>
        </w:tc>
      </w:tr>
      <w:tr w14:paraId="59C6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14:paraId="14977D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default" w:ascii="仿宋" w:hAnsi="仿宋" w:eastAsia="仿宋" w:cs="仿宋"/>
                <w:color w:val="auto"/>
                <w:kern w:val="0"/>
                <w:sz w:val="24"/>
                <w:szCs w:val="24"/>
                <w:highlight w:val="none"/>
                <w:lang w:val="en-US" w:eastAsia="zh-CN"/>
              </w:rPr>
              <w:t>2</w:t>
            </w:r>
          </w:p>
        </w:tc>
        <w:tc>
          <w:tcPr>
            <w:tcW w:w="2000" w:type="dxa"/>
            <w:vAlign w:val="center"/>
          </w:tcPr>
          <w:p w14:paraId="1A5C5C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阀板</w:t>
            </w:r>
          </w:p>
        </w:tc>
        <w:tc>
          <w:tcPr>
            <w:tcW w:w="4267" w:type="dxa"/>
            <w:vAlign w:val="center"/>
          </w:tcPr>
          <w:p w14:paraId="64C3CE9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 xml:space="preserve">球墨铸铁 </w:t>
            </w:r>
            <w:r>
              <w:rPr>
                <w:rFonts w:hint="default" w:ascii="仿宋" w:hAnsi="仿宋" w:eastAsia="仿宋" w:cs="仿宋"/>
                <w:color w:val="auto"/>
                <w:kern w:val="0"/>
                <w:sz w:val="24"/>
                <w:szCs w:val="24"/>
                <w:highlight w:val="none"/>
                <w:lang w:val="en-US" w:eastAsia="zh-CN"/>
              </w:rPr>
              <w:t xml:space="preserve">QT450-10 </w:t>
            </w:r>
            <w:r>
              <w:rPr>
                <w:rFonts w:hint="eastAsia" w:ascii="仿宋" w:hAnsi="仿宋" w:eastAsia="仿宋" w:cs="仿宋"/>
                <w:color w:val="auto"/>
                <w:kern w:val="0"/>
                <w:sz w:val="24"/>
                <w:szCs w:val="24"/>
                <w:highlight w:val="none"/>
                <w:lang w:val="en-US" w:eastAsia="zh-CN"/>
              </w:rPr>
              <w:t>或等同</w:t>
            </w:r>
          </w:p>
        </w:tc>
        <w:tc>
          <w:tcPr>
            <w:tcW w:w="1533" w:type="dxa"/>
            <w:vAlign w:val="center"/>
          </w:tcPr>
          <w:p w14:paraId="1F6733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p>
        </w:tc>
      </w:tr>
      <w:tr w14:paraId="2E27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14:paraId="0439E3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3</w:t>
            </w:r>
          </w:p>
        </w:tc>
        <w:tc>
          <w:tcPr>
            <w:tcW w:w="2000" w:type="dxa"/>
            <w:vAlign w:val="center"/>
          </w:tcPr>
          <w:p w14:paraId="2523DF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阀轴、蜗杆</w:t>
            </w:r>
          </w:p>
        </w:tc>
        <w:tc>
          <w:tcPr>
            <w:tcW w:w="4267" w:type="dxa"/>
            <w:vAlign w:val="center"/>
          </w:tcPr>
          <w:p w14:paraId="1E30EDA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 xml:space="preserve">不锈钢 </w:t>
            </w:r>
            <w:r>
              <w:rPr>
                <w:rFonts w:hint="default" w:ascii="仿宋" w:hAnsi="仿宋" w:eastAsia="仿宋" w:cs="仿宋"/>
                <w:color w:val="auto"/>
                <w:kern w:val="0"/>
                <w:sz w:val="24"/>
                <w:szCs w:val="24"/>
                <w:highlight w:val="none"/>
                <w:lang w:val="en-US" w:eastAsia="zh-CN"/>
              </w:rPr>
              <w:t>2Cr13</w:t>
            </w:r>
          </w:p>
        </w:tc>
        <w:tc>
          <w:tcPr>
            <w:tcW w:w="1533" w:type="dxa"/>
            <w:vAlign w:val="center"/>
          </w:tcPr>
          <w:p w14:paraId="2A499A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p>
        </w:tc>
      </w:tr>
      <w:tr w14:paraId="6B7F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14:paraId="3D3EA2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4</w:t>
            </w:r>
          </w:p>
        </w:tc>
        <w:tc>
          <w:tcPr>
            <w:tcW w:w="2000" w:type="dxa"/>
            <w:vAlign w:val="center"/>
          </w:tcPr>
          <w:p w14:paraId="191631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轴承</w:t>
            </w:r>
          </w:p>
        </w:tc>
        <w:tc>
          <w:tcPr>
            <w:tcW w:w="4267" w:type="dxa"/>
            <w:vAlign w:val="center"/>
          </w:tcPr>
          <w:p w14:paraId="492B6BE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奥氏体不锈钢</w:t>
            </w:r>
          </w:p>
        </w:tc>
        <w:tc>
          <w:tcPr>
            <w:tcW w:w="1533" w:type="dxa"/>
            <w:vAlign w:val="center"/>
          </w:tcPr>
          <w:p w14:paraId="765340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p>
        </w:tc>
      </w:tr>
      <w:tr w14:paraId="1050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14:paraId="24FFDE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5</w:t>
            </w:r>
          </w:p>
        </w:tc>
        <w:tc>
          <w:tcPr>
            <w:tcW w:w="2000" w:type="dxa"/>
            <w:vAlign w:val="center"/>
          </w:tcPr>
          <w:p w14:paraId="536BB7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阀座</w:t>
            </w:r>
          </w:p>
        </w:tc>
        <w:tc>
          <w:tcPr>
            <w:tcW w:w="4267" w:type="dxa"/>
            <w:vAlign w:val="center"/>
          </w:tcPr>
          <w:p w14:paraId="7D84DB2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镍铬合金堆焊或一体式不锈钢阀座或等同</w:t>
            </w:r>
          </w:p>
        </w:tc>
        <w:tc>
          <w:tcPr>
            <w:tcW w:w="1533" w:type="dxa"/>
            <w:vAlign w:val="center"/>
          </w:tcPr>
          <w:p w14:paraId="2D1D5E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p>
        </w:tc>
      </w:tr>
      <w:tr w14:paraId="55F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vAlign w:val="center"/>
          </w:tcPr>
          <w:p w14:paraId="0EBA4D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6</w:t>
            </w:r>
          </w:p>
        </w:tc>
        <w:tc>
          <w:tcPr>
            <w:tcW w:w="2000" w:type="dxa"/>
            <w:vAlign w:val="center"/>
          </w:tcPr>
          <w:p w14:paraId="518624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密封圈</w:t>
            </w:r>
          </w:p>
        </w:tc>
        <w:tc>
          <w:tcPr>
            <w:tcW w:w="4267" w:type="dxa"/>
            <w:vAlign w:val="center"/>
          </w:tcPr>
          <w:p w14:paraId="5812440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天然橡胶（</w:t>
            </w:r>
            <w:r>
              <w:rPr>
                <w:rFonts w:hint="default" w:ascii="仿宋" w:hAnsi="仿宋" w:eastAsia="仿宋" w:cs="仿宋"/>
                <w:color w:val="auto"/>
                <w:kern w:val="0"/>
                <w:sz w:val="24"/>
                <w:szCs w:val="24"/>
                <w:highlight w:val="none"/>
                <w:lang w:val="en-US" w:eastAsia="zh-CN"/>
              </w:rPr>
              <w:t>NR</w:t>
            </w:r>
            <w:r>
              <w:rPr>
                <w:rFonts w:hint="eastAsia" w:ascii="仿宋" w:hAnsi="仿宋" w:eastAsia="仿宋" w:cs="仿宋"/>
                <w:color w:val="auto"/>
                <w:kern w:val="0"/>
                <w:sz w:val="24"/>
                <w:szCs w:val="24"/>
                <w:highlight w:val="none"/>
                <w:lang w:val="en-US" w:eastAsia="zh-CN"/>
              </w:rPr>
              <w:t>）或丁晴橡胶（</w:t>
            </w:r>
            <w:r>
              <w:rPr>
                <w:rFonts w:hint="default" w:ascii="仿宋" w:hAnsi="仿宋" w:eastAsia="仿宋" w:cs="仿宋"/>
                <w:color w:val="auto"/>
                <w:kern w:val="0"/>
                <w:sz w:val="24"/>
                <w:szCs w:val="24"/>
                <w:highlight w:val="none"/>
                <w:lang w:val="en-US" w:eastAsia="zh-CN"/>
              </w:rPr>
              <w:t>NBR</w:t>
            </w:r>
            <w:r>
              <w:rPr>
                <w:rFonts w:hint="eastAsia" w:ascii="仿宋" w:hAnsi="仿宋" w:eastAsia="仿宋" w:cs="仿宋"/>
                <w:color w:val="auto"/>
                <w:kern w:val="0"/>
                <w:sz w:val="24"/>
                <w:szCs w:val="24"/>
                <w:highlight w:val="none"/>
                <w:lang w:val="en-US" w:eastAsia="zh-CN"/>
              </w:rPr>
              <w:t>）</w:t>
            </w:r>
          </w:p>
        </w:tc>
        <w:tc>
          <w:tcPr>
            <w:tcW w:w="1533" w:type="dxa"/>
            <w:vAlign w:val="center"/>
          </w:tcPr>
          <w:p w14:paraId="194083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p>
        </w:tc>
      </w:tr>
    </w:tbl>
    <w:p w14:paraId="59DB3C8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 xml:space="preserve"> </w:t>
      </w:r>
    </w:p>
    <w:p w14:paraId="0D221BC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备注：若以上材质不满足设备工作条件要求时，投标人应提出改进建议。阀门所配法兰必须符合</w:t>
      </w:r>
      <w:r>
        <w:rPr>
          <w:rFonts w:hint="default" w:ascii="仿宋" w:hAnsi="仿宋" w:eastAsia="仿宋" w:cs="仿宋"/>
          <w:color w:val="auto"/>
          <w:kern w:val="0"/>
          <w:sz w:val="24"/>
          <w:szCs w:val="24"/>
          <w:highlight w:val="none"/>
          <w:lang w:val="en-US" w:eastAsia="zh-CN"/>
        </w:rPr>
        <w:t>GB/</w:t>
      </w:r>
      <w:r>
        <w:rPr>
          <w:rFonts w:hint="eastAsia" w:ascii="仿宋" w:hAnsi="仿宋" w:eastAsia="仿宋" w:cs="仿宋"/>
          <w:color w:val="auto"/>
          <w:kern w:val="0"/>
          <w:sz w:val="24"/>
          <w:szCs w:val="24"/>
          <w:highlight w:val="none"/>
          <w:lang w:val="en-US" w:eastAsia="zh-CN"/>
        </w:rPr>
        <w:t>T9124.1-2019</w:t>
      </w:r>
      <w:r>
        <w:rPr>
          <w:rFonts w:hint="default"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 xml:space="preserve">的规定。 </w:t>
      </w:r>
    </w:p>
    <w:p w14:paraId="3709A8E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 xml:space="preserve">.2.3 </w:t>
      </w:r>
      <w:r>
        <w:rPr>
          <w:rFonts w:hint="eastAsia" w:ascii="仿宋" w:hAnsi="仿宋" w:eastAsia="仿宋" w:cs="仿宋"/>
          <w:color w:val="auto"/>
          <w:kern w:val="0"/>
          <w:sz w:val="24"/>
          <w:szCs w:val="24"/>
          <w:highlight w:val="none"/>
          <w:lang w:val="en-US" w:eastAsia="zh-CN"/>
        </w:rPr>
        <w:t xml:space="preserve">阀门涂装 </w:t>
      </w:r>
    </w:p>
    <w:p w14:paraId="6F10F80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 xml:space="preserve">阀体、阀瓣操作机构等内外表而经喷砂，以除去锈、油、水份等杂质。 </w:t>
      </w:r>
    </w:p>
    <w:p w14:paraId="63F81DC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 xml:space="preserve">蝶阀内外部应涂防腐蚀无毒环氧树脂漆两道，所用涂料干后，不溶解于水， </w:t>
      </w:r>
    </w:p>
    <w:p w14:paraId="79D346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不影响水质，且不因气温变化而发生异状或变色，其厚度应在 </w:t>
      </w:r>
      <w:r>
        <w:rPr>
          <w:rFonts w:hint="default" w:ascii="仿宋" w:hAnsi="仿宋" w:eastAsia="仿宋" w:cs="仿宋"/>
          <w:color w:val="auto"/>
          <w:kern w:val="0"/>
          <w:sz w:val="24"/>
          <w:szCs w:val="24"/>
          <w:highlight w:val="none"/>
          <w:lang w:val="en-US" w:eastAsia="zh-CN"/>
        </w:rPr>
        <w:t xml:space="preserve">0.25mm </w:t>
      </w:r>
      <w:r>
        <w:rPr>
          <w:rFonts w:hint="eastAsia" w:ascii="仿宋" w:hAnsi="仿宋" w:eastAsia="仿宋" w:cs="仿宋"/>
          <w:color w:val="auto"/>
          <w:kern w:val="0"/>
          <w:sz w:val="24"/>
          <w:szCs w:val="24"/>
          <w:highlight w:val="none"/>
          <w:lang w:val="en-US" w:eastAsia="zh-CN"/>
        </w:rPr>
        <w:t xml:space="preserve">以上。 </w:t>
      </w:r>
    </w:p>
    <w:p w14:paraId="31AD9FB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 xml:space="preserve">阀门检验 </w:t>
      </w:r>
    </w:p>
    <w:p w14:paraId="7BF841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为确保业主所用于本工程的蝶阀能符合本条款用途，需于交货前依下列规定检 </w:t>
      </w:r>
    </w:p>
    <w:p w14:paraId="62175E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验，试验项目如下： </w:t>
      </w:r>
    </w:p>
    <w:p w14:paraId="41C1DCC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 xml:space="preserve">每台阀门必须经过试验合格并附有产品合格证和使用说明书，方可出厂。  </w:t>
      </w:r>
    </w:p>
    <w:p w14:paraId="2E076E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阀瓣全程开启连续操作五次后，进行以下试验： </w:t>
      </w:r>
    </w:p>
    <w:p w14:paraId="6143C6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每台阀门出厂前按国家标准 </w:t>
      </w:r>
      <w:r>
        <w:rPr>
          <w:rFonts w:hint="default" w:ascii="仿宋" w:hAnsi="仿宋" w:eastAsia="仿宋" w:cs="仿宋"/>
          <w:color w:val="auto"/>
          <w:kern w:val="0"/>
          <w:sz w:val="24"/>
          <w:szCs w:val="24"/>
          <w:highlight w:val="none"/>
          <w:lang w:val="en-US" w:eastAsia="zh-CN"/>
        </w:rPr>
        <w:t xml:space="preserve">GB13927 </w:t>
      </w:r>
      <w:r>
        <w:rPr>
          <w:rFonts w:hint="eastAsia" w:ascii="仿宋" w:hAnsi="仿宋" w:eastAsia="仿宋" w:cs="仿宋"/>
          <w:color w:val="auto"/>
          <w:kern w:val="0"/>
          <w:sz w:val="24"/>
          <w:szCs w:val="24"/>
          <w:highlight w:val="none"/>
          <w:lang w:val="en-US" w:eastAsia="zh-CN"/>
        </w:rPr>
        <w:t xml:space="preserve">进行密封试验和相关规范的要求，进行扭 </w:t>
      </w:r>
    </w:p>
    <w:p w14:paraId="0F517FE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力试验。单向软密封阀门的正向承压以及双向软密封阀门密封试验的正向、反向承压均应达到阀门公称压力的 </w:t>
      </w:r>
      <w:r>
        <w:rPr>
          <w:rFonts w:hint="default" w:ascii="仿宋" w:hAnsi="仿宋" w:eastAsia="仿宋" w:cs="仿宋"/>
          <w:color w:val="auto"/>
          <w:kern w:val="0"/>
          <w:sz w:val="24"/>
          <w:szCs w:val="24"/>
          <w:highlight w:val="none"/>
          <w:lang w:val="en-US" w:eastAsia="zh-CN"/>
        </w:rPr>
        <w:t xml:space="preserve">1.1 </w:t>
      </w:r>
      <w:r>
        <w:rPr>
          <w:rFonts w:hint="eastAsia" w:ascii="仿宋" w:hAnsi="仿宋" w:eastAsia="仿宋" w:cs="仿宋"/>
          <w:color w:val="auto"/>
          <w:kern w:val="0"/>
          <w:sz w:val="24"/>
          <w:szCs w:val="24"/>
          <w:highlight w:val="none"/>
          <w:lang w:val="en-US" w:eastAsia="zh-CN"/>
        </w:rPr>
        <w:t>倍，最短试验持续时间为</w:t>
      </w:r>
      <w:r>
        <w:rPr>
          <w:rFonts w:hint="default" w:ascii="仿宋" w:hAnsi="仿宋" w:eastAsia="仿宋" w:cs="仿宋"/>
          <w:color w:val="auto"/>
          <w:kern w:val="0"/>
          <w:sz w:val="24"/>
          <w:szCs w:val="24"/>
          <w:highlight w:val="none"/>
          <w:lang w:val="en-US" w:eastAsia="zh-CN"/>
        </w:rPr>
        <w:t xml:space="preserve">5 </w:t>
      </w:r>
      <w:r>
        <w:rPr>
          <w:rFonts w:hint="eastAsia" w:ascii="仿宋" w:hAnsi="仿宋" w:eastAsia="仿宋" w:cs="仿宋"/>
          <w:color w:val="auto"/>
          <w:kern w:val="0"/>
          <w:sz w:val="24"/>
          <w:szCs w:val="24"/>
          <w:highlight w:val="none"/>
          <w:lang w:val="en-US" w:eastAsia="zh-CN"/>
        </w:rPr>
        <w:t xml:space="preserve">分钟，泄漏量为零；阀壳 强度试验应达到阀门公称压力的 </w:t>
      </w:r>
      <w:r>
        <w:rPr>
          <w:rFonts w:hint="default" w:ascii="仿宋" w:hAnsi="仿宋" w:eastAsia="仿宋" w:cs="仿宋"/>
          <w:color w:val="auto"/>
          <w:kern w:val="0"/>
          <w:sz w:val="24"/>
          <w:szCs w:val="24"/>
          <w:highlight w:val="none"/>
          <w:lang w:val="en-US" w:eastAsia="zh-CN"/>
        </w:rPr>
        <w:t xml:space="preserve">1.5 </w:t>
      </w:r>
      <w:r>
        <w:rPr>
          <w:rFonts w:hint="eastAsia" w:ascii="仿宋" w:hAnsi="仿宋" w:eastAsia="仿宋" w:cs="仿宋"/>
          <w:color w:val="auto"/>
          <w:kern w:val="0"/>
          <w:sz w:val="24"/>
          <w:szCs w:val="24"/>
          <w:highlight w:val="none"/>
          <w:lang w:val="en-US" w:eastAsia="zh-CN"/>
        </w:rPr>
        <w:t xml:space="preserve">倍。 </w:t>
      </w:r>
    </w:p>
    <w:p w14:paraId="131F234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性能符合软密封阀规定、需方有权参与供方的设备的出厂试验，供方提供出 </w:t>
      </w:r>
    </w:p>
    <w:p w14:paraId="52B613D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厂试验报告。   </w:t>
      </w:r>
    </w:p>
    <w:p w14:paraId="37ACB4F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4</w:t>
      </w:r>
      <w:r>
        <w:rPr>
          <w:rFonts w:hint="default"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 xml:space="preserve">包装、运输及贮存 </w:t>
      </w:r>
    </w:p>
    <w:p w14:paraId="5D2389E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4</w:t>
      </w:r>
      <w:r>
        <w:rPr>
          <w:rFonts w:hint="default" w:ascii="仿宋" w:hAnsi="仿宋" w:eastAsia="仿宋" w:cs="仿宋"/>
          <w:color w:val="auto"/>
          <w:kern w:val="0"/>
          <w:sz w:val="24"/>
          <w:szCs w:val="24"/>
          <w:highlight w:val="none"/>
          <w:lang w:val="en-US" w:eastAsia="zh-CN"/>
        </w:rPr>
        <w:t xml:space="preserve">.1 </w:t>
      </w:r>
      <w:r>
        <w:rPr>
          <w:rFonts w:hint="eastAsia" w:ascii="仿宋" w:hAnsi="仿宋" w:eastAsia="仿宋" w:cs="仿宋"/>
          <w:color w:val="auto"/>
          <w:kern w:val="0"/>
          <w:sz w:val="24"/>
          <w:szCs w:val="24"/>
          <w:highlight w:val="none"/>
          <w:lang w:val="en-US" w:eastAsia="zh-CN"/>
        </w:rPr>
        <w:t xml:space="preserve">包装、运输 </w:t>
      </w:r>
    </w:p>
    <w:p w14:paraId="281A2EA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 xml:space="preserve">产品应有防止在运输装卸中碰伤和锈蚀的措施。 </w:t>
      </w:r>
    </w:p>
    <w:p w14:paraId="3F9172A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 xml:space="preserve">执行国家相关标准。 </w:t>
      </w:r>
    </w:p>
    <w:p w14:paraId="746735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 xml:space="preserve">执行业主相关项目管理规定。 </w:t>
      </w:r>
    </w:p>
    <w:p w14:paraId="11E7ED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 xml:space="preserve">设备的外包装上应清楚地标明投标人订货号、运输识别号、到货地点、工程 </w:t>
      </w:r>
    </w:p>
    <w:p w14:paraId="3F338D0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项目名称、收货人、设备运输及贮存保留要求的国际通用标记。 </w:t>
      </w:r>
    </w:p>
    <w:p w14:paraId="552543A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US" w:eastAsia="zh-CN"/>
        </w:rPr>
        <w:t xml:space="preserve">较大型及较重的设备都要装有便于移动的滑动部件及吊钩，吊钩应装于起吊 </w:t>
      </w:r>
    </w:p>
    <w:p w14:paraId="0A4DF98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点，并且在外包装上应标明设备重量及重心、起吊点</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未拆去外包装</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 </w:t>
      </w:r>
    </w:p>
    <w:p w14:paraId="5473D7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4</w:t>
      </w:r>
      <w:r>
        <w:rPr>
          <w:rFonts w:hint="default" w:ascii="仿宋" w:hAnsi="仿宋" w:eastAsia="仿宋" w:cs="仿宋"/>
          <w:color w:val="auto"/>
          <w:kern w:val="0"/>
          <w:sz w:val="24"/>
          <w:szCs w:val="24"/>
          <w:highlight w:val="none"/>
          <w:lang w:val="en-US" w:eastAsia="zh-CN"/>
        </w:rPr>
        <w:t xml:space="preserve">.2 </w:t>
      </w:r>
      <w:r>
        <w:rPr>
          <w:rFonts w:hint="eastAsia" w:ascii="仿宋" w:hAnsi="仿宋" w:eastAsia="仿宋" w:cs="仿宋"/>
          <w:color w:val="auto"/>
          <w:kern w:val="0"/>
          <w:sz w:val="24"/>
          <w:szCs w:val="24"/>
          <w:highlight w:val="none"/>
          <w:lang w:val="en-US" w:eastAsia="zh-CN"/>
        </w:rPr>
        <w:t xml:space="preserve">贮存 </w:t>
      </w:r>
    </w:p>
    <w:p w14:paraId="30681D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rPr>
        <w:t xml:space="preserve">设备贮存的位置要同安装位置的环境相类似，即室内安装设备贮存于室内勿 </w:t>
      </w:r>
    </w:p>
    <w:p w14:paraId="35CAB95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需加热及通风</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；室外装设备应存放在露天。 </w:t>
      </w:r>
    </w:p>
    <w:p w14:paraId="1DE03A4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当设备需要防止结霜或需要防潮时，投标人应提供干燥手段</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干燥器或于燥剂</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 xml:space="preserve">，并指明周期性更换或干燥的要求。 </w:t>
      </w:r>
    </w:p>
    <w:p w14:paraId="57E3CB5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CN"/>
        </w:rPr>
        <w:t xml:space="preserve">投标人应提供设备贮存说明书，包括定期检查和贮存维护的要求，以保证设 </w:t>
      </w:r>
    </w:p>
    <w:p w14:paraId="0DCE945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备存贮期间不致损坏。这些说明书不应放置于运输设备的包装箱内部，而应单独提交给投标人。 </w:t>
      </w:r>
    </w:p>
    <w:p w14:paraId="4C11C6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 xml:space="preserve">投标人应根据投标人的要求提供设备长期贮存的推荐说明书。 </w:t>
      </w:r>
    </w:p>
    <w:p w14:paraId="76AFC4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5</w:t>
      </w:r>
      <w:r>
        <w:rPr>
          <w:rFonts w:hint="default"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en-US" w:eastAsia="zh-CN"/>
        </w:rPr>
        <w:t xml:space="preserve">水泵出口阀门 </w:t>
      </w:r>
    </w:p>
    <w:p w14:paraId="5B448FF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每台水泵出口配多功能水泵控制阀、手动蝶阀及双法兰伸缩接头各一套，管径均与水泵出口直接配套、压力等级 </w:t>
      </w:r>
      <w:r>
        <w:rPr>
          <w:rFonts w:hint="default" w:ascii="仿宋" w:hAnsi="仿宋" w:eastAsia="仿宋" w:cs="仿宋"/>
          <w:color w:val="auto"/>
          <w:kern w:val="0"/>
          <w:sz w:val="24"/>
          <w:szCs w:val="24"/>
          <w:highlight w:val="none"/>
          <w:lang w:val="en-US" w:eastAsia="zh-CN"/>
        </w:rPr>
        <w:t>PN1.</w:t>
      </w:r>
      <w:r>
        <w:rPr>
          <w:rFonts w:hint="eastAsia" w:ascii="仿宋" w:hAnsi="仿宋" w:eastAsia="仿宋" w:cs="仿宋"/>
          <w:color w:val="auto"/>
          <w:kern w:val="0"/>
          <w:sz w:val="24"/>
          <w:szCs w:val="24"/>
          <w:highlight w:val="none"/>
          <w:lang w:val="en-US" w:eastAsia="zh-CN"/>
        </w:rPr>
        <w:t>6</w:t>
      </w:r>
      <w:r>
        <w:rPr>
          <w:rFonts w:hint="default" w:ascii="仿宋" w:hAnsi="仿宋" w:eastAsia="仿宋" w:cs="仿宋"/>
          <w:color w:val="auto"/>
          <w:kern w:val="0"/>
          <w:sz w:val="24"/>
          <w:szCs w:val="24"/>
          <w:highlight w:val="none"/>
          <w:lang w:val="en-US" w:eastAsia="zh-CN"/>
        </w:rPr>
        <w:t>MPa</w:t>
      </w:r>
      <w:r>
        <w:rPr>
          <w:rFonts w:hint="eastAsia" w:ascii="仿宋" w:hAnsi="仿宋" w:eastAsia="仿宋" w:cs="仿宋"/>
          <w:color w:val="auto"/>
          <w:kern w:val="0"/>
          <w:sz w:val="24"/>
          <w:szCs w:val="24"/>
          <w:highlight w:val="none"/>
          <w:lang w:val="en-US" w:eastAsia="zh-CN"/>
        </w:rPr>
        <w:t xml:space="preserve">。 </w:t>
      </w:r>
    </w:p>
    <w:p w14:paraId="32F6C25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阀门采用上海上州品牌。</w:t>
      </w:r>
    </w:p>
    <w:p w14:paraId="3E0B778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2、伸缩接头招标技术条款 </w:t>
      </w:r>
    </w:p>
    <w:p w14:paraId="45DB0BC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2.1 工作内容与说明 </w:t>
      </w:r>
    </w:p>
    <w:p w14:paraId="26F841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2.1.1 本技术条款规定了本次招标的丰潭水库取水泵船供水工程泵站内所采用的双法兰伸缩接头结构形式和技术要求，投标人负责采购与管道连接的伸缩接头，其标准、规格应与阀门和 管道两端的法兰配套。 </w:t>
      </w:r>
    </w:p>
    <w:p w14:paraId="071BF7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2.1.2 执行标准(不限于) </w:t>
      </w:r>
    </w:p>
    <w:p w14:paraId="6DD76FF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伸缩接头与所有零部件的设计、制造、测试、涂漆、验收等均应执行下列标准: </w:t>
      </w:r>
    </w:p>
    <w:p w14:paraId="4ABE2D0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《管路松套传力接头》(GB/T 12465—2002) </w:t>
      </w:r>
    </w:p>
    <w:p w14:paraId="4F980B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《卡箍式柔性管接头》(GB8259—87) </w:t>
      </w:r>
    </w:p>
    <w:p w14:paraId="5992FBD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这些标准应是招标截止日期之前 28 天尚在通用的最新版本。 </w:t>
      </w:r>
    </w:p>
    <w:p w14:paraId="358F6F4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投标人应向业主提供伸缩接头采用的有关最新标准，并按此执行。 </w:t>
      </w:r>
    </w:p>
    <w:p w14:paraId="1CA26A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2.2 运行条件 </w:t>
      </w:r>
    </w:p>
    <w:p w14:paraId="057BFE0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（1）适用介质：所抽取水多年平均含沙量   kg/m³,最大含沙量约为    kg/m  </w:t>
      </w:r>
    </w:p>
    <w:p w14:paraId="4801D6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（2）介质温度：常温水</w:t>
      </w:r>
    </w:p>
    <w:p w14:paraId="47B1A16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（3）工作环境：湿度＜90%，潮湿，多尘 </w:t>
      </w:r>
    </w:p>
    <w:p w14:paraId="1C27131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（4）安装地点：浮船（浮坞）泵站  </w:t>
      </w:r>
    </w:p>
    <w:p w14:paraId="521E9F7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2.3 伸缩接头结构 </w:t>
      </w:r>
    </w:p>
    <w:p w14:paraId="1772E9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双法兰伸缩接头由法兰外套筒体、橡胶密封圈、法兰 、压盖、盖限位法兰及其连接紧固件组成。 </w:t>
      </w:r>
    </w:p>
    <w:p w14:paraId="6B5262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2.4 技术要求 </w:t>
      </w:r>
    </w:p>
    <w:p w14:paraId="55EDFCF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2.4.1 技术求 </w:t>
      </w:r>
    </w:p>
    <w:p w14:paraId="1C774B9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（1）伸缩接头在正常运行(不超过整定压力)时，应无泄露。 </w:t>
      </w:r>
    </w:p>
    <w:p w14:paraId="692302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（2）管道检修时拆卸、安装方便，设计使用期限内无缺损，使用寿命不低于 20 </w:t>
      </w:r>
    </w:p>
    <w:p w14:paraId="341EEA8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年。 </w:t>
      </w:r>
    </w:p>
    <w:p w14:paraId="4D7CDFC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2.4.2 伸缩节主要零件材质 </w:t>
      </w:r>
    </w:p>
    <w:p w14:paraId="5F3FD7A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材料选用必须与压力等级相适应，不允许选择低于压力等级的材料。主要零件 </w:t>
      </w:r>
    </w:p>
    <w:p w14:paraId="73FE5D8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材质如表 5-2 所示(材质应符合或高于下列要求)。 </w:t>
      </w:r>
    </w:p>
    <w:p w14:paraId="6D6FA19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双法兰传力伸缩主要零件材质表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986"/>
        <w:gridCol w:w="3769"/>
        <w:gridCol w:w="1469"/>
      </w:tblGrid>
      <w:tr w14:paraId="7E0A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33" w:type="dxa"/>
            <w:vAlign w:val="center"/>
          </w:tcPr>
          <w:p w14:paraId="5A9C2F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序号</w:t>
            </w:r>
          </w:p>
        </w:tc>
        <w:tc>
          <w:tcPr>
            <w:tcW w:w="1986" w:type="dxa"/>
            <w:vAlign w:val="center"/>
          </w:tcPr>
          <w:p w14:paraId="0E9DE6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名称</w:t>
            </w:r>
          </w:p>
        </w:tc>
        <w:tc>
          <w:tcPr>
            <w:tcW w:w="3769" w:type="dxa"/>
            <w:vAlign w:val="center"/>
          </w:tcPr>
          <w:p w14:paraId="2EFBE0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管压1.6材质</w:t>
            </w:r>
          </w:p>
        </w:tc>
        <w:tc>
          <w:tcPr>
            <w:tcW w:w="1469" w:type="dxa"/>
            <w:vAlign w:val="center"/>
          </w:tcPr>
          <w:p w14:paraId="4674A9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备注</w:t>
            </w:r>
          </w:p>
        </w:tc>
      </w:tr>
      <w:tr w14:paraId="7AFE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33" w:type="dxa"/>
            <w:vAlign w:val="center"/>
          </w:tcPr>
          <w:p w14:paraId="1ED5C7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1</w:t>
            </w:r>
          </w:p>
        </w:tc>
        <w:tc>
          <w:tcPr>
            <w:tcW w:w="1986" w:type="dxa"/>
            <w:vAlign w:val="center"/>
          </w:tcPr>
          <w:p w14:paraId="4F162D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本体材质</w:t>
            </w:r>
          </w:p>
        </w:tc>
        <w:tc>
          <w:tcPr>
            <w:tcW w:w="3769" w:type="dxa"/>
            <w:vAlign w:val="center"/>
          </w:tcPr>
          <w:p w14:paraId="55B545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Q345B 或 QT400-15</w:t>
            </w:r>
          </w:p>
        </w:tc>
        <w:tc>
          <w:tcPr>
            <w:tcW w:w="1469" w:type="dxa"/>
            <w:vAlign w:val="center"/>
          </w:tcPr>
          <w:p w14:paraId="03737E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p>
        </w:tc>
      </w:tr>
      <w:tr w14:paraId="1C64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33" w:type="dxa"/>
            <w:vAlign w:val="center"/>
          </w:tcPr>
          <w:p w14:paraId="3DD273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2</w:t>
            </w:r>
          </w:p>
        </w:tc>
        <w:tc>
          <w:tcPr>
            <w:tcW w:w="1986" w:type="dxa"/>
            <w:vAlign w:val="center"/>
          </w:tcPr>
          <w:p w14:paraId="4CC996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密封圈材料</w:t>
            </w:r>
          </w:p>
        </w:tc>
        <w:tc>
          <w:tcPr>
            <w:tcW w:w="3769" w:type="dxa"/>
            <w:vAlign w:val="center"/>
          </w:tcPr>
          <w:p w14:paraId="3A4D4E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圈丁腈橡胶圈</w:t>
            </w:r>
          </w:p>
        </w:tc>
        <w:tc>
          <w:tcPr>
            <w:tcW w:w="1469" w:type="dxa"/>
            <w:vAlign w:val="center"/>
          </w:tcPr>
          <w:p w14:paraId="19E8AE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p>
        </w:tc>
      </w:tr>
      <w:tr w14:paraId="0A75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33" w:type="dxa"/>
            <w:vAlign w:val="center"/>
          </w:tcPr>
          <w:p w14:paraId="059CEB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3</w:t>
            </w:r>
          </w:p>
        </w:tc>
        <w:tc>
          <w:tcPr>
            <w:tcW w:w="1986" w:type="dxa"/>
            <w:vAlign w:val="center"/>
          </w:tcPr>
          <w:p w14:paraId="4095D9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压盖</w:t>
            </w:r>
          </w:p>
        </w:tc>
        <w:tc>
          <w:tcPr>
            <w:tcW w:w="3769" w:type="dxa"/>
            <w:vAlign w:val="center"/>
          </w:tcPr>
          <w:p w14:paraId="4E535A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Q345B</w:t>
            </w:r>
          </w:p>
        </w:tc>
        <w:tc>
          <w:tcPr>
            <w:tcW w:w="1469" w:type="dxa"/>
            <w:vAlign w:val="center"/>
          </w:tcPr>
          <w:p w14:paraId="6450D1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p>
        </w:tc>
      </w:tr>
      <w:tr w14:paraId="4C22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33" w:type="dxa"/>
            <w:vAlign w:val="center"/>
          </w:tcPr>
          <w:p w14:paraId="5F8DFE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4</w:t>
            </w:r>
          </w:p>
        </w:tc>
        <w:tc>
          <w:tcPr>
            <w:tcW w:w="1986" w:type="dxa"/>
            <w:vAlign w:val="center"/>
          </w:tcPr>
          <w:p w14:paraId="622A72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限位短管</w:t>
            </w:r>
          </w:p>
        </w:tc>
        <w:tc>
          <w:tcPr>
            <w:tcW w:w="3769" w:type="dxa"/>
            <w:vAlign w:val="center"/>
          </w:tcPr>
          <w:p w14:paraId="2BC784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Q345B</w:t>
            </w:r>
          </w:p>
        </w:tc>
        <w:tc>
          <w:tcPr>
            <w:tcW w:w="1469" w:type="dxa"/>
            <w:vAlign w:val="center"/>
          </w:tcPr>
          <w:p w14:paraId="20C174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p>
        </w:tc>
      </w:tr>
      <w:tr w14:paraId="7C90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33" w:type="dxa"/>
            <w:vAlign w:val="center"/>
          </w:tcPr>
          <w:p w14:paraId="749AC1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5</w:t>
            </w:r>
          </w:p>
        </w:tc>
        <w:tc>
          <w:tcPr>
            <w:tcW w:w="1986" w:type="dxa"/>
            <w:vAlign w:val="center"/>
          </w:tcPr>
          <w:p w14:paraId="7C256B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螺栓螺母</w:t>
            </w:r>
          </w:p>
        </w:tc>
        <w:tc>
          <w:tcPr>
            <w:tcW w:w="3769" w:type="dxa"/>
            <w:vAlign w:val="center"/>
          </w:tcPr>
          <w:p w14:paraId="784E80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不锈钢304</w:t>
            </w:r>
          </w:p>
        </w:tc>
        <w:tc>
          <w:tcPr>
            <w:tcW w:w="1469" w:type="dxa"/>
            <w:vAlign w:val="center"/>
          </w:tcPr>
          <w:p w14:paraId="0CEEFB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0"/>
                <w:sz w:val="24"/>
                <w:szCs w:val="24"/>
                <w:highlight w:val="none"/>
                <w:vertAlign w:val="baseline"/>
                <w:lang w:val="en-US" w:eastAsia="zh-CN"/>
              </w:rPr>
            </w:pPr>
          </w:p>
        </w:tc>
      </w:tr>
    </w:tbl>
    <w:p w14:paraId="2B8FEEC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2.4.3 涂装 </w:t>
      </w:r>
    </w:p>
    <w:p w14:paraId="4B1C5C8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伸缩接头内外须经喷砂除去油锈、水份、污物等杂质后，以适合饮用水之环氧 </w:t>
      </w:r>
    </w:p>
    <w:p w14:paraId="705C3DA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树脂粉体烤漆涂装，其总厚度 0.25mm 以上，所有涂料干后不溶解于水，不影响水质且不因空气、温度之变化而发生异状，并有卫生 许可批件。 </w:t>
      </w:r>
    </w:p>
    <w:p w14:paraId="1092C8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2.5 检验 </w:t>
      </w:r>
    </w:p>
    <w:p w14:paraId="4A554EA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伸缩接头的质量标准、检测标准、测试方法、接头的强度及密度等均应符合国 </w:t>
      </w:r>
    </w:p>
    <w:p w14:paraId="57285D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家相关标准规范。 </w:t>
      </w:r>
    </w:p>
    <w:p w14:paraId="5147530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3、多功能水泵控制阀招标技术条款 </w:t>
      </w:r>
    </w:p>
    <w:p w14:paraId="349A9F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多功能水泵控制阀由阀体、阀盖、膜片座、膜片、主阀板、缓闭阀板、衬套、阀杆、主阀板座、缓闭阀板座和控制管系统等零部件组成。具有水力自动控制、启泵时缓开、停泵时先快闭后缓闭的特点，并兼有水泵出口处水锤消除器、闸（蝶）阀、止回阀三种产品的功能，是一种新型两阶段关闭的阀门。</w:t>
      </w:r>
    </w:p>
    <w:p w14:paraId="7CACFFD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3.2多功能水泵控制阀广泛用于市政、污水处理、建筑、钢铁、冶金、石油、化工、煤气（燃气）、食品、医药、电站、核电等领域的取水、送水、潜水 、污水泵房及石油、化工流体的输送系统中，融电动阀、止回阀和水锤消除器三种设备的功能于一体，能有效地提高系统安全可靠性，满足系统自动化控制要求。阻力系数小，节电效果好。</w:t>
      </w:r>
    </w:p>
    <w:p w14:paraId="664B294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3.3主要性能及技术参数</w:t>
      </w:r>
    </w:p>
    <w:p w14:paraId="4738A3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本工程采用的水力控制阀安装在船坞泵站卧式双吸离心泵出水管路，具有电动阀、止回阀和水锤消除器三种功能，具有速闭、缓闭以及吸能腔三种消除水锤措施，且动作联锁，不会产生误操作。提供的水力控制阀为成套设备。</w:t>
      </w:r>
    </w:p>
    <w:p w14:paraId="583882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（2）工艺条件</w:t>
      </w:r>
    </w:p>
    <w:p w14:paraId="607BAB2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水力控制阀适合清水（弱酸性），环境温度-15～50℃。</w:t>
      </w:r>
    </w:p>
    <w:p w14:paraId="73E068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（3）一般要求</w:t>
      </w:r>
    </w:p>
    <w:p w14:paraId="098FE8C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阀门的材质、阀门结构长度、检验要求等符合行业标准。</w:t>
      </w:r>
    </w:p>
    <w:p w14:paraId="5593798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无需操作控制，当水泵启停时，能利用阀门两端的介质及其压力差作为驱动介质和控制力，使阀门自动按水泵操作规程的要求进行运作。</w:t>
      </w:r>
    </w:p>
    <w:p w14:paraId="061FEE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公称压力：1.6MPa；</w:t>
      </w:r>
    </w:p>
    <w:p w14:paraId="4174724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最低动作压力：0.05MPa；</w:t>
      </w:r>
    </w:p>
    <w:p w14:paraId="667B4AA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缓闭时间：3～120s(可调节)；</w:t>
      </w:r>
    </w:p>
    <w:p w14:paraId="7DC12D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水锤峰值≤1.3 倍水泵出口额定压力；</w:t>
      </w:r>
    </w:p>
    <w:p w14:paraId="347313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水泵最高反转速度：≤1.2 倍水泵额定转速；</w:t>
      </w:r>
    </w:p>
    <w:p w14:paraId="2CB1F6C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膜片疲劳弯曲：200 万次无破损；</w:t>
      </w:r>
    </w:p>
    <w:p w14:paraId="6930E9F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采用表面喷涂环氧树脂的防腐技术，无毒副作用；</w:t>
      </w:r>
    </w:p>
    <w:p w14:paraId="66BF5E6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具有行程开关显示功能；</w:t>
      </w:r>
    </w:p>
    <w:p w14:paraId="0F2124D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强度试验：1.5 倍工作压力；</w:t>
      </w:r>
    </w:p>
    <w:p w14:paraId="615D54C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密封试验：1.1 倍工作压力。</w:t>
      </w:r>
    </w:p>
    <w:p w14:paraId="42770B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（4）结构和材料</w:t>
      </w:r>
    </w:p>
    <w:p w14:paraId="2B9EF7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阀板由主阀板和缓闭阀板组成，主阀板的密封方式为软硬双重密封。材质为铸钢。阀体的最小壁厚符合GB/T13932 中表3 的规定。</w:t>
      </w:r>
    </w:p>
    <w:p w14:paraId="7A8FC28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阀门控制管上设置微止回阀，以确保阀板缓慢开启。</w:t>
      </w:r>
    </w:p>
    <w:p w14:paraId="45CD193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阀体为“Y”型双腔式结构，流道为半直流道流线型，过流面积大，保证阀门本身的阻力损失小。</w:t>
      </w:r>
    </w:p>
    <w:p w14:paraId="3866A3B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阀盖与膜片座、膜片座与阀体的连接型式采用法兰式。</w:t>
      </w:r>
    </w:p>
    <w:p w14:paraId="6AE38C3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膜片座与阀体的连接螺栓数量不少于4 个。</w:t>
      </w:r>
    </w:p>
    <w:p w14:paraId="4CAE911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阀盖与膜片座的最小壁厚按GB/T13932 中的要求。</w:t>
      </w:r>
    </w:p>
    <w:p w14:paraId="786FCA0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阀盖与膜片座的法兰为圆形。法兰密封面的型式采用平面式、突面式。</w:t>
      </w:r>
    </w:p>
    <w:p w14:paraId="0F47370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缓闭阀板与阀杆连接紧固、可靠。</w:t>
      </w:r>
    </w:p>
    <w:p w14:paraId="4C37FD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闭阀板与主阀板的密封型式采用金属密封的型式。</w:t>
      </w:r>
    </w:p>
    <w:p w14:paraId="2E2DFA8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主阀板与阀杆滑动灵活、可靠，主阀板与主阀板座的密封采用非金属密封型式。</w:t>
      </w:r>
    </w:p>
    <w:p w14:paraId="603DB9C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膜片的外观质量符合HG/T3090 的规定，膜片材料的安全性符合GB/T17219 的规定。</w:t>
      </w:r>
    </w:p>
    <w:p w14:paraId="6E93F4E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控制管系统的各元件能承受阀门的最高工作压力，各部位不发生泄漏。</w:t>
      </w:r>
    </w:p>
    <w:p w14:paraId="1F0B3DF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主要零部件材料的选用宜按JB/T5300 的规定。</w:t>
      </w:r>
    </w:p>
    <w:p w14:paraId="2753B94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水力控制阀的壳体强度、密封性能符合GB/T13927 的规定。</w:t>
      </w:r>
    </w:p>
    <w:p w14:paraId="020206C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功能水泵控制阀内腔涂装材料的安全性符合GB/T17219 的规定。</w:t>
      </w:r>
    </w:p>
    <w:p w14:paraId="59337EB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3.4产品执行的标准</w:t>
      </w:r>
    </w:p>
    <w:p w14:paraId="1B17F6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通用阀门  压力试验                  GB/T 13927</w:t>
      </w:r>
    </w:p>
    <w:p w14:paraId="2C7838D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多功能水泵控制阀                    CJ/T 167-2002</w:t>
      </w:r>
    </w:p>
    <w:p w14:paraId="6B5A54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优质碳素结构钢、技术条件            GB699/T-1999（2000）</w:t>
      </w:r>
    </w:p>
    <w:p w14:paraId="66E22C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管道元件的定义和选用                GB/T1047-2005 </w:t>
      </w:r>
    </w:p>
    <w:p w14:paraId="6979A4D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管道元件公称压力的定义和选用        GB/T1048-2005 </w:t>
      </w:r>
    </w:p>
    <w:p w14:paraId="3DAAAA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通用阀门  标志                      GB/T12220</w:t>
      </w:r>
    </w:p>
    <w:p w14:paraId="76D3FF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通用阀门  铜合金铸造技术条件        GB/T12225</w:t>
      </w:r>
    </w:p>
    <w:p w14:paraId="768DC0B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通用阀门  灰铸铁件技术条件          GB/T12226</w:t>
      </w:r>
    </w:p>
    <w:p w14:paraId="1BF10C3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通用阀门  奥氏体钢铸件技术条件      GB/T12227</w:t>
      </w:r>
    </w:p>
    <w:p w14:paraId="317962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阀门标志和识别涂漆                  JB106 </w:t>
      </w:r>
    </w:p>
    <w:p w14:paraId="754762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通用阀门   供货要求                 GB/T7928</w:t>
      </w:r>
    </w:p>
    <w:p w14:paraId="28C844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质量保证                            ISO9000</w:t>
      </w:r>
    </w:p>
    <w:p w14:paraId="44E0686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结构长度标准                        GB/T12221  CJ/T167-2002</w:t>
      </w:r>
    </w:p>
    <w:p w14:paraId="791FC59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法兰标准                            GB/T9113.2</w:t>
      </w:r>
    </w:p>
    <w:p w14:paraId="15D6FA0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试验标准                            JB/T10674</w:t>
      </w:r>
    </w:p>
    <w:p w14:paraId="0387DD2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3.5设计和制造要求：</w:t>
      </w:r>
    </w:p>
    <w:p w14:paraId="6FB2696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1、阀体：法兰与阀体整体铸成。法兰的型式、技术条件和尺寸符合GB/T9113。1-2006的规定。</w:t>
      </w:r>
    </w:p>
    <w:p w14:paraId="35792C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2、阀盖、膜片座：阀盖与膜片座、膜片座与阀体的连接型式采用法兰式；膜片座与阀体的连接螺栓数量不少于4个；阀盖与膜片座的法兰为圆形。法兰密封面的型式采用突面式。</w:t>
      </w:r>
    </w:p>
    <w:p w14:paraId="3ABF1D7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阀杆、缓闭阀板、主阀板：缓闭阀板与阀杆连接紧固、可靠；缓闭阀板与主阀板的密封型式采用金属密封的型式；主阀板与阀杆滑动灵活、可靠；主阀板与主阀板座的密封采用金属密封和非金属密封两种型式。</w:t>
      </w:r>
    </w:p>
    <w:p w14:paraId="32D494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4、膜片性能表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2248"/>
        <w:gridCol w:w="2248"/>
      </w:tblGrid>
      <w:tr w14:paraId="05D6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4106" w:type="dxa"/>
            <w:noWrap w:val="0"/>
            <w:vAlign w:val="center"/>
          </w:tcPr>
          <w:p w14:paraId="1A94F79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w:t>
            </w:r>
          </w:p>
        </w:tc>
        <w:tc>
          <w:tcPr>
            <w:tcW w:w="2248" w:type="dxa"/>
            <w:noWrap w:val="0"/>
            <w:vAlign w:val="center"/>
          </w:tcPr>
          <w:p w14:paraId="4F816F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    位</w:t>
            </w:r>
          </w:p>
        </w:tc>
        <w:tc>
          <w:tcPr>
            <w:tcW w:w="2248" w:type="dxa"/>
            <w:noWrap w:val="0"/>
            <w:vAlign w:val="center"/>
          </w:tcPr>
          <w:p w14:paraId="348FA29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指    标</w:t>
            </w:r>
          </w:p>
        </w:tc>
      </w:tr>
      <w:tr w14:paraId="0B12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06" w:type="dxa"/>
            <w:noWrap w:val="0"/>
            <w:vAlign w:val="center"/>
          </w:tcPr>
          <w:p w14:paraId="0CD0F8E3">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硬度            （邵尔A型）</w:t>
            </w:r>
          </w:p>
        </w:tc>
        <w:tc>
          <w:tcPr>
            <w:tcW w:w="2248" w:type="dxa"/>
            <w:noWrap w:val="0"/>
            <w:vAlign w:val="center"/>
          </w:tcPr>
          <w:p w14:paraId="4C0B4C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度</w:t>
            </w:r>
          </w:p>
        </w:tc>
        <w:tc>
          <w:tcPr>
            <w:tcW w:w="2248" w:type="dxa"/>
            <w:noWrap w:val="0"/>
            <w:vAlign w:val="center"/>
          </w:tcPr>
          <w:p w14:paraId="15DD70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70±</w:t>
            </w:r>
          </w:p>
        </w:tc>
      </w:tr>
      <w:tr w14:paraId="3B9A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06" w:type="dxa"/>
            <w:noWrap w:val="0"/>
            <w:vAlign w:val="center"/>
          </w:tcPr>
          <w:p w14:paraId="09DB098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拉伸强度            最小</w:t>
            </w:r>
          </w:p>
        </w:tc>
        <w:tc>
          <w:tcPr>
            <w:tcW w:w="2248" w:type="dxa"/>
            <w:noWrap w:val="0"/>
            <w:vAlign w:val="center"/>
          </w:tcPr>
          <w:p w14:paraId="25B4F70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MPa</w:t>
            </w:r>
          </w:p>
        </w:tc>
        <w:tc>
          <w:tcPr>
            <w:tcW w:w="2248" w:type="dxa"/>
            <w:noWrap w:val="0"/>
            <w:vAlign w:val="center"/>
          </w:tcPr>
          <w:p w14:paraId="2FE7C97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r>
      <w:tr w14:paraId="4401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06" w:type="dxa"/>
            <w:noWrap w:val="0"/>
            <w:vAlign w:val="center"/>
          </w:tcPr>
          <w:p w14:paraId="3D243D5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扯断伸长率            最小</w:t>
            </w:r>
          </w:p>
        </w:tc>
        <w:tc>
          <w:tcPr>
            <w:tcW w:w="2248" w:type="dxa"/>
            <w:noWrap w:val="0"/>
            <w:vAlign w:val="center"/>
          </w:tcPr>
          <w:p w14:paraId="408B82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248" w:type="dxa"/>
            <w:noWrap w:val="0"/>
            <w:vAlign w:val="center"/>
          </w:tcPr>
          <w:p w14:paraId="0A1DBF7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400</w:t>
            </w:r>
          </w:p>
        </w:tc>
      </w:tr>
      <w:tr w14:paraId="4524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06" w:type="dxa"/>
            <w:noWrap w:val="0"/>
            <w:vAlign w:val="center"/>
          </w:tcPr>
          <w:p w14:paraId="65A56B38">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压缩永久变形（72℃×22h）    最大</w:t>
            </w:r>
          </w:p>
        </w:tc>
        <w:tc>
          <w:tcPr>
            <w:tcW w:w="2248" w:type="dxa"/>
            <w:noWrap w:val="0"/>
            <w:vAlign w:val="center"/>
          </w:tcPr>
          <w:p w14:paraId="6A3ACEF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248" w:type="dxa"/>
            <w:noWrap w:val="0"/>
            <w:vAlign w:val="center"/>
          </w:tcPr>
          <w:p w14:paraId="729635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r>
      <w:tr w14:paraId="1803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06" w:type="dxa"/>
            <w:noWrap w:val="0"/>
            <w:vAlign w:val="center"/>
          </w:tcPr>
          <w:p w14:paraId="4DB1E2C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胶与织物附着强度            最小</w:t>
            </w:r>
          </w:p>
        </w:tc>
        <w:tc>
          <w:tcPr>
            <w:tcW w:w="2248" w:type="dxa"/>
            <w:noWrap w:val="0"/>
            <w:vAlign w:val="center"/>
          </w:tcPr>
          <w:p w14:paraId="7BA3925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kN/m</w:t>
            </w:r>
          </w:p>
        </w:tc>
        <w:tc>
          <w:tcPr>
            <w:tcW w:w="2248" w:type="dxa"/>
            <w:noWrap w:val="0"/>
            <w:vAlign w:val="center"/>
          </w:tcPr>
          <w:p w14:paraId="69D9F1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14:paraId="347F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106" w:type="dxa"/>
            <w:noWrap w:val="0"/>
            <w:vAlign w:val="center"/>
          </w:tcPr>
          <w:p w14:paraId="2CD4C389">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耐液体性：（含油雨水或循环冷却水）</w:t>
            </w:r>
          </w:p>
          <w:p w14:paraId="2810A8B1">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拉伸强度变化（70℃×70h）    最大</w:t>
            </w:r>
          </w:p>
        </w:tc>
        <w:tc>
          <w:tcPr>
            <w:tcW w:w="2248" w:type="dxa"/>
            <w:noWrap w:val="0"/>
            <w:vAlign w:val="center"/>
          </w:tcPr>
          <w:p w14:paraId="77F1BEB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248" w:type="dxa"/>
            <w:noWrap w:val="0"/>
            <w:vAlign w:val="center"/>
          </w:tcPr>
          <w:p w14:paraId="48B94BB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r>
      <w:tr w14:paraId="5074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06" w:type="dxa"/>
            <w:noWrap w:val="0"/>
            <w:vAlign w:val="center"/>
          </w:tcPr>
          <w:p w14:paraId="2A009D8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耐液体性：（含油雨水或循环冷却水）</w:t>
            </w:r>
          </w:p>
          <w:p w14:paraId="0757716D">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扯断伸度率变化（70℃×70h）  最大</w:t>
            </w:r>
          </w:p>
        </w:tc>
        <w:tc>
          <w:tcPr>
            <w:tcW w:w="2248" w:type="dxa"/>
            <w:noWrap w:val="0"/>
            <w:vAlign w:val="center"/>
          </w:tcPr>
          <w:p w14:paraId="1C45A7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248" w:type="dxa"/>
            <w:noWrap w:val="0"/>
            <w:vAlign w:val="center"/>
          </w:tcPr>
          <w:p w14:paraId="422681D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r>
      <w:tr w14:paraId="0C28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06" w:type="dxa"/>
            <w:noWrap w:val="0"/>
            <w:vAlign w:val="center"/>
          </w:tcPr>
          <w:p w14:paraId="5D58BF25">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耐疲劳弯曲                  最小</w:t>
            </w:r>
          </w:p>
        </w:tc>
        <w:tc>
          <w:tcPr>
            <w:tcW w:w="2248" w:type="dxa"/>
            <w:noWrap w:val="0"/>
            <w:vAlign w:val="center"/>
          </w:tcPr>
          <w:p w14:paraId="468846E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次（×106）</w:t>
            </w:r>
          </w:p>
        </w:tc>
        <w:tc>
          <w:tcPr>
            <w:tcW w:w="2248" w:type="dxa"/>
            <w:noWrap w:val="0"/>
            <w:vAlign w:val="center"/>
          </w:tcPr>
          <w:p w14:paraId="77546D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bl>
    <w:p w14:paraId="425961D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5、控制管系统：控制管系统的各元件能承受阀门的最高工作压力，各部位不得发生泄漏。</w:t>
      </w:r>
    </w:p>
    <w:p w14:paraId="5EEF865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6、材料选择：主要零部件材料的选用按JB/T5300的规定。灰铸铁符合GB/T12226的规定。铜合金铸件采用青铜；奥氏体钢铸件符合GB/T12230的规定。</w:t>
      </w:r>
    </w:p>
    <w:p w14:paraId="61CA99F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7、壳体强度：多功能水泵控制阀的壳体强度符合GB/T13927的规定。</w:t>
      </w:r>
    </w:p>
    <w:p w14:paraId="41B024E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8、密封性能：多功能水泵控制阀的密封性能符合GB/T13927的规定。</w:t>
      </w:r>
    </w:p>
    <w:p w14:paraId="2D8834D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9、启、闭运行与水泵联锁：具有启泵时缓开、停泵时先快闭后缓闭的功能；启、闭运行压力不大于0.05Mpa；缓闭时间能在3s～120s内进行调整。</w:t>
      </w:r>
    </w:p>
    <w:p w14:paraId="4181A24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3.6设备检测</w:t>
      </w:r>
    </w:p>
    <w:p w14:paraId="392D6DD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1、每台阀门必须经过试验合格并附有产品合格证和使用说明书，方可出厂。</w:t>
      </w:r>
    </w:p>
    <w:p w14:paraId="50553C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2、阀门应进行操作试验，要求阀门启闭灵活。</w:t>
      </w:r>
    </w:p>
    <w:p w14:paraId="41E793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3、阀门的壳体试验按GB/T 13927的规定，密封实验按GB/T 13927的规定。</w:t>
      </w:r>
    </w:p>
    <w:p w14:paraId="7282A07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4、需方有权参与供方的设备的出厂试验，供方提供出厂试验报告。</w:t>
      </w:r>
    </w:p>
    <w:p w14:paraId="0ED23BB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3.7喷  涂</w:t>
      </w:r>
    </w:p>
    <w:p w14:paraId="7A3F759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阀体内外表面进行喷丸处理，阀体内外采用喷涂环氧树脂粉末工艺，涂层固化后不易溶于水。</w:t>
      </w:r>
    </w:p>
    <w:p w14:paraId="19A8A90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外表喷涂颜色为天蓝色。</w:t>
      </w:r>
    </w:p>
    <w:p w14:paraId="6758D416">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bCs/>
          <w:color w:val="auto"/>
          <w:kern w:val="0"/>
          <w:sz w:val="24"/>
          <w:szCs w:val="24"/>
          <w:highlight w:val="none"/>
          <w:lang w:eastAsia="en-US"/>
        </w:rPr>
      </w:pPr>
      <w:r>
        <w:rPr>
          <w:rFonts w:hint="eastAsia" w:ascii="仿宋" w:hAnsi="仿宋" w:eastAsia="仿宋" w:cs="仿宋"/>
          <w:b/>
          <w:bCs/>
          <w:color w:val="auto"/>
          <w:kern w:val="0"/>
          <w:sz w:val="24"/>
          <w:szCs w:val="24"/>
          <w:highlight w:val="none"/>
          <w:lang w:val="en-US" w:eastAsia="zh-CN"/>
        </w:rPr>
        <w:t>其他</w:t>
      </w:r>
      <w:r>
        <w:rPr>
          <w:rFonts w:hint="eastAsia" w:ascii="仿宋" w:hAnsi="仿宋" w:eastAsia="仿宋" w:cs="仿宋"/>
          <w:b/>
          <w:bCs/>
          <w:color w:val="auto"/>
          <w:kern w:val="0"/>
          <w:sz w:val="24"/>
          <w:szCs w:val="24"/>
          <w:highlight w:val="none"/>
          <w:lang w:eastAsia="en-US"/>
        </w:rPr>
        <w:t xml:space="preserve">具体要求 </w:t>
      </w:r>
    </w:p>
    <w:p w14:paraId="474339D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（1）</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确保供货完整，满足用户安装要求，确保设备使用安全可靠。  </w:t>
      </w:r>
    </w:p>
    <w:p w14:paraId="03925A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（2）</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详述技术特征、履约保证及技术服务条款。  </w:t>
      </w:r>
    </w:p>
    <w:p w14:paraId="68CD5DD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（3）本</w:t>
      </w:r>
      <w:r>
        <w:rPr>
          <w:rFonts w:hint="eastAsia" w:ascii="仿宋" w:hAnsi="仿宋" w:eastAsia="仿宋" w:cs="仿宋"/>
          <w:color w:val="auto"/>
          <w:kern w:val="0"/>
          <w:sz w:val="24"/>
          <w:szCs w:val="24"/>
          <w:highlight w:val="none"/>
          <w:lang w:eastAsia="zh-CN"/>
        </w:rPr>
        <w:t>投</w:t>
      </w:r>
      <w:r>
        <w:rPr>
          <w:rFonts w:hint="eastAsia" w:ascii="仿宋" w:hAnsi="仿宋" w:eastAsia="仿宋" w:cs="仿宋"/>
          <w:color w:val="auto"/>
          <w:kern w:val="0"/>
          <w:sz w:val="24"/>
          <w:szCs w:val="24"/>
          <w:highlight w:val="none"/>
          <w:lang w:eastAsia="en-US"/>
        </w:rPr>
        <w:t>标文件所提供的是最低限度的技术要求，并未对一切技术细节做出规定，也未充分引述有关标准和规范的条文，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保证提供符合供货要求和有关工业标准的优质产品。 </w:t>
      </w:r>
    </w:p>
    <w:p w14:paraId="321E22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（4）供货要求所使用的标准如与</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所执行的标准发生矛盾时，按较高标准执行。 </w:t>
      </w:r>
    </w:p>
    <w:p w14:paraId="75C1312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（5）如</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对供货要求的条文没有以书面形式提出异议，那么买方可以认为</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完全同意供货要求的要求。 </w:t>
      </w:r>
    </w:p>
    <w:p w14:paraId="319233C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（6）在签定合同后，买方有权以书面形式提出因规范、标准和规程发生变化而产生的一些补充要求，具体项目由买卖双方共同商定，且不改变合同价格。  </w:t>
      </w:r>
    </w:p>
    <w:p w14:paraId="5D96A9F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（7）生产技术要在保证低能耗、运行可靠的基础上，做到经济、先进、成熟，以达到获得最大经济效益的目的。 </w:t>
      </w:r>
    </w:p>
    <w:p w14:paraId="65E60FF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（8）</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详述其产品的优势及特点。 </w:t>
      </w:r>
    </w:p>
    <w:p w14:paraId="6F624F1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（9）</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承诺履行合同。 </w:t>
      </w:r>
    </w:p>
    <w:p w14:paraId="306BD30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（10）</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按要求进行分项报价。 </w:t>
      </w:r>
    </w:p>
    <w:p w14:paraId="7E1933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招标范围内，使用于本工程的所有设备需具备自有知识产权；或按有关法律规定，取得知识产权所有人的书面授权方可使用。</w:t>
      </w:r>
      <w:r>
        <w:rPr>
          <w:rFonts w:hint="eastAsia" w:ascii="仿宋" w:hAnsi="仿宋" w:eastAsia="仿宋" w:cs="仿宋"/>
          <w:color w:val="auto"/>
          <w:kern w:val="0"/>
          <w:sz w:val="24"/>
          <w:szCs w:val="24"/>
          <w:highlight w:val="none"/>
          <w:lang w:eastAsia="zh-CN"/>
        </w:rPr>
        <w:t>投标人将</w:t>
      </w:r>
      <w:r>
        <w:rPr>
          <w:rFonts w:hint="eastAsia" w:ascii="仿宋" w:hAnsi="仿宋" w:eastAsia="仿宋" w:cs="仿宋"/>
          <w:color w:val="auto"/>
          <w:kern w:val="0"/>
          <w:sz w:val="24"/>
          <w:szCs w:val="24"/>
          <w:highlight w:val="none"/>
          <w:lang w:eastAsia="en-US"/>
        </w:rPr>
        <w:t xml:space="preserve">对本供货要求中的设备、工艺和自控软件等方面的一切专利费和执照费承担责任，并且负责保护买方不受任何损害，一切由执照费、文字和专利侵权的申诉，或者由使用设备和工艺结构特征、原件的排列所引起的法律裁决、诉讼和费用与买方无关，合同所规定的设备应付款，应当视作为包括了专利费、执照费或其它相关费用。 </w:t>
      </w:r>
    </w:p>
    <w:p w14:paraId="678FB7B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工作内容 </w:t>
      </w:r>
    </w:p>
    <w:p w14:paraId="4775E00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本次招标的工作内容包括浮船设备的船体及泵房舾装系统、输水管、泵、阀、仪表、电气系统、消防设施、救生及其他设备的设计、制造、工厂内装配、检验和试验、出厂验收、包装、保险、运输到场和交货（卸货至指定地点）；提供备品备件及安装、试验用的专用工具；提交技术文件及图纸资料；提供安装和现场试验的指导；参与现场调试、试运行和验收；提供对运行维修人员的制造厂内培训和工地现场培训；完成设计联络；接受买方代表参加工厂监造、检测和出厂检验等；完成合同规定的协调工作等。 </w:t>
      </w:r>
    </w:p>
    <w:p w14:paraId="34D9B29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所提供的是新型节能、安全、可靠的设备。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具有完整的质量认证体系。并提供 ISO9000 系列质量认证证书。所有设备的供货均进行质量评定，做好自检及试验记录。由买方会同有关单位进行抽查检验和评定。质量评定报告至少包括材料力学性能试验报告、材质分析报告、出厂试验报告等。报告结果均符合国家及部颁相应标准的规定，并获得中华人民共和国权威部门认可。   </w:t>
      </w:r>
    </w:p>
    <w:p w14:paraId="291CDE0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（1）</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与其它有关设备供货商交换图纸和任何其它必需的资料，以保证正确完成所有有关部件的设计、制造、试验、正确安装与协调运行等。  </w:t>
      </w:r>
    </w:p>
    <w:p w14:paraId="3DB016C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（2）除非本</w:t>
      </w:r>
      <w:r>
        <w:rPr>
          <w:rFonts w:hint="eastAsia" w:ascii="仿宋" w:hAnsi="仿宋" w:eastAsia="仿宋" w:cs="仿宋"/>
          <w:color w:val="auto"/>
          <w:kern w:val="0"/>
          <w:sz w:val="24"/>
          <w:szCs w:val="24"/>
          <w:highlight w:val="none"/>
          <w:lang w:eastAsia="zh-CN"/>
        </w:rPr>
        <w:t>投</w:t>
      </w:r>
      <w:r>
        <w:rPr>
          <w:rFonts w:hint="eastAsia" w:ascii="仿宋" w:hAnsi="仿宋" w:eastAsia="仿宋" w:cs="仿宋"/>
          <w:color w:val="auto"/>
          <w:kern w:val="0"/>
          <w:sz w:val="24"/>
          <w:szCs w:val="24"/>
          <w:highlight w:val="none"/>
          <w:lang w:eastAsia="en-US"/>
        </w:rPr>
        <w:t>标文件外另有规定，为了使</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所提供的设备适应其他供货商所提供的设备，在规定范围内允许较小修改，并不要求额外的报酬。所有</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之间的有关上述调整，对买方均不增加附加费用。</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与其他</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之间所交换的资料复印件，分别提供给买方 3 份，工程设计单位 1 份。 </w:t>
      </w:r>
    </w:p>
    <w:p w14:paraId="5C6B251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（3）</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负责其与其他相关设备供货商间的协调并对其提供的设备和交货负责。 </w:t>
      </w:r>
    </w:p>
    <w:p w14:paraId="49C5431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（4）</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对其供货的全部部件、设备进行相应的设计、协调和完善，并承担全部责任。</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供货的设备在规定的运行工况下，符合工程实际，并满足本</w:t>
      </w:r>
      <w:r>
        <w:rPr>
          <w:rFonts w:hint="eastAsia" w:ascii="仿宋" w:hAnsi="仿宋" w:eastAsia="仿宋" w:cs="仿宋"/>
          <w:color w:val="auto"/>
          <w:kern w:val="0"/>
          <w:sz w:val="24"/>
          <w:szCs w:val="24"/>
          <w:highlight w:val="none"/>
          <w:lang w:eastAsia="zh-CN"/>
        </w:rPr>
        <w:t>投</w:t>
      </w:r>
      <w:r>
        <w:rPr>
          <w:rFonts w:hint="eastAsia" w:ascii="仿宋" w:hAnsi="仿宋" w:eastAsia="仿宋" w:cs="仿宋"/>
          <w:color w:val="auto"/>
          <w:kern w:val="0"/>
          <w:sz w:val="24"/>
          <w:szCs w:val="24"/>
          <w:highlight w:val="none"/>
          <w:lang w:eastAsia="en-US"/>
        </w:rPr>
        <w:t>标文件规定的性能要求。</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提供全部有关的设计技术文件、图纸、资料以及用于设计中的标准。 </w:t>
      </w:r>
    </w:p>
    <w:p w14:paraId="6B2CE1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（5）</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负责与其它相关设备供货商和</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就图纸、尺寸及必需的资料进行协调，以保证正确地完成所有设备相连或有关部件的设计、制造、吊运、安装指导、调试与验收试验等工作。 </w:t>
      </w:r>
    </w:p>
    <w:p w14:paraId="779D9B1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（6）为了更好地保证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所提供的设备满足设计和工程运行要求，在合同设备制造期间，</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做好与工程设计单位的协调工作。 </w:t>
      </w:r>
    </w:p>
    <w:p w14:paraId="03EBA0C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（7）</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负责完成所有设备相关的协调工作。 </w:t>
      </w:r>
    </w:p>
    <w:p w14:paraId="1421886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设计审查 </w:t>
      </w:r>
    </w:p>
    <w:p w14:paraId="32C4279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（1）对需要买方及</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同意的设计，</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向买方提交正式文件、图纸和图表，并由双方授权代表签署。 </w:t>
      </w:r>
    </w:p>
    <w:p w14:paraId="17743E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（2）买方对</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设计方案的审查不减轻</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的责任。 </w:t>
      </w:r>
    </w:p>
    <w:p w14:paraId="1BFB61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包装和运送到现场及现场卸货 </w:t>
      </w:r>
    </w:p>
    <w:p w14:paraId="144DC19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（1）除另有规定，</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 xml:space="preserve">按监理工程师批准的设备包装、运输方案对所有设备进行恰当有效的包装和运送，使设备受到有效的保护，使不受潮湿、剥蚀、防震、防辐射、变形或其它形式的损坏。 </w:t>
      </w:r>
    </w:p>
    <w:p w14:paraId="7DBB260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（2）每件包装外面清楚地打上记号，这些记号或标志在运单上清楚地标注产品名称、型号和重量等。 </w:t>
      </w:r>
    </w:p>
    <w:p w14:paraId="1FA57E5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（3）包装的费用包括在合同金额内，这些包装材料归属买方。  </w:t>
      </w:r>
    </w:p>
    <w:p w14:paraId="1F87FD9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（4）如果需要的话，备件装在箱内运送，这些箱子适合储存，在它们的整个储存年限内不会损坏，储存年限在包装上说明，所有备件加以标签以示区别。 </w:t>
      </w:r>
    </w:p>
    <w:p w14:paraId="2179F29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en-US"/>
        </w:rPr>
        <w:t xml:space="preserve">）设备到现场后由供货方负责卸在买方指定的位置，并作好验收记录工作，验收无误后，并做好相应防护。 </w:t>
      </w:r>
    </w:p>
    <w:p w14:paraId="3CADD2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en-US"/>
        </w:rPr>
        <w:t>）买方将拒收运抵现场的被损坏或有缺陷的或不符合合同要求的任何设备。</w:t>
      </w:r>
    </w:p>
    <w:p w14:paraId="53F871D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en-US"/>
        </w:rPr>
        <w:t>）</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根据设备结构、部件尺寸、重量，实地考察从制造厂至工地现场的运输线路，确定运输方案，运输过程中发生的一切费用均包含设备总价中。</w:t>
      </w:r>
    </w:p>
    <w:p w14:paraId="76373AC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图纸和资料 </w:t>
      </w:r>
    </w:p>
    <w:p w14:paraId="7586E7D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en-US"/>
        </w:rPr>
        <w:t xml:space="preserve">一般要求 </w:t>
      </w:r>
    </w:p>
    <w:p w14:paraId="03552B3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eastAsia="en-US"/>
        </w:rPr>
        <w:t>向买方提交下列图纸和资料供审查：合同规定提交的图纸；设备安装、运行及检修说明书；设备技术条件和说明书；产品样本；</w:t>
      </w:r>
      <w:r>
        <w:rPr>
          <w:rFonts w:hint="eastAsia" w:ascii="仿宋" w:hAnsi="仿宋" w:eastAsia="仿宋" w:cs="仿宋"/>
          <w:color w:val="auto"/>
          <w:kern w:val="0"/>
          <w:sz w:val="24"/>
          <w:szCs w:val="24"/>
          <w:highlight w:val="none"/>
          <w:lang w:val="en-US" w:eastAsia="zh-CN"/>
        </w:rPr>
        <w:t>及</w:t>
      </w:r>
      <w:r>
        <w:rPr>
          <w:rFonts w:hint="eastAsia" w:ascii="仿宋" w:hAnsi="仿宋" w:eastAsia="仿宋" w:cs="仿宋"/>
          <w:color w:val="auto"/>
          <w:kern w:val="0"/>
          <w:sz w:val="24"/>
          <w:szCs w:val="24"/>
          <w:highlight w:val="none"/>
          <w:lang w:eastAsia="en-US"/>
        </w:rPr>
        <w:t xml:space="preserve">其它必需的图纸资料。 </w:t>
      </w:r>
    </w:p>
    <w:p w14:paraId="3129BC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设备推荐品牌汇总表</w:t>
      </w:r>
    </w:p>
    <w:tbl>
      <w:tblPr>
        <w:tblStyle w:val="25"/>
        <w:tblW w:w="86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3495"/>
        <w:gridCol w:w="4399"/>
      </w:tblGrid>
      <w:tr w14:paraId="7951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C43126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序号</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14:paraId="670F90C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设备名称</w:t>
            </w:r>
          </w:p>
        </w:tc>
        <w:tc>
          <w:tcPr>
            <w:tcW w:w="4399" w:type="dxa"/>
            <w:tcBorders>
              <w:top w:val="single" w:color="000000" w:sz="4" w:space="0"/>
              <w:left w:val="single" w:color="000000" w:sz="4" w:space="0"/>
              <w:bottom w:val="single" w:color="000000" w:sz="4" w:space="0"/>
              <w:right w:val="single" w:color="000000" w:sz="4" w:space="0"/>
            </w:tcBorders>
            <w:noWrap w:val="0"/>
            <w:vAlign w:val="center"/>
          </w:tcPr>
          <w:p w14:paraId="4A38130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推荐品牌</w:t>
            </w:r>
          </w:p>
        </w:tc>
      </w:tr>
      <w:tr w14:paraId="44EF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F6E59A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1</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14:paraId="6427DB3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控制柜其主开关、断路器、接触器、继电器等电器元器件</w:t>
            </w:r>
          </w:p>
        </w:tc>
        <w:tc>
          <w:tcPr>
            <w:tcW w:w="4399" w:type="dxa"/>
            <w:tcBorders>
              <w:top w:val="single" w:color="000000" w:sz="4" w:space="0"/>
              <w:left w:val="single" w:color="000000" w:sz="4" w:space="0"/>
              <w:bottom w:val="single" w:color="000000" w:sz="4" w:space="0"/>
              <w:right w:val="single" w:color="000000" w:sz="4" w:space="0"/>
            </w:tcBorders>
            <w:noWrap w:val="0"/>
            <w:vAlign w:val="center"/>
          </w:tcPr>
          <w:p w14:paraId="75ABC3F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西门子、施耐德或ABB品牌产品</w:t>
            </w:r>
          </w:p>
        </w:tc>
      </w:tr>
      <w:tr w14:paraId="4BB8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5D4E2E9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2</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14:paraId="5E16E23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PLC</w:t>
            </w:r>
          </w:p>
        </w:tc>
        <w:tc>
          <w:tcPr>
            <w:tcW w:w="4399" w:type="dxa"/>
            <w:tcBorders>
              <w:top w:val="single" w:color="000000" w:sz="4" w:space="0"/>
              <w:left w:val="single" w:color="000000" w:sz="4" w:space="0"/>
              <w:bottom w:val="single" w:color="000000" w:sz="4" w:space="0"/>
              <w:right w:val="single" w:color="000000" w:sz="4" w:space="0"/>
            </w:tcBorders>
            <w:noWrap w:val="0"/>
            <w:vAlign w:val="center"/>
          </w:tcPr>
          <w:p w14:paraId="5EAC45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西门子S7-200以上或施耐德Modicon Quantem 140以上、ABB</w:t>
            </w:r>
          </w:p>
        </w:tc>
      </w:tr>
      <w:tr w14:paraId="1FCB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F9EF77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3</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14:paraId="7DBE68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压力变送器</w:t>
            </w:r>
          </w:p>
        </w:tc>
        <w:tc>
          <w:tcPr>
            <w:tcW w:w="4399" w:type="dxa"/>
            <w:tcBorders>
              <w:top w:val="single" w:color="000000" w:sz="4" w:space="0"/>
              <w:left w:val="single" w:color="000000" w:sz="4" w:space="0"/>
              <w:bottom w:val="single" w:color="000000" w:sz="4" w:space="0"/>
              <w:right w:val="single" w:color="000000" w:sz="4" w:space="0"/>
            </w:tcBorders>
            <w:noWrap w:val="0"/>
            <w:vAlign w:val="center"/>
          </w:tcPr>
          <w:p w14:paraId="7DB755D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HUBA（富巴）、DANFOSS（丹弗斯）、TRAFAG（特菲克）、E+H（恩德斯豪斯</w:t>
            </w:r>
          </w:p>
        </w:tc>
      </w:tr>
      <w:tr w14:paraId="37E9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2302DF8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4</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14:paraId="08B44A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水泵</w:t>
            </w:r>
          </w:p>
        </w:tc>
        <w:tc>
          <w:tcPr>
            <w:tcW w:w="4399" w:type="dxa"/>
            <w:tcBorders>
              <w:top w:val="single" w:color="000000" w:sz="4" w:space="0"/>
              <w:left w:val="single" w:color="000000" w:sz="4" w:space="0"/>
              <w:bottom w:val="single" w:color="000000" w:sz="4" w:space="0"/>
              <w:right w:val="single" w:color="000000" w:sz="4" w:space="0"/>
            </w:tcBorders>
            <w:noWrap w:val="0"/>
            <w:vAlign w:val="center"/>
          </w:tcPr>
          <w:p w14:paraId="62D3C51A">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格兰富、南方、凯泉、熊猫、威乐、赛莱默、利欧、沃德、舜禹、埃梯梯</w:t>
            </w:r>
          </w:p>
        </w:tc>
      </w:tr>
      <w:tr w14:paraId="1538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91472E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5</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14:paraId="25E2E3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变频器</w:t>
            </w:r>
          </w:p>
        </w:tc>
        <w:tc>
          <w:tcPr>
            <w:tcW w:w="4399" w:type="dxa"/>
            <w:tcBorders>
              <w:top w:val="single" w:color="000000" w:sz="4" w:space="0"/>
              <w:left w:val="single" w:color="000000" w:sz="4" w:space="0"/>
              <w:bottom w:val="single" w:color="000000" w:sz="4" w:space="0"/>
              <w:right w:val="single" w:color="000000" w:sz="4" w:space="0"/>
            </w:tcBorders>
            <w:noWrap w:val="0"/>
            <w:vAlign w:val="center"/>
          </w:tcPr>
          <w:p w14:paraId="6772B8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用ABB、施耐德、西门子</w:t>
            </w:r>
          </w:p>
        </w:tc>
      </w:tr>
      <w:tr w14:paraId="6130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074CCD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6</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14:paraId="4EA95B9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eastAsia="en-US"/>
              </w:rPr>
            </w:pPr>
            <w:r>
              <w:rPr>
                <w:rFonts w:hint="eastAsia" w:ascii="仿宋" w:hAnsi="仿宋" w:eastAsia="仿宋" w:cs="仿宋"/>
                <w:color w:val="auto"/>
                <w:kern w:val="0"/>
                <w:sz w:val="24"/>
                <w:szCs w:val="24"/>
                <w:highlight w:val="none"/>
                <w:lang w:val="en-US" w:eastAsia="zh-CN"/>
              </w:rPr>
              <w:t>阀门</w:t>
            </w:r>
          </w:p>
        </w:tc>
        <w:tc>
          <w:tcPr>
            <w:tcW w:w="4399" w:type="dxa"/>
            <w:tcBorders>
              <w:top w:val="single" w:color="000000" w:sz="4" w:space="0"/>
              <w:left w:val="single" w:color="000000" w:sz="4" w:space="0"/>
              <w:bottom w:val="single" w:color="000000" w:sz="4" w:space="0"/>
              <w:right w:val="single" w:color="000000" w:sz="4" w:space="0"/>
            </w:tcBorders>
            <w:noWrap w:val="0"/>
            <w:vAlign w:val="center"/>
          </w:tcPr>
          <w:p w14:paraId="0009C10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上海冠龙、VAG、中核苏阀、宁波一机、春江、AVK等品牌</w:t>
            </w:r>
          </w:p>
        </w:tc>
      </w:tr>
    </w:tbl>
    <w:p w14:paraId="245E3C26">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注：除采购文件推荐的品牌外，欢迎其他能满足或高于本项目所推荐品牌技术需求及性能的产品参加。</w:t>
      </w:r>
    </w:p>
    <w:p w14:paraId="75BCCA37">
      <w:pPr>
        <w:keepNext w:val="0"/>
        <w:keepLines w:val="0"/>
        <w:pageBreakBefore w:val="0"/>
        <w:kinsoku/>
        <w:wordWrap/>
        <w:overflowPunct/>
        <w:topLinePunct w:val="0"/>
        <w:bidi w:val="0"/>
        <w:spacing w:line="360" w:lineRule="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color w:val="auto"/>
          <w:sz w:val="30"/>
          <w:szCs w:val="30"/>
          <w:highlight w:val="none"/>
          <w:lang w:val="en-US" w:eastAsia="zh-CN"/>
        </w:rPr>
        <w:t>商务响应表</w:t>
      </w:r>
    </w:p>
    <w:tbl>
      <w:tblPr>
        <w:tblStyle w:val="25"/>
        <w:tblW w:w="88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8"/>
        <w:gridCol w:w="7311"/>
      </w:tblGrid>
      <w:tr w14:paraId="284A2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1528" w:type="dxa"/>
            <w:tcBorders>
              <w:top w:val="single" w:color="auto" w:sz="4" w:space="0"/>
              <w:left w:val="single" w:color="auto" w:sz="4" w:space="0"/>
              <w:bottom w:val="single" w:color="auto" w:sz="4" w:space="0"/>
              <w:right w:val="single" w:color="auto" w:sz="4" w:space="0"/>
            </w:tcBorders>
            <w:noWrap w:val="0"/>
            <w:vAlign w:val="center"/>
          </w:tcPr>
          <w:p w14:paraId="71EBA27D">
            <w:pPr>
              <w:keepNext w:val="0"/>
              <w:keepLines w:val="0"/>
              <w:pageBreakBefore w:val="0"/>
              <w:widowControl/>
              <w:tabs>
                <w:tab w:val="left" w:pos="1138"/>
              </w:tabs>
              <w:kinsoku w:val="0"/>
              <w:wordWrap/>
              <w:overflowPunct w:val="0"/>
              <w:topLinePunct w:val="0"/>
              <w:autoSpaceDE w:val="0"/>
              <w:autoSpaceDN w:val="0"/>
              <w:bidi w:val="0"/>
              <w:adjustRightInd w:val="0"/>
              <w:spacing w:line="24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311" w:type="dxa"/>
            <w:tcBorders>
              <w:top w:val="single" w:color="auto" w:sz="4" w:space="0"/>
              <w:left w:val="single" w:color="auto" w:sz="4" w:space="0"/>
              <w:bottom w:val="single" w:color="auto" w:sz="4" w:space="0"/>
              <w:right w:val="single" w:color="auto" w:sz="4" w:space="0"/>
            </w:tcBorders>
            <w:noWrap w:val="0"/>
            <w:vAlign w:val="center"/>
          </w:tcPr>
          <w:p w14:paraId="38CC1452">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设备安装调试验收合格之日起</w:t>
            </w:r>
            <w:r>
              <w:rPr>
                <w:rFonts w:hint="eastAsia" w:ascii="仿宋" w:hAnsi="仿宋" w:eastAsia="仿宋" w:cs="仿宋"/>
                <w:color w:val="auto"/>
                <w:kern w:val="1"/>
                <w:sz w:val="24"/>
                <w:highlight w:val="none"/>
                <w:lang w:val="en-US" w:eastAsia="zh-CN"/>
              </w:rPr>
              <w:t>提供2年（</w:t>
            </w:r>
            <w:r>
              <w:rPr>
                <w:rFonts w:hint="eastAsia" w:ascii="仿宋" w:hAnsi="仿宋" w:eastAsia="仿宋" w:cs="仿宋"/>
                <w:color w:val="auto"/>
                <w:kern w:val="1"/>
                <w:sz w:val="24"/>
                <w:highlight w:val="none"/>
              </w:rPr>
              <w:t>泵船（船坞）部分30年</w:t>
            </w:r>
            <w:r>
              <w:rPr>
                <w:rFonts w:hint="eastAsia" w:ascii="仿宋" w:hAnsi="仿宋" w:eastAsia="仿宋" w:cs="仿宋"/>
                <w:color w:val="auto"/>
                <w:kern w:val="1"/>
                <w:sz w:val="24"/>
                <w:highlight w:val="none"/>
                <w:lang w:val="en-US" w:eastAsia="zh-CN"/>
              </w:rPr>
              <w:t>）质保</w:t>
            </w:r>
            <w:r>
              <w:rPr>
                <w:rFonts w:hint="eastAsia" w:ascii="仿宋" w:hAnsi="仿宋" w:eastAsia="仿宋" w:cs="仿宋"/>
                <w:color w:val="auto"/>
                <w:kern w:val="1"/>
                <w:sz w:val="24"/>
                <w:highlight w:val="none"/>
              </w:rPr>
              <w:t>。（</w:t>
            </w:r>
            <w:r>
              <w:rPr>
                <w:rFonts w:hint="eastAsia" w:ascii="仿宋" w:hAnsi="仿宋" w:eastAsia="仿宋" w:cs="仿宋"/>
                <w:color w:val="auto"/>
                <w:kern w:val="1"/>
                <w:sz w:val="24"/>
                <w:highlight w:val="none"/>
                <w:lang w:val="en-US" w:eastAsia="zh-CN"/>
              </w:rPr>
              <w:t>投标人可根据自己的实际情况承诺更长的质保期。</w:t>
            </w:r>
            <w:r>
              <w:rPr>
                <w:rFonts w:hint="eastAsia" w:ascii="仿宋" w:hAnsi="仿宋" w:eastAsia="仿宋" w:cs="仿宋"/>
                <w:color w:val="auto"/>
                <w:kern w:val="1"/>
                <w:sz w:val="24"/>
                <w:highlight w:val="none"/>
              </w:rPr>
              <w:t>）</w:t>
            </w:r>
          </w:p>
        </w:tc>
      </w:tr>
      <w:tr w14:paraId="0EA3D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0" w:hRule="atLeast"/>
        </w:trPr>
        <w:tc>
          <w:tcPr>
            <w:tcW w:w="1528" w:type="dxa"/>
            <w:tcBorders>
              <w:top w:val="single" w:color="auto" w:sz="4" w:space="0"/>
              <w:left w:val="single" w:color="auto" w:sz="4" w:space="0"/>
              <w:bottom w:val="single" w:color="auto" w:sz="4" w:space="0"/>
              <w:right w:val="single" w:color="auto" w:sz="4" w:space="0"/>
            </w:tcBorders>
            <w:noWrap w:val="0"/>
            <w:vAlign w:val="center"/>
          </w:tcPr>
          <w:p w14:paraId="03F877A6">
            <w:pPr>
              <w:keepNext w:val="0"/>
              <w:keepLines w:val="0"/>
              <w:pageBreakBefore w:val="0"/>
              <w:widowControl/>
              <w:kinsoku w:val="0"/>
              <w:wordWrap/>
              <w:overflowPunct w:val="0"/>
              <w:topLinePunct w:val="0"/>
              <w:autoSpaceDE w:val="0"/>
              <w:autoSpaceDN w:val="0"/>
              <w:bidi w:val="0"/>
              <w:adjustRightInd w:val="0"/>
              <w:snapToGrid w:val="0"/>
              <w:spacing w:line="240" w:lineRule="auto"/>
              <w:ind w:firstLine="0"/>
              <w:jc w:val="cente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售后服务保障要求</w:t>
            </w:r>
          </w:p>
        </w:tc>
        <w:tc>
          <w:tcPr>
            <w:tcW w:w="7311" w:type="dxa"/>
            <w:tcBorders>
              <w:top w:val="single" w:color="auto" w:sz="4" w:space="0"/>
              <w:left w:val="single" w:color="auto" w:sz="4" w:space="0"/>
              <w:bottom w:val="single" w:color="auto" w:sz="4" w:space="0"/>
              <w:right w:val="single" w:color="auto" w:sz="4" w:space="0"/>
            </w:tcBorders>
            <w:noWrap w:val="0"/>
            <w:vAlign w:val="center"/>
          </w:tcPr>
          <w:p w14:paraId="0EE57953">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在质保期内的工作应包括对所有机组及安装系统常规检查。中标单位须自行付费负责修理和更换任何由于设备自身及安装的质量问题造成的损坏及故障。修好后，中标单位需一式两份报告给采购人，包括故障原因，解决措施，完成修理所需时间及恢复正常运行日期。</w:t>
            </w:r>
          </w:p>
          <w:p w14:paraId="5CF751F1">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2.在质量保证期满时，中标单位指定人员和采购人代表将对设备及安装系统进行一次全面测试，直至运行无故障。任何故障须由中标单位自费解决并取得采购人的认可。售后服务按国家有关规定执行，并提供上门现场服务。</w:t>
            </w:r>
          </w:p>
          <w:p w14:paraId="4FA3D8ED">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3.培训：供应商负责提供对采购人的免费培训，培训内容为设备的使用，日常维护，简单故障的排除等。</w:t>
            </w:r>
          </w:p>
          <w:p w14:paraId="01FEBD29">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kern w:val="1"/>
                <w:sz w:val="24"/>
                <w:highlight w:val="none"/>
                <w:lang w:val="en-US" w:eastAsia="zh-CN"/>
              </w:rPr>
              <w:t>4.</w:t>
            </w:r>
            <w:r>
              <w:rPr>
                <w:rFonts w:hint="eastAsia" w:ascii="仿宋" w:hAnsi="仿宋" w:eastAsia="仿宋" w:cs="仿宋"/>
                <w:color w:val="auto"/>
                <w:kern w:val="1"/>
                <w:sz w:val="24"/>
                <w:highlight w:val="none"/>
              </w:rPr>
              <w:t>中标人须设有24小时维修服务电话，负责解答用户在设备使用中遇到的问题，及时提出解决问题的建议和操作方法。</w:t>
            </w:r>
          </w:p>
        </w:tc>
      </w:tr>
      <w:tr w14:paraId="3F012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1528" w:type="dxa"/>
            <w:tcBorders>
              <w:top w:val="single" w:color="auto" w:sz="4" w:space="0"/>
              <w:left w:val="single" w:color="auto" w:sz="4" w:space="0"/>
              <w:bottom w:val="single" w:color="auto" w:sz="4" w:space="0"/>
              <w:right w:val="single" w:color="auto" w:sz="4" w:space="0"/>
            </w:tcBorders>
            <w:noWrap w:val="0"/>
            <w:vAlign w:val="center"/>
          </w:tcPr>
          <w:p w14:paraId="612FA762">
            <w:pPr>
              <w:keepNext w:val="0"/>
              <w:keepLines w:val="0"/>
              <w:pageBreakBefore w:val="0"/>
              <w:widowControl/>
              <w:kinsoku w:val="0"/>
              <w:wordWrap/>
              <w:overflowPunct w:val="0"/>
              <w:topLinePunct w:val="0"/>
              <w:autoSpaceDE w:val="0"/>
              <w:autoSpaceDN w:val="0"/>
              <w:bidi w:val="0"/>
              <w:adjustRightInd w:val="0"/>
              <w:snapToGrid w:val="0"/>
              <w:spacing w:line="240" w:lineRule="auto"/>
              <w:ind w:firstLine="0"/>
              <w:jc w:val="cente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技术培训</w:t>
            </w:r>
          </w:p>
        </w:tc>
        <w:tc>
          <w:tcPr>
            <w:tcW w:w="7311" w:type="dxa"/>
            <w:tcBorders>
              <w:top w:val="single" w:color="auto" w:sz="4" w:space="0"/>
              <w:left w:val="single" w:color="auto" w:sz="4" w:space="0"/>
              <w:bottom w:val="single" w:color="auto" w:sz="4" w:space="0"/>
              <w:right w:val="single" w:color="auto" w:sz="4" w:space="0"/>
            </w:tcBorders>
            <w:noWrap w:val="0"/>
            <w:vAlign w:val="center"/>
          </w:tcPr>
          <w:p w14:paraId="194A7A84">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1.供货方须对采购人的技术人员进行免费维修培训。</w:t>
            </w:r>
          </w:p>
          <w:p w14:paraId="525C386E">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 xml:space="preserve">2.供货方提供的负责培训的人员应具备同类工程经验。    </w:t>
            </w:r>
          </w:p>
        </w:tc>
      </w:tr>
      <w:tr w14:paraId="2F226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6" w:hRule="atLeast"/>
        </w:trPr>
        <w:tc>
          <w:tcPr>
            <w:tcW w:w="1528" w:type="dxa"/>
            <w:tcBorders>
              <w:top w:val="single" w:color="auto" w:sz="4" w:space="0"/>
              <w:left w:val="single" w:color="auto" w:sz="4" w:space="0"/>
              <w:bottom w:val="single" w:color="auto" w:sz="4" w:space="0"/>
              <w:right w:val="single" w:color="auto" w:sz="4" w:space="0"/>
            </w:tcBorders>
            <w:noWrap w:val="0"/>
            <w:vAlign w:val="center"/>
          </w:tcPr>
          <w:p w14:paraId="43243A7A">
            <w:pPr>
              <w:keepNext w:val="0"/>
              <w:keepLines w:val="0"/>
              <w:pageBreakBefore w:val="0"/>
              <w:widowControl/>
              <w:kinsoku w:val="0"/>
              <w:wordWrap/>
              <w:overflowPunct w:val="0"/>
              <w:topLinePunct w:val="0"/>
              <w:autoSpaceDE w:val="0"/>
              <w:autoSpaceDN w:val="0"/>
              <w:bidi w:val="0"/>
              <w:adjustRightInd w:val="0"/>
              <w:snapToGrid w:val="0"/>
              <w:spacing w:line="240" w:lineRule="auto"/>
              <w:ind w:firstLine="0"/>
              <w:jc w:val="cente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工期要求</w:t>
            </w:r>
          </w:p>
        </w:tc>
        <w:tc>
          <w:tcPr>
            <w:tcW w:w="7311" w:type="dxa"/>
            <w:tcBorders>
              <w:top w:val="single" w:color="auto" w:sz="4" w:space="0"/>
              <w:left w:val="single" w:color="auto" w:sz="4" w:space="0"/>
              <w:bottom w:val="single" w:color="auto" w:sz="4" w:space="0"/>
              <w:right w:val="single" w:color="auto" w:sz="4" w:space="0"/>
            </w:tcBorders>
            <w:noWrap w:val="0"/>
            <w:vAlign w:val="center"/>
          </w:tcPr>
          <w:p w14:paraId="2A037AB5">
            <w:pPr>
              <w:keepNext w:val="0"/>
              <w:keepLines w:val="0"/>
              <w:pageBreakBefore w:val="0"/>
              <w:widowControl/>
              <w:kinsoku w:val="0"/>
              <w:wordWrap/>
              <w:overflowPunct w:val="0"/>
              <w:topLinePunct w:val="0"/>
              <w:autoSpaceDE w:val="0"/>
              <w:autoSpaceDN w:val="0"/>
              <w:bidi w:val="0"/>
              <w:adjustRightInd w:val="0"/>
              <w:snapToGrid w:val="0"/>
              <w:spacing w:line="240" w:lineRule="auto"/>
              <w:textAlignment w:val="bottom"/>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1"/>
                <w:sz w:val="24"/>
                <w:highlight w:val="none"/>
                <w:lang w:val="en-US" w:eastAsia="zh-CN"/>
              </w:rPr>
              <w:t>中标通知书发出后60日历天内完成供货、安装及设备调试运行。未在承诺期限内完成项目</w:t>
            </w:r>
            <w:r>
              <w:rPr>
                <w:rFonts w:hint="eastAsia" w:ascii="仿宋" w:hAnsi="仿宋" w:eastAsia="仿宋" w:cs="仿宋"/>
                <w:color w:val="auto"/>
                <w:kern w:val="1"/>
                <w:sz w:val="24"/>
                <w:highlight w:val="none"/>
                <w:lang w:eastAsia="zh-CN"/>
              </w:rPr>
              <w:t>任务</w:t>
            </w:r>
            <w:r>
              <w:rPr>
                <w:rFonts w:hint="eastAsia" w:ascii="仿宋" w:hAnsi="仿宋" w:eastAsia="仿宋" w:cs="仿宋"/>
                <w:color w:val="auto"/>
                <w:kern w:val="1"/>
                <w:sz w:val="24"/>
                <w:highlight w:val="none"/>
                <w:lang w:val="en-US" w:eastAsia="zh-CN"/>
              </w:rPr>
              <w:t>的，</w:t>
            </w:r>
            <w:r>
              <w:rPr>
                <w:rFonts w:hint="eastAsia" w:ascii="仿宋" w:hAnsi="仿宋" w:eastAsia="仿宋" w:cs="仿宋"/>
                <w:color w:val="auto"/>
                <w:kern w:val="0"/>
                <w:sz w:val="24"/>
                <w:szCs w:val="24"/>
                <w:highlight w:val="none"/>
                <w:lang w:val="en-US" w:eastAsia="zh-CN" w:bidi="ar-SA"/>
              </w:rPr>
              <w:t>总的扣款金额不超过合同金额10%扣完为止</w:t>
            </w:r>
            <w:r>
              <w:rPr>
                <w:rFonts w:hint="eastAsia" w:ascii="仿宋" w:hAnsi="仿宋" w:eastAsia="仿宋" w:cs="仿宋"/>
                <w:color w:val="auto"/>
                <w:sz w:val="24"/>
                <w:szCs w:val="24"/>
                <w:highlight w:val="none"/>
                <w:shd w:val="clear" w:color="auto" w:fill="auto"/>
                <w:lang w:val="zh-CN"/>
              </w:rPr>
              <w:t>（</w:t>
            </w:r>
            <w:r>
              <w:rPr>
                <w:rFonts w:hint="eastAsia" w:ascii="仿宋" w:hAnsi="仿宋" w:eastAsia="仿宋" w:cs="仿宋"/>
                <w:color w:val="auto"/>
                <w:sz w:val="24"/>
                <w:szCs w:val="24"/>
                <w:highlight w:val="none"/>
                <w:shd w:val="clear" w:color="auto" w:fill="auto"/>
                <w:lang w:val="en-US" w:eastAsia="zh-CN"/>
              </w:rPr>
              <w:t>损失补偿款从合同价款中扣除）；</w:t>
            </w:r>
            <w:r>
              <w:rPr>
                <w:rFonts w:hint="eastAsia" w:ascii="仿宋" w:hAnsi="仿宋" w:eastAsia="仿宋" w:cs="仿宋"/>
                <w:color w:val="auto"/>
                <w:kern w:val="1"/>
                <w:sz w:val="24"/>
                <w:highlight w:val="none"/>
                <w:lang w:val="en-US" w:eastAsia="zh-CN"/>
              </w:rPr>
              <w:t>非中标单位原因引起的等原因造成的工期延误除外，则工期顺延，后续具备条件后未经业主单位同意不得进场施工</w:t>
            </w:r>
            <w:r>
              <w:rPr>
                <w:rFonts w:hint="eastAsia" w:ascii="仿宋" w:hAnsi="仿宋" w:eastAsia="仿宋" w:cs="仿宋"/>
                <w:color w:val="auto"/>
                <w:sz w:val="24"/>
                <w:szCs w:val="24"/>
                <w:highlight w:val="none"/>
                <w:shd w:val="clear" w:color="auto" w:fill="auto"/>
                <w:lang w:val="en-US" w:eastAsia="zh-CN"/>
              </w:rPr>
              <w:t>。</w:t>
            </w:r>
          </w:p>
        </w:tc>
      </w:tr>
      <w:tr w14:paraId="24935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5" w:hRule="atLeast"/>
        </w:trPr>
        <w:tc>
          <w:tcPr>
            <w:tcW w:w="1528" w:type="dxa"/>
            <w:tcBorders>
              <w:top w:val="single" w:color="auto" w:sz="4" w:space="0"/>
              <w:left w:val="single" w:color="auto" w:sz="4" w:space="0"/>
              <w:bottom w:val="single" w:color="auto" w:sz="4" w:space="0"/>
              <w:right w:val="single" w:color="auto" w:sz="4" w:space="0"/>
            </w:tcBorders>
            <w:noWrap w:val="0"/>
            <w:vAlign w:val="center"/>
          </w:tcPr>
          <w:p w14:paraId="739BE448">
            <w:pPr>
              <w:keepNext w:val="0"/>
              <w:keepLines w:val="0"/>
              <w:pageBreakBefore w:val="0"/>
              <w:widowControl/>
              <w:kinsoku w:val="0"/>
              <w:wordWrap/>
              <w:overflowPunct w:val="0"/>
              <w:topLinePunct w:val="0"/>
              <w:autoSpaceDE w:val="0"/>
              <w:autoSpaceDN w:val="0"/>
              <w:bidi w:val="0"/>
              <w:adjustRightInd w:val="0"/>
              <w:snapToGrid w:val="0"/>
              <w:spacing w:line="240" w:lineRule="auto"/>
              <w:ind w:firstLine="0"/>
              <w:jc w:val="cente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 xml:space="preserve"> 付款条件</w:t>
            </w:r>
          </w:p>
        </w:tc>
        <w:tc>
          <w:tcPr>
            <w:tcW w:w="7311" w:type="dxa"/>
            <w:tcBorders>
              <w:top w:val="single" w:color="auto" w:sz="4" w:space="0"/>
              <w:left w:val="single" w:color="auto" w:sz="4" w:space="0"/>
              <w:bottom w:val="single" w:color="auto" w:sz="4" w:space="0"/>
              <w:right w:val="single" w:color="auto" w:sz="4" w:space="0"/>
            </w:tcBorders>
            <w:noWrap w:val="0"/>
            <w:vAlign w:val="center"/>
          </w:tcPr>
          <w:p w14:paraId="19442E6B">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货到现场安装经</w:t>
            </w:r>
            <w:r>
              <w:rPr>
                <w:rFonts w:hint="eastAsia" w:ascii="仿宋" w:hAnsi="仿宋" w:eastAsia="仿宋" w:cs="仿宋"/>
                <w:color w:val="auto"/>
                <w:kern w:val="1"/>
                <w:sz w:val="24"/>
                <w:highlight w:val="none"/>
                <w:lang w:eastAsia="zh-CN"/>
              </w:rPr>
              <w:t>验</w:t>
            </w:r>
            <w:r>
              <w:rPr>
                <w:rFonts w:hint="eastAsia" w:ascii="仿宋" w:hAnsi="仿宋" w:eastAsia="仿宋" w:cs="仿宋"/>
                <w:color w:val="auto"/>
                <w:kern w:val="1"/>
                <w:sz w:val="24"/>
                <w:highlight w:val="none"/>
              </w:rPr>
              <w:t>收合格后一个月内付至到货设备款的60%，调试运行合格</w:t>
            </w:r>
            <w:r>
              <w:rPr>
                <w:rFonts w:hint="eastAsia" w:ascii="仿宋" w:hAnsi="仿宋" w:eastAsia="仿宋" w:cs="仿宋"/>
                <w:color w:val="auto"/>
                <w:kern w:val="1"/>
                <w:sz w:val="24"/>
                <w:highlight w:val="none"/>
                <w:lang w:eastAsia="zh-CN"/>
              </w:rPr>
              <w:t>且提供完整资料</w:t>
            </w:r>
            <w:r>
              <w:rPr>
                <w:rFonts w:hint="eastAsia" w:ascii="仿宋" w:hAnsi="仿宋" w:eastAsia="仿宋" w:cs="仿宋"/>
                <w:color w:val="auto"/>
                <w:kern w:val="1"/>
                <w:sz w:val="24"/>
                <w:highlight w:val="none"/>
              </w:rPr>
              <w:t>后一个月内付至到货设备款的95%，</w:t>
            </w:r>
            <w:r>
              <w:rPr>
                <w:rFonts w:hint="eastAsia" w:ascii="仿宋" w:hAnsi="仿宋" w:eastAsia="仿宋" w:cs="仿宋"/>
                <w:color w:val="auto"/>
                <w:kern w:val="1"/>
                <w:sz w:val="24"/>
                <w:highlight w:val="none"/>
                <w:lang w:val="en-US" w:eastAsia="zh-CN"/>
              </w:rPr>
              <w:t>余款5%在质保期满后一个月内支付</w:t>
            </w:r>
            <w:r>
              <w:rPr>
                <w:rFonts w:hint="eastAsia" w:ascii="仿宋" w:hAnsi="仿宋" w:eastAsia="仿宋" w:cs="仿宋"/>
                <w:color w:val="auto"/>
                <w:kern w:val="1"/>
                <w:sz w:val="24"/>
                <w:highlight w:val="none"/>
                <w:lang w:eastAsia="zh-CN"/>
              </w:rPr>
              <w:t>（</w:t>
            </w:r>
            <w:r>
              <w:rPr>
                <w:rFonts w:hint="eastAsia" w:ascii="仿宋" w:hAnsi="仿宋" w:eastAsia="仿宋" w:cs="仿宋"/>
                <w:color w:val="auto"/>
                <w:kern w:val="1"/>
                <w:sz w:val="24"/>
                <w:highlight w:val="none"/>
              </w:rPr>
              <w:t>余款</w:t>
            </w:r>
            <w:r>
              <w:rPr>
                <w:rFonts w:hint="eastAsia" w:ascii="仿宋" w:hAnsi="仿宋" w:eastAsia="仿宋" w:cs="仿宋"/>
                <w:color w:val="auto"/>
                <w:kern w:val="1"/>
                <w:sz w:val="24"/>
                <w:highlight w:val="none"/>
                <w:lang w:val="en-US" w:eastAsia="zh-CN"/>
              </w:rPr>
              <w:t>2</w:t>
            </w:r>
            <w:r>
              <w:rPr>
                <w:rFonts w:hint="eastAsia" w:ascii="仿宋" w:hAnsi="仿宋" w:eastAsia="仿宋" w:cs="仿宋"/>
                <w:color w:val="auto"/>
                <w:kern w:val="1"/>
                <w:sz w:val="24"/>
                <w:highlight w:val="none"/>
              </w:rPr>
              <w:t>%待泵船（船坞）部分质保期满后</w:t>
            </w:r>
            <w:r>
              <w:rPr>
                <w:rFonts w:hint="eastAsia" w:ascii="仿宋" w:hAnsi="仿宋" w:eastAsia="仿宋" w:cs="仿宋"/>
                <w:color w:val="auto"/>
                <w:kern w:val="1"/>
                <w:sz w:val="24"/>
                <w:highlight w:val="none"/>
                <w:lang w:val="en-US" w:eastAsia="zh-CN"/>
              </w:rPr>
              <w:t>支付，余款3%待其余部分质保期满后支付）</w:t>
            </w:r>
            <w:r>
              <w:rPr>
                <w:rFonts w:hint="eastAsia" w:ascii="仿宋" w:hAnsi="仿宋" w:eastAsia="仿宋" w:cs="仿宋"/>
                <w:color w:val="auto"/>
                <w:kern w:val="1"/>
                <w:sz w:val="24"/>
                <w:highlight w:val="none"/>
              </w:rPr>
              <w:t>。</w:t>
            </w:r>
          </w:p>
        </w:tc>
      </w:tr>
      <w:tr w14:paraId="3CCF1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1528" w:type="dxa"/>
            <w:tcBorders>
              <w:top w:val="single" w:color="auto" w:sz="4" w:space="0"/>
              <w:left w:val="single" w:color="auto" w:sz="4" w:space="0"/>
              <w:bottom w:val="single" w:color="auto" w:sz="4" w:space="0"/>
              <w:right w:val="single" w:color="auto" w:sz="4" w:space="0"/>
            </w:tcBorders>
            <w:noWrap w:val="0"/>
            <w:vAlign w:val="center"/>
          </w:tcPr>
          <w:p w14:paraId="6E1D62DA">
            <w:pPr>
              <w:keepNext w:val="0"/>
              <w:keepLines w:val="0"/>
              <w:pageBreakBefore w:val="0"/>
              <w:widowControl/>
              <w:kinsoku w:val="0"/>
              <w:wordWrap/>
              <w:overflowPunct w:val="0"/>
              <w:topLinePunct w:val="0"/>
              <w:autoSpaceDE w:val="0"/>
              <w:autoSpaceDN w:val="0"/>
              <w:bidi w:val="0"/>
              <w:adjustRightIn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履约保证金</w:t>
            </w:r>
          </w:p>
        </w:tc>
        <w:tc>
          <w:tcPr>
            <w:tcW w:w="7311" w:type="dxa"/>
            <w:tcBorders>
              <w:top w:val="single" w:color="auto" w:sz="4" w:space="0"/>
              <w:left w:val="single" w:color="auto" w:sz="4" w:space="0"/>
              <w:bottom w:val="single" w:color="auto" w:sz="4" w:space="0"/>
              <w:right w:val="single" w:color="auto" w:sz="4" w:space="0"/>
            </w:tcBorders>
            <w:noWrap w:val="0"/>
            <w:vAlign w:val="center"/>
          </w:tcPr>
          <w:p w14:paraId="578671FA">
            <w:pPr>
              <w:keepNext w:val="0"/>
              <w:keepLines w:val="0"/>
              <w:pageBreakBefore w:val="0"/>
              <w:widowControl/>
              <w:tabs>
                <w:tab w:val="left" w:pos="2340"/>
              </w:tabs>
              <w:kinsoku w:val="0"/>
              <w:wordWrap/>
              <w:overflowPunct w:val="0"/>
              <w:topLinePunct w:val="0"/>
              <w:autoSpaceDE w:val="0"/>
              <w:autoSpaceDN w:val="0"/>
              <w:bidi w:val="0"/>
              <w:adjustRightInd w:val="0"/>
              <w:spacing w:line="240" w:lineRule="auto"/>
              <w:jc w:val="lef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中标金额的1%，中标通知书发出后5个工作日内中标人向采购人递交履约保证金，项目完工验收合格后 30日内退还。不计息）</w:t>
            </w:r>
          </w:p>
        </w:tc>
      </w:tr>
      <w:tr w14:paraId="1FD31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4" w:hRule="atLeast"/>
        </w:trPr>
        <w:tc>
          <w:tcPr>
            <w:tcW w:w="1528" w:type="dxa"/>
            <w:tcBorders>
              <w:top w:val="single" w:color="auto" w:sz="4" w:space="0"/>
              <w:left w:val="single" w:color="auto" w:sz="4" w:space="0"/>
              <w:bottom w:val="single" w:color="auto" w:sz="4" w:space="0"/>
              <w:right w:val="single" w:color="auto" w:sz="4" w:space="0"/>
            </w:tcBorders>
            <w:noWrap w:val="0"/>
            <w:vAlign w:val="center"/>
          </w:tcPr>
          <w:p w14:paraId="0BD3B37D">
            <w:pPr>
              <w:keepNext w:val="0"/>
              <w:keepLines w:val="0"/>
              <w:pageBreakBefore w:val="0"/>
              <w:widowControl/>
              <w:kinsoku w:val="0"/>
              <w:wordWrap/>
              <w:overflowPunct w:val="0"/>
              <w:topLinePunct w:val="0"/>
              <w:autoSpaceDE w:val="0"/>
              <w:autoSpaceDN w:val="0"/>
              <w:bidi w:val="0"/>
              <w:adjustRightInd w:val="0"/>
              <w:snapToGrid w:val="0"/>
              <w:spacing w:line="240" w:lineRule="auto"/>
              <w:ind w:firstLine="0" w:firstLineChars="0"/>
              <w:jc w:val="cente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投标报价</w:t>
            </w:r>
          </w:p>
        </w:tc>
        <w:tc>
          <w:tcPr>
            <w:tcW w:w="7311" w:type="dxa"/>
            <w:tcBorders>
              <w:top w:val="single" w:color="auto" w:sz="4" w:space="0"/>
              <w:left w:val="single" w:color="auto" w:sz="4" w:space="0"/>
              <w:bottom w:val="single" w:color="auto" w:sz="4" w:space="0"/>
              <w:right w:val="single" w:color="auto" w:sz="4" w:space="0"/>
            </w:tcBorders>
            <w:noWrap w:val="0"/>
            <w:vAlign w:val="center"/>
          </w:tcPr>
          <w:p w14:paraId="6F5D0B66">
            <w:pPr>
              <w:keepNext w:val="0"/>
              <w:keepLines w:val="0"/>
              <w:pageBreakBefore w:val="0"/>
              <w:widowControl/>
              <w:kinsoku w:val="0"/>
              <w:wordWrap/>
              <w:overflowPunct w:val="0"/>
              <w:topLinePunct w:val="0"/>
              <w:autoSpaceDE w:val="0"/>
              <w:autoSpaceDN w:val="0"/>
              <w:bidi w:val="0"/>
              <w:adjustRightInd w:val="0"/>
              <w:snapToGrid w:val="0"/>
              <w:spacing w:line="240" w:lineRule="auto"/>
              <w:ind w:firstLine="0" w:firstLineChars="0"/>
              <w:jc w:val="both"/>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snapToGrid/>
                <w:color w:val="auto"/>
                <w:kern w:val="1"/>
                <w:sz w:val="24"/>
                <w:szCs w:val="24"/>
                <w:highlight w:val="none"/>
                <w:lang w:val="en-US" w:eastAsia="zh-CN" w:bidi="ar-SA"/>
              </w:rPr>
              <w:t>投标报价涵盖本项目实施中产生的所有费用，应包括但不限于货款、标准附件、备品备件、专用工具、包装、运输、装卸、保险、税金、货到就位以及安装、调试、培训、保修、验收、代理费、综合考虑等一切费用。</w:t>
            </w:r>
          </w:p>
        </w:tc>
      </w:tr>
      <w:tr w14:paraId="4EE18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1" w:hRule="atLeast"/>
        </w:trPr>
        <w:tc>
          <w:tcPr>
            <w:tcW w:w="1528" w:type="dxa"/>
            <w:tcBorders>
              <w:top w:val="single" w:color="auto" w:sz="4" w:space="0"/>
              <w:left w:val="single" w:color="auto" w:sz="4" w:space="0"/>
              <w:bottom w:val="single" w:color="auto" w:sz="4" w:space="0"/>
              <w:right w:val="single" w:color="auto" w:sz="4" w:space="0"/>
            </w:tcBorders>
            <w:noWrap w:val="0"/>
            <w:vAlign w:val="center"/>
          </w:tcPr>
          <w:p w14:paraId="59A1ADE4">
            <w:pPr>
              <w:keepNext w:val="0"/>
              <w:keepLines w:val="0"/>
              <w:pageBreakBefore w:val="0"/>
              <w:widowControl/>
              <w:kinsoku w:val="0"/>
              <w:wordWrap/>
              <w:overflowPunct w:val="0"/>
              <w:topLinePunct w:val="0"/>
              <w:autoSpaceDE w:val="0"/>
              <w:autoSpaceDN w:val="0"/>
              <w:bidi w:val="0"/>
              <w:adjustRightInd w:val="0"/>
              <w:snapToGrid w:val="0"/>
              <w:spacing w:line="240" w:lineRule="auto"/>
              <w:ind w:firstLine="0" w:firstLineChars="0"/>
              <w:jc w:val="cente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其他</w:t>
            </w:r>
          </w:p>
        </w:tc>
        <w:tc>
          <w:tcPr>
            <w:tcW w:w="7311" w:type="dxa"/>
            <w:tcBorders>
              <w:top w:val="single" w:color="auto" w:sz="4" w:space="0"/>
              <w:left w:val="single" w:color="auto" w:sz="4" w:space="0"/>
              <w:bottom w:val="single" w:color="auto" w:sz="4" w:space="0"/>
              <w:right w:val="single" w:color="auto" w:sz="4" w:space="0"/>
            </w:tcBorders>
            <w:noWrap w:val="0"/>
            <w:vAlign w:val="center"/>
          </w:tcPr>
          <w:p w14:paraId="444C5923">
            <w:pPr>
              <w:keepNext w:val="0"/>
              <w:keepLines w:val="0"/>
              <w:pageBreakBefore w:val="0"/>
              <w:widowControl/>
              <w:kinsoku w:val="0"/>
              <w:wordWrap/>
              <w:overflowPunct w:val="0"/>
              <w:topLinePunct w:val="0"/>
              <w:autoSpaceDE w:val="0"/>
              <w:autoSpaceDN w:val="0"/>
              <w:bidi w:val="0"/>
              <w:adjustRightInd w:val="0"/>
              <w:snapToGrid w:val="0"/>
              <w:spacing w:line="240" w:lineRule="auto"/>
              <w:ind w:firstLine="0" w:firstLineChars="0"/>
              <w:jc w:val="both"/>
              <w:rPr>
                <w:rFonts w:hint="default" w:ascii="仿宋" w:hAnsi="仿宋" w:eastAsia="仿宋" w:cs="仿宋"/>
                <w:snapToGrid/>
                <w:color w:val="auto"/>
                <w:kern w:val="1"/>
                <w:sz w:val="24"/>
                <w:szCs w:val="24"/>
                <w:highlight w:val="none"/>
                <w:lang w:val="en-US" w:eastAsia="zh-CN" w:bidi="ar-SA"/>
              </w:rPr>
            </w:pPr>
            <w:r>
              <w:rPr>
                <w:rFonts w:hint="eastAsia" w:ascii="仿宋" w:hAnsi="仿宋" w:eastAsia="仿宋" w:cs="仿宋"/>
                <w:snapToGrid/>
                <w:color w:val="auto"/>
                <w:kern w:val="1"/>
                <w:sz w:val="24"/>
                <w:szCs w:val="24"/>
                <w:highlight w:val="none"/>
                <w:lang w:val="en-US" w:eastAsia="zh-CN" w:bidi="ar-SA"/>
              </w:rPr>
              <w:t>根据</w:t>
            </w:r>
            <w:r>
              <w:rPr>
                <w:rFonts w:hint="eastAsia" w:ascii="仿宋" w:hAnsi="仿宋" w:eastAsia="仿宋" w:cs="仿宋"/>
                <w:snapToGrid w:val="0"/>
                <w:color w:val="auto"/>
                <w:kern w:val="28"/>
                <w:sz w:val="24"/>
                <w:szCs w:val="24"/>
                <w:highlight w:val="none"/>
                <w:lang w:val="en-US" w:eastAsia="zh-CN" w:bidi="ar-SA"/>
              </w:rPr>
              <w:t>业主要求无条件完成与业主所需的数字化平台或其他平台数据对接。</w:t>
            </w:r>
          </w:p>
        </w:tc>
      </w:tr>
    </w:tbl>
    <w:p w14:paraId="4CC87741">
      <w:pPr>
        <w:pageBreakBefore w:val="0"/>
        <w:kinsoku/>
        <w:overflowPunct/>
        <w:topLinePunct w:val="0"/>
        <w:bidi w:val="0"/>
        <w:spacing w:line="360" w:lineRule="auto"/>
        <w:rPr>
          <w:rFonts w:hint="eastAsia" w:ascii="仿宋" w:hAnsi="仿宋" w:eastAsia="仿宋" w:cs="仿宋"/>
          <w:b/>
          <w:bCs/>
          <w:color w:val="auto"/>
          <w:sz w:val="24"/>
          <w:szCs w:val="24"/>
          <w:highlight w:val="none"/>
          <w:lang w:val="en-US" w:eastAsia="zh-CN"/>
        </w:rPr>
        <w:sectPr>
          <w:headerReference r:id="rId12" w:type="default"/>
          <w:footerReference r:id="rId13" w:type="default"/>
          <w:pgSz w:w="11906" w:h="16838"/>
          <w:pgMar w:top="1417" w:right="1797" w:bottom="1417" w:left="1417" w:header="851" w:footer="851" w:gutter="0"/>
          <w:pgNumType w:fmt="decimal"/>
          <w:cols w:space="720" w:num="1"/>
          <w:docGrid w:linePitch="312" w:charSpace="0"/>
        </w:sectPr>
      </w:pPr>
    </w:p>
    <w:bookmarkEnd w:id="28"/>
    <w:p w14:paraId="7AEE9AAB">
      <w:pPr>
        <w:pageBreakBefore w:val="0"/>
        <w:kinsoku/>
        <w:overflowPunct/>
        <w:topLinePunct w:val="0"/>
        <w:bidi w:val="0"/>
        <w:spacing w:line="360" w:lineRule="auto"/>
        <w:jc w:val="center"/>
        <w:outlineLvl w:val="0"/>
        <w:rPr>
          <w:rFonts w:hint="eastAsia" w:ascii="仿宋" w:hAnsi="仿宋" w:eastAsia="仿宋" w:cs="仿宋"/>
          <w:b/>
          <w:color w:val="auto"/>
          <w:kern w:val="1"/>
          <w:sz w:val="24"/>
          <w:szCs w:val="24"/>
          <w:highlight w:val="none"/>
          <w:lang w:val="en-US" w:eastAsia="zh-CN"/>
        </w:rPr>
      </w:pPr>
      <w:r>
        <w:rPr>
          <w:rFonts w:hint="eastAsia" w:ascii="仿宋" w:hAnsi="仿宋" w:eastAsia="仿宋" w:cs="仿宋"/>
          <w:b/>
          <w:color w:val="auto"/>
          <w:kern w:val="1"/>
          <w:sz w:val="32"/>
          <w:szCs w:val="32"/>
          <w:highlight w:val="none"/>
          <w:lang w:val="en-US" w:eastAsia="zh-CN"/>
        </w:rPr>
        <w:t>第四章 评标办法</w:t>
      </w:r>
      <w:bookmarkEnd w:id="26"/>
      <w:bookmarkEnd w:id="27"/>
    </w:p>
    <w:p w14:paraId="299BB04F">
      <w:pPr>
        <w:pageBreakBefore w:val="0"/>
        <w:kinsoku/>
        <w:overflowPunct/>
        <w:topLinePunct w:val="0"/>
        <w:bidi w:val="0"/>
        <w:spacing w:line="360" w:lineRule="auto"/>
        <w:ind w:firstLine="31680"/>
        <w:outlineLvl w:val="1"/>
        <w:rPr>
          <w:rFonts w:hint="eastAsia" w:ascii="仿宋" w:hAnsi="仿宋" w:eastAsia="仿宋" w:cs="仿宋"/>
          <w:b/>
          <w:color w:val="auto"/>
          <w:kern w:val="1"/>
          <w:sz w:val="24"/>
          <w:szCs w:val="24"/>
          <w:highlight w:val="none"/>
          <w:lang w:val="en-US" w:eastAsia="zh-CN"/>
        </w:rPr>
      </w:pPr>
      <w:r>
        <w:rPr>
          <w:rFonts w:hint="eastAsia" w:ascii="仿宋" w:hAnsi="仿宋" w:eastAsia="仿宋" w:cs="仿宋"/>
          <w:b/>
          <w:color w:val="auto"/>
          <w:kern w:val="1"/>
          <w:sz w:val="24"/>
          <w:szCs w:val="24"/>
          <w:highlight w:val="none"/>
          <w:lang w:val="en-US" w:eastAsia="zh-CN"/>
        </w:rPr>
        <w:t>一</w:t>
      </w:r>
    </w:p>
    <w:p w14:paraId="3174B38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auto"/>
          <w:sz w:val="24"/>
          <w:szCs w:val="24"/>
          <w:highlight w:val="none"/>
          <w:lang w:val="en-US" w:eastAsia="zh-CN"/>
        </w:rPr>
      </w:pPr>
      <w:bookmarkStart w:id="30" w:name="_Toc24743"/>
      <w:r>
        <w:rPr>
          <w:rFonts w:hint="eastAsia" w:ascii="仿宋" w:hAnsi="仿宋" w:eastAsia="仿宋" w:cs="仿宋"/>
          <w:b/>
          <w:color w:val="auto"/>
          <w:sz w:val="24"/>
          <w:szCs w:val="24"/>
          <w:highlight w:val="none"/>
          <w:lang w:val="en-US" w:eastAsia="zh-CN"/>
        </w:rPr>
        <w:t>一、评标办法及标准</w:t>
      </w:r>
    </w:p>
    <w:p w14:paraId="3361B21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1、评标方法：</w:t>
      </w:r>
    </w:p>
    <w:bookmarkEnd w:id="30"/>
    <w:p w14:paraId="79B49F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bookmarkStart w:id="31" w:name="_Toc29887"/>
      <w:bookmarkStart w:id="32" w:name="_Toc8096"/>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00431F8C">
      <w:pPr>
        <w:keepNext w:val="0"/>
        <w:keepLines w:val="0"/>
        <w:pageBreakBefore w:val="0"/>
        <w:widowControl w:val="0"/>
        <w:kinsoku/>
        <w:wordWrap/>
        <w:overflowPunct/>
        <w:topLinePunct w:val="0"/>
        <w:autoSpaceDE/>
        <w:autoSpaceDN/>
        <w:bidi w:val="0"/>
        <w:adjustRightInd w:val="0"/>
        <w:snapToGrid/>
        <w:spacing w:line="360" w:lineRule="auto"/>
        <w:ind w:firstLine="472" w:firstLineChars="196"/>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FCFEEDF">
      <w:pPr>
        <w:pStyle w:val="41"/>
        <w:pageBreakBefore w:val="0"/>
        <w:numPr>
          <w:ilvl w:val="0"/>
          <w:numId w:val="0"/>
        </w:numPr>
        <w:tabs>
          <w:tab w:val="left" w:pos="390"/>
          <w:tab w:val="left" w:pos="454"/>
          <w:tab w:val="left" w:pos="720"/>
          <w:tab w:val="left" w:pos="9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50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50 </w:t>
      </w:r>
      <w:r>
        <w:rPr>
          <w:rFonts w:hint="eastAsia" w:ascii="仿宋" w:hAnsi="仿宋" w:eastAsia="仿宋" w:cs="仿宋"/>
          <w:color w:val="auto"/>
          <w:sz w:val="24"/>
          <w:highlight w:val="none"/>
        </w:rPr>
        <w:t>分。评分依下述所列为评标打分依据，分值如下（计算分值时，按其算术平均值保留小数2位）。资信、技术分（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w:t>
      </w:r>
    </w:p>
    <w:tbl>
      <w:tblPr>
        <w:tblStyle w:val="25"/>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00"/>
        <w:gridCol w:w="5597"/>
        <w:gridCol w:w="934"/>
      </w:tblGrid>
      <w:tr w14:paraId="46CB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7" w:type="dxa"/>
            <w:tcBorders>
              <w:top w:val="single" w:color="auto" w:sz="4" w:space="0"/>
              <w:left w:val="single" w:color="auto" w:sz="4" w:space="0"/>
              <w:right w:val="single" w:color="auto" w:sz="4" w:space="0"/>
            </w:tcBorders>
            <w:shd w:val="clear" w:color="auto" w:fill="auto"/>
            <w:noWrap w:val="0"/>
            <w:vAlign w:val="center"/>
          </w:tcPr>
          <w:p w14:paraId="308347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200" w:type="dxa"/>
            <w:tcBorders>
              <w:top w:val="single" w:color="auto" w:sz="4" w:space="0"/>
              <w:left w:val="single" w:color="auto" w:sz="4" w:space="0"/>
              <w:right w:val="single" w:color="auto" w:sz="4" w:space="0"/>
            </w:tcBorders>
            <w:shd w:val="clear" w:color="auto" w:fill="auto"/>
            <w:noWrap w:val="0"/>
            <w:vAlign w:val="center"/>
          </w:tcPr>
          <w:p w14:paraId="411EB6B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评分项目</w:t>
            </w:r>
          </w:p>
        </w:tc>
        <w:tc>
          <w:tcPr>
            <w:tcW w:w="5597" w:type="dxa"/>
            <w:tcBorders>
              <w:top w:val="single" w:color="auto" w:sz="4" w:space="0"/>
              <w:left w:val="single" w:color="auto" w:sz="4" w:space="0"/>
              <w:right w:val="single" w:color="auto" w:sz="4" w:space="0"/>
            </w:tcBorders>
            <w:shd w:val="clear" w:color="auto" w:fill="FFFFFF"/>
            <w:noWrap w:val="0"/>
            <w:vAlign w:val="center"/>
          </w:tcPr>
          <w:p w14:paraId="3B8545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评分标准</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C125C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分值</w:t>
            </w:r>
          </w:p>
        </w:tc>
      </w:tr>
      <w:tr w14:paraId="49AE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47" w:type="dxa"/>
            <w:tcBorders>
              <w:top w:val="single" w:color="auto" w:sz="4" w:space="0"/>
              <w:left w:val="single" w:color="auto" w:sz="4" w:space="0"/>
              <w:right w:val="single" w:color="auto" w:sz="4" w:space="0"/>
            </w:tcBorders>
            <w:shd w:val="clear" w:color="auto" w:fill="auto"/>
            <w:noWrap w:val="0"/>
            <w:vAlign w:val="center"/>
          </w:tcPr>
          <w:p w14:paraId="3506FF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200" w:type="dxa"/>
            <w:tcBorders>
              <w:top w:val="single" w:color="auto" w:sz="4" w:space="0"/>
              <w:left w:val="single" w:color="auto" w:sz="4" w:space="0"/>
              <w:right w:val="single" w:color="auto" w:sz="4" w:space="0"/>
            </w:tcBorders>
            <w:shd w:val="clear" w:color="auto" w:fill="auto"/>
            <w:noWrap w:val="0"/>
            <w:vAlign w:val="center"/>
          </w:tcPr>
          <w:p w14:paraId="5397BC5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1"/>
                <w:sz w:val="24"/>
                <w:highlight w:val="none"/>
                <w:lang w:val="en-US" w:eastAsia="zh-CN" w:bidi="ar-SA"/>
              </w:rPr>
            </w:pPr>
            <w:r>
              <w:rPr>
                <w:rFonts w:hint="eastAsia" w:ascii="仿宋" w:hAnsi="仿宋" w:eastAsia="仿宋" w:cs="仿宋"/>
                <w:color w:val="auto"/>
                <w:sz w:val="24"/>
                <w:highlight w:val="none"/>
              </w:rPr>
              <w:t>基本情况</w:t>
            </w:r>
          </w:p>
        </w:tc>
        <w:tc>
          <w:tcPr>
            <w:tcW w:w="5597" w:type="dxa"/>
            <w:tcBorders>
              <w:top w:val="single" w:color="auto" w:sz="4" w:space="0"/>
              <w:left w:val="single" w:color="auto" w:sz="4" w:space="0"/>
              <w:right w:val="single" w:color="auto" w:sz="4" w:space="0"/>
            </w:tcBorders>
            <w:shd w:val="clear" w:color="auto" w:fill="FFFFFF"/>
            <w:noWrap w:val="0"/>
            <w:vAlign w:val="center"/>
          </w:tcPr>
          <w:p w14:paraId="16F748A6">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1"/>
                <w:sz w:val="24"/>
                <w:highlight w:val="none"/>
                <w:lang w:val="en-US" w:eastAsia="zh-CN" w:bidi="ar-SA"/>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投标人的实力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对其主要产品、技术力量</w:t>
            </w:r>
            <w:r>
              <w:rPr>
                <w:rFonts w:hint="eastAsia" w:ascii="仿宋" w:hAnsi="仿宋" w:eastAsia="仿宋" w:cs="仿宋"/>
                <w:color w:val="auto"/>
                <w:sz w:val="24"/>
                <w:highlight w:val="none"/>
                <w:lang w:val="en-US" w:eastAsia="zh-CN"/>
              </w:rPr>
              <w:t>等；0-3分</w:t>
            </w:r>
            <w:r>
              <w:rPr>
                <w:rFonts w:hint="eastAsia" w:ascii="仿宋" w:hAnsi="仿宋" w:eastAsia="仿宋" w:cs="仿宋"/>
                <w:color w:val="auto"/>
                <w:sz w:val="24"/>
                <w:highlight w:val="none"/>
              </w:rPr>
              <w:t>。</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C5099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1"/>
                <w:sz w:val="24"/>
                <w:highlight w:val="none"/>
                <w:lang w:val="en-US" w:eastAsia="zh-CN" w:bidi="ar-SA"/>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r>
      <w:tr w14:paraId="7993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747" w:type="dxa"/>
            <w:vMerge w:val="restart"/>
            <w:tcBorders>
              <w:top w:val="single" w:color="auto" w:sz="4" w:space="0"/>
              <w:left w:val="single" w:color="auto" w:sz="4" w:space="0"/>
              <w:right w:val="single" w:color="auto" w:sz="4" w:space="0"/>
            </w:tcBorders>
            <w:shd w:val="clear" w:color="auto" w:fill="auto"/>
            <w:noWrap w:val="0"/>
            <w:vAlign w:val="center"/>
          </w:tcPr>
          <w:p w14:paraId="3CF896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200" w:type="dxa"/>
            <w:vMerge w:val="restart"/>
            <w:tcBorders>
              <w:top w:val="single" w:color="auto" w:sz="4" w:space="0"/>
              <w:left w:val="single" w:color="auto" w:sz="4" w:space="0"/>
              <w:right w:val="single" w:color="auto" w:sz="4" w:space="0"/>
            </w:tcBorders>
            <w:shd w:val="clear" w:color="auto" w:fill="auto"/>
            <w:noWrap w:val="0"/>
            <w:vAlign w:val="center"/>
          </w:tcPr>
          <w:p w14:paraId="4B9B43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资质证书</w:t>
            </w:r>
          </w:p>
        </w:tc>
        <w:tc>
          <w:tcPr>
            <w:tcW w:w="5597" w:type="dxa"/>
            <w:tcBorders>
              <w:top w:val="single" w:color="auto" w:sz="4" w:space="0"/>
              <w:left w:val="single" w:color="auto" w:sz="4" w:space="0"/>
              <w:right w:val="single" w:color="auto" w:sz="4" w:space="0"/>
            </w:tcBorders>
            <w:shd w:val="clear" w:color="auto" w:fill="FFFFFF"/>
            <w:noWrap w:val="0"/>
            <w:vAlign w:val="center"/>
          </w:tcPr>
          <w:p w14:paraId="4B1006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投标人提供ISO9001质量管理体系、ISO14001环境管理体系、GB/T28001职业健康安全管理体系，且认证范围须包括成套无负压供水设备，每提供一份得1分，最高得3分。</w:t>
            </w:r>
          </w:p>
          <w:p w14:paraId="78A3D8C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none"/>
                <w:lang w:val="en-US" w:eastAsia="zh-CN"/>
              </w:rPr>
              <w:t>注：证书在有效期内，证书扫描件加盖单位CA公章。</w:t>
            </w:r>
          </w:p>
        </w:tc>
        <w:tc>
          <w:tcPr>
            <w:tcW w:w="9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41BC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3分</w:t>
            </w:r>
          </w:p>
        </w:tc>
      </w:tr>
      <w:tr w14:paraId="580A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7" w:type="dxa"/>
            <w:vMerge w:val="continue"/>
            <w:tcBorders>
              <w:left w:val="single" w:color="auto" w:sz="4" w:space="0"/>
              <w:right w:val="single" w:color="auto" w:sz="4" w:space="0"/>
            </w:tcBorders>
            <w:noWrap w:val="0"/>
            <w:vAlign w:val="center"/>
          </w:tcPr>
          <w:p w14:paraId="3EFA16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200" w:type="dxa"/>
            <w:vMerge w:val="continue"/>
            <w:tcBorders>
              <w:left w:val="single" w:color="auto" w:sz="4" w:space="0"/>
              <w:right w:val="single" w:color="auto" w:sz="4" w:space="0"/>
            </w:tcBorders>
            <w:noWrap w:val="0"/>
            <w:vAlign w:val="center"/>
          </w:tcPr>
          <w:p w14:paraId="72A9E8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5597" w:type="dxa"/>
            <w:tcBorders>
              <w:top w:val="single" w:color="auto" w:sz="4" w:space="0"/>
              <w:left w:val="single" w:color="auto" w:sz="4" w:space="0"/>
              <w:right w:val="single" w:color="auto" w:sz="4" w:space="0"/>
            </w:tcBorders>
            <w:noWrap w:val="0"/>
            <w:vAlign w:val="center"/>
          </w:tcPr>
          <w:p w14:paraId="6A853F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u w:val="none"/>
                <w:lang w:val="en-US" w:eastAsia="zh-CN"/>
              </w:rPr>
              <w:t>投标人具有</w:t>
            </w:r>
            <w:r>
              <w:rPr>
                <w:rFonts w:hint="eastAsia" w:ascii="仿宋" w:hAnsi="仿宋" w:eastAsia="仿宋" w:cs="仿宋"/>
                <w:color w:val="auto"/>
                <w:sz w:val="24"/>
                <w:szCs w:val="24"/>
                <w:highlight w:val="none"/>
                <w:vertAlign w:val="baseline"/>
                <w:lang w:val="en-US" w:eastAsia="zh-CN"/>
              </w:rPr>
              <w:t>环保产品认证证书的得1分。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34FE1F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1分</w:t>
            </w:r>
          </w:p>
        </w:tc>
      </w:tr>
      <w:tr w14:paraId="24FC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47" w:type="dxa"/>
            <w:vMerge w:val="restart"/>
            <w:tcBorders>
              <w:left w:val="single" w:color="auto" w:sz="4" w:space="0"/>
              <w:right w:val="single" w:color="auto" w:sz="4" w:space="0"/>
            </w:tcBorders>
            <w:noWrap w:val="0"/>
            <w:vAlign w:val="center"/>
          </w:tcPr>
          <w:p w14:paraId="06B464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200" w:type="dxa"/>
            <w:vMerge w:val="restart"/>
            <w:tcBorders>
              <w:left w:val="single" w:color="auto" w:sz="4" w:space="0"/>
              <w:right w:val="single" w:color="auto" w:sz="4" w:space="0"/>
            </w:tcBorders>
            <w:noWrap w:val="0"/>
            <w:vAlign w:val="center"/>
          </w:tcPr>
          <w:p w14:paraId="52BAD23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highlight w:val="none"/>
              </w:rPr>
              <w:t>检测报告</w:t>
            </w:r>
          </w:p>
        </w:tc>
        <w:tc>
          <w:tcPr>
            <w:tcW w:w="5597" w:type="dxa"/>
            <w:tcBorders>
              <w:top w:val="single" w:color="auto" w:sz="4" w:space="0"/>
              <w:left w:val="single" w:color="auto" w:sz="4" w:space="0"/>
              <w:bottom w:val="single" w:color="auto" w:sz="4" w:space="0"/>
              <w:right w:val="single" w:color="auto" w:sz="4" w:space="0"/>
            </w:tcBorders>
            <w:noWrap w:val="0"/>
            <w:vAlign w:val="center"/>
          </w:tcPr>
          <w:p w14:paraId="33C5D0F4">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所投产品(水泵)具有 2022年1月1日之后</w:t>
            </w:r>
            <w:r>
              <w:rPr>
                <w:rFonts w:hint="eastAsia" w:ascii="仿宋" w:hAnsi="仿宋" w:eastAsia="仿宋" w:cs="仿宋"/>
                <w:color w:val="auto"/>
                <w:sz w:val="24"/>
                <w:highlight w:val="none"/>
              </w:rPr>
              <w:t>CMA 和 CNAS的检测报告</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得1分</w:t>
            </w:r>
            <w:r>
              <w:rPr>
                <w:rFonts w:hint="eastAsia" w:ascii="仿宋" w:hAnsi="仿宋" w:eastAsia="仿宋" w:cs="仿宋"/>
                <w:color w:val="auto"/>
                <w:sz w:val="24"/>
                <w:highlight w:val="none"/>
                <w:lang w:val="en-US" w:eastAsia="zh-CN"/>
              </w:rPr>
              <w:t>。</w:t>
            </w:r>
          </w:p>
          <w:p w14:paraId="2C6FA102">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color w:val="auto"/>
                <w:highlight w:val="none"/>
                <w:lang w:eastAsia="zh-CN"/>
              </w:rPr>
            </w:pPr>
            <w:r>
              <w:rPr>
                <w:rFonts w:hint="eastAsia" w:ascii="仿宋" w:hAnsi="仿宋" w:eastAsia="仿宋" w:cs="仿宋"/>
                <w:color w:val="auto"/>
                <w:sz w:val="24"/>
                <w:highlight w:val="none"/>
                <w:lang w:val="en-US" w:eastAsia="zh-CN"/>
              </w:rPr>
              <w:t>注：扫描件加盖单位CA公章。</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30795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1分</w:t>
            </w:r>
          </w:p>
        </w:tc>
      </w:tr>
      <w:tr w14:paraId="464E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7" w:type="dxa"/>
            <w:vMerge w:val="continue"/>
            <w:tcBorders>
              <w:left w:val="single" w:color="auto" w:sz="4" w:space="0"/>
              <w:right w:val="single" w:color="auto" w:sz="4" w:space="0"/>
            </w:tcBorders>
            <w:noWrap w:val="0"/>
            <w:vAlign w:val="center"/>
          </w:tcPr>
          <w:p w14:paraId="0B410BB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200" w:type="dxa"/>
            <w:vMerge w:val="continue"/>
            <w:tcBorders>
              <w:left w:val="single" w:color="auto" w:sz="4" w:space="0"/>
              <w:right w:val="single" w:color="auto" w:sz="4" w:space="0"/>
            </w:tcBorders>
            <w:noWrap w:val="0"/>
            <w:vAlign w:val="center"/>
          </w:tcPr>
          <w:p w14:paraId="12F7E3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eastAsia="zh-CN"/>
              </w:rPr>
            </w:pPr>
          </w:p>
        </w:tc>
        <w:tc>
          <w:tcPr>
            <w:tcW w:w="5597" w:type="dxa"/>
            <w:tcBorders>
              <w:top w:val="single" w:color="auto" w:sz="4" w:space="0"/>
              <w:left w:val="single" w:color="auto" w:sz="4" w:space="0"/>
              <w:bottom w:val="single" w:color="auto" w:sz="4" w:space="0"/>
              <w:right w:val="single" w:color="auto" w:sz="4" w:space="0"/>
            </w:tcBorders>
            <w:noWrap w:val="0"/>
            <w:vAlign w:val="center"/>
          </w:tcPr>
          <w:p w14:paraId="4D7907A7">
            <w:pPr>
              <w:pStyle w:val="30"/>
              <w:pageBreakBefore w:val="0"/>
              <w:kinsoku/>
              <w:overflowPunct/>
              <w:topLinePunct w:val="0"/>
              <w:bidi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投标人所投产品(泵船)具有 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月1日之后</w:t>
            </w:r>
            <w:r>
              <w:rPr>
                <w:rFonts w:hint="eastAsia" w:ascii="仿宋" w:hAnsi="仿宋" w:eastAsia="仿宋" w:cs="仿宋"/>
                <w:color w:val="auto"/>
                <w:sz w:val="24"/>
                <w:highlight w:val="none"/>
                <w:lang w:val="en-US" w:eastAsia="zh-CN"/>
              </w:rPr>
              <w:t>CMA或CNAS认证的</w:t>
            </w:r>
            <w:r>
              <w:rPr>
                <w:rFonts w:hint="eastAsia" w:ascii="仿宋" w:hAnsi="仿宋" w:eastAsia="仿宋" w:cs="仿宋"/>
                <w:color w:val="auto"/>
                <w:sz w:val="24"/>
                <w:highlight w:val="none"/>
              </w:rPr>
              <w:t>检测报告</w:t>
            </w:r>
            <w:r>
              <w:rPr>
                <w:rFonts w:hint="eastAsia" w:ascii="仿宋" w:hAnsi="仿宋" w:eastAsia="仿宋" w:cs="仿宋"/>
                <w:color w:val="auto"/>
                <w:sz w:val="24"/>
                <w:highlight w:val="none"/>
                <w:lang w:val="en-US" w:eastAsia="zh-CN"/>
              </w:rPr>
              <w:t>：</w:t>
            </w:r>
          </w:p>
          <w:p w14:paraId="081FF9A8">
            <w:pPr>
              <w:pageBreakBefore w:val="0"/>
              <w:widowControl w:val="0"/>
              <w:kinsoku/>
              <w:overflowPunct/>
              <w:topLinePunct w:val="0"/>
              <w:autoSpaceDE w:val="0"/>
              <w:autoSpaceDN w:val="0"/>
              <w:bidi w:val="0"/>
              <w:adjustRightInd w:val="0"/>
              <w:spacing w:line="360" w:lineRule="auto"/>
              <w:rPr>
                <w:rFonts w:hint="eastAsia" w:ascii="宋体" w:hAnsi="宋体" w:eastAsia="仿宋_GB2312" w:cs="仿宋_GB2312"/>
                <w:bCs/>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内容包含</w:t>
            </w:r>
            <w:r>
              <w:rPr>
                <w:rFonts w:hint="eastAsia" w:ascii="宋体" w:hAnsi="宋体" w:eastAsia="仿宋_GB2312" w:cs="仿宋_GB2312"/>
                <w:bCs/>
                <w:color w:val="auto"/>
                <w:sz w:val="24"/>
                <w:szCs w:val="24"/>
                <w:highlight w:val="none"/>
                <w:lang w:val="en-US" w:eastAsia="zh-CN" w:bidi="ar-SA"/>
              </w:rPr>
              <w:t>在“稳性衡准系数”上，稳性衡准系数≥1.5的，得1分；</w:t>
            </w:r>
          </w:p>
          <w:p w14:paraId="7734211F">
            <w:pPr>
              <w:pageBreakBefore w:val="0"/>
              <w:widowControl w:val="0"/>
              <w:kinsoku/>
              <w:overflowPunct/>
              <w:topLinePunct w:val="0"/>
              <w:autoSpaceDE w:val="0"/>
              <w:autoSpaceDN w:val="0"/>
              <w:bidi w:val="0"/>
              <w:adjustRightInd w:val="0"/>
              <w:spacing w:line="360" w:lineRule="auto"/>
              <w:rPr>
                <w:rFonts w:hint="default" w:ascii="宋体" w:hAnsi="宋体" w:eastAsia="仿宋_GB2312" w:cs="仿宋_GB2312"/>
                <w:bCs/>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内容包含</w:t>
            </w:r>
            <w:r>
              <w:rPr>
                <w:rFonts w:hint="eastAsia" w:ascii="宋体" w:hAnsi="宋体" w:eastAsia="仿宋_GB2312" w:cs="仿宋_GB2312"/>
                <w:bCs/>
                <w:color w:val="auto"/>
                <w:sz w:val="24"/>
                <w:szCs w:val="24"/>
                <w:highlight w:val="none"/>
                <w:lang w:val="en-US" w:eastAsia="zh-CN" w:bidi="ar-SA"/>
              </w:rPr>
              <w:t>泵船焊缝，接头基本型式和尺寸应符合GB/T 985.1的规定，表面及热影响区不得有裂纹、气孔、弧坑或夹渣等缺陷的得1分；</w:t>
            </w:r>
          </w:p>
          <w:p w14:paraId="160758D1">
            <w:pPr>
              <w:pageBreakBefore w:val="0"/>
              <w:widowControl w:val="0"/>
              <w:kinsoku/>
              <w:overflowPunct/>
              <w:topLinePunct w:val="0"/>
              <w:autoSpaceDE w:val="0"/>
              <w:autoSpaceDN w:val="0"/>
              <w:bidi w:val="0"/>
              <w:adjustRightInd w:val="0"/>
              <w:spacing w:line="360" w:lineRule="auto"/>
              <w:rPr>
                <w:rFonts w:hint="default" w:ascii="宋体" w:hAnsi="宋体" w:eastAsia="仿宋_GB2312" w:cs="仿宋_GB2312"/>
                <w:bCs/>
                <w:color w:val="auto"/>
                <w:sz w:val="24"/>
                <w:szCs w:val="24"/>
                <w:highlight w:val="none"/>
                <w:lang w:val="en-US" w:eastAsia="zh-CN" w:bidi="ar-SA"/>
              </w:rPr>
            </w:pPr>
            <w:r>
              <w:rPr>
                <w:rFonts w:hint="eastAsia" w:ascii="宋体" w:hAnsi="宋体" w:eastAsia="仿宋_GB2312" w:cs="仿宋_GB2312"/>
                <w:bCs/>
                <w:color w:val="auto"/>
                <w:sz w:val="24"/>
                <w:szCs w:val="24"/>
                <w:highlight w:val="none"/>
                <w:lang w:val="en-US" w:eastAsia="zh-CN" w:bidi="ar-SA"/>
              </w:rPr>
              <w:t>内容包含防腐，预处理按SY/T 0407中除锈等级st2级的规定进行，内、外表面应涂2道底漆，喷涂2道面漆的，得1分；</w:t>
            </w:r>
          </w:p>
          <w:p w14:paraId="1952B549">
            <w:pPr>
              <w:pageBreakBefore w:val="0"/>
              <w:widowControl w:val="0"/>
              <w:kinsoku/>
              <w:overflowPunct/>
              <w:topLinePunct w:val="0"/>
              <w:autoSpaceDE w:val="0"/>
              <w:autoSpaceDN w:val="0"/>
              <w:bidi w:val="0"/>
              <w:adjustRightInd w:val="0"/>
              <w:spacing w:line="360" w:lineRule="auto"/>
              <w:rPr>
                <w:rFonts w:hint="default" w:ascii="宋体" w:hAnsi="宋体" w:eastAsia="仿宋_GB2312" w:cs="仿宋_GB2312"/>
                <w:bCs/>
                <w:color w:val="auto"/>
                <w:sz w:val="24"/>
                <w:szCs w:val="24"/>
                <w:highlight w:val="none"/>
                <w:lang w:val="en-US" w:eastAsia="zh-CN" w:bidi="ar-SA"/>
              </w:rPr>
            </w:pPr>
            <w:r>
              <w:rPr>
                <w:rFonts w:hint="eastAsia" w:ascii="宋体" w:hAnsi="宋体" w:eastAsia="仿宋_GB2312" w:cs="仿宋_GB2312"/>
                <w:bCs/>
                <w:color w:val="auto"/>
                <w:sz w:val="24"/>
                <w:szCs w:val="24"/>
                <w:highlight w:val="none"/>
                <w:lang w:val="en-US" w:eastAsia="zh-CN" w:bidi="ar-SA"/>
              </w:rPr>
              <w:t>内容包含耐压，电气控制柜应能承受2000V、50Hz，1min的耐压试验的，得1分；</w:t>
            </w:r>
          </w:p>
          <w:p w14:paraId="46DECB58">
            <w:pPr>
              <w:pageBreakBefore w:val="0"/>
              <w:widowControl w:val="0"/>
              <w:kinsoku/>
              <w:overflowPunct/>
              <w:topLinePunct w:val="0"/>
              <w:autoSpaceDE w:val="0"/>
              <w:autoSpaceDN w:val="0"/>
              <w:bidi w:val="0"/>
              <w:adjustRightInd w:val="0"/>
              <w:spacing w:line="360" w:lineRule="auto"/>
              <w:rPr>
                <w:rFonts w:hint="eastAsia" w:ascii="仿宋_GB2312" w:hAnsi="Times New Roman" w:eastAsia="仿宋_GB2312" w:cs="仿宋_GB2312"/>
                <w:color w:val="auto"/>
                <w:sz w:val="24"/>
                <w:szCs w:val="24"/>
                <w:highlight w:val="none"/>
                <w:lang w:val="en-US" w:eastAsia="zh-CN" w:bidi="ar-SA"/>
              </w:rPr>
            </w:pPr>
            <w:r>
              <w:rPr>
                <w:rFonts w:hint="eastAsia" w:ascii="宋体" w:hAnsi="宋体" w:eastAsia="仿宋_GB2312" w:cs="仿宋_GB2312"/>
                <w:bCs/>
                <w:color w:val="auto"/>
                <w:sz w:val="24"/>
                <w:szCs w:val="24"/>
                <w:highlight w:val="none"/>
                <w:lang w:val="en-US" w:eastAsia="zh-CN" w:bidi="ar-SA"/>
              </w:rPr>
              <w:t>内容包含噪声，在正常运转条件下，处理装置噪声声压级不得超过70dB（A）的得1分。</w:t>
            </w:r>
          </w:p>
          <w:p w14:paraId="208EC2A9">
            <w:pPr>
              <w:pStyle w:val="30"/>
              <w:pageBreakBefore w:val="0"/>
              <w:kinsoku/>
              <w:overflowPunct/>
              <w:topLinePunct w:val="0"/>
              <w:bidi w:val="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w:t>
            </w:r>
            <w:r>
              <w:rPr>
                <w:rFonts w:hint="eastAsia" w:ascii="仿宋" w:hAnsi="仿宋" w:eastAsia="仿宋" w:cs="仿宋"/>
                <w:color w:val="auto"/>
                <w:sz w:val="24"/>
                <w:szCs w:val="24"/>
                <w:highlight w:val="none"/>
                <w:u w:val="none"/>
                <w:lang w:val="en-US" w:eastAsia="zh-CN"/>
              </w:rPr>
              <w:t>扫描件加盖单位CA公章。</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E75B1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5分</w:t>
            </w:r>
          </w:p>
        </w:tc>
      </w:tr>
      <w:tr w14:paraId="2A0C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47" w:type="dxa"/>
            <w:tcBorders>
              <w:left w:val="single" w:color="auto" w:sz="4" w:space="0"/>
              <w:right w:val="single" w:color="auto" w:sz="4" w:space="0"/>
            </w:tcBorders>
            <w:noWrap w:val="0"/>
            <w:vAlign w:val="center"/>
          </w:tcPr>
          <w:p w14:paraId="4C23C9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200" w:type="dxa"/>
            <w:tcBorders>
              <w:left w:val="single" w:color="auto" w:sz="4" w:space="0"/>
              <w:right w:val="single" w:color="auto" w:sz="4" w:space="0"/>
            </w:tcBorders>
            <w:noWrap w:val="0"/>
            <w:vAlign w:val="center"/>
          </w:tcPr>
          <w:p w14:paraId="631D661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投标产品技术性能</w:t>
            </w:r>
          </w:p>
        </w:tc>
        <w:tc>
          <w:tcPr>
            <w:tcW w:w="5597" w:type="dxa"/>
            <w:tcBorders>
              <w:top w:val="single" w:color="auto" w:sz="4" w:space="0"/>
              <w:left w:val="single" w:color="auto" w:sz="4" w:space="0"/>
              <w:right w:val="single" w:color="auto" w:sz="4" w:space="0"/>
            </w:tcBorders>
            <w:noWrap w:val="0"/>
            <w:vAlign w:val="center"/>
          </w:tcPr>
          <w:p w14:paraId="1AD23958">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根据投标人提供的所投产品的先进性、稳定性、品牌响应程度等情况进行评分。</w:t>
            </w:r>
          </w:p>
          <w:p w14:paraId="3C2FE1B9">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①先进性（0-2分）；</w:t>
            </w:r>
          </w:p>
          <w:p w14:paraId="651A3F1B">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②稳定性（0-2分）；</w:t>
            </w:r>
          </w:p>
          <w:p w14:paraId="6A063943">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③品牌响应程度（0-2分）。</w:t>
            </w:r>
          </w:p>
          <w:p w14:paraId="6E0B5306">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u w:val="none"/>
                <w:lang w:val="en-US" w:eastAsia="zh-CN"/>
              </w:rPr>
              <w:t>需提供所投产品生产厂家的证明材料，证明材料不限于品牌授权书、产品性能等资料。</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2F262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6分</w:t>
            </w:r>
          </w:p>
        </w:tc>
      </w:tr>
      <w:tr w14:paraId="05B8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747" w:type="dxa"/>
            <w:tcBorders>
              <w:left w:val="single" w:color="auto" w:sz="4" w:space="0"/>
              <w:right w:val="single" w:color="auto" w:sz="4" w:space="0"/>
            </w:tcBorders>
            <w:noWrap w:val="0"/>
            <w:vAlign w:val="center"/>
          </w:tcPr>
          <w:p w14:paraId="09362B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1200" w:type="dxa"/>
            <w:tcBorders>
              <w:left w:val="single" w:color="auto" w:sz="4" w:space="0"/>
              <w:right w:val="single" w:color="auto" w:sz="4" w:space="0"/>
            </w:tcBorders>
            <w:noWrap w:val="0"/>
            <w:vAlign w:val="center"/>
          </w:tcPr>
          <w:p w14:paraId="42BAC79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highlight w:val="none"/>
              </w:rPr>
              <w:t>同类业绩</w:t>
            </w:r>
          </w:p>
        </w:tc>
        <w:tc>
          <w:tcPr>
            <w:tcW w:w="5597" w:type="dxa"/>
            <w:tcBorders>
              <w:top w:val="single" w:color="auto" w:sz="4" w:space="0"/>
              <w:left w:val="single" w:color="auto" w:sz="4" w:space="0"/>
              <w:right w:val="single" w:color="auto" w:sz="4" w:space="0"/>
            </w:tcBorders>
            <w:noWrap w:val="0"/>
            <w:vAlign w:val="center"/>
          </w:tcPr>
          <w:p w14:paraId="6CCE737B">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月1日至今</w:t>
            </w:r>
            <w:r>
              <w:rPr>
                <w:rFonts w:hint="eastAsia" w:ascii="仿宋" w:hAnsi="仿宋" w:eastAsia="仿宋" w:cs="仿宋"/>
                <w:color w:val="auto"/>
                <w:sz w:val="24"/>
                <w:highlight w:val="none"/>
                <w:lang w:eastAsia="zh-CN"/>
              </w:rPr>
              <w:t>泵船成套设备</w:t>
            </w:r>
            <w:r>
              <w:rPr>
                <w:rFonts w:hint="eastAsia" w:ascii="仿宋" w:hAnsi="仿宋" w:eastAsia="仿宋" w:cs="仿宋"/>
                <w:color w:val="auto"/>
                <w:sz w:val="24"/>
                <w:highlight w:val="none"/>
              </w:rPr>
              <w:t>项目，每个合同得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030A39DD">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中标通知书、</w:t>
            </w: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val="en-US" w:eastAsia="zh-CN"/>
              </w:rPr>
              <w:t>扫描件、发票或其他供货证明扫描件并加盖CA公章。</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8F112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3分</w:t>
            </w:r>
          </w:p>
        </w:tc>
      </w:tr>
      <w:tr w14:paraId="3E6D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747" w:type="dxa"/>
            <w:vMerge w:val="restart"/>
            <w:tcBorders>
              <w:left w:val="single" w:color="auto" w:sz="4" w:space="0"/>
              <w:right w:val="single" w:color="auto" w:sz="4" w:space="0"/>
            </w:tcBorders>
            <w:shd w:val="clear" w:color="auto" w:fill="auto"/>
            <w:noWrap w:val="0"/>
            <w:vAlign w:val="center"/>
          </w:tcPr>
          <w:p w14:paraId="1A076A6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p w14:paraId="4B8AF6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200" w:type="dxa"/>
            <w:vMerge w:val="restart"/>
            <w:tcBorders>
              <w:left w:val="single" w:color="auto" w:sz="4" w:space="0"/>
              <w:right w:val="single" w:color="auto" w:sz="4" w:space="0"/>
            </w:tcBorders>
            <w:noWrap w:val="0"/>
            <w:vAlign w:val="center"/>
          </w:tcPr>
          <w:p w14:paraId="69D1421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拟投入的人员</w:t>
            </w:r>
          </w:p>
        </w:tc>
        <w:tc>
          <w:tcPr>
            <w:tcW w:w="5597" w:type="dxa"/>
            <w:tcBorders>
              <w:top w:val="single" w:color="auto" w:sz="4" w:space="0"/>
              <w:left w:val="single" w:color="auto" w:sz="4" w:space="0"/>
              <w:right w:val="single" w:color="auto" w:sz="4" w:space="0"/>
            </w:tcBorders>
            <w:noWrap w:val="0"/>
            <w:vAlign w:val="center"/>
          </w:tcPr>
          <w:p w14:paraId="037535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投标人拟派项目负责人具有市政公用工程或机电工程专业一级建造师执业资格证书且具有安全生产考核合格证书的得1分，具有市政公用工程或机电工程专业二级建造师执业资格证书且具有安全生产考核合格证书的的得0.5分；（注册证书按最高等级计取，不重复计取）</w:t>
            </w:r>
          </w:p>
          <w:p w14:paraId="23099702">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注：以上人员需提供开标前3个月的社保证明，证书扫描件并加盖CA公章。</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D5B97C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1分</w:t>
            </w:r>
          </w:p>
        </w:tc>
      </w:tr>
      <w:tr w14:paraId="3DCF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747" w:type="dxa"/>
            <w:vMerge w:val="continue"/>
            <w:tcBorders>
              <w:left w:val="single" w:color="auto" w:sz="4" w:space="0"/>
              <w:right w:val="single" w:color="auto" w:sz="4" w:space="0"/>
            </w:tcBorders>
            <w:shd w:val="clear" w:color="auto" w:fill="auto"/>
            <w:noWrap w:val="0"/>
            <w:vAlign w:val="center"/>
          </w:tcPr>
          <w:p w14:paraId="50D51FF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p>
        </w:tc>
        <w:tc>
          <w:tcPr>
            <w:tcW w:w="1200" w:type="dxa"/>
            <w:vMerge w:val="continue"/>
            <w:tcBorders>
              <w:left w:val="single" w:color="auto" w:sz="4" w:space="0"/>
              <w:right w:val="single" w:color="auto" w:sz="4" w:space="0"/>
            </w:tcBorders>
            <w:noWrap w:val="0"/>
            <w:vAlign w:val="center"/>
          </w:tcPr>
          <w:p w14:paraId="737E7D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pPr>
          </w:p>
        </w:tc>
        <w:tc>
          <w:tcPr>
            <w:tcW w:w="5597" w:type="dxa"/>
            <w:tcBorders>
              <w:top w:val="single" w:color="auto" w:sz="4" w:space="0"/>
              <w:left w:val="single" w:color="auto" w:sz="4" w:space="0"/>
              <w:right w:val="single" w:color="auto" w:sz="4" w:space="0"/>
            </w:tcBorders>
            <w:noWrap w:val="0"/>
            <w:vAlign w:val="center"/>
          </w:tcPr>
          <w:p w14:paraId="4618DC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根据拟投入项目管理人员配备方案（含项目技术负责人等）、岗位安排、专业能力（资格证书、职称证书）、人员数量、人员从业经验等情况进行评分0-3分。</w:t>
            </w:r>
          </w:p>
          <w:p w14:paraId="32ACDF4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注：以上人员需提供开标前3个月的社保证明，证书扫描件并加盖CA公章。</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6BAD4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r>
      <w:tr w14:paraId="51BD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747" w:type="dxa"/>
            <w:tcBorders>
              <w:left w:val="single" w:color="auto" w:sz="4" w:space="0"/>
              <w:right w:val="single" w:color="auto" w:sz="4" w:space="0"/>
            </w:tcBorders>
            <w:shd w:val="clear" w:color="auto" w:fill="auto"/>
            <w:noWrap w:val="0"/>
            <w:vAlign w:val="center"/>
          </w:tcPr>
          <w:p w14:paraId="66CD2E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7</w:t>
            </w:r>
          </w:p>
        </w:tc>
        <w:tc>
          <w:tcPr>
            <w:tcW w:w="1200" w:type="dxa"/>
            <w:tcBorders>
              <w:left w:val="single" w:color="auto" w:sz="4" w:space="0"/>
              <w:right w:val="single" w:color="auto" w:sz="4" w:space="0"/>
            </w:tcBorders>
            <w:noWrap w:val="0"/>
            <w:vAlign w:val="center"/>
          </w:tcPr>
          <w:p w14:paraId="0226784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项目实施方案</w:t>
            </w:r>
          </w:p>
        </w:tc>
        <w:tc>
          <w:tcPr>
            <w:tcW w:w="5597" w:type="dxa"/>
            <w:tcBorders>
              <w:left w:val="single" w:color="auto" w:sz="4" w:space="0"/>
              <w:right w:val="single" w:color="auto" w:sz="4" w:space="0"/>
            </w:tcBorders>
            <w:noWrap w:val="0"/>
            <w:vAlign w:val="center"/>
          </w:tcPr>
          <w:p w14:paraId="66117CE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根据投标人提供的项目实施方案，包括产品生产或备货进度、质量控制管理、成品保护措施等进行评审打分：</w:t>
            </w:r>
          </w:p>
          <w:p w14:paraId="69DE808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①产品生产或备货进度（0-2分）；</w:t>
            </w:r>
          </w:p>
          <w:p w14:paraId="71FAFCD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②质量控制管理（针对取水泵船、水泵、船用活络接头等方面的质量保证）（0-3分）；</w:t>
            </w:r>
          </w:p>
          <w:p w14:paraId="1E7AB03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③成品保护措施（0-1分）。</w:t>
            </w:r>
          </w:p>
        </w:tc>
        <w:tc>
          <w:tcPr>
            <w:tcW w:w="934" w:type="dxa"/>
            <w:tcBorders>
              <w:top w:val="single" w:color="auto" w:sz="4" w:space="0"/>
              <w:left w:val="single" w:color="auto" w:sz="4" w:space="0"/>
              <w:right w:val="single" w:color="auto" w:sz="4" w:space="0"/>
            </w:tcBorders>
            <w:noWrap w:val="0"/>
            <w:vAlign w:val="center"/>
          </w:tcPr>
          <w:p w14:paraId="44BA96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6分</w:t>
            </w:r>
          </w:p>
        </w:tc>
      </w:tr>
      <w:tr w14:paraId="2C03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trPr>
        <w:tc>
          <w:tcPr>
            <w:tcW w:w="747" w:type="dxa"/>
            <w:tcBorders>
              <w:left w:val="single" w:color="auto" w:sz="4" w:space="0"/>
              <w:right w:val="single" w:color="auto" w:sz="4" w:space="0"/>
            </w:tcBorders>
            <w:shd w:val="clear" w:color="auto" w:fill="auto"/>
            <w:noWrap w:val="0"/>
            <w:vAlign w:val="center"/>
          </w:tcPr>
          <w:p w14:paraId="672C24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8</w:t>
            </w:r>
          </w:p>
        </w:tc>
        <w:tc>
          <w:tcPr>
            <w:tcW w:w="1200" w:type="dxa"/>
            <w:tcBorders>
              <w:left w:val="single" w:color="auto" w:sz="4" w:space="0"/>
              <w:right w:val="single" w:color="auto" w:sz="4" w:space="0"/>
            </w:tcBorders>
            <w:noWrap w:val="0"/>
            <w:vAlign w:val="center"/>
          </w:tcPr>
          <w:p w14:paraId="0ED66FE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highlight w:val="none"/>
                <w:lang w:val="en-US" w:eastAsia="zh-CN"/>
              </w:rPr>
              <w:t>安装、调试、验收的方案和措施</w:t>
            </w:r>
          </w:p>
        </w:tc>
        <w:tc>
          <w:tcPr>
            <w:tcW w:w="5597" w:type="dxa"/>
            <w:tcBorders>
              <w:left w:val="single" w:color="auto" w:sz="4" w:space="0"/>
              <w:right w:val="single" w:color="auto" w:sz="4" w:space="0"/>
            </w:tcBorders>
            <w:noWrap w:val="0"/>
            <w:vAlign w:val="center"/>
          </w:tcPr>
          <w:p w14:paraId="5F0C4F9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结合本项目的实际情况，提供安装、调试、</w:t>
            </w:r>
            <w:r>
              <w:rPr>
                <w:rFonts w:hint="eastAsia" w:ascii="仿宋" w:hAnsi="仿宋" w:eastAsia="仿宋" w:cs="仿宋"/>
                <w:color w:val="auto"/>
                <w:sz w:val="24"/>
                <w:szCs w:val="24"/>
                <w:highlight w:val="none"/>
                <w:u w:val="none"/>
                <w:lang w:val="en-US" w:eastAsia="zh-CN"/>
              </w:rPr>
              <w:t>验收的方案和措施进行评审打分：</w:t>
            </w:r>
          </w:p>
          <w:p w14:paraId="25FBE5F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①安装（0-1）；</w:t>
            </w:r>
          </w:p>
          <w:p w14:paraId="6B962FC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②调试（0-1分）；</w:t>
            </w:r>
          </w:p>
          <w:p w14:paraId="3EE422B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u w:val="none"/>
                <w:lang w:val="en-US" w:eastAsia="zh-CN"/>
              </w:rPr>
              <w:t>③验收（0-2分）。</w:t>
            </w:r>
          </w:p>
        </w:tc>
        <w:tc>
          <w:tcPr>
            <w:tcW w:w="934" w:type="dxa"/>
            <w:tcBorders>
              <w:top w:val="single" w:color="auto" w:sz="4" w:space="0"/>
              <w:left w:val="single" w:color="auto" w:sz="4" w:space="0"/>
              <w:right w:val="single" w:color="auto" w:sz="4" w:space="0"/>
            </w:tcBorders>
            <w:noWrap w:val="0"/>
            <w:vAlign w:val="center"/>
          </w:tcPr>
          <w:p w14:paraId="6CA607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4分</w:t>
            </w:r>
          </w:p>
        </w:tc>
      </w:tr>
      <w:tr w14:paraId="305A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747" w:type="dxa"/>
            <w:tcBorders>
              <w:left w:val="single" w:color="auto" w:sz="4" w:space="0"/>
              <w:right w:val="single" w:color="auto" w:sz="4" w:space="0"/>
            </w:tcBorders>
            <w:shd w:val="clear" w:color="auto" w:fill="auto"/>
            <w:noWrap w:val="0"/>
            <w:vAlign w:val="center"/>
          </w:tcPr>
          <w:p w14:paraId="3F6514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9</w:t>
            </w:r>
          </w:p>
        </w:tc>
        <w:tc>
          <w:tcPr>
            <w:tcW w:w="1200" w:type="dxa"/>
            <w:tcBorders>
              <w:left w:val="single" w:color="auto" w:sz="4" w:space="0"/>
              <w:right w:val="single" w:color="auto" w:sz="4" w:space="0"/>
            </w:tcBorders>
            <w:noWrap w:val="0"/>
            <w:vAlign w:val="center"/>
          </w:tcPr>
          <w:p w14:paraId="3C80EF3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应急措施方案</w:t>
            </w:r>
          </w:p>
        </w:tc>
        <w:tc>
          <w:tcPr>
            <w:tcW w:w="5597" w:type="dxa"/>
            <w:tcBorders>
              <w:left w:val="single" w:color="auto" w:sz="4" w:space="0"/>
              <w:right w:val="single" w:color="auto" w:sz="4" w:space="0"/>
            </w:tcBorders>
            <w:noWrap w:val="0"/>
            <w:vAlign w:val="center"/>
          </w:tcPr>
          <w:p w14:paraId="1886EC18">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vertAlign w:val="baseline"/>
                <w:lang w:val="zh-CN" w:eastAsia="zh-CN"/>
              </w:rPr>
              <w:t>根据投标人</w:t>
            </w:r>
            <w:r>
              <w:rPr>
                <w:rFonts w:hint="eastAsia" w:ascii="仿宋" w:hAnsi="仿宋" w:eastAsia="仿宋" w:cs="仿宋"/>
                <w:color w:val="auto"/>
                <w:sz w:val="24"/>
                <w:szCs w:val="24"/>
                <w:highlight w:val="none"/>
                <w:vertAlign w:val="baseline"/>
                <w:lang w:val="en-US" w:eastAsia="zh-CN"/>
              </w:rPr>
              <w:t>提供的</w:t>
            </w:r>
            <w:r>
              <w:rPr>
                <w:rFonts w:hint="eastAsia" w:ascii="仿宋" w:hAnsi="仿宋" w:eastAsia="仿宋" w:cs="仿宋"/>
                <w:color w:val="auto"/>
                <w:sz w:val="24"/>
                <w:szCs w:val="24"/>
                <w:highlight w:val="none"/>
                <w:vertAlign w:val="baseline"/>
                <w:lang w:val="zh-CN" w:eastAsia="zh-CN"/>
              </w:rPr>
              <w:t>设备故障等突发性事件的应急处理方案及措施进行</w:t>
            </w:r>
            <w:r>
              <w:rPr>
                <w:rFonts w:hint="eastAsia" w:ascii="仿宋" w:hAnsi="仿宋" w:eastAsia="仿宋" w:cs="仿宋"/>
                <w:color w:val="auto"/>
                <w:sz w:val="24"/>
                <w:szCs w:val="24"/>
                <w:highlight w:val="none"/>
                <w:vertAlign w:val="baseline"/>
                <w:lang w:val="en-US" w:eastAsia="zh-CN"/>
              </w:rPr>
              <w:t>评审打分。</w:t>
            </w:r>
          </w:p>
        </w:tc>
        <w:tc>
          <w:tcPr>
            <w:tcW w:w="934" w:type="dxa"/>
            <w:tcBorders>
              <w:top w:val="single" w:color="auto" w:sz="4" w:space="0"/>
              <w:left w:val="single" w:color="auto" w:sz="4" w:space="0"/>
              <w:right w:val="single" w:color="auto" w:sz="4" w:space="0"/>
            </w:tcBorders>
            <w:noWrap w:val="0"/>
            <w:vAlign w:val="center"/>
          </w:tcPr>
          <w:p w14:paraId="3977AA43">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3分</w:t>
            </w:r>
          </w:p>
        </w:tc>
      </w:tr>
      <w:tr w14:paraId="20A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747" w:type="dxa"/>
            <w:tcBorders>
              <w:left w:val="single" w:color="auto" w:sz="4" w:space="0"/>
              <w:right w:val="single" w:color="auto" w:sz="4" w:space="0"/>
            </w:tcBorders>
            <w:shd w:val="clear" w:color="auto" w:fill="auto"/>
            <w:noWrap w:val="0"/>
            <w:vAlign w:val="center"/>
          </w:tcPr>
          <w:p w14:paraId="4F4725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w:t>
            </w:r>
          </w:p>
        </w:tc>
        <w:tc>
          <w:tcPr>
            <w:tcW w:w="1200" w:type="dxa"/>
            <w:tcBorders>
              <w:left w:val="single" w:color="auto" w:sz="4" w:space="0"/>
              <w:right w:val="single" w:color="auto" w:sz="4" w:space="0"/>
            </w:tcBorders>
            <w:noWrap w:val="0"/>
            <w:vAlign w:val="center"/>
          </w:tcPr>
          <w:p w14:paraId="7D87AB7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售后服务方案</w:t>
            </w:r>
          </w:p>
        </w:tc>
        <w:tc>
          <w:tcPr>
            <w:tcW w:w="5597" w:type="dxa"/>
            <w:tcBorders>
              <w:left w:val="single" w:color="auto" w:sz="4" w:space="0"/>
              <w:right w:val="single" w:color="auto" w:sz="4" w:space="0"/>
            </w:tcBorders>
            <w:noWrap w:val="0"/>
            <w:vAlign w:val="center"/>
          </w:tcPr>
          <w:p w14:paraId="533FA73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根据投标人的售后服务方案及售后服务机构设置、服务内容 （服务承诺、人员安排，响应速度）进行评审0-3 分；</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u w:val="none"/>
                <w:lang w:val="en-US" w:eastAsia="zh-CN"/>
              </w:rPr>
              <w:t>提供承诺函。</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A7D2D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3分</w:t>
            </w:r>
          </w:p>
        </w:tc>
      </w:tr>
      <w:tr w14:paraId="7A89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747" w:type="dxa"/>
            <w:tcBorders>
              <w:left w:val="single" w:color="auto" w:sz="4" w:space="0"/>
              <w:right w:val="single" w:color="auto" w:sz="4" w:space="0"/>
            </w:tcBorders>
            <w:noWrap w:val="0"/>
            <w:vAlign w:val="center"/>
          </w:tcPr>
          <w:p w14:paraId="27FE623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1200" w:type="dxa"/>
            <w:tcBorders>
              <w:left w:val="single" w:color="auto" w:sz="4" w:space="0"/>
              <w:right w:val="single" w:color="auto" w:sz="4" w:space="0"/>
            </w:tcBorders>
            <w:noWrap w:val="0"/>
            <w:vAlign w:val="center"/>
          </w:tcPr>
          <w:p w14:paraId="752932EB">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vertAlign w:val="baseline"/>
                <w:lang w:val="en-US" w:eastAsia="zh-CN"/>
              </w:rPr>
              <w:t>工期承诺</w:t>
            </w:r>
          </w:p>
        </w:tc>
        <w:tc>
          <w:tcPr>
            <w:tcW w:w="5597" w:type="dxa"/>
            <w:tcBorders>
              <w:left w:val="single" w:color="auto" w:sz="4" w:space="0"/>
              <w:right w:val="single" w:color="auto" w:sz="4" w:space="0"/>
            </w:tcBorders>
            <w:noWrap w:val="0"/>
            <w:vAlign w:val="center"/>
          </w:tcPr>
          <w:p w14:paraId="21E2B8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w:t>
            </w:r>
            <w:r>
              <w:rPr>
                <w:rFonts w:hint="eastAsia" w:ascii="仿宋" w:hAnsi="仿宋" w:eastAsia="仿宋" w:cs="仿宋"/>
                <w:color w:val="auto"/>
                <w:sz w:val="24"/>
                <w:szCs w:val="24"/>
                <w:highlight w:val="none"/>
                <w:lang w:val="en-US" w:eastAsia="zh-CN"/>
              </w:rPr>
              <w:t>60日历天</w:t>
            </w:r>
            <w:r>
              <w:rPr>
                <w:rFonts w:hint="eastAsia" w:ascii="仿宋" w:hAnsi="仿宋" w:eastAsia="仿宋" w:cs="仿宋"/>
                <w:color w:val="auto"/>
                <w:sz w:val="24"/>
                <w:highlight w:val="none"/>
              </w:rPr>
              <w:t>完成供货、安装</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lang w:val="zh-CN"/>
              </w:rPr>
              <w:t>设备安装调试</w:t>
            </w:r>
            <w:r>
              <w:rPr>
                <w:rFonts w:hint="eastAsia" w:ascii="仿宋" w:hAnsi="仿宋" w:eastAsia="仿宋" w:cs="仿宋"/>
                <w:color w:val="auto"/>
                <w:sz w:val="24"/>
                <w:szCs w:val="24"/>
                <w:highlight w:val="none"/>
                <w:u w:val="none"/>
                <w:lang w:val="en-US" w:eastAsia="zh-CN"/>
              </w:rPr>
              <w:t>，投标人承诺每提前1天完成的得0.3分，最高得3分。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383881B">
            <w:pPr>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3分</w:t>
            </w:r>
          </w:p>
        </w:tc>
      </w:tr>
      <w:tr w14:paraId="5840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747" w:type="dxa"/>
            <w:tcBorders>
              <w:left w:val="single" w:color="auto" w:sz="4" w:space="0"/>
              <w:right w:val="single" w:color="auto" w:sz="4" w:space="0"/>
            </w:tcBorders>
            <w:noWrap w:val="0"/>
            <w:vAlign w:val="center"/>
          </w:tcPr>
          <w:p w14:paraId="7E05A83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1200" w:type="dxa"/>
            <w:tcBorders>
              <w:left w:val="single" w:color="auto" w:sz="4" w:space="0"/>
              <w:right w:val="single" w:color="auto" w:sz="4" w:space="0"/>
            </w:tcBorders>
            <w:noWrap w:val="0"/>
            <w:vAlign w:val="center"/>
          </w:tcPr>
          <w:p w14:paraId="7132F3D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质保期</w:t>
            </w:r>
          </w:p>
        </w:tc>
        <w:tc>
          <w:tcPr>
            <w:tcW w:w="5597" w:type="dxa"/>
            <w:tcBorders>
              <w:left w:val="single" w:color="auto" w:sz="4" w:space="0"/>
              <w:right w:val="single" w:color="auto" w:sz="4" w:space="0"/>
            </w:tcBorders>
            <w:noWrap w:val="0"/>
            <w:vAlign w:val="center"/>
          </w:tcPr>
          <w:p w14:paraId="0823DF2E">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质保期</w:t>
            </w:r>
            <w:r>
              <w:rPr>
                <w:rFonts w:hint="eastAsia" w:ascii="仿宋" w:hAnsi="仿宋" w:eastAsia="仿宋" w:cs="仿宋"/>
                <w:color w:val="auto"/>
                <w:sz w:val="24"/>
                <w:highlight w:val="none"/>
                <w:lang w:val="en-US" w:eastAsia="zh-CN"/>
              </w:rPr>
              <w:t>在满足招标文件的基础上，</w:t>
            </w:r>
            <w:r>
              <w:rPr>
                <w:rFonts w:hint="eastAsia" w:ascii="仿宋" w:hAnsi="仿宋" w:eastAsia="仿宋" w:cs="仿宋"/>
                <w:color w:val="auto"/>
                <w:sz w:val="24"/>
                <w:highlight w:val="none"/>
              </w:rPr>
              <w:t>承诺每延长一年加</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w:t>
            </w:r>
            <w:r>
              <w:rPr>
                <w:rFonts w:hint="eastAsia" w:ascii="仿宋" w:hAnsi="仿宋" w:eastAsia="仿宋" w:cs="仿宋"/>
                <w:color w:val="auto"/>
                <w:sz w:val="24"/>
                <w:highlight w:val="none"/>
                <w:lang w:val="en-US" w:eastAsia="zh-CN"/>
              </w:rPr>
              <w:t>高</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F3F1CF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bidi="ar-SA"/>
              </w:rPr>
              <w:t>5分</w:t>
            </w:r>
          </w:p>
        </w:tc>
      </w:tr>
    </w:tbl>
    <w:p w14:paraId="43B279D1">
      <w:pPr>
        <w:pStyle w:val="41"/>
        <w:keepNext w:val="0"/>
        <w:keepLines w:val="0"/>
        <w:pageBreakBefore w:val="0"/>
        <w:widowControl/>
        <w:numPr>
          <w:ilvl w:val="0"/>
          <w:numId w:val="0"/>
        </w:numPr>
        <w:tabs>
          <w:tab w:val="left" w:pos="390"/>
          <w:tab w:val="left" w:pos="454"/>
          <w:tab w:val="left" w:pos="720"/>
          <w:tab w:val="left" w:pos="900"/>
          <w:tab w:val="clear" w:pos="36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p w14:paraId="42011454">
      <w:pPr>
        <w:pStyle w:val="41"/>
        <w:keepNext w:val="0"/>
        <w:keepLines w:val="0"/>
        <w:pageBreakBefore w:val="0"/>
        <w:widowControl/>
        <w:numPr>
          <w:ilvl w:val="0"/>
          <w:numId w:val="0"/>
        </w:numPr>
        <w:tabs>
          <w:tab w:val="left" w:pos="390"/>
          <w:tab w:val="left" w:pos="454"/>
          <w:tab w:val="left" w:pos="720"/>
          <w:tab w:val="left" w:pos="900"/>
          <w:tab w:val="clear" w:pos="36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(1)报价分价格评分采用低价优先法计算，即满足招标文件要求且投标价格最低的投标报价为评标基准价，其报价分为满分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分。其他投标人的商务分统一按照下列公式计算：投标报价过预算价或得分=（评标基准价/投标报价）×</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%×100（保留到小数点后两位，第三位四舍五入）。</w:t>
      </w:r>
    </w:p>
    <w:p w14:paraId="5428FD6F">
      <w:pPr>
        <w:pStyle w:val="41"/>
        <w:keepNext w:val="0"/>
        <w:keepLines w:val="0"/>
        <w:pageBreakBefore w:val="0"/>
        <w:widowControl/>
        <w:numPr>
          <w:ilvl w:val="0"/>
          <w:numId w:val="0"/>
        </w:numPr>
        <w:tabs>
          <w:tab w:val="left" w:pos="390"/>
          <w:tab w:val="left" w:pos="454"/>
          <w:tab w:val="left" w:pos="720"/>
          <w:tab w:val="left" w:pos="900"/>
          <w:tab w:val="clear" w:pos="36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(2)报价超最高限价为无效标。</w:t>
      </w:r>
    </w:p>
    <w:p w14:paraId="2DCD30E4">
      <w:pPr>
        <w:pStyle w:val="41"/>
        <w:keepNext w:val="0"/>
        <w:keepLines w:val="0"/>
        <w:pageBreakBefore w:val="0"/>
        <w:widowControl/>
        <w:numPr>
          <w:ilvl w:val="0"/>
          <w:numId w:val="0"/>
        </w:numPr>
        <w:tabs>
          <w:tab w:val="left" w:pos="390"/>
          <w:tab w:val="left" w:pos="454"/>
          <w:tab w:val="left" w:pos="720"/>
          <w:tab w:val="left" w:pos="900"/>
          <w:tab w:val="clear" w:pos="36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7050C1">
      <w:pPr>
        <w:pStyle w:val="41"/>
        <w:keepNext w:val="0"/>
        <w:keepLines w:val="0"/>
        <w:pageBreakBefore w:val="0"/>
        <w:widowControl/>
        <w:numPr>
          <w:ilvl w:val="0"/>
          <w:numId w:val="0"/>
        </w:numPr>
        <w:tabs>
          <w:tab w:val="left" w:pos="390"/>
          <w:tab w:val="left" w:pos="454"/>
          <w:tab w:val="left" w:pos="720"/>
          <w:tab w:val="left" w:pos="900"/>
          <w:tab w:val="clear" w:pos="36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E6051CE">
      <w:pPr>
        <w:pageBreakBefore w:val="0"/>
        <w:kinsoku/>
        <w:overflowPunct/>
        <w:topLinePunct w:val="0"/>
        <w:bidi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合同主要条款</w:t>
      </w:r>
      <w:bookmarkEnd w:id="31"/>
      <w:bookmarkEnd w:id="32"/>
    </w:p>
    <w:p w14:paraId="7D90D902">
      <w:pPr>
        <w:pStyle w:val="15"/>
        <w:keepNext w:val="0"/>
        <w:keepLines w:val="0"/>
        <w:pageBreakBefore w:val="0"/>
        <w:widowControl w:val="0"/>
        <w:shd w:val="clear" w:color="auto" w:fill="auto"/>
        <w:tabs>
          <w:tab w:val="left" w:pos="180"/>
        </w:tabs>
        <w:kinsoku/>
        <w:wordWrap/>
        <w:overflowPunct/>
        <w:topLinePunct w:val="0"/>
        <w:autoSpaceDE/>
        <w:autoSpaceDN/>
        <w:bidi w:val="0"/>
        <w:adjustRightInd w:val="0"/>
        <w:snapToGrid w:val="0"/>
        <w:spacing w:before="0" w:beforeLines="0" w:after="120" w:line="360" w:lineRule="auto"/>
        <w:textAlignment w:val="auto"/>
        <w:rPr>
          <w:rFonts w:hint="eastAsia" w:ascii="仿宋" w:hAnsi="仿宋" w:eastAsia="仿宋" w:cs="仿宋"/>
          <w:b/>
          <w:color w:val="auto"/>
          <w:sz w:val="24"/>
          <w:szCs w:val="24"/>
          <w:highlight w:val="none"/>
        </w:rPr>
      </w:pPr>
      <w:bookmarkStart w:id="33" w:name="_Toc1188"/>
      <w:bookmarkStart w:id="34" w:name="_Toc8187"/>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lang w:val="en-US" w:eastAsia="zh-CN"/>
        </w:rPr>
        <w:t>采购人</w:t>
      </w:r>
      <w:r>
        <w:rPr>
          <w:rFonts w:hint="eastAsia" w:ascii="仿宋" w:hAnsi="仿宋" w:eastAsia="仿宋" w:cs="仿宋"/>
          <w:b/>
          <w:color w:val="auto"/>
          <w:sz w:val="24"/>
          <w:szCs w:val="24"/>
          <w:highlight w:val="none"/>
        </w:rPr>
        <w:t>）：</w:t>
      </w:r>
      <w:r>
        <w:rPr>
          <w:rFonts w:hint="eastAsia" w:ascii="仿宋" w:hAnsi="仿宋" w:eastAsia="仿宋" w:cs="仿宋"/>
          <w:b w:val="0"/>
          <w:bCs w:val="0"/>
          <w:i w:val="0"/>
          <w:iCs w:val="0"/>
          <w:color w:val="auto"/>
          <w:sz w:val="24"/>
          <w:szCs w:val="24"/>
          <w:highlight w:val="none"/>
          <w:u w:val="none"/>
          <w:lang w:val="en-US" w:eastAsia="zh-CN"/>
        </w:rPr>
        <w:t>嵊州市水联贸易有限公司</w:t>
      </w:r>
    </w:p>
    <w:p w14:paraId="11D3D383">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12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  方（供应商）：</w:t>
      </w:r>
    </w:p>
    <w:p w14:paraId="509FE2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rPr>
        <w:t>根据《民法典》及相关法律法规规定，甲方和乙方在平等自愿、协商一致的基础上，签订本合同。</w:t>
      </w:r>
    </w:p>
    <w:p w14:paraId="045AC978">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第一条：采购清单及合同价格     </w:t>
      </w:r>
      <w:r>
        <w:rPr>
          <w:rFonts w:hint="eastAsia" w:ascii="仿宋" w:hAnsi="仿宋" w:eastAsia="仿宋" w:cs="仿宋"/>
          <w:color w:val="auto"/>
          <w:sz w:val="24"/>
          <w:szCs w:val="24"/>
          <w:highlight w:val="none"/>
        </w:rPr>
        <w:t xml:space="preserve">                       单位：元</w:t>
      </w:r>
    </w:p>
    <w:tbl>
      <w:tblPr>
        <w:tblStyle w:val="25"/>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15"/>
        <w:gridCol w:w="1590"/>
        <w:gridCol w:w="1485"/>
        <w:gridCol w:w="858"/>
        <w:gridCol w:w="1557"/>
        <w:gridCol w:w="1081"/>
      </w:tblGrid>
      <w:tr w14:paraId="3A17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10" w:type="dxa"/>
            <w:noWrap w:val="0"/>
            <w:vAlign w:val="center"/>
          </w:tcPr>
          <w:p w14:paraId="7C243C88">
            <w:pPr>
              <w:pageBreakBefore w:val="0"/>
              <w:widowControl/>
              <w:kinsoku/>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2"/>
                <w:szCs w:val="22"/>
                <w:highlight w:val="none"/>
              </w:rPr>
              <w:t>序号</w:t>
            </w:r>
          </w:p>
        </w:tc>
        <w:tc>
          <w:tcPr>
            <w:tcW w:w="1515" w:type="dxa"/>
            <w:noWrap w:val="0"/>
            <w:vAlign w:val="center"/>
          </w:tcPr>
          <w:p w14:paraId="476F8FA8">
            <w:pPr>
              <w:pageBreakBefore w:val="0"/>
              <w:widowControl/>
              <w:kinsoku/>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2"/>
                <w:szCs w:val="22"/>
                <w:highlight w:val="none"/>
              </w:rPr>
              <w:t>名称</w:t>
            </w:r>
          </w:p>
        </w:tc>
        <w:tc>
          <w:tcPr>
            <w:tcW w:w="1590" w:type="dxa"/>
            <w:noWrap w:val="0"/>
            <w:vAlign w:val="center"/>
          </w:tcPr>
          <w:p w14:paraId="09A22330">
            <w:pPr>
              <w:pageBreakBefore w:val="0"/>
              <w:widowControl/>
              <w:kinsoku/>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2"/>
                <w:szCs w:val="22"/>
                <w:highlight w:val="none"/>
              </w:rPr>
              <w:t>规格型号</w:t>
            </w:r>
          </w:p>
        </w:tc>
        <w:tc>
          <w:tcPr>
            <w:tcW w:w="1485" w:type="dxa"/>
            <w:noWrap w:val="0"/>
            <w:vAlign w:val="center"/>
          </w:tcPr>
          <w:p w14:paraId="6B6ED672">
            <w:pPr>
              <w:pageBreakBefore w:val="0"/>
              <w:widowControl/>
              <w:kinsoku/>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2"/>
                <w:szCs w:val="22"/>
                <w:highlight w:val="none"/>
              </w:rPr>
              <w:t>单位</w:t>
            </w:r>
          </w:p>
        </w:tc>
        <w:tc>
          <w:tcPr>
            <w:tcW w:w="858" w:type="dxa"/>
            <w:noWrap w:val="0"/>
            <w:vAlign w:val="center"/>
          </w:tcPr>
          <w:p w14:paraId="392ED1A5">
            <w:pPr>
              <w:pageBreakBefore w:val="0"/>
              <w:widowControl/>
              <w:kinsoku/>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2"/>
                <w:szCs w:val="22"/>
                <w:highlight w:val="none"/>
              </w:rPr>
              <w:t>数量</w:t>
            </w:r>
          </w:p>
        </w:tc>
        <w:tc>
          <w:tcPr>
            <w:tcW w:w="1557" w:type="dxa"/>
            <w:noWrap w:val="0"/>
            <w:vAlign w:val="center"/>
          </w:tcPr>
          <w:p w14:paraId="2CC822FB">
            <w:pPr>
              <w:pageBreakBefore w:val="0"/>
              <w:widowControl/>
              <w:kinsoku/>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kern w:val="0"/>
                <w:sz w:val="22"/>
                <w:szCs w:val="22"/>
                <w:highlight w:val="none"/>
              </w:rPr>
              <w:t>品牌</w:t>
            </w:r>
          </w:p>
        </w:tc>
        <w:tc>
          <w:tcPr>
            <w:tcW w:w="1081" w:type="dxa"/>
            <w:noWrap w:val="0"/>
            <w:vAlign w:val="center"/>
          </w:tcPr>
          <w:p w14:paraId="387D4BD6">
            <w:pPr>
              <w:pageBreakBefore w:val="0"/>
              <w:widowControl/>
              <w:kinsoku/>
              <w:overflowPunct/>
              <w:topLinePunct w:val="0"/>
              <w:bidi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bCs/>
                <w:color w:val="auto"/>
                <w:kern w:val="0"/>
                <w:sz w:val="22"/>
                <w:szCs w:val="22"/>
                <w:highlight w:val="none"/>
              </w:rPr>
              <w:t>备注</w:t>
            </w:r>
          </w:p>
        </w:tc>
      </w:tr>
      <w:tr w14:paraId="5CD2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10" w:type="dxa"/>
            <w:noWrap w:val="0"/>
            <w:vAlign w:val="center"/>
          </w:tcPr>
          <w:p w14:paraId="2B903A52">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15" w:type="dxa"/>
            <w:noWrap w:val="0"/>
            <w:vAlign w:val="center"/>
          </w:tcPr>
          <w:p w14:paraId="2EDCB4A9">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p>
        </w:tc>
        <w:tc>
          <w:tcPr>
            <w:tcW w:w="1590" w:type="dxa"/>
            <w:noWrap w:val="0"/>
            <w:vAlign w:val="center"/>
          </w:tcPr>
          <w:p w14:paraId="6D80037E">
            <w:pPr>
              <w:keepNext w:val="0"/>
              <w:keepLines w:val="0"/>
              <w:pageBreakBefore w:val="0"/>
              <w:widowControl w:val="0"/>
              <w:tabs>
                <w:tab w:val="left" w:pos="180"/>
              </w:tabs>
              <w:kinsoku/>
              <w:wordWrap/>
              <w:overflowPunct/>
              <w:topLinePunct w:val="0"/>
              <w:bidi w:val="0"/>
              <w:adjustRightInd w:val="0"/>
              <w:spacing w:line="360" w:lineRule="auto"/>
              <w:rPr>
                <w:rFonts w:hint="eastAsia" w:ascii="仿宋" w:hAnsi="仿宋" w:eastAsia="仿宋" w:cs="仿宋"/>
                <w:color w:val="auto"/>
                <w:sz w:val="24"/>
                <w:highlight w:val="none"/>
              </w:rPr>
            </w:pPr>
          </w:p>
        </w:tc>
        <w:tc>
          <w:tcPr>
            <w:tcW w:w="1485" w:type="dxa"/>
            <w:noWrap w:val="0"/>
            <w:vAlign w:val="center"/>
          </w:tcPr>
          <w:p w14:paraId="198F6849">
            <w:pPr>
              <w:keepNext w:val="0"/>
              <w:keepLines w:val="0"/>
              <w:pageBreakBefore w:val="0"/>
              <w:widowControl w:val="0"/>
              <w:tabs>
                <w:tab w:val="left" w:pos="180"/>
              </w:tabs>
              <w:kinsoku/>
              <w:wordWrap/>
              <w:overflowPunct/>
              <w:topLinePunct w:val="0"/>
              <w:bidi w:val="0"/>
              <w:adjustRightInd w:val="0"/>
              <w:spacing w:line="360" w:lineRule="auto"/>
              <w:rPr>
                <w:rFonts w:hint="eastAsia" w:ascii="仿宋" w:hAnsi="仿宋" w:eastAsia="仿宋" w:cs="仿宋"/>
                <w:color w:val="auto"/>
                <w:sz w:val="24"/>
                <w:highlight w:val="none"/>
              </w:rPr>
            </w:pPr>
          </w:p>
        </w:tc>
        <w:tc>
          <w:tcPr>
            <w:tcW w:w="858" w:type="dxa"/>
            <w:noWrap w:val="0"/>
            <w:vAlign w:val="center"/>
          </w:tcPr>
          <w:p w14:paraId="4ACEE028">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p>
        </w:tc>
        <w:tc>
          <w:tcPr>
            <w:tcW w:w="1557" w:type="dxa"/>
            <w:noWrap w:val="0"/>
            <w:vAlign w:val="center"/>
          </w:tcPr>
          <w:p w14:paraId="4C32F8B4">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p>
        </w:tc>
        <w:tc>
          <w:tcPr>
            <w:tcW w:w="1081" w:type="dxa"/>
            <w:tcBorders>
              <w:bottom w:val="single" w:color="auto" w:sz="4" w:space="0"/>
            </w:tcBorders>
            <w:noWrap w:val="0"/>
            <w:vAlign w:val="center"/>
          </w:tcPr>
          <w:p w14:paraId="31B8FFDF">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p>
        </w:tc>
      </w:tr>
      <w:tr w14:paraId="3976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10" w:type="dxa"/>
            <w:noWrap w:val="0"/>
            <w:vAlign w:val="center"/>
          </w:tcPr>
          <w:p w14:paraId="727D4DAF">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15" w:type="dxa"/>
            <w:noWrap w:val="0"/>
            <w:vAlign w:val="center"/>
          </w:tcPr>
          <w:p w14:paraId="32BBCFD2">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p>
        </w:tc>
        <w:tc>
          <w:tcPr>
            <w:tcW w:w="1590" w:type="dxa"/>
            <w:noWrap w:val="0"/>
            <w:vAlign w:val="center"/>
          </w:tcPr>
          <w:p w14:paraId="0339FF38">
            <w:pPr>
              <w:keepNext w:val="0"/>
              <w:keepLines w:val="0"/>
              <w:pageBreakBefore w:val="0"/>
              <w:widowControl w:val="0"/>
              <w:tabs>
                <w:tab w:val="left" w:pos="180"/>
              </w:tabs>
              <w:kinsoku/>
              <w:wordWrap/>
              <w:overflowPunct/>
              <w:topLinePunct w:val="0"/>
              <w:bidi w:val="0"/>
              <w:adjustRightInd w:val="0"/>
              <w:spacing w:line="360" w:lineRule="auto"/>
              <w:rPr>
                <w:rFonts w:hint="eastAsia" w:ascii="仿宋" w:hAnsi="仿宋" w:eastAsia="仿宋" w:cs="仿宋"/>
                <w:color w:val="auto"/>
                <w:sz w:val="24"/>
                <w:highlight w:val="none"/>
              </w:rPr>
            </w:pPr>
          </w:p>
        </w:tc>
        <w:tc>
          <w:tcPr>
            <w:tcW w:w="1485" w:type="dxa"/>
            <w:noWrap w:val="0"/>
            <w:vAlign w:val="center"/>
          </w:tcPr>
          <w:p w14:paraId="336EFB6C">
            <w:pPr>
              <w:keepNext w:val="0"/>
              <w:keepLines w:val="0"/>
              <w:pageBreakBefore w:val="0"/>
              <w:widowControl w:val="0"/>
              <w:tabs>
                <w:tab w:val="left" w:pos="180"/>
              </w:tabs>
              <w:kinsoku/>
              <w:wordWrap/>
              <w:overflowPunct/>
              <w:topLinePunct w:val="0"/>
              <w:bidi w:val="0"/>
              <w:adjustRightInd w:val="0"/>
              <w:spacing w:line="360" w:lineRule="auto"/>
              <w:rPr>
                <w:rFonts w:hint="eastAsia" w:ascii="仿宋" w:hAnsi="仿宋" w:eastAsia="仿宋" w:cs="仿宋"/>
                <w:color w:val="auto"/>
                <w:sz w:val="24"/>
                <w:highlight w:val="none"/>
              </w:rPr>
            </w:pPr>
          </w:p>
        </w:tc>
        <w:tc>
          <w:tcPr>
            <w:tcW w:w="858" w:type="dxa"/>
            <w:noWrap w:val="0"/>
            <w:vAlign w:val="center"/>
          </w:tcPr>
          <w:p w14:paraId="614A28C8">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p>
        </w:tc>
        <w:tc>
          <w:tcPr>
            <w:tcW w:w="1557" w:type="dxa"/>
            <w:noWrap w:val="0"/>
            <w:vAlign w:val="center"/>
          </w:tcPr>
          <w:p w14:paraId="0A0CEC06">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p>
        </w:tc>
        <w:tc>
          <w:tcPr>
            <w:tcW w:w="1081" w:type="dxa"/>
            <w:tcBorders>
              <w:bottom w:val="single" w:color="auto" w:sz="4" w:space="0"/>
            </w:tcBorders>
            <w:noWrap w:val="0"/>
            <w:vAlign w:val="center"/>
          </w:tcPr>
          <w:p w14:paraId="18514DB0">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p>
        </w:tc>
      </w:tr>
      <w:tr w14:paraId="0072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10" w:type="dxa"/>
            <w:noWrap w:val="0"/>
            <w:vAlign w:val="center"/>
          </w:tcPr>
          <w:p w14:paraId="17BFD447">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515" w:type="dxa"/>
            <w:noWrap w:val="0"/>
            <w:vAlign w:val="center"/>
          </w:tcPr>
          <w:p w14:paraId="7E23FD34">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590" w:type="dxa"/>
            <w:noWrap w:val="0"/>
            <w:vAlign w:val="center"/>
          </w:tcPr>
          <w:p w14:paraId="6DBDA62D">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485" w:type="dxa"/>
            <w:noWrap w:val="0"/>
            <w:vAlign w:val="center"/>
          </w:tcPr>
          <w:p w14:paraId="1BFCA940">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858" w:type="dxa"/>
            <w:noWrap w:val="0"/>
            <w:vAlign w:val="center"/>
          </w:tcPr>
          <w:p w14:paraId="6E30883C">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557" w:type="dxa"/>
            <w:noWrap w:val="0"/>
            <w:vAlign w:val="center"/>
          </w:tcPr>
          <w:p w14:paraId="60882BA9">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081" w:type="dxa"/>
            <w:tcBorders>
              <w:bottom w:val="single" w:color="auto" w:sz="4" w:space="0"/>
            </w:tcBorders>
            <w:noWrap w:val="0"/>
            <w:vAlign w:val="center"/>
          </w:tcPr>
          <w:p w14:paraId="616F1BA8">
            <w:pPr>
              <w:keepNext w:val="0"/>
              <w:keepLines w:val="0"/>
              <w:pageBreakBefore w:val="0"/>
              <w:widowControl w:val="0"/>
              <w:tabs>
                <w:tab w:val="left" w:pos="180"/>
              </w:tabs>
              <w:kinsoku/>
              <w:wordWrap/>
              <w:overflowPunct/>
              <w:topLinePunct w:val="0"/>
              <w:bidi w:val="0"/>
              <w:adjustRightIn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r>
      <w:tr w14:paraId="526D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896" w:type="dxa"/>
            <w:gridSpan w:val="7"/>
            <w:noWrap w:val="0"/>
            <w:vAlign w:val="center"/>
          </w:tcPr>
          <w:p w14:paraId="0718307E">
            <w:pPr>
              <w:keepNext w:val="0"/>
              <w:keepLines w:val="0"/>
              <w:pageBreakBefore w:val="0"/>
              <w:widowControl w:val="0"/>
              <w:tabs>
                <w:tab w:val="left" w:pos="180"/>
              </w:tabs>
              <w:kinsoku/>
              <w:wordWrap/>
              <w:overflowPunct/>
              <w:topLinePunct w:val="0"/>
              <w:bidi w:val="0"/>
              <w:adjustRightIn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合同金额</w:t>
            </w:r>
            <w:r>
              <w:rPr>
                <w:rFonts w:hint="eastAsia" w:ascii="仿宋" w:hAnsi="仿宋" w:eastAsia="仿宋" w:cs="仿宋"/>
                <w:color w:val="auto"/>
                <w:sz w:val="24"/>
                <w:highlight w:val="none"/>
              </w:rPr>
              <w:t>（人民币大写）： 元整                     小写：</w:t>
            </w:r>
          </w:p>
        </w:tc>
      </w:tr>
    </w:tbl>
    <w:p w14:paraId="6A908B66">
      <w:pPr>
        <w:pStyle w:val="15"/>
        <w:keepNext w:val="0"/>
        <w:keepLines w:val="0"/>
        <w:pageBreakBefore w:val="0"/>
        <w:widowControl w:val="0"/>
        <w:tabs>
          <w:tab w:val="left" w:pos="180"/>
        </w:tabs>
        <w:kinsoku/>
        <w:wordWrap/>
        <w:overflowPunct/>
        <w:topLinePunct w:val="0"/>
        <w:bidi w:val="0"/>
        <w:adjustRightInd w:val="0"/>
        <w:snapToGrid w:val="0"/>
        <w:spacing w:before="0" w:beforeLines="0" w:after="0" w:afterLines="0"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备注：以上合同</w:t>
      </w:r>
      <w:r>
        <w:rPr>
          <w:rFonts w:hint="eastAsia" w:ascii="仿宋" w:hAnsi="仿宋" w:eastAsia="仿宋" w:cs="仿宋"/>
          <w:color w:val="auto"/>
          <w:sz w:val="24"/>
          <w:highlight w:val="none"/>
          <w:lang w:val="en-US" w:eastAsia="zh-CN"/>
        </w:rPr>
        <w:t>金额</w:t>
      </w:r>
      <w:r>
        <w:rPr>
          <w:rFonts w:hint="eastAsia" w:ascii="仿宋" w:hAnsi="仿宋" w:eastAsia="仿宋" w:cs="仿宋"/>
          <w:color w:val="auto"/>
          <w:sz w:val="24"/>
          <w:highlight w:val="none"/>
        </w:rPr>
        <w:t>包括全部货物价款、</w:t>
      </w:r>
      <w:r>
        <w:rPr>
          <w:rFonts w:hint="eastAsia" w:ascii="仿宋" w:hAnsi="仿宋" w:eastAsia="仿宋" w:cs="仿宋"/>
          <w:color w:val="auto"/>
          <w:sz w:val="24"/>
          <w:highlight w:val="none"/>
          <w:lang w:val="en-US" w:eastAsia="zh-CN"/>
        </w:rPr>
        <w:t>装卸费、安装、调试、</w:t>
      </w:r>
      <w:r>
        <w:rPr>
          <w:rFonts w:hint="eastAsia" w:ascii="仿宋" w:hAnsi="仿宋" w:eastAsia="仿宋" w:cs="仿宋"/>
          <w:color w:val="auto"/>
          <w:sz w:val="24"/>
          <w:highlight w:val="none"/>
        </w:rPr>
        <w:t>验收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保险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第三方责任险）</w:t>
      </w:r>
      <w:r>
        <w:rPr>
          <w:rFonts w:hint="eastAsia" w:ascii="仿宋" w:hAnsi="仿宋" w:eastAsia="仿宋" w:cs="仿宋"/>
          <w:color w:val="auto"/>
          <w:sz w:val="24"/>
          <w:highlight w:val="none"/>
        </w:rPr>
        <w:t>、检测费、</w:t>
      </w:r>
      <w:r>
        <w:rPr>
          <w:rFonts w:hint="eastAsia" w:ascii="仿宋" w:hAnsi="仿宋" w:eastAsia="仿宋" w:cs="仿宋"/>
          <w:color w:val="auto"/>
          <w:sz w:val="24"/>
          <w:highlight w:val="none"/>
          <w:lang w:val="en-US" w:eastAsia="zh-CN"/>
        </w:rPr>
        <w:t>管理费、税金、利润、乙方为履行本合同发生的所有费用均应包含在合同价中，甲方不再支付其他任何费用。</w:t>
      </w:r>
    </w:p>
    <w:p w14:paraId="712E2D05">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第二条：质量保证</w:t>
      </w:r>
    </w:p>
    <w:p w14:paraId="61378372">
      <w:pPr>
        <w:pStyle w:val="15"/>
        <w:keepNext w:val="0"/>
        <w:keepLines w:val="0"/>
        <w:pageBreakBefore w:val="0"/>
        <w:widowControl w:val="0"/>
        <w:tabs>
          <w:tab w:val="left" w:pos="180"/>
        </w:tabs>
        <w:kinsoku/>
        <w:wordWrap/>
        <w:overflowPunct/>
        <w:topLinePunct w:val="0"/>
        <w:bidi w:val="0"/>
        <w:adjustRightInd w:val="0"/>
        <w:snapToGrid w:val="0"/>
        <w:spacing w:before="0" w:beforeLines="0" w:after="0" w:afterLines="0"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乙方保证本合同中所供应的货物符合国家技术规格和质量标准的出厂合格产品；如发生所供商品与合同不符，甲方有权拒收或退货，由此产生的一切责任和后果由乙方承担。</w:t>
      </w:r>
    </w:p>
    <w:p w14:paraId="47BA348D">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rPr>
        <w:t>第三条：</w:t>
      </w:r>
      <w:r>
        <w:rPr>
          <w:rFonts w:hint="eastAsia" w:ascii="仿宋" w:hAnsi="仿宋" w:eastAsia="仿宋" w:cs="仿宋"/>
          <w:b/>
          <w:color w:val="auto"/>
          <w:sz w:val="24"/>
          <w:szCs w:val="24"/>
          <w:highlight w:val="none"/>
          <w:lang w:val="en-US" w:eastAsia="zh-CN"/>
        </w:rPr>
        <w:t>工期要求</w:t>
      </w:r>
    </w:p>
    <w:p w14:paraId="13101020">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firstLine="240" w:firstLineChars="1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日历天内完成供货、安装及设备调试运行。</w:t>
      </w:r>
    </w:p>
    <w:p w14:paraId="0BF55F45">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付款方式</w:t>
      </w:r>
    </w:p>
    <w:p w14:paraId="3966E098">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货到现场安装经验收合格后一个月内付至到货设备款的60%，调试运行合格且提供完整资料后一个月内付至到货设备款的95%，余款5%在质保期满后一个月内支付（余款2%待泵船（船坞）部分质保期满后支付，余款3%待其余部分质保期满后支付）。</w:t>
      </w:r>
    </w:p>
    <w:p w14:paraId="73369DC2">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履约保证金</w:t>
      </w:r>
    </w:p>
    <w:p w14:paraId="2974F99A">
      <w:pPr>
        <w:pStyle w:val="15"/>
        <w:keepNext w:val="0"/>
        <w:keepLines w:val="0"/>
        <w:pageBreakBefore w:val="0"/>
        <w:widowControl w:val="0"/>
        <w:tabs>
          <w:tab w:val="left" w:pos="180"/>
        </w:tabs>
        <w:kinsoku/>
        <w:wordWrap/>
        <w:overflowPunct/>
        <w:topLinePunct w:val="0"/>
        <w:bidi w:val="0"/>
        <w:adjustRightInd w:val="0"/>
        <w:snapToGrid w:val="0"/>
        <w:spacing w:before="0" w:beforeLines="0" w:after="0" w:afterLines="0"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b w:val="0"/>
          <w:bCs/>
          <w:color w:val="auto"/>
          <w:sz w:val="24"/>
          <w:szCs w:val="24"/>
          <w:highlight w:val="none"/>
          <w:lang w:val="en-US" w:eastAsia="zh-CN"/>
        </w:rPr>
        <w:t>履约保证金按合同金额的1%计取。</w:t>
      </w:r>
      <w:r>
        <w:rPr>
          <w:rFonts w:hint="eastAsia" w:ascii="仿宋" w:hAnsi="仿宋" w:eastAsia="仿宋" w:cs="仿宋"/>
          <w:color w:val="auto"/>
          <w:kern w:val="2"/>
          <w:sz w:val="24"/>
          <w:szCs w:val="22"/>
          <w:highlight w:val="none"/>
          <w:lang w:val="en-US" w:eastAsia="zh-CN" w:bidi="ar-SA"/>
        </w:rPr>
        <w:t>中标单位在中标通知书发出后5个工作日内向采购人递交履约保证金</w:t>
      </w:r>
      <w:r>
        <w:rPr>
          <w:rFonts w:hint="eastAsia" w:ascii="仿宋" w:hAnsi="仿宋" w:eastAsia="仿宋" w:cs="仿宋"/>
          <w:color w:val="auto"/>
          <w:spacing w:val="0"/>
          <w:w w:val="100"/>
          <w:position w:val="0"/>
          <w:sz w:val="24"/>
          <w:szCs w:val="24"/>
          <w:highlight w:val="none"/>
          <w:u w:val="none"/>
          <w:shd w:val="clear" w:color="auto" w:fill="auto"/>
          <w:lang w:val="en-US" w:eastAsia="zh-CN" w:bidi="zh-TW"/>
        </w:rPr>
        <w:t>（电汇/汇票/本票等转账方式或银行保函方式），</w:t>
      </w:r>
      <w:r>
        <w:rPr>
          <w:rFonts w:hint="eastAsia" w:ascii="仿宋" w:hAnsi="仿宋" w:eastAsia="仿宋" w:cs="仿宋"/>
          <w:color w:val="auto"/>
          <w:sz w:val="24"/>
          <w:highlight w:val="none"/>
        </w:rPr>
        <w:t>履约保证金待</w:t>
      </w:r>
      <w:r>
        <w:rPr>
          <w:rFonts w:hint="eastAsia" w:ascii="仿宋" w:hAnsi="仿宋" w:eastAsia="仿宋" w:cs="仿宋"/>
          <w:snapToGrid w:val="0"/>
          <w:color w:val="auto"/>
          <w:kern w:val="0"/>
          <w:sz w:val="24"/>
          <w:highlight w:val="none"/>
          <w:lang w:val="en-US" w:eastAsia="zh-CN"/>
        </w:rPr>
        <w:t>项目完工验收合格后30</w:t>
      </w:r>
      <w:r>
        <w:rPr>
          <w:rFonts w:hint="eastAsia" w:ascii="仿宋" w:hAnsi="仿宋" w:eastAsia="仿宋" w:cs="仿宋"/>
          <w:snapToGrid w:val="0"/>
          <w:color w:val="auto"/>
          <w:kern w:val="0"/>
          <w:sz w:val="24"/>
          <w:highlight w:val="none"/>
        </w:rPr>
        <w:t>日内无息退回</w:t>
      </w:r>
      <w:r>
        <w:rPr>
          <w:rFonts w:hint="eastAsia" w:ascii="仿宋" w:hAnsi="仿宋" w:eastAsia="仿宋" w:cs="仿宋"/>
          <w:snapToGrid w:val="0"/>
          <w:color w:val="auto"/>
          <w:kern w:val="0"/>
          <w:sz w:val="24"/>
          <w:highlight w:val="none"/>
          <w:lang w:eastAsia="zh-CN"/>
        </w:rPr>
        <w:t>。</w:t>
      </w:r>
    </w:p>
    <w:p w14:paraId="6F8F905A">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质保期</w:t>
      </w:r>
    </w:p>
    <w:p w14:paraId="1A0CC9CF">
      <w:pPr>
        <w:keepNext w:val="0"/>
        <w:keepLines w:val="0"/>
        <w:pageBreakBefore w:val="0"/>
        <w:widowControl w:val="0"/>
        <w:kinsoku/>
        <w:wordWrap/>
        <w:overflowPunct/>
        <w:topLinePunct w:val="0"/>
        <w:bidi w:val="0"/>
        <w:adjustRightInd w:val="0"/>
        <w:spacing w:line="360" w:lineRule="auto"/>
        <w:ind w:left="0" w:leftChars="0"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设备装调试验收合格之日起提供</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年免费质保</w:t>
      </w:r>
      <w:r>
        <w:rPr>
          <w:rFonts w:hint="eastAsia" w:ascii="仿宋" w:hAnsi="仿宋" w:eastAsia="仿宋" w:cs="仿宋"/>
          <w:bCs/>
          <w:color w:val="auto"/>
          <w:sz w:val="24"/>
          <w:szCs w:val="24"/>
          <w:highlight w:val="none"/>
          <w:lang w:eastAsia="zh-CN"/>
        </w:rPr>
        <w:t>。</w:t>
      </w:r>
    </w:p>
    <w:p w14:paraId="40B494A9">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验收</w:t>
      </w:r>
    </w:p>
    <w:p w14:paraId="2BA83A5B">
      <w:pPr>
        <w:keepNext w:val="0"/>
        <w:keepLines w:val="0"/>
        <w:pageBreakBefore w:val="0"/>
        <w:widowControl w:val="0"/>
        <w:shd w:val="clear" w:color="auto" w:fill="auto"/>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color w:val="auto"/>
          <w:kern w:val="0"/>
          <w:sz w:val="24"/>
          <w:szCs w:val="24"/>
          <w:highlight w:val="none"/>
        </w:rPr>
        <w:t>验收由</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rPr>
        <w:t>按规定组织相关人员进行验收</w:t>
      </w:r>
      <w:r>
        <w:rPr>
          <w:rFonts w:hint="eastAsia" w:ascii="仿宋" w:hAnsi="仿宋" w:eastAsia="仿宋" w:cs="仿宋"/>
          <w:color w:val="auto"/>
          <w:sz w:val="24"/>
          <w:szCs w:val="24"/>
          <w:highlight w:val="none"/>
        </w:rPr>
        <w:t>。</w:t>
      </w:r>
    </w:p>
    <w:p w14:paraId="6431E0CC">
      <w:pPr>
        <w:pStyle w:val="15"/>
        <w:keepNext w:val="0"/>
        <w:keepLines w:val="0"/>
        <w:pageBreakBefore w:val="0"/>
        <w:widowControl w:val="0"/>
        <w:shd w:val="clear" w:color="auto" w:fill="auto"/>
        <w:kinsoku/>
        <w:wordWrap/>
        <w:overflowPunct/>
        <w:topLinePunct w:val="0"/>
        <w:bidi w:val="0"/>
        <w:adjustRightInd w:val="0"/>
        <w:snapToGrid w:val="0"/>
        <w:spacing w:before="0" w:beforeLines="0" w:after="0" w:after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snapToGrid w:val="0"/>
          <w:color w:val="auto"/>
          <w:kern w:val="0"/>
          <w:sz w:val="24"/>
          <w:szCs w:val="24"/>
          <w:highlight w:val="none"/>
        </w:rPr>
        <w:t>依据招标文件上的技术规格要求和国家有关质量标准进行现场验收。</w:t>
      </w:r>
      <w:r>
        <w:rPr>
          <w:rFonts w:hint="eastAsia" w:ascii="仿宋" w:hAnsi="仿宋" w:eastAsia="仿宋" w:cs="仿宋"/>
          <w:color w:val="auto"/>
          <w:sz w:val="24"/>
          <w:szCs w:val="24"/>
          <w:highlight w:val="none"/>
        </w:rPr>
        <w:t>验收</w:t>
      </w:r>
      <w:r>
        <w:rPr>
          <w:rFonts w:hint="eastAsia" w:ascii="仿宋" w:hAnsi="仿宋" w:eastAsia="仿宋" w:cs="仿宋"/>
          <w:color w:val="auto"/>
          <w:sz w:val="24"/>
          <w:szCs w:val="24"/>
          <w:highlight w:val="none"/>
          <w:lang w:val="en-US" w:eastAsia="zh-CN"/>
        </w:rPr>
        <w:t>合格</w:t>
      </w:r>
      <w:r>
        <w:rPr>
          <w:rFonts w:hint="eastAsia" w:ascii="仿宋" w:hAnsi="仿宋" w:eastAsia="仿宋" w:cs="仿宋"/>
          <w:color w:val="auto"/>
          <w:sz w:val="24"/>
          <w:szCs w:val="24"/>
          <w:highlight w:val="none"/>
        </w:rPr>
        <w:t>需提供各个站点水质检测报告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招标人及相关单位</w:t>
      </w:r>
      <w:r>
        <w:rPr>
          <w:rFonts w:hint="eastAsia" w:ascii="仿宋" w:hAnsi="仿宋" w:eastAsia="仿宋" w:cs="仿宋"/>
          <w:color w:val="auto"/>
          <w:sz w:val="24"/>
          <w:szCs w:val="24"/>
          <w:highlight w:val="none"/>
        </w:rPr>
        <w:t xml:space="preserve">在验收单上签字并加盖单位公章。 </w:t>
      </w:r>
    </w:p>
    <w:p w14:paraId="7DDC4116">
      <w:pPr>
        <w:pStyle w:val="15"/>
        <w:keepNext w:val="0"/>
        <w:keepLines w:val="0"/>
        <w:pageBreakBefore w:val="0"/>
        <w:widowControl w:val="0"/>
        <w:shd w:val="clear" w:color="auto" w:fill="auto"/>
        <w:kinsoku/>
        <w:wordWrap/>
        <w:overflowPunct/>
        <w:topLinePunct w:val="0"/>
        <w:bidi w:val="0"/>
        <w:adjustRightInd w:val="0"/>
        <w:snapToGrid w:val="0"/>
        <w:spacing w:before="0" w:beforeLines="0" w:after="0" w:after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、待业主单位确定运维单位后，设备验收过程需要运维单位参与，确保设备的验收合格移交。</w:t>
      </w:r>
    </w:p>
    <w:p w14:paraId="2B0475B9">
      <w:pPr>
        <w:pStyle w:val="15"/>
        <w:keepNext w:val="0"/>
        <w:keepLines w:val="0"/>
        <w:pageBreakBefore w:val="0"/>
        <w:widowControl w:val="0"/>
        <w:shd w:val="clear" w:color="auto" w:fill="auto"/>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验收时</w:t>
      </w:r>
      <w:r>
        <w:rPr>
          <w:rFonts w:hint="eastAsia" w:ascii="仿宋" w:hAnsi="仿宋" w:eastAsia="仿宋" w:cs="仿宋"/>
          <w:snapToGrid w:val="0"/>
          <w:color w:val="auto"/>
          <w:kern w:val="0"/>
          <w:sz w:val="24"/>
          <w:szCs w:val="24"/>
          <w:highlight w:val="none"/>
          <w:lang w:val="en-US" w:eastAsia="zh-CN"/>
        </w:rPr>
        <w:t>中标人</w:t>
      </w:r>
      <w:r>
        <w:rPr>
          <w:rFonts w:hint="eastAsia" w:ascii="仿宋" w:hAnsi="仿宋" w:eastAsia="仿宋" w:cs="仿宋"/>
          <w:snapToGrid w:val="0"/>
          <w:color w:val="auto"/>
          <w:kern w:val="0"/>
          <w:sz w:val="24"/>
          <w:szCs w:val="24"/>
          <w:highlight w:val="none"/>
        </w:rPr>
        <w:t>必须在现场，验收费用由</w:t>
      </w:r>
      <w:r>
        <w:rPr>
          <w:rFonts w:hint="eastAsia" w:ascii="仿宋" w:hAnsi="仿宋" w:eastAsia="仿宋" w:cs="仿宋"/>
          <w:snapToGrid w:val="0"/>
          <w:color w:val="auto"/>
          <w:kern w:val="0"/>
          <w:sz w:val="24"/>
          <w:szCs w:val="24"/>
          <w:highlight w:val="none"/>
          <w:lang w:val="en-US" w:eastAsia="zh-CN"/>
        </w:rPr>
        <w:t>中标人</w:t>
      </w:r>
      <w:r>
        <w:rPr>
          <w:rFonts w:hint="eastAsia" w:ascii="仿宋" w:hAnsi="仿宋" w:eastAsia="仿宋" w:cs="仿宋"/>
          <w:snapToGrid w:val="0"/>
          <w:color w:val="auto"/>
          <w:kern w:val="0"/>
          <w:sz w:val="24"/>
          <w:szCs w:val="24"/>
          <w:highlight w:val="none"/>
        </w:rPr>
        <w:t>负责。</w:t>
      </w:r>
    </w:p>
    <w:p w14:paraId="0432D016">
      <w:pPr>
        <w:pStyle w:val="15"/>
        <w:keepNext w:val="0"/>
        <w:keepLines w:val="0"/>
        <w:pageBreakBefore w:val="0"/>
        <w:widowControl w:val="0"/>
        <w:shd w:val="clear" w:color="auto" w:fill="auto"/>
        <w:kinsoku/>
        <w:wordWrap/>
        <w:overflowPunct/>
        <w:topLinePunct w:val="0"/>
        <w:bidi w:val="0"/>
        <w:adjustRightInd w:val="0"/>
        <w:snapToGrid w:val="0"/>
        <w:spacing w:before="120" w:beforeLines="0" w:after="120" w:afterLines="0" w:line="360" w:lineRule="auto"/>
        <w:ind w:firstLine="480" w:firstLineChars="200"/>
        <w:rPr>
          <w:rFonts w:hint="eastAsia" w:ascii="仿宋" w:hAnsi="仿宋" w:eastAsia="仿宋" w:cs="仿宋"/>
          <w:snapToGrid w:val="0"/>
          <w:color w:val="auto"/>
          <w:kern w:val="0"/>
          <w:sz w:val="24"/>
          <w:szCs w:val="24"/>
          <w:highlight w:val="none"/>
          <w:shd w:val="clear" w:color="auto" w:fill="D99594"/>
        </w:rPr>
      </w:pPr>
      <w:r>
        <w:rPr>
          <w:rFonts w:hint="eastAsia" w:ascii="仿宋" w:hAnsi="仿宋" w:eastAsia="仿宋" w:cs="仿宋"/>
          <w:snapToGrid w:val="0"/>
          <w:color w:val="auto"/>
          <w:kern w:val="0"/>
          <w:sz w:val="24"/>
          <w:szCs w:val="24"/>
          <w:highlight w:val="none"/>
          <w:shd w:val="clear" w:color="auto" w:fill="auto"/>
          <w:lang w:val="en-US" w:eastAsia="zh-CN"/>
        </w:rPr>
        <w:t>5.</w:t>
      </w:r>
      <w:r>
        <w:rPr>
          <w:rFonts w:hint="eastAsia" w:ascii="仿宋" w:hAnsi="仿宋" w:eastAsia="仿宋" w:cs="仿宋"/>
          <w:snapToGrid w:val="0"/>
          <w:color w:val="auto"/>
          <w:kern w:val="0"/>
          <w:sz w:val="24"/>
          <w:szCs w:val="24"/>
          <w:highlight w:val="none"/>
          <w:shd w:val="clear" w:color="auto" w:fill="auto"/>
        </w:rPr>
        <w:t>在供货过程中，</w:t>
      </w:r>
      <w:r>
        <w:rPr>
          <w:rFonts w:hint="eastAsia" w:ascii="仿宋" w:hAnsi="仿宋" w:eastAsia="仿宋" w:cs="仿宋"/>
          <w:snapToGrid w:val="0"/>
          <w:color w:val="auto"/>
          <w:kern w:val="0"/>
          <w:sz w:val="24"/>
          <w:szCs w:val="24"/>
          <w:highlight w:val="none"/>
          <w:shd w:val="clear" w:color="auto" w:fill="auto"/>
          <w:lang w:val="en-US" w:eastAsia="zh-CN"/>
        </w:rPr>
        <w:t>招标人</w:t>
      </w:r>
      <w:r>
        <w:rPr>
          <w:rFonts w:hint="eastAsia" w:ascii="仿宋" w:hAnsi="仿宋" w:eastAsia="仿宋" w:cs="仿宋"/>
          <w:snapToGrid w:val="0"/>
          <w:color w:val="auto"/>
          <w:kern w:val="0"/>
          <w:sz w:val="24"/>
          <w:szCs w:val="24"/>
          <w:highlight w:val="none"/>
          <w:shd w:val="clear" w:color="auto" w:fill="auto"/>
        </w:rPr>
        <w:t>有权将</w:t>
      </w:r>
      <w:r>
        <w:rPr>
          <w:rFonts w:hint="eastAsia" w:ascii="仿宋" w:hAnsi="仿宋" w:eastAsia="仿宋" w:cs="仿宋"/>
          <w:snapToGrid w:val="0"/>
          <w:color w:val="auto"/>
          <w:kern w:val="0"/>
          <w:sz w:val="24"/>
          <w:szCs w:val="24"/>
          <w:highlight w:val="none"/>
          <w:shd w:val="clear" w:color="auto" w:fill="auto"/>
          <w:lang w:val="en-US" w:eastAsia="zh-CN"/>
        </w:rPr>
        <w:t>中标人</w:t>
      </w:r>
      <w:r>
        <w:rPr>
          <w:rFonts w:hint="eastAsia" w:ascii="仿宋" w:hAnsi="仿宋" w:eastAsia="仿宋" w:cs="仿宋"/>
          <w:snapToGrid w:val="0"/>
          <w:color w:val="auto"/>
          <w:kern w:val="0"/>
          <w:sz w:val="24"/>
          <w:szCs w:val="24"/>
          <w:highlight w:val="none"/>
          <w:shd w:val="clear" w:color="auto" w:fill="auto"/>
        </w:rPr>
        <w:t>提供的产品进行抽检（送第三方检测）送检时须</w:t>
      </w:r>
      <w:r>
        <w:rPr>
          <w:rFonts w:hint="eastAsia" w:ascii="仿宋" w:hAnsi="仿宋" w:eastAsia="仿宋" w:cs="仿宋"/>
          <w:color w:val="auto"/>
          <w:sz w:val="24"/>
          <w:szCs w:val="24"/>
          <w:highlight w:val="none"/>
          <w:shd w:val="clear" w:color="auto" w:fill="auto"/>
          <w:lang w:val="en-US" w:eastAsia="zh-CN"/>
        </w:rPr>
        <w:t>招标人</w:t>
      </w:r>
      <w:r>
        <w:rPr>
          <w:rFonts w:hint="eastAsia" w:ascii="仿宋" w:hAnsi="仿宋" w:eastAsia="仿宋" w:cs="仿宋"/>
          <w:snapToGrid w:val="0"/>
          <w:color w:val="auto"/>
          <w:kern w:val="0"/>
          <w:sz w:val="24"/>
          <w:szCs w:val="24"/>
          <w:highlight w:val="none"/>
          <w:shd w:val="clear" w:color="auto" w:fill="auto"/>
        </w:rPr>
        <w:t>、</w:t>
      </w:r>
      <w:r>
        <w:rPr>
          <w:rFonts w:hint="eastAsia" w:ascii="仿宋" w:hAnsi="仿宋" w:eastAsia="仿宋" w:cs="仿宋"/>
          <w:snapToGrid w:val="0"/>
          <w:color w:val="auto"/>
          <w:kern w:val="0"/>
          <w:sz w:val="24"/>
          <w:szCs w:val="24"/>
          <w:highlight w:val="none"/>
          <w:shd w:val="clear" w:color="auto" w:fill="auto"/>
          <w:lang w:val="en-US" w:eastAsia="zh-CN"/>
        </w:rPr>
        <w:t>中标人</w:t>
      </w:r>
      <w:r>
        <w:rPr>
          <w:rFonts w:hint="eastAsia" w:ascii="仿宋" w:hAnsi="仿宋" w:eastAsia="仿宋" w:cs="仿宋"/>
          <w:snapToGrid w:val="0"/>
          <w:color w:val="auto"/>
          <w:kern w:val="0"/>
          <w:sz w:val="24"/>
          <w:szCs w:val="24"/>
          <w:highlight w:val="none"/>
          <w:shd w:val="clear" w:color="auto" w:fill="auto"/>
        </w:rPr>
        <w:t>双方在现场，检测费用（包含送检产品运输费、检测费、产品损耗费等相关的一切费用）均由</w:t>
      </w:r>
      <w:r>
        <w:rPr>
          <w:rFonts w:hint="eastAsia" w:ascii="仿宋" w:hAnsi="仿宋" w:eastAsia="仿宋" w:cs="仿宋"/>
          <w:snapToGrid w:val="0"/>
          <w:color w:val="auto"/>
          <w:kern w:val="0"/>
          <w:sz w:val="24"/>
          <w:szCs w:val="24"/>
          <w:highlight w:val="none"/>
          <w:shd w:val="clear" w:color="auto" w:fill="auto"/>
          <w:lang w:val="en-US" w:eastAsia="zh-CN"/>
        </w:rPr>
        <w:t>中标人</w:t>
      </w:r>
      <w:r>
        <w:rPr>
          <w:rFonts w:hint="eastAsia" w:ascii="仿宋" w:hAnsi="仿宋" w:eastAsia="仿宋" w:cs="仿宋"/>
          <w:snapToGrid w:val="0"/>
          <w:color w:val="auto"/>
          <w:kern w:val="0"/>
          <w:sz w:val="24"/>
          <w:szCs w:val="24"/>
          <w:highlight w:val="none"/>
          <w:shd w:val="clear" w:color="auto" w:fill="auto"/>
        </w:rPr>
        <w:t>承担。</w:t>
      </w:r>
    </w:p>
    <w:p w14:paraId="68B8EA8C">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条、质量保证及后续服务</w:t>
      </w:r>
    </w:p>
    <w:p w14:paraId="16615C00">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 乙方应按招标文件规定的货物性能、技术要求、质量标准向甲方提供未经使用的全新产品。</w:t>
      </w:r>
    </w:p>
    <w:p w14:paraId="400F60EC">
      <w:pPr>
        <w:pStyle w:val="15"/>
        <w:keepNext w:val="0"/>
        <w:keepLines w:val="0"/>
        <w:pageBreakBefore w:val="0"/>
        <w:widowControl w:val="0"/>
        <w:kinsoku/>
        <w:wordWrap/>
        <w:overflowPunct/>
        <w:topLinePunct w:val="0"/>
        <w:bidi w:val="0"/>
        <w:adjustRightInd w:val="0"/>
        <w:spacing w:beforeLines="0" w:afterLines="0" w:line="360" w:lineRule="auto"/>
        <w:ind w:firstLine="511" w:firstLineChars="213"/>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 乙方提供的货物在质保期内因货物本身的质量问题发生故障，乙方应负责免费更换。对达不到技术要求者，根据实际情况，经双方协商，可按以下办法处理：</w:t>
      </w:r>
    </w:p>
    <w:p w14:paraId="4B89C0F1">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⑴更换：由乙方承担所发生的全部费用。</w:t>
      </w:r>
    </w:p>
    <w:p w14:paraId="6E4CB1D5">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⑵贬值处理：由甲乙双方合议定价。</w:t>
      </w:r>
    </w:p>
    <w:p w14:paraId="1553FBDB">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⑶退货处理：乙方应退还甲方支付的合同款，同时应承担该货物的直接费用（运输、保险、检验、货款利息及银行手续费等）。</w:t>
      </w:r>
    </w:p>
    <w:p w14:paraId="089846EB">
      <w:pPr>
        <w:pStyle w:val="15"/>
        <w:keepNext w:val="0"/>
        <w:keepLines w:val="0"/>
        <w:pageBreakBefore w:val="0"/>
        <w:widowControl w:val="0"/>
        <w:kinsoku/>
        <w:wordWrap/>
        <w:overflowPunct/>
        <w:topLinePunct w:val="0"/>
        <w:bidi w:val="0"/>
        <w:adjustRightInd w:val="0"/>
        <w:spacing w:beforeLines="0" w:afterLines="0" w:line="360" w:lineRule="auto"/>
        <w:ind w:firstLine="511" w:firstLineChars="213"/>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 xml:space="preserve"> </w:t>
      </w:r>
      <w:r>
        <w:rPr>
          <w:rFonts w:hint="eastAsia" w:ascii="仿宋" w:hAnsi="仿宋" w:eastAsia="仿宋" w:cs="仿宋"/>
          <w:snapToGrid w:val="0"/>
          <w:color w:val="auto"/>
          <w:kern w:val="0"/>
          <w:sz w:val="24"/>
          <w:szCs w:val="24"/>
          <w:highlight w:val="none"/>
          <w:lang w:val="en-US" w:eastAsia="zh-CN"/>
        </w:rPr>
        <w:t>3.售后服务承诺</w:t>
      </w:r>
    </w:p>
    <w:p w14:paraId="2F173BDC">
      <w:pPr>
        <w:pStyle w:val="6"/>
        <w:keepNext w:val="0"/>
        <w:keepLines w:val="0"/>
        <w:pageBreakBefore w:val="0"/>
        <w:widowControl w:val="0"/>
        <w:kinsoku/>
        <w:wordWrap/>
        <w:overflowPunct/>
        <w:topLinePunct w:val="0"/>
        <w:bidi w:val="0"/>
        <w:adjustRightInd w:val="0"/>
        <w:spacing w:line="360" w:lineRule="auto"/>
        <w:ind w:left="0" w:leftChars="0" w:right="71" w:rightChars="34"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提供 24 小时售后免费现场技术支持服务，包括故障排除、技术咨询等。在设备出现故障的情况下，保证到现场服务响应</w:t>
      </w:r>
      <w:r>
        <w:rPr>
          <w:rFonts w:hint="eastAsia" w:ascii="仿宋" w:hAnsi="仿宋" w:eastAsia="仿宋" w:cs="仿宋"/>
          <w:b w:val="0"/>
          <w:color w:val="auto"/>
          <w:kern w:val="2"/>
          <w:sz w:val="24"/>
          <w:szCs w:val="24"/>
          <w:highlight w:val="none"/>
          <w:shd w:val="clear" w:color="auto" w:fill="auto"/>
          <w:lang w:val="en-US" w:eastAsia="zh-CN" w:bidi="ar-SA"/>
        </w:rPr>
        <w:t>时间</w:t>
      </w:r>
      <w:r>
        <w:rPr>
          <w:rFonts w:hint="eastAsia" w:ascii="仿宋" w:hAnsi="仿宋" w:eastAsia="仿宋" w:cs="仿宋"/>
          <w:b w:val="0"/>
          <w:color w:val="auto"/>
          <w:kern w:val="2"/>
          <w:sz w:val="24"/>
          <w:szCs w:val="24"/>
          <w:highlight w:val="none"/>
          <w:u w:val="single"/>
          <w:shd w:val="clear" w:color="auto" w:fill="auto"/>
          <w:lang w:val="en-US" w:eastAsia="zh-CN" w:bidi="ar-SA"/>
        </w:rPr>
        <w:t xml:space="preserve">    </w:t>
      </w:r>
      <w:r>
        <w:rPr>
          <w:rFonts w:hint="eastAsia" w:ascii="仿宋" w:hAnsi="仿宋" w:eastAsia="仿宋" w:cs="仿宋"/>
          <w:b w:val="0"/>
          <w:color w:val="auto"/>
          <w:kern w:val="2"/>
          <w:sz w:val="24"/>
          <w:szCs w:val="24"/>
          <w:highlight w:val="none"/>
          <w:shd w:val="clear" w:color="auto" w:fill="auto"/>
          <w:lang w:val="en-US" w:eastAsia="zh-CN" w:bidi="ar-SA"/>
        </w:rPr>
        <w:t>小时，</w:t>
      </w:r>
      <w:r>
        <w:rPr>
          <w:rFonts w:hint="eastAsia" w:ascii="仿宋" w:hAnsi="仿宋" w:eastAsia="仿宋" w:cs="仿宋"/>
          <w:b w:val="0"/>
          <w:color w:val="auto"/>
          <w:kern w:val="2"/>
          <w:sz w:val="24"/>
          <w:szCs w:val="24"/>
          <w:highlight w:val="none"/>
          <w:lang w:val="en-US" w:eastAsia="zh-CN" w:bidi="ar-SA"/>
        </w:rPr>
        <w:t>若24小时内不能修复的，应及时提供相应备用设备并负责安装调试。</w:t>
      </w:r>
    </w:p>
    <w:p w14:paraId="5B05E638">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条、违约责任</w:t>
      </w:r>
    </w:p>
    <w:p w14:paraId="225AEB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napToGrid w:val="0"/>
          <w:color w:val="auto"/>
          <w:kern w:val="0"/>
          <w:sz w:val="24"/>
          <w:szCs w:val="24"/>
          <w:highlight w:val="none"/>
          <w:shd w:val="clear" w:color="auto" w:fill="auto"/>
          <w:lang w:eastAsia="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CN" w:bidi="ar-SA"/>
        </w:rPr>
        <w:t>如乙方未在规定时间内完成项目</w:t>
      </w:r>
      <w:r>
        <w:rPr>
          <w:rFonts w:hint="eastAsia" w:ascii="仿宋" w:hAnsi="仿宋" w:eastAsia="仿宋" w:cs="仿宋"/>
          <w:color w:val="auto"/>
          <w:kern w:val="0"/>
          <w:sz w:val="24"/>
          <w:szCs w:val="24"/>
          <w:highlight w:val="none"/>
          <w:lang w:eastAsia="zh-CN" w:bidi="ar-SA"/>
        </w:rPr>
        <w:t>任务</w:t>
      </w:r>
      <w:r>
        <w:rPr>
          <w:rFonts w:hint="eastAsia" w:ascii="仿宋" w:hAnsi="仿宋" w:eastAsia="仿宋" w:cs="仿宋"/>
          <w:color w:val="auto"/>
          <w:kern w:val="0"/>
          <w:sz w:val="24"/>
          <w:szCs w:val="24"/>
          <w:highlight w:val="none"/>
          <w:lang w:val="en-US" w:eastAsia="zh-CN" w:bidi="ar-SA"/>
        </w:rPr>
        <w:t>的，每逾期一天扣每套设备1500元，总的扣款金额不超过合同金额10%扣完为止</w:t>
      </w:r>
      <w:r>
        <w:rPr>
          <w:rFonts w:hint="eastAsia" w:ascii="仿宋" w:hAnsi="仿宋" w:eastAsia="仿宋" w:cs="仿宋"/>
          <w:color w:val="auto"/>
          <w:sz w:val="24"/>
          <w:szCs w:val="24"/>
          <w:highlight w:val="none"/>
          <w:shd w:val="clear" w:color="auto" w:fill="auto"/>
          <w:lang w:val="zh-CN"/>
        </w:rPr>
        <w:t>（</w:t>
      </w:r>
      <w:r>
        <w:rPr>
          <w:rFonts w:hint="eastAsia" w:ascii="仿宋" w:hAnsi="仿宋" w:eastAsia="仿宋" w:cs="仿宋"/>
          <w:color w:val="auto"/>
          <w:sz w:val="24"/>
          <w:szCs w:val="24"/>
          <w:highlight w:val="none"/>
          <w:shd w:val="clear" w:color="auto" w:fill="auto"/>
          <w:lang w:val="en-US" w:eastAsia="zh-CN"/>
        </w:rPr>
        <w:t>损失补偿款从合同价款中扣除）；</w:t>
      </w:r>
      <w:r>
        <w:rPr>
          <w:rFonts w:hint="eastAsia" w:ascii="仿宋" w:hAnsi="仿宋" w:eastAsia="仿宋" w:cs="仿宋"/>
          <w:color w:val="auto"/>
          <w:kern w:val="1"/>
          <w:sz w:val="24"/>
          <w:highlight w:val="none"/>
          <w:lang w:val="en-US" w:eastAsia="zh-CN"/>
        </w:rPr>
        <w:t>非中标单位原因引起的等原因造成的工期延误除外，则工期顺延，后续具备条件后未经业主单位同意不得进场施工</w:t>
      </w:r>
      <w:r>
        <w:rPr>
          <w:rFonts w:hint="eastAsia" w:ascii="仿宋" w:hAnsi="仿宋" w:eastAsia="仿宋" w:cs="仿宋"/>
          <w:color w:val="auto"/>
          <w:sz w:val="24"/>
          <w:szCs w:val="24"/>
          <w:highlight w:val="none"/>
          <w:shd w:val="clear" w:color="auto" w:fill="auto"/>
          <w:lang w:val="en-US" w:eastAsia="zh-CN"/>
        </w:rPr>
        <w:t>。</w:t>
      </w:r>
    </w:p>
    <w:p w14:paraId="00224C7D">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、乙方</w:t>
      </w:r>
      <w:r>
        <w:rPr>
          <w:rFonts w:hint="eastAsia" w:ascii="仿宋" w:hAnsi="仿宋" w:eastAsia="仿宋" w:cs="仿宋"/>
          <w:snapToGrid w:val="0"/>
          <w:color w:val="auto"/>
          <w:kern w:val="0"/>
          <w:sz w:val="24"/>
          <w:szCs w:val="24"/>
          <w:highlight w:val="none"/>
          <w:lang w:val="en-US" w:eastAsia="zh-CN"/>
        </w:rPr>
        <w:t>未按照投标承诺的设备</w:t>
      </w:r>
      <w:r>
        <w:rPr>
          <w:rFonts w:hint="eastAsia" w:ascii="仿宋" w:hAnsi="仿宋" w:eastAsia="仿宋" w:cs="仿宋"/>
          <w:snapToGrid w:val="0"/>
          <w:color w:val="auto"/>
          <w:kern w:val="0"/>
          <w:sz w:val="24"/>
          <w:szCs w:val="24"/>
          <w:highlight w:val="none"/>
        </w:rPr>
        <w:t>、型号、规格、技术参数、质量标准</w:t>
      </w:r>
      <w:r>
        <w:rPr>
          <w:rFonts w:hint="eastAsia" w:ascii="仿宋" w:hAnsi="仿宋" w:eastAsia="仿宋" w:cs="仿宋"/>
          <w:snapToGrid w:val="0"/>
          <w:color w:val="auto"/>
          <w:kern w:val="0"/>
          <w:sz w:val="24"/>
          <w:szCs w:val="24"/>
          <w:highlight w:val="none"/>
          <w:lang w:val="en-US" w:eastAsia="zh-CN"/>
        </w:rPr>
        <w:t>提供货物的</w:t>
      </w:r>
      <w:r>
        <w:rPr>
          <w:rFonts w:hint="eastAsia" w:ascii="仿宋" w:hAnsi="仿宋" w:eastAsia="仿宋" w:cs="仿宋"/>
          <w:snapToGrid w:val="0"/>
          <w:color w:val="auto"/>
          <w:kern w:val="0"/>
          <w:sz w:val="24"/>
          <w:szCs w:val="24"/>
          <w:highlight w:val="none"/>
        </w:rPr>
        <w:t>，甲方有权拒收该货物，乙方愿意更换货物但逾期交货的，按乙方逾期交货处理。乙方拒绝更换货物的，甲方可单方面解除合同</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color w:val="auto"/>
          <w:spacing w:val="2"/>
          <w:sz w:val="24"/>
          <w:szCs w:val="24"/>
          <w:highlight w:val="none"/>
        </w:rPr>
        <w:t>并且不再退还履约保证</w:t>
      </w:r>
      <w:r>
        <w:rPr>
          <w:rFonts w:hint="eastAsia" w:ascii="仿宋" w:hAnsi="仿宋" w:eastAsia="仿宋" w:cs="仿宋"/>
          <w:color w:val="auto"/>
          <w:spacing w:val="-63"/>
          <w:sz w:val="24"/>
          <w:szCs w:val="24"/>
          <w:highlight w:val="none"/>
        </w:rPr>
        <w:t xml:space="preserve"> </w:t>
      </w:r>
      <w:r>
        <w:rPr>
          <w:rFonts w:hint="eastAsia" w:ascii="仿宋" w:hAnsi="仿宋" w:eastAsia="仿宋" w:cs="仿宋"/>
          <w:color w:val="auto"/>
          <w:sz w:val="24"/>
          <w:szCs w:val="24"/>
          <w:highlight w:val="none"/>
        </w:rPr>
        <w:t>金。</w:t>
      </w:r>
    </w:p>
    <w:p w14:paraId="1DC0AF4A">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3.在施工期间，如未做到安全文明施工，</w:t>
      </w:r>
      <w:r>
        <w:rPr>
          <w:rFonts w:hint="eastAsia" w:ascii="仿宋" w:hAnsi="仿宋" w:eastAsia="仿宋" w:cs="仿宋"/>
          <w:color w:val="auto"/>
          <w:sz w:val="24"/>
          <w:szCs w:val="24"/>
          <w:highlight w:val="none"/>
        </w:rPr>
        <w:t>每发现一次扣</w:t>
      </w:r>
      <w:r>
        <w:rPr>
          <w:rFonts w:hint="eastAsia" w:ascii="仿宋" w:hAnsi="仿宋" w:eastAsia="仿宋" w:cs="仿宋"/>
          <w:color w:val="auto"/>
          <w:sz w:val="24"/>
          <w:szCs w:val="24"/>
          <w:highlight w:val="none"/>
          <w:lang w:val="en-US" w:eastAsia="zh-CN"/>
        </w:rPr>
        <w:t>500元违约金，</w:t>
      </w:r>
      <w:r>
        <w:rPr>
          <w:rFonts w:hint="eastAsia" w:ascii="仿宋" w:hAnsi="仿宋" w:eastAsia="仿宋" w:cs="仿宋"/>
          <w:snapToGrid w:val="0"/>
          <w:color w:val="auto"/>
          <w:kern w:val="0"/>
          <w:sz w:val="24"/>
          <w:szCs w:val="24"/>
          <w:highlight w:val="none"/>
          <w:lang w:val="en-US" w:eastAsia="zh-CN"/>
        </w:rPr>
        <w:t>履约保证金中扣除。</w:t>
      </w:r>
    </w:p>
    <w:p w14:paraId="40D3D1DB">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4.在施工期间，如未做到环保文明施工，</w:t>
      </w:r>
      <w:r>
        <w:rPr>
          <w:rFonts w:hint="eastAsia" w:ascii="仿宋" w:hAnsi="仿宋" w:eastAsia="仿宋" w:cs="仿宋"/>
          <w:color w:val="auto"/>
          <w:sz w:val="24"/>
          <w:szCs w:val="24"/>
          <w:highlight w:val="none"/>
        </w:rPr>
        <w:t>每发现一次扣</w:t>
      </w:r>
      <w:r>
        <w:rPr>
          <w:rFonts w:hint="eastAsia" w:ascii="仿宋" w:hAnsi="仿宋" w:eastAsia="仿宋" w:cs="仿宋"/>
          <w:color w:val="auto"/>
          <w:sz w:val="24"/>
          <w:szCs w:val="24"/>
          <w:highlight w:val="none"/>
          <w:lang w:val="en-US" w:eastAsia="zh-CN"/>
        </w:rPr>
        <w:t>500元违约金，</w:t>
      </w:r>
      <w:r>
        <w:rPr>
          <w:rFonts w:hint="eastAsia" w:ascii="仿宋" w:hAnsi="仿宋" w:eastAsia="仿宋" w:cs="仿宋"/>
          <w:snapToGrid w:val="0"/>
          <w:color w:val="auto"/>
          <w:kern w:val="0"/>
          <w:sz w:val="24"/>
          <w:szCs w:val="24"/>
          <w:highlight w:val="none"/>
          <w:lang w:val="en-US" w:eastAsia="zh-CN"/>
        </w:rPr>
        <w:t>履约保证金中扣除。</w:t>
      </w:r>
    </w:p>
    <w:p w14:paraId="6EF09F51">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lang w:val="en-US" w:eastAsia="zh-CN"/>
        </w:rPr>
        <w:t>5.项目负责人、项目技术负责人必须与中标的项目负责人与项目技术负责人一致；</w:t>
      </w:r>
      <w:r>
        <w:rPr>
          <w:rFonts w:hint="eastAsia" w:ascii="仿宋" w:hAnsi="仿宋" w:eastAsia="仿宋" w:cs="仿宋"/>
          <w:snapToGrid w:val="0"/>
          <w:color w:val="auto"/>
          <w:kern w:val="0"/>
          <w:sz w:val="24"/>
          <w:szCs w:val="24"/>
          <w:highlight w:val="none"/>
          <w:shd w:val="clear" w:color="auto" w:fill="auto"/>
          <w:lang w:val="en-US" w:eastAsia="zh-CN"/>
        </w:rPr>
        <w:t>现场主要管理人员须与投标文件中的承诺到位的人员一致</w:t>
      </w:r>
      <w:r>
        <w:rPr>
          <w:rFonts w:hint="eastAsia" w:ascii="仿宋" w:hAnsi="仿宋" w:eastAsia="仿宋" w:cs="仿宋"/>
          <w:snapToGrid w:val="0"/>
          <w:color w:val="auto"/>
          <w:kern w:val="0"/>
          <w:sz w:val="24"/>
          <w:szCs w:val="24"/>
          <w:highlight w:val="none"/>
          <w:lang w:val="en-US" w:eastAsia="zh-CN"/>
        </w:rPr>
        <w:t>。若中标后，项目负责人需更换人员的，必须取得委托人的同意且更换人员的资格、经验不得低于原承诺到位人员。</w:t>
      </w:r>
      <w:r>
        <w:rPr>
          <w:rFonts w:hint="eastAsia" w:ascii="仿宋" w:hAnsi="仿宋" w:eastAsia="仿宋" w:cs="仿宋"/>
          <w:snapToGrid w:val="0"/>
          <w:color w:val="auto"/>
          <w:kern w:val="0"/>
          <w:sz w:val="24"/>
          <w:szCs w:val="24"/>
          <w:highlight w:val="none"/>
          <w:shd w:val="clear" w:color="auto" w:fill="auto"/>
          <w:lang w:val="en-US" w:eastAsia="zh-CN"/>
        </w:rPr>
        <w:t>项目负责人、项目技术负责人每</w:t>
      </w:r>
      <w:r>
        <w:rPr>
          <w:rFonts w:hint="eastAsia" w:ascii="仿宋" w:hAnsi="仿宋" w:eastAsia="仿宋" w:cs="仿宋"/>
          <w:snapToGrid w:val="0"/>
          <w:color w:val="auto"/>
          <w:kern w:val="0"/>
          <w:sz w:val="24"/>
          <w:szCs w:val="24"/>
          <w:highlight w:val="none"/>
          <w:lang w:val="en-US" w:eastAsia="zh-CN"/>
        </w:rPr>
        <w:t>更换一人次从中标价中扣除5万元。</w:t>
      </w:r>
      <w:r>
        <w:rPr>
          <w:rFonts w:hint="eastAsia" w:ascii="仿宋" w:hAnsi="仿宋" w:eastAsia="仿宋" w:cs="仿宋"/>
          <w:snapToGrid w:val="0"/>
          <w:color w:val="auto"/>
          <w:kern w:val="0"/>
          <w:sz w:val="24"/>
          <w:szCs w:val="24"/>
          <w:highlight w:val="none"/>
          <w:shd w:val="clear" w:color="auto" w:fill="auto"/>
          <w:lang w:val="en-US" w:eastAsia="zh-CN"/>
        </w:rPr>
        <w:t>项目负责人、项目技术负责人每月出勤在22天以上</w:t>
      </w:r>
      <w:r>
        <w:rPr>
          <w:rFonts w:hint="eastAsia" w:ascii="仿宋" w:hAnsi="仿宋" w:eastAsia="仿宋" w:cs="仿宋"/>
          <w:snapToGrid w:val="0"/>
          <w:color w:val="auto"/>
          <w:kern w:val="0"/>
          <w:sz w:val="24"/>
          <w:szCs w:val="24"/>
          <w:highlight w:val="none"/>
          <w:lang w:val="en-US" w:eastAsia="zh-CN"/>
        </w:rPr>
        <w:t>，休假或公出必须向委托方现场授权代表请假并征得同意。</w:t>
      </w:r>
      <w:r>
        <w:rPr>
          <w:rFonts w:hint="eastAsia" w:ascii="仿宋" w:hAnsi="仿宋" w:eastAsia="仿宋" w:cs="仿宋"/>
          <w:snapToGrid w:val="0"/>
          <w:color w:val="auto"/>
          <w:kern w:val="0"/>
          <w:sz w:val="24"/>
          <w:szCs w:val="24"/>
          <w:highlight w:val="none"/>
          <w:shd w:val="clear" w:color="auto" w:fill="auto"/>
          <w:lang w:val="en-US" w:eastAsia="zh-CN"/>
        </w:rPr>
        <w:t>项目负责人、项目技术负责人出勤每少一天支付违约金1000元。</w:t>
      </w:r>
    </w:p>
    <w:p w14:paraId="2360473F">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第十条、安全责任</w:t>
      </w:r>
    </w:p>
    <w:p w14:paraId="541D5A4C">
      <w:pPr>
        <w:keepNext w:val="0"/>
        <w:keepLines w:val="0"/>
        <w:pageBreakBefore w:val="0"/>
        <w:widowControl w:val="0"/>
        <w:kinsoku/>
        <w:wordWrap/>
        <w:overflowPunct/>
        <w:topLinePunct w:val="0"/>
        <w:bidi w:val="0"/>
        <w:adjustRightInd w:val="0"/>
        <w:spacing w:line="360" w:lineRule="auto"/>
        <w:ind w:left="1" w:right="-235" w:rightChars="-112"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乙方承担货物到货过程中运输、装卸、</w:t>
      </w:r>
      <w:r>
        <w:rPr>
          <w:rFonts w:hint="eastAsia" w:ascii="仿宋" w:hAnsi="仿宋" w:eastAsia="仿宋" w:cs="仿宋"/>
          <w:color w:val="auto"/>
          <w:sz w:val="24"/>
          <w:szCs w:val="24"/>
          <w:highlight w:val="none"/>
          <w:lang w:val="en-US" w:eastAsia="zh-CN"/>
        </w:rPr>
        <w:t>安装调试验收、</w:t>
      </w:r>
      <w:r>
        <w:rPr>
          <w:rFonts w:hint="eastAsia" w:ascii="仿宋" w:hAnsi="仿宋" w:eastAsia="仿宋" w:cs="仿宋"/>
          <w:color w:val="auto"/>
          <w:sz w:val="24"/>
          <w:szCs w:val="24"/>
          <w:highlight w:val="none"/>
        </w:rPr>
        <w:t>质保期内</w:t>
      </w:r>
      <w:r>
        <w:rPr>
          <w:rFonts w:hint="eastAsia" w:ascii="仿宋" w:hAnsi="仿宋" w:eastAsia="仿宋" w:cs="仿宋"/>
          <w:color w:val="auto"/>
          <w:sz w:val="24"/>
          <w:szCs w:val="24"/>
          <w:highlight w:val="none"/>
          <w:lang w:val="en-US" w:eastAsia="zh-CN"/>
        </w:rPr>
        <w:t>运</w:t>
      </w:r>
      <w:r>
        <w:rPr>
          <w:rFonts w:hint="eastAsia" w:ascii="仿宋" w:hAnsi="仿宋" w:eastAsia="仿宋" w:cs="仿宋"/>
          <w:color w:val="auto"/>
          <w:sz w:val="24"/>
          <w:szCs w:val="24"/>
          <w:highlight w:val="none"/>
        </w:rPr>
        <w:t>维服务的所有安全责任。</w:t>
      </w:r>
    </w:p>
    <w:p w14:paraId="0FABDF52">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条、不可抗力事件处理</w:t>
      </w:r>
    </w:p>
    <w:p w14:paraId="679A556D">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 在合同有效期内，任何一方因不可抗力事件导致不能履行合同，则合同履行期可延长，其延长期与不可抗力影响期相同。</w:t>
      </w:r>
    </w:p>
    <w:p w14:paraId="5CF73D26">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 不可抗力事件发生后，应立即通知对方，并寄送有关权威机构出具的证明。</w:t>
      </w:r>
    </w:p>
    <w:p w14:paraId="6463E5E7">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 不可抗力事件延续120天以上，双方应通过友好协商，确定是否继续履行合同。</w:t>
      </w:r>
    </w:p>
    <w:p w14:paraId="3BF3B70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条、</w:t>
      </w:r>
      <w:r>
        <w:rPr>
          <w:rFonts w:hint="eastAsia" w:ascii="仿宋" w:hAnsi="仿宋" w:eastAsia="仿宋" w:cs="仿宋"/>
          <w:b/>
          <w:bCs/>
          <w:color w:val="auto"/>
          <w:kern w:val="0"/>
          <w:sz w:val="24"/>
          <w:highlight w:val="none"/>
        </w:rPr>
        <w:t>合同争议的解决</w:t>
      </w:r>
    </w:p>
    <w:p w14:paraId="2347C44F">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snapToGrid w:val="0"/>
          <w:color w:val="auto"/>
          <w:kern w:val="0"/>
          <w:sz w:val="24"/>
          <w:szCs w:val="24"/>
          <w:highlight w:val="none"/>
          <w:u w:val="single"/>
          <w:lang w:val="en-US" w:eastAsia="zh-CN"/>
        </w:rPr>
        <w:t xml:space="preserve"> 1</w:t>
      </w:r>
      <w:r>
        <w:rPr>
          <w:rFonts w:hint="eastAsia" w:ascii="仿宋" w:hAnsi="仿宋" w:eastAsia="仿宋" w:cs="仿宋"/>
          <w:snapToGrid w:val="0"/>
          <w:color w:val="auto"/>
          <w:kern w:val="0"/>
          <w:sz w:val="24"/>
          <w:szCs w:val="24"/>
          <w:highlight w:val="none"/>
        </w:rPr>
        <w:t>条款规定的方式解决:</w:t>
      </w:r>
    </w:p>
    <w:p w14:paraId="2375172C">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1.将争议提交甲方所在地</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绍兴市</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仲裁委员会依申请仲裁时其现行有效的仲裁规则裁决:</w:t>
      </w:r>
    </w:p>
    <w:p w14:paraId="79640A0F">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2.向甲方所在地人民法院起诉。</w:t>
      </w:r>
    </w:p>
    <w:p w14:paraId="073A2CEA">
      <w:pPr>
        <w:pStyle w:val="15"/>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条、合同生效及其它</w:t>
      </w:r>
    </w:p>
    <w:p w14:paraId="4C7F6001">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1、本合同经甲方、乙方法定代表人或其委托人签字并加盖双方公章后生效。</w:t>
      </w:r>
    </w:p>
    <w:p w14:paraId="55023A70">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2、本合同一式六份，甲、乙双方各执三份。</w:t>
      </w:r>
    </w:p>
    <w:p w14:paraId="695B85C5">
      <w:pPr>
        <w:pStyle w:val="15"/>
        <w:keepNext w:val="0"/>
        <w:keepLines w:val="0"/>
        <w:pageBreakBefore w:val="0"/>
        <w:widowControl w:val="0"/>
        <w:kinsoku/>
        <w:wordWrap/>
        <w:overflowPunct/>
        <w:topLinePunct w:val="0"/>
        <w:bidi w:val="0"/>
        <w:adjustRightInd w:val="0"/>
        <w:snapToGrid w:val="0"/>
        <w:spacing w:before="0" w:beforeLines="0" w:after="0" w:afterLines="0" w:line="360" w:lineRule="auto"/>
        <w:ind w:firstLine="511" w:firstLineChars="213"/>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rPr>
        <w:t>3、与本合同有关标书及记录同本合同具有同等法律效果。</w:t>
      </w:r>
      <w:r>
        <w:rPr>
          <w:rFonts w:hint="eastAsia" w:ascii="仿宋" w:hAnsi="仿宋" w:eastAsia="仿宋" w:cs="仿宋"/>
          <w:snapToGrid w:val="0"/>
          <w:color w:val="auto"/>
          <w:kern w:val="0"/>
          <w:sz w:val="24"/>
          <w:szCs w:val="24"/>
          <w:highlight w:val="none"/>
          <w:lang w:val="en-US" w:eastAsia="zh-CN"/>
        </w:rPr>
        <w:t>本次招标未明确事宜，业主有权在最终合同中约定。</w:t>
      </w:r>
    </w:p>
    <w:p w14:paraId="3C7678AB">
      <w:pPr>
        <w:pStyle w:val="15"/>
        <w:pageBreakBefore w:val="0"/>
        <w:kinsoku/>
        <w:overflowPunct/>
        <w:topLinePunct w:val="0"/>
        <w:bidi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甲方（盖章）：                               乙方（盖章）：</w:t>
      </w:r>
    </w:p>
    <w:p w14:paraId="0B9975FA">
      <w:pPr>
        <w:pStyle w:val="15"/>
        <w:pageBreakBefore w:val="0"/>
        <w:kinsoku/>
        <w:overflowPunct/>
        <w:topLinePunct w:val="0"/>
        <w:bidi w:val="0"/>
        <w:snapToGrid w:val="0"/>
        <w:spacing w:line="360" w:lineRule="auto"/>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                         法定代表人或受委托人</w:t>
      </w:r>
    </w:p>
    <w:p w14:paraId="44513532">
      <w:pPr>
        <w:pStyle w:val="15"/>
        <w:pageBreakBefore w:val="0"/>
        <w:kinsoku/>
        <w:overflowPunct/>
        <w:topLinePunct w:val="0"/>
        <w:bidi w:val="0"/>
        <w:snapToGrid w:val="0"/>
        <w:spacing w:line="360" w:lineRule="auto"/>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32455094">
      <w:pPr>
        <w:pStyle w:val="15"/>
        <w:pageBreakBefore w:val="0"/>
        <w:kinsoku/>
        <w:overflowPunct/>
        <w:topLinePunct w:val="0"/>
        <w:bidi w:val="0"/>
        <w:snapToGrid w:val="0"/>
        <w:spacing w:line="360" w:lineRule="auto"/>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03F58657">
      <w:pPr>
        <w:pStyle w:val="15"/>
        <w:pageBreakBefore w:val="0"/>
        <w:kinsoku/>
        <w:overflowPunct/>
        <w:topLinePunct w:val="0"/>
        <w:bidi w:val="0"/>
        <w:snapToGrid w:val="0"/>
        <w:spacing w:line="360" w:lineRule="auto"/>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                                       邮编：</w:t>
      </w:r>
    </w:p>
    <w:p w14:paraId="1509D302">
      <w:pPr>
        <w:pStyle w:val="15"/>
        <w:pageBreakBefore w:val="0"/>
        <w:kinsoku/>
        <w:overflowPunct/>
        <w:topLinePunct w:val="0"/>
        <w:bidi w:val="0"/>
        <w:snapToGrid w:val="0"/>
        <w:spacing w:line="360" w:lineRule="auto"/>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7814C95F">
      <w:pPr>
        <w:pStyle w:val="15"/>
        <w:pageBreakBefore w:val="0"/>
        <w:kinsoku/>
        <w:overflowPunct/>
        <w:topLinePunct w:val="0"/>
        <w:bidi w:val="0"/>
        <w:snapToGrid w:val="0"/>
        <w:spacing w:line="360" w:lineRule="auto"/>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4A5CBBC3">
      <w:pPr>
        <w:pStyle w:val="15"/>
        <w:pageBreakBefore w:val="0"/>
        <w:kinsoku/>
        <w:overflowPunct/>
        <w:topLinePunct w:val="0"/>
        <w:bidi w:val="0"/>
        <w:snapToGrid w:val="0"/>
        <w:spacing w:line="360" w:lineRule="auto"/>
        <w:ind w:left="180" w:hanging="180" w:hangingChars="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     年   月   日</w:t>
      </w:r>
    </w:p>
    <w:p w14:paraId="7350404A">
      <w:pPr>
        <w:pageBreakBefore w:val="0"/>
        <w:kinsoku/>
        <w:overflowPunct/>
        <w:topLinePunct w:val="0"/>
        <w:bidi w:val="0"/>
        <w:spacing w:line="360" w:lineRule="auto"/>
        <w:rPr>
          <w:rFonts w:hint="eastAsia" w:ascii="仿宋" w:hAnsi="仿宋" w:eastAsia="仿宋" w:cs="仿宋"/>
          <w:b/>
          <w:bCs/>
          <w:color w:val="auto"/>
          <w:sz w:val="21"/>
          <w:szCs w:val="21"/>
          <w:highlight w:val="none"/>
        </w:rPr>
      </w:pPr>
      <w:r>
        <w:rPr>
          <w:rFonts w:hint="eastAsia" w:ascii="仿宋" w:hAnsi="仿宋" w:eastAsia="仿宋" w:cs="仿宋"/>
          <w:color w:val="auto"/>
          <w:sz w:val="24"/>
          <w:szCs w:val="24"/>
          <w:highlight w:val="none"/>
        </w:rPr>
        <w:t>签约地点：</w:t>
      </w:r>
    </w:p>
    <w:p w14:paraId="6B66EAA2">
      <w:pPr>
        <w:pageBreakBefore w:val="0"/>
        <w:kinsoku/>
        <w:overflowPunct/>
        <w:topLinePunct w:val="0"/>
        <w:bidi w:val="0"/>
        <w:spacing w:line="360" w:lineRule="auto"/>
        <w:rPr>
          <w:rFonts w:hint="eastAsia" w:ascii="仿宋" w:hAnsi="仿宋" w:eastAsia="仿宋" w:cs="仿宋"/>
          <w:b/>
          <w:bCs/>
          <w:color w:val="auto"/>
          <w:sz w:val="21"/>
          <w:szCs w:val="21"/>
          <w:highlight w:val="none"/>
        </w:rPr>
      </w:pPr>
    </w:p>
    <w:p w14:paraId="264E1A77">
      <w:pPr>
        <w:pageBreakBefore w:val="0"/>
        <w:kinsoku/>
        <w:overflowPunct/>
        <w:topLinePunct w:val="0"/>
        <w:bidi w:val="0"/>
        <w:spacing w:line="360" w:lineRule="auto"/>
        <w:rPr>
          <w:rFonts w:hint="eastAsia" w:ascii="仿宋" w:hAnsi="仿宋" w:eastAsia="仿宋" w:cs="仿宋"/>
          <w:color w:val="auto"/>
          <w:highlight w:val="none"/>
        </w:rPr>
      </w:pPr>
      <w:r>
        <w:rPr>
          <w:rFonts w:hint="eastAsia" w:ascii="仿宋" w:hAnsi="仿宋" w:eastAsia="仿宋" w:cs="仿宋"/>
          <w:b/>
          <w:bCs/>
          <w:color w:val="auto"/>
          <w:sz w:val="21"/>
          <w:szCs w:val="21"/>
          <w:highlight w:val="none"/>
        </w:rPr>
        <w:t>注：具体以双方签定的正式合同为准，合同内容不得违背本</w:t>
      </w:r>
      <w:r>
        <w:rPr>
          <w:rFonts w:hint="eastAsia" w:ascii="仿宋" w:hAnsi="仿宋" w:eastAsia="仿宋" w:cs="仿宋"/>
          <w:b/>
          <w:bCs/>
          <w:color w:val="auto"/>
          <w:sz w:val="21"/>
          <w:szCs w:val="21"/>
          <w:highlight w:val="none"/>
          <w:lang w:eastAsia="zh-CN"/>
        </w:rPr>
        <w:t>采购</w:t>
      </w:r>
      <w:r>
        <w:rPr>
          <w:rFonts w:hint="eastAsia" w:ascii="仿宋" w:hAnsi="仿宋" w:eastAsia="仿宋" w:cs="仿宋"/>
          <w:b/>
          <w:bCs/>
          <w:color w:val="auto"/>
          <w:sz w:val="21"/>
          <w:szCs w:val="21"/>
          <w:highlight w:val="none"/>
        </w:rPr>
        <w:t>文件实质性要求。</w:t>
      </w:r>
    </w:p>
    <w:p w14:paraId="4F2C5CC9">
      <w:pPr>
        <w:pageBreakBefore w:val="0"/>
        <w:kinsoku/>
        <w:overflowPunct/>
        <w:topLinePunct w:val="0"/>
        <w:bidi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BA40B62">
      <w:pPr>
        <w:pStyle w:val="2"/>
        <w:pageBreakBefore w:val="0"/>
        <w:numPr>
          <w:ilvl w:val="0"/>
          <w:numId w:val="4"/>
        </w:numPr>
        <w:kinsoku/>
        <w:overflowPunct/>
        <w:topLinePunct w:val="0"/>
        <w:bidi w:val="0"/>
        <w:spacing w:line="360" w:lineRule="auto"/>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投标文件格式</w:t>
      </w:r>
      <w:bookmarkEnd w:id="33"/>
      <w:bookmarkEnd w:id="34"/>
    </w:p>
    <w:p w14:paraId="1A0437EF">
      <w:pPr>
        <w:pStyle w:val="2"/>
        <w:pageBreakBefore w:val="0"/>
        <w:numPr>
          <w:ilvl w:val="0"/>
          <w:numId w:val="0"/>
        </w:numPr>
        <w:kinsoku/>
        <w:overflowPunct/>
        <w:topLinePunct w:val="0"/>
        <w:bidi w:val="0"/>
        <w:spacing w:line="360" w:lineRule="auto"/>
        <w:jc w:val="both"/>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附件一：</w:t>
      </w:r>
    </w:p>
    <w:p w14:paraId="4CD44223">
      <w:pPr>
        <w:pageBreakBefore w:val="0"/>
        <w:kinsoku/>
        <w:overflowPunct/>
        <w:topLinePunct w:val="0"/>
        <w:bidi w:val="0"/>
        <w:spacing w:line="360" w:lineRule="auto"/>
        <w:jc w:val="center"/>
        <w:rPr>
          <w:rFonts w:hint="eastAsia" w:ascii="仿宋" w:hAnsi="仿宋" w:eastAsia="仿宋" w:cs="仿宋"/>
          <w:b/>
          <w:color w:val="auto"/>
          <w:sz w:val="24"/>
          <w:szCs w:val="24"/>
          <w:highlight w:val="none"/>
        </w:rPr>
      </w:pPr>
    </w:p>
    <w:p w14:paraId="3EB83641">
      <w:pPr>
        <w:pageBreakBefore w:val="0"/>
        <w:kinsoku/>
        <w:overflowPunct/>
        <w:topLinePunct w:val="0"/>
        <w:bidi w:val="0"/>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eastAsia="zh-CN"/>
        </w:rPr>
        <w:t>声明书</w:t>
      </w:r>
    </w:p>
    <w:p w14:paraId="2C1D5E0D">
      <w:pPr>
        <w:pStyle w:val="59"/>
        <w:keepNext w:val="0"/>
        <w:keepLines w:val="0"/>
        <w:pageBreakBefore w:val="0"/>
        <w:kinsoku/>
        <w:wordWrap/>
        <w:overflowPunct/>
        <w:topLinePunct w:val="0"/>
        <w:autoSpaceDE/>
        <w:autoSpaceDN/>
        <w:bidi w:val="0"/>
        <w:adjustRightInd/>
        <w:snapToGrid w:val="0"/>
        <w:spacing w:after="0" w:afterLines="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嵊州市水联贸易有限公司</w:t>
      </w:r>
      <w:r>
        <w:rPr>
          <w:rFonts w:hint="eastAsia" w:ascii="仿宋" w:hAnsi="仿宋" w:eastAsia="仿宋" w:cs="仿宋"/>
          <w:color w:val="auto"/>
          <w:sz w:val="24"/>
          <w:szCs w:val="24"/>
          <w:highlight w:val="none"/>
          <w:u w:val="single"/>
        </w:rPr>
        <w:t xml:space="preserve"> </w:t>
      </w:r>
    </w:p>
    <w:p w14:paraId="7EC8C361">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（投标人名称）系中华人民共和国合法企业，经营地址</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我</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（姓名）系</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（投标人名称）的法定代表人，我方愿意参加贵方组织的</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项目的投标，为便于贵方公正、择优地确定中标人及其投标项目的服务，我方就本次投标有关事项郑重声明如下：</w:t>
      </w:r>
    </w:p>
    <w:p w14:paraId="13796151">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1.我方向贵方提交的所有投标文件、资料都是准确的和真实的；</w:t>
      </w:r>
    </w:p>
    <w:p w14:paraId="076FFE48">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2.我方不是采购人的附属机构；在获知本项目采购信息后，与采购人聘请的为此项目提供咨询服务的公司及其附属机构没有任何联系。</w:t>
      </w:r>
    </w:p>
    <w:p w14:paraId="70E98D27">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3.我方承诺已经具备采购文件规定的参加本项目采购活动的供应商应当具备的条件：</w:t>
      </w:r>
    </w:p>
    <w:p w14:paraId="704A4B2D">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（1）具有独立承担民事责任的能力；</w:t>
      </w:r>
    </w:p>
    <w:p w14:paraId="77793452">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（2）具有良好的商业信誉和健全的财务会计制度；</w:t>
      </w:r>
    </w:p>
    <w:p w14:paraId="0CD5D434">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（3）具有履行合同所必需的设备和专业技术能力；</w:t>
      </w:r>
    </w:p>
    <w:p w14:paraId="731280DF">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（4）有依法缴纳税收和社会保障资金的良好记录；</w:t>
      </w:r>
    </w:p>
    <w:p w14:paraId="5F9FDA2B">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（5）参加本次采购活动前三年内，在经营活动中没有重大违法记录；</w:t>
      </w:r>
    </w:p>
    <w:p w14:paraId="4CA77C67">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（6）至本项目投标截止时间前，我方未列入失信被执行人、重大税收违法案件当事人名单、政府采购严重违法失信行为记录名单；</w:t>
      </w:r>
    </w:p>
    <w:p w14:paraId="525F6744">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4.我方承诺：最近三年我方无行贿犯罪行为，若我方中标，愿意接受社会监督和检察院调查。                                                  </w:t>
      </w:r>
    </w:p>
    <w:p w14:paraId="0268AFE5">
      <w:pPr>
        <w:keepNext w:val="0"/>
        <w:keepLines w:val="0"/>
        <w:pageBreakBefore w:val="0"/>
        <w:widowControl w:val="0"/>
        <w:tabs>
          <w:tab w:val="left" w:pos="1418"/>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5.以上事项如有虚假或隐瞒，我方愿意承担一切后果和责任。</w:t>
      </w:r>
    </w:p>
    <w:p w14:paraId="53059853">
      <w:pPr>
        <w:pStyle w:val="59"/>
        <w:pageBreakBefore w:val="0"/>
        <w:kinsoku/>
        <w:overflowPunct/>
        <w:topLinePunct w:val="0"/>
        <w:bidi w:val="0"/>
        <w:spacing w:after="0" w:afterLines="0" w:line="360" w:lineRule="auto"/>
        <w:ind w:firstLine="420"/>
        <w:rPr>
          <w:rFonts w:hint="eastAsia" w:ascii="仿宋" w:hAnsi="仿宋" w:eastAsia="仿宋" w:cs="仿宋"/>
          <w:color w:val="auto"/>
          <w:sz w:val="24"/>
          <w:szCs w:val="24"/>
          <w:highlight w:val="none"/>
        </w:rPr>
      </w:pPr>
    </w:p>
    <w:p w14:paraId="097D5B85">
      <w:pPr>
        <w:pStyle w:val="59"/>
        <w:pageBreakBefore w:val="0"/>
        <w:kinsoku/>
        <w:overflowPunct/>
        <w:topLinePunct w:val="0"/>
        <w:bidi w:val="0"/>
        <w:spacing w:after="0" w:afterLines="0" w:line="360" w:lineRule="auto"/>
        <w:ind w:firstLine="420"/>
        <w:rPr>
          <w:rFonts w:hint="eastAsia" w:ascii="仿宋" w:hAnsi="仿宋" w:eastAsia="仿宋" w:cs="仿宋"/>
          <w:color w:val="auto"/>
          <w:sz w:val="24"/>
          <w:szCs w:val="24"/>
          <w:highlight w:val="none"/>
        </w:rPr>
      </w:pPr>
    </w:p>
    <w:p w14:paraId="338306F9">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57A024D">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003DFFAC">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10B1271E">
      <w:pPr>
        <w:pageBreakBefore w:val="0"/>
        <w:kinsoku/>
        <w:overflowPunct/>
        <w:topLinePunct w:val="0"/>
        <w:bidi w:val="0"/>
        <w:spacing w:line="360" w:lineRule="auto"/>
        <w:ind w:right="601"/>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bCs/>
          <w:color w:val="auto"/>
          <w:kern w:val="2"/>
          <w:sz w:val="24"/>
          <w:szCs w:val="24"/>
          <w:highlight w:val="none"/>
          <w:lang w:val="en-US" w:eastAsia="zh-CN" w:bidi="ar-SA"/>
        </w:rPr>
        <w:t>附件二：</w:t>
      </w:r>
    </w:p>
    <w:p w14:paraId="24930431">
      <w:pPr>
        <w:pageBreakBefore w:val="0"/>
        <w:kinsoku/>
        <w:overflowPunct/>
        <w:topLinePunct w:val="0"/>
        <w:bidi w:val="0"/>
        <w:spacing w:line="360" w:lineRule="auto"/>
        <w:jc w:val="left"/>
        <w:rPr>
          <w:rFonts w:hint="eastAsia" w:ascii="仿宋" w:hAnsi="仿宋" w:eastAsia="仿宋" w:cs="仿宋"/>
          <w:b/>
          <w:bCs/>
          <w:color w:val="auto"/>
          <w:sz w:val="24"/>
          <w:szCs w:val="24"/>
          <w:highlight w:val="none"/>
        </w:rPr>
      </w:pPr>
    </w:p>
    <w:p w14:paraId="5DB9F427">
      <w:pPr>
        <w:pageBreakBefore w:val="0"/>
        <w:kinsoku/>
        <w:overflowPunct/>
        <w:topLinePunct w:val="0"/>
        <w:bidi w:val="0"/>
        <w:spacing w:line="360" w:lineRule="auto"/>
        <w:ind w:right="601"/>
        <w:jc w:val="center"/>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符合参加采购活动应当具备的一般条件的承诺函</w:t>
      </w:r>
    </w:p>
    <w:p w14:paraId="652F878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sz w:val="24"/>
          <w:szCs w:val="24"/>
          <w:highlight w:val="none"/>
          <w:u w:val="single"/>
          <w:lang w:eastAsia="zh-CN"/>
        </w:rPr>
        <w:t>嵊州市水联贸易有限公司</w:t>
      </w:r>
      <w:r>
        <w:rPr>
          <w:rFonts w:hint="eastAsia" w:ascii="仿宋" w:hAnsi="仿宋" w:eastAsia="仿宋" w:cs="仿宋"/>
          <w:bCs/>
          <w:color w:val="auto"/>
          <w:kern w:val="0"/>
          <w:sz w:val="24"/>
          <w:szCs w:val="24"/>
          <w:highlight w:val="none"/>
          <w:u w:val="single"/>
        </w:rPr>
        <w:t>、</w:t>
      </w:r>
      <w:r>
        <w:rPr>
          <w:rFonts w:hint="eastAsia" w:ascii="仿宋" w:hAnsi="仿宋" w:eastAsia="仿宋" w:cs="仿宋"/>
          <w:bCs/>
          <w:color w:val="auto"/>
          <w:kern w:val="0"/>
          <w:sz w:val="24"/>
          <w:szCs w:val="24"/>
          <w:highlight w:val="none"/>
          <w:u w:val="single"/>
          <w:lang w:eastAsia="zh-CN"/>
        </w:rPr>
        <w:t>浙江华元工程咨询有限公司</w:t>
      </w:r>
      <w:r>
        <w:rPr>
          <w:rFonts w:hint="eastAsia" w:ascii="仿宋" w:hAnsi="仿宋" w:eastAsia="仿宋" w:cs="仿宋"/>
          <w:bCs/>
          <w:color w:val="auto"/>
          <w:kern w:val="0"/>
          <w:sz w:val="24"/>
          <w:szCs w:val="24"/>
          <w:highlight w:val="none"/>
          <w:u w:val="single"/>
        </w:rPr>
        <w:t>：</w:t>
      </w:r>
    </w:p>
    <w:p w14:paraId="3D7CC48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我方参与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eastAsia="zh-CN"/>
        </w:rPr>
        <w:t>项目名称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kern w:val="0"/>
          <w:sz w:val="24"/>
          <w:szCs w:val="24"/>
          <w:highlight w:val="none"/>
        </w:rPr>
        <w:t>的采购活动，郑重承诺：</w:t>
      </w:r>
      <w:r>
        <w:rPr>
          <w:rFonts w:hint="eastAsia" w:ascii="仿宋" w:hAnsi="仿宋" w:eastAsia="仿宋" w:cs="仿宋"/>
          <w:color w:val="auto"/>
          <w:sz w:val="24"/>
          <w:szCs w:val="24"/>
          <w:highlight w:val="none"/>
        </w:rPr>
        <w:t xml:space="preserve">     </w:t>
      </w:r>
    </w:p>
    <w:p w14:paraId="5DA978D5">
      <w:pPr>
        <w:keepNext w:val="0"/>
        <w:keepLines w:val="0"/>
        <w:pageBreakBefore w:val="0"/>
        <w:widowControl w:val="0"/>
        <w:kinsoku/>
        <w:wordWrap/>
        <w:overflowPunct/>
        <w:topLinePunct w:val="0"/>
        <w:autoSpaceDE/>
        <w:autoSpaceDN/>
        <w:bidi w:val="0"/>
        <w:adjustRightInd/>
        <w:spacing w:line="360" w:lineRule="auto"/>
        <w:ind w:firstLine="426" w:firstLineChars="177"/>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一、具备</w:t>
      </w:r>
      <w:r>
        <w:rPr>
          <w:rFonts w:hint="eastAsia" w:ascii="仿宋" w:hAnsi="仿宋" w:eastAsia="仿宋" w:cs="仿宋"/>
          <w:b/>
          <w:color w:val="auto"/>
          <w:sz w:val="24"/>
          <w:szCs w:val="24"/>
          <w:highlight w:val="none"/>
          <w:lang w:eastAsia="zh-CN"/>
        </w:rPr>
        <w:t>以下</w:t>
      </w:r>
      <w:r>
        <w:rPr>
          <w:rFonts w:hint="eastAsia" w:ascii="仿宋" w:hAnsi="仿宋" w:eastAsia="仿宋" w:cs="仿宋"/>
          <w:b/>
          <w:color w:val="auto"/>
          <w:sz w:val="24"/>
          <w:szCs w:val="24"/>
          <w:highlight w:val="none"/>
        </w:rPr>
        <w:t>条件：</w:t>
      </w:r>
    </w:p>
    <w:p w14:paraId="5B6271C0">
      <w:pPr>
        <w:keepNext w:val="0"/>
        <w:keepLines w:val="0"/>
        <w:pageBreakBefore w:val="0"/>
        <w:widowControl w:val="0"/>
        <w:kinsoku/>
        <w:wordWrap/>
        <w:overflowPunct/>
        <w:topLinePunct w:val="0"/>
        <w:autoSpaceDE/>
        <w:autoSpaceDN/>
        <w:bidi w:val="0"/>
        <w:adjustRightInd/>
        <w:spacing w:line="360" w:lineRule="auto"/>
        <w:ind w:firstLine="424" w:firstLineChars="177"/>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1.具有独立承担民事责任的能力；</w:t>
      </w:r>
    </w:p>
    <w:p w14:paraId="7D91D29B">
      <w:pPr>
        <w:keepNext w:val="0"/>
        <w:keepLines w:val="0"/>
        <w:pageBreakBefore w:val="0"/>
        <w:widowControl w:val="0"/>
        <w:kinsoku/>
        <w:wordWrap/>
        <w:overflowPunct/>
        <w:topLinePunct w:val="0"/>
        <w:autoSpaceDE/>
        <w:autoSpaceDN/>
        <w:bidi w:val="0"/>
        <w:adjustRightInd/>
        <w:spacing w:line="360" w:lineRule="auto"/>
        <w:ind w:firstLine="424" w:firstLineChars="177"/>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2.具有良好的商业信誉和健全的财务会计制度；</w:t>
      </w:r>
    </w:p>
    <w:p w14:paraId="493DD9D4">
      <w:pPr>
        <w:keepNext w:val="0"/>
        <w:keepLines w:val="0"/>
        <w:pageBreakBefore w:val="0"/>
        <w:widowControl w:val="0"/>
        <w:kinsoku/>
        <w:wordWrap/>
        <w:overflowPunct/>
        <w:topLinePunct w:val="0"/>
        <w:autoSpaceDE/>
        <w:autoSpaceDN/>
        <w:bidi w:val="0"/>
        <w:adjustRightInd/>
        <w:spacing w:line="360" w:lineRule="auto"/>
        <w:ind w:firstLine="424" w:firstLineChars="177"/>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3.具有履行本项目合同所必需的设备和专业技术能力；</w:t>
      </w:r>
    </w:p>
    <w:p w14:paraId="17F2A1F2">
      <w:pPr>
        <w:keepNext w:val="0"/>
        <w:keepLines w:val="0"/>
        <w:pageBreakBefore w:val="0"/>
        <w:widowControl w:val="0"/>
        <w:kinsoku/>
        <w:wordWrap/>
        <w:overflowPunct/>
        <w:topLinePunct w:val="0"/>
        <w:autoSpaceDE/>
        <w:autoSpaceDN/>
        <w:bidi w:val="0"/>
        <w:adjustRightInd/>
        <w:spacing w:line="360" w:lineRule="auto"/>
        <w:ind w:firstLine="424" w:firstLineChars="177"/>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4.有依法缴纳税收和社会保障资金的良好记录；</w:t>
      </w:r>
    </w:p>
    <w:p w14:paraId="38A4C009">
      <w:pPr>
        <w:keepNext w:val="0"/>
        <w:keepLines w:val="0"/>
        <w:pageBreakBefore w:val="0"/>
        <w:widowControl w:val="0"/>
        <w:kinsoku/>
        <w:wordWrap/>
        <w:overflowPunct/>
        <w:topLinePunct w:val="0"/>
        <w:autoSpaceDE/>
        <w:autoSpaceDN/>
        <w:bidi w:val="0"/>
        <w:adjustRightIn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5.在参加本次政府采购活动前三年内，经营活动中没有重大违法记录</w:t>
      </w:r>
      <w:r>
        <w:rPr>
          <w:rFonts w:hint="eastAsia" w:ascii="仿宋" w:hAnsi="仿宋" w:eastAsia="仿宋" w:cs="仿宋"/>
          <w:color w:val="auto"/>
          <w:sz w:val="24"/>
          <w:szCs w:val="24"/>
          <w:highlight w:val="none"/>
        </w:rPr>
        <w:t>；</w:t>
      </w:r>
    </w:p>
    <w:p w14:paraId="0042EDF5">
      <w:pPr>
        <w:keepNext w:val="0"/>
        <w:keepLines w:val="0"/>
        <w:pageBreakBefore w:val="0"/>
        <w:widowControl w:val="0"/>
        <w:kinsoku/>
        <w:wordWrap/>
        <w:overflowPunct/>
        <w:topLinePunct w:val="0"/>
        <w:autoSpaceDE/>
        <w:autoSpaceDN/>
        <w:bidi w:val="0"/>
        <w:adjustRightIn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2D0B2B9D">
      <w:pPr>
        <w:keepNext w:val="0"/>
        <w:keepLines w:val="0"/>
        <w:pageBreakBefore w:val="0"/>
        <w:widowControl w:val="0"/>
        <w:kinsoku/>
        <w:wordWrap/>
        <w:overflowPunct/>
        <w:topLinePunct w:val="0"/>
        <w:autoSpaceDE/>
        <w:autoSpaceDN/>
        <w:bidi w:val="0"/>
        <w:adjustRightInd/>
        <w:spacing w:line="360" w:lineRule="auto"/>
        <w:ind w:firstLine="426" w:firstLineChars="177"/>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kern w:val="0"/>
          <w:sz w:val="24"/>
          <w:szCs w:val="24"/>
          <w:highlight w:val="none"/>
        </w:rPr>
        <w:t>未被“信用中国”（www.creditchina.gov.cn）、“中国政府采购网”（www.ccgp.gov.cn）列入失信被执行人名单、重大税收违法案件当事人名单、政府采购严重违法失信行为记录名单。</w:t>
      </w:r>
    </w:p>
    <w:p w14:paraId="398DE9E2">
      <w:pPr>
        <w:keepNext w:val="0"/>
        <w:keepLines w:val="0"/>
        <w:pageBreakBefore w:val="0"/>
        <w:widowControl w:val="0"/>
        <w:kinsoku/>
        <w:wordWrap/>
        <w:overflowPunct/>
        <w:topLinePunct w:val="0"/>
        <w:autoSpaceDE/>
        <w:autoSpaceDN/>
        <w:bidi w:val="0"/>
        <w:adjustRightInd/>
        <w:spacing w:line="360" w:lineRule="auto"/>
        <w:ind w:firstLine="426" w:firstLineChars="177"/>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三、不存在以下情况：</w:t>
      </w:r>
    </w:p>
    <w:p w14:paraId="0B9D0A60">
      <w:pPr>
        <w:keepNext w:val="0"/>
        <w:keepLines w:val="0"/>
        <w:pageBreakBefore w:val="0"/>
        <w:widowControl w:val="0"/>
        <w:kinsoku/>
        <w:wordWrap/>
        <w:overflowPunct/>
        <w:topLinePunct w:val="0"/>
        <w:autoSpaceDE/>
        <w:autoSpaceDN/>
        <w:bidi w:val="0"/>
        <w:adjustRightInd/>
        <w:snapToGrid w:val="0"/>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195FF690">
      <w:pPr>
        <w:keepNext w:val="0"/>
        <w:keepLines w:val="0"/>
        <w:pageBreakBefore w:val="0"/>
        <w:widowControl w:val="0"/>
        <w:kinsoku/>
        <w:wordWrap/>
        <w:overflowPunct/>
        <w:topLinePunct w:val="0"/>
        <w:autoSpaceDE/>
        <w:autoSpaceDN/>
        <w:bidi w:val="0"/>
        <w:adjustRightInd/>
        <w:spacing w:line="360" w:lineRule="auto"/>
        <w:ind w:firstLine="424" w:firstLineChars="177"/>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37C17D70">
      <w:pPr>
        <w:keepNext w:val="0"/>
        <w:keepLines w:val="0"/>
        <w:pageBreakBefore w:val="0"/>
        <w:widowControl w:val="0"/>
        <w:kinsoku/>
        <w:wordWrap/>
        <w:overflowPunct/>
        <w:topLinePunct w:val="0"/>
        <w:autoSpaceDE/>
        <w:autoSpaceDN/>
        <w:bidi w:val="0"/>
        <w:adjustRightInd/>
        <w:spacing w:line="360" w:lineRule="auto"/>
        <w:ind w:firstLine="426" w:firstLineChars="177"/>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以上承诺如有虚假或隐瞒，采购人可取消我方任何资格（投标/中标/签订合同），我方对此无任何异议，并愿意承担一切后果和责任。</w:t>
      </w:r>
    </w:p>
    <w:p w14:paraId="6DEDB8A3">
      <w:pPr>
        <w:pageBreakBefore w:val="0"/>
        <w:kinsoku/>
        <w:overflowPunct/>
        <w:topLinePunct w:val="0"/>
        <w:bidi w:val="0"/>
        <w:spacing w:line="360" w:lineRule="auto"/>
        <w:ind w:right="-21" w:rightChars="-10" w:firstLine="5520" w:firstLineChars="2300"/>
        <w:rPr>
          <w:rFonts w:hint="eastAsia" w:ascii="仿宋" w:hAnsi="仿宋" w:eastAsia="仿宋" w:cs="仿宋"/>
          <w:color w:val="auto"/>
          <w:sz w:val="24"/>
          <w:szCs w:val="24"/>
          <w:highlight w:val="none"/>
        </w:rPr>
      </w:pPr>
    </w:p>
    <w:p w14:paraId="45B1BA36">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5DA505FD">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8691AC9">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573B32E4">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76DBA10B">
      <w:pPr>
        <w:pageBreakBefore w:val="0"/>
        <w:kinsoku/>
        <w:overflowPunct/>
        <w:topLinePunct w:val="0"/>
        <w:bidi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39CBCB7D">
      <w:pPr>
        <w:pStyle w:val="3"/>
        <w:pageBreakBefore w:val="0"/>
        <w:numPr>
          <w:ilvl w:val="0"/>
          <w:numId w:val="0"/>
        </w:numPr>
        <w:tabs>
          <w:tab w:val="left" w:pos="358"/>
          <w:tab w:val="left" w:pos="420"/>
          <w:tab w:val="clear" w:pos="432"/>
        </w:tabs>
        <w:kinsoku/>
        <w:overflowPunct/>
        <w:topLinePunct w:val="0"/>
        <w:bidi w:val="0"/>
        <w:spacing w:before="400" w:after="0" w:line="360" w:lineRule="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附件</w:t>
      </w:r>
      <w:r>
        <w:rPr>
          <w:rFonts w:hint="eastAsia" w:ascii="仿宋" w:hAnsi="仿宋" w:eastAsia="仿宋" w:cs="仿宋"/>
          <w:bCs/>
          <w:color w:val="auto"/>
          <w:sz w:val="24"/>
          <w:szCs w:val="24"/>
          <w:highlight w:val="none"/>
          <w:lang w:val="en-US" w:eastAsia="zh-CN"/>
        </w:rPr>
        <w:t>三</w:t>
      </w:r>
      <w:r>
        <w:rPr>
          <w:rFonts w:hint="eastAsia" w:ascii="仿宋" w:eastAsia="仿宋" w:cs="仿宋"/>
          <w:color w:val="auto"/>
          <w:sz w:val="24"/>
          <w:szCs w:val="24"/>
          <w:highlight w:val="none"/>
          <w:lang w:eastAsia="zh-CN"/>
        </w:rPr>
        <w:t>：</w:t>
      </w:r>
    </w:p>
    <w:p w14:paraId="055AD7D5">
      <w:pPr>
        <w:pStyle w:val="6"/>
        <w:pageBreakBefore w:val="0"/>
        <w:kinsoku/>
        <w:overflowPunct/>
        <w:topLinePunct w:val="0"/>
        <w:bidi w:val="0"/>
        <w:spacing w:line="360" w:lineRule="auto"/>
        <w:rPr>
          <w:rFonts w:hint="eastAsia" w:ascii="仿宋" w:hAnsi="仿宋" w:eastAsia="仿宋" w:cs="仿宋"/>
          <w:color w:val="auto"/>
          <w:sz w:val="24"/>
          <w:szCs w:val="24"/>
          <w:highlight w:val="none"/>
        </w:rPr>
      </w:pPr>
    </w:p>
    <w:p w14:paraId="36061754">
      <w:pPr>
        <w:pageBreakBefore w:val="0"/>
        <w:kinsoku/>
        <w:overflowPunct/>
        <w:topLinePunct w:val="0"/>
        <w:bidi w:val="0"/>
        <w:snapToGrid w:val="0"/>
        <w:spacing w:before="50" w:after="50" w:line="360" w:lineRule="auto"/>
        <w:ind w:firstLine="56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具有履行合同所必需的设备和专业技术能力的承诺函</w:t>
      </w:r>
    </w:p>
    <w:p w14:paraId="6E73E923">
      <w:pPr>
        <w:pageBreakBefore w:val="0"/>
        <w:kinsoku/>
        <w:overflowPunct/>
        <w:topLinePunct w:val="0"/>
        <w:bidi w:val="0"/>
        <w:snapToGrid w:val="0"/>
        <w:spacing w:before="156" w:beforeLines="50" w:after="50" w:line="360" w:lineRule="auto"/>
        <w:rPr>
          <w:rFonts w:hint="eastAsia" w:ascii="仿宋" w:hAnsi="仿宋" w:eastAsia="仿宋" w:cs="仿宋"/>
          <w:color w:val="auto"/>
          <w:sz w:val="24"/>
          <w:szCs w:val="24"/>
          <w:highlight w:val="none"/>
          <w:u w:val="single"/>
        </w:rPr>
      </w:pPr>
    </w:p>
    <w:p w14:paraId="0F3E39B3">
      <w:pPr>
        <w:pageBreakBefore w:val="0"/>
        <w:kinsoku/>
        <w:overflowPunct/>
        <w:topLinePunct w:val="0"/>
        <w:bidi w:val="0"/>
        <w:snapToGrid w:val="0"/>
        <w:spacing w:before="156" w:beforeLines="50" w:after="50"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lang w:eastAsia="zh-CN"/>
        </w:rPr>
        <w:t>嵊州市水联贸易有限公司</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浙江华元工程咨询有限公司</w:t>
      </w:r>
      <w:r>
        <w:rPr>
          <w:rFonts w:hint="eastAsia" w:ascii="仿宋" w:hAnsi="仿宋" w:eastAsia="仿宋" w:cs="仿宋"/>
          <w:color w:val="auto"/>
          <w:sz w:val="24"/>
          <w:szCs w:val="24"/>
          <w:highlight w:val="none"/>
          <w:u w:val="single"/>
        </w:rPr>
        <w:t>：</w:t>
      </w:r>
    </w:p>
    <w:p w14:paraId="32434BAC">
      <w:pPr>
        <w:pageBreakBefore w:val="0"/>
        <w:kinsoku/>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我方郑重声明，我方具有履行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项目名称</w:t>
      </w:r>
      <w:r>
        <w:rPr>
          <w:rFonts w:hint="eastAsia" w:ascii="仿宋" w:hAnsi="仿宋" w:eastAsia="仿宋" w:cs="仿宋"/>
          <w:color w:val="auto"/>
          <w:kern w:val="0"/>
          <w:sz w:val="24"/>
          <w:szCs w:val="24"/>
          <w:highlight w:val="none"/>
          <w:u w:val="single"/>
        </w:rPr>
        <w:t xml:space="preserve">   （项目编号：        ）</w:t>
      </w:r>
      <w:r>
        <w:rPr>
          <w:rFonts w:hint="eastAsia" w:ascii="仿宋" w:hAnsi="仿宋" w:eastAsia="仿宋" w:cs="仿宋"/>
          <w:color w:val="auto"/>
          <w:kern w:val="0"/>
          <w:sz w:val="24"/>
          <w:szCs w:val="24"/>
          <w:highlight w:val="none"/>
        </w:rPr>
        <w:t>合同所必需的设备和专业技术能力，如中标，我方将按我方投标文件承诺，保证合同顺利履行。如有虚假或隐瞒，愿意承担一切后果。</w:t>
      </w:r>
    </w:p>
    <w:p w14:paraId="69350EBD">
      <w:pPr>
        <w:pageBreakBefore w:val="0"/>
        <w:kinsoku/>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p>
    <w:p w14:paraId="7434D110">
      <w:pPr>
        <w:pageBreakBefore w:val="0"/>
        <w:kinsoku/>
        <w:overflowPunct/>
        <w:topLinePunct w:val="0"/>
        <w:bidi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特此承诺！</w:t>
      </w:r>
    </w:p>
    <w:p w14:paraId="681E54C7">
      <w:pPr>
        <w:pageBreakBefore w:val="0"/>
        <w:kinsoku/>
        <w:overflowPunct/>
        <w:topLinePunct w:val="0"/>
        <w:bidi w:val="0"/>
        <w:spacing w:line="360" w:lineRule="auto"/>
        <w:rPr>
          <w:rFonts w:hint="eastAsia" w:ascii="仿宋" w:hAnsi="仿宋" w:eastAsia="仿宋" w:cs="仿宋"/>
          <w:color w:val="auto"/>
          <w:kern w:val="0"/>
          <w:sz w:val="24"/>
          <w:szCs w:val="24"/>
          <w:highlight w:val="none"/>
        </w:rPr>
      </w:pPr>
    </w:p>
    <w:p w14:paraId="14DE24F8">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CAA3B69">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754313D7">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314495D7">
      <w:pPr>
        <w:pageBreakBefore w:val="0"/>
        <w:kinsoku/>
        <w:overflowPunct/>
        <w:topLinePunct w:val="0"/>
        <w:bidi w:val="0"/>
        <w:spacing w:line="360" w:lineRule="auto"/>
        <w:ind w:firstLine="480" w:firstLineChars="200"/>
        <w:jc w:val="center"/>
        <w:rPr>
          <w:rFonts w:hint="eastAsia" w:ascii="仿宋" w:hAnsi="仿宋" w:eastAsia="仿宋" w:cs="仿宋"/>
          <w:color w:val="auto"/>
          <w:sz w:val="24"/>
          <w:szCs w:val="24"/>
          <w:highlight w:val="none"/>
          <w:shd w:val="clear" w:color="FFFFFF" w:fill="D9D9D9"/>
        </w:rPr>
      </w:pPr>
    </w:p>
    <w:p w14:paraId="247F480E">
      <w:pPr>
        <w:pageBreakBefore w:val="0"/>
        <w:kinsoku/>
        <w:overflowPunct/>
        <w:topLinePunct w:val="0"/>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54611EA">
      <w:pPr>
        <w:pageBreakBefore w:val="0"/>
        <w:widowControl/>
        <w:kinsoku/>
        <w:overflowPunct/>
        <w:topLinePunct w:val="0"/>
        <w:bidi w:val="0"/>
        <w:adjustRightInd/>
        <w:spacing w:line="360" w:lineRule="auto"/>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color w:val="auto"/>
          <w:sz w:val="24"/>
          <w:szCs w:val="24"/>
          <w:highlight w:val="none"/>
          <w:lang w:eastAsia="zh-CN"/>
        </w:rPr>
        <w:t>：</w:t>
      </w:r>
    </w:p>
    <w:p w14:paraId="6804ED51">
      <w:pPr>
        <w:pageBreakBefore w:val="0"/>
        <w:kinsoku/>
        <w:overflowPunct/>
        <w:topLinePunct w:val="0"/>
        <w:bidi w:val="0"/>
        <w:spacing w:line="360" w:lineRule="auto"/>
        <w:jc w:val="center"/>
        <w:rPr>
          <w:rFonts w:hint="eastAsia" w:ascii="仿宋" w:hAnsi="仿宋" w:eastAsia="仿宋" w:cs="仿宋"/>
          <w:b/>
          <w:color w:val="auto"/>
          <w:sz w:val="24"/>
          <w:szCs w:val="24"/>
          <w:highlight w:val="none"/>
        </w:rPr>
      </w:pPr>
    </w:p>
    <w:p w14:paraId="4B6E5887">
      <w:pPr>
        <w:pageBreakBefore w:val="0"/>
        <w:kinsoku/>
        <w:overflowPunct/>
        <w:topLinePunct w:val="0"/>
        <w:bidi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法定代表人授权委托书</w:t>
      </w:r>
    </w:p>
    <w:p w14:paraId="24C1EFEB">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14698B3D">
      <w:pPr>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(填写姓名)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（填写投标人单位全称）</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（填写单位全称）</w:t>
      </w:r>
      <w:r>
        <w:rPr>
          <w:rFonts w:hint="eastAsia" w:ascii="仿宋" w:hAnsi="仿宋" w:eastAsia="仿宋" w:cs="仿宋"/>
          <w:color w:val="auto"/>
          <w:sz w:val="24"/>
          <w:szCs w:val="24"/>
          <w:highlight w:val="none"/>
        </w:rPr>
        <w:t>的（填写姓名）为我公司授权代表，</w:t>
      </w:r>
      <w:r>
        <w:rPr>
          <w:rFonts w:hint="eastAsia" w:ascii="仿宋" w:hAnsi="仿宋" w:eastAsia="仿宋" w:cs="仿宋"/>
          <w:color w:val="auto"/>
          <w:sz w:val="24"/>
          <w:szCs w:val="24"/>
          <w:highlight w:val="none"/>
          <w:u w:val="single"/>
        </w:rPr>
        <w:t>（填写身份证号码：                   ）</w:t>
      </w:r>
      <w:r>
        <w:rPr>
          <w:rFonts w:hint="eastAsia" w:ascii="仿宋" w:hAnsi="仿宋" w:eastAsia="仿宋" w:cs="仿宋"/>
          <w:color w:val="auto"/>
          <w:sz w:val="24"/>
          <w:szCs w:val="24"/>
          <w:highlight w:val="none"/>
        </w:rPr>
        <w:t>。以本公司的名义参加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组织的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投标活动。授权代表在开标、评标、合同谈判过程中所签署的一切文件和处理与之有关的一切事务，我均予以承认。</w:t>
      </w:r>
    </w:p>
    <w:p w14:paraId="1DE980A8">
      <w:pPr>
        <w:pageBreakBefore w:val="0"/>
        <w:kinsoku/>
        <w:overflowPunct/>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在撤销授权的书面通知以前，本授权书一直有效。全权代表在授权书有效期内签署的所有文件不因授权的撤销而失效。</w:t>
      </w:r>
    </w:p>
    <w:p w14:paraId="2D687896">
      <w:pPr>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756906A5">
      <w:pPr>
        <w:pageBreakBefore w:val="0"/>
        <w:kinsoku/>
        <w:overflowPunct/>
        <w:topLinePunct w:val="0"/>
        <w:bidi w:val="0"/>
        <w:snapToGrid w:val="0"/>
        <w:spacing w:line="360" w:lineRule="auto"/>
        <w:jc w:val="left"/>
        <w:rPr>
          <w:rFonts w:hint="eastAsia" w:ascii="仿宋" w:hAnsi="仿宋" w:eastAsia="仿宋" w:cs="仿宋"/>
          <w:color w:val="auto"/>
          <w:sz w:val="24"/>
          <w:szCs w:val="24"/>
          <w:highlight w:val="none"/>
        </w:rPr>
      </w:pPr>
    </w:p>
    <w:p w14:paraId="06778903">
      <w:pPr>
        <w:pageBreakBefore w:val="0"/>
        <w:kinsoku/>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授权代表姓名：              性别：               年龄：</w:t>
      </w:r>
    </w:p>
    <w:p w14:paraId="66865D25">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7C1551AD">
      <w:pPr>
        <w:pageBreakBefore w:val="0"/>
        <w:kinsoku/>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                      部门：               职务：</w:t>
      </w:r>
    </w:p>
    <w:p w14:paraId="601AEB59">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7A205A98">
      <w:pPr>
        <w:pageBreakBefore w:val="0"/>
        <w:widowControl/>
        <w:kinsoku/>
        <w:overflowPunct/>
        <w:topLinePunct w:val="0"/>
        <w:bidi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办公地址：                  联系电话：           传真：</w:t>
      </w:r>
    </w:p>
    <w:p w14:paraId="5A68804B">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5DB8A689">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3A800DD4">
      <w:pPr>
        <w:pageBreakBefore w:val="0"/>
        <w:kinsoku/>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投标人（电子签章）：</w:t>
      </w:r>
    </w:p>
    <w:p w14:paraId="175093CB">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679A15DD">
      <w:pPr>
        <w:pageBreakBefore w:val="0"/>
        <w:kinsoku/>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7F0F2593">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41DA80B2">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5A33FB42">
      <w:pPr>
        <w:pageBreakBefore w:val="0"/>
        <w:kinsoku/>
        <w:overflowPunct/>
        <w:topLinePunct w:val="0"/>
        <w:bidi w:val="0"/>
        <w:spacing w:line="360" w:lineRule="auto"/>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5BD88798">
      <w:pPr>
        <w:pageBreakBefore w:val="0"/>
        <w:kinsoku/>
        <w:overflowPunct/>
        <w:topLinePunct w:val="0"/>
        <w:bidi w:val="0"/>
        <w:snapToGrid w:val="0"/>
        <w:spacing w:before="50" w:after="50"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bookmarkStart w:id="35" w:name="_Toc384363150"/>
    </w:p>
    <w:p w14:paraId="7DA08483">
      <w:pPr>
        <w:pageBreakBefore w:val="0"/>
        <w:kinsoku/>
        <w:overflowPunct/>
        <w:topLinePunct w:val="0"/>
        <w:bidi w:val="0"/>
        <w:snapToGrid w:val="0"/>
        <w:spacing w:before="50" w:after="50" w:line="360" w:lineRule="auto"/>
        <w:jc w:val="center"/>
        <w:rPr>
          <w:rFonts w:hint="eastAsia" w:ascii="仿宋" w:hAnsi="仿宋" w:eastAsia="仿宋" w:cs="仿宋"/>
          <w:b/>
          <w:bCs/>
          <w:color w:val="auto"/>
          <w:kern w:val="0"/>
          <w:sz w:val="24"/>
          <w:szCs w:val="24"/>
          <w:highlight w:val="none"/>
        </w:rPr>
      </w:pPr>
    </w:p>
    <w:bookmarkEnd w:id="35"/>
    <w:p w14:paraId="23F120E7">
      <w:pPr>
        <w:pageBreakBefore w:val="0"/>
        <w:widowControl/>
        <w:kinsoku/>
        <w:overflowPunct/>
        <w:topLinePunct w:val="0"/>
        <w:bidi w:val="0"/>
        <w:adjustRightInd/>
        <w:spacing w:line="360" w:lineRule="auto"/>
        <w:jc w:val="center"/>
        <w:rPr>
          <w:rFonts w:hint="eastAsia" w:ascii="仿宋" w:hAnsi="仿宋" w:eastAsia="仿宋" w:cs="仿宋"/>
          <w:b/>
          <w:color w:val="auto"/>
          <w:sz w:val="24"/>
          <w:szCs w:val="24"/>
          <w:highlight w:val="none"/>
          <w:lang w:val="en-US" w:eastAsia="zh-CN"/>
        </w:rPr>
      </w:pPr>
      <w:bookmarkStart w:id="36" w:name="_Toc384363154"/>
    </w:p>
    <w:p w14:paraId="0067116F">
      <w:pPr>
        <w:pageBreakBefore w:val="0"/>
        <w:kinsoku/>
        <w:overflowPunct/>
        <w:topLinePunct w:val="0"/>
        <w:bidi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法定代表人身份证明</w:t>
      </w:r>
    </w:p>
    <w:p w14:paraId="00189E39">
      <w:pPr>
        <w:pageBreakBefore w:val="0"/>
        <w:widowControl/>
        <w:kinsoku/>
        <w:overflowPunct/>
        <w:topLinePunct w:val="0"/>
        <w:bidi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14:paraId="2B72856B">
      <w:pPr>
        <w:pageBreakBefore w:val="0"/>
        <w:widowControl/>
        <w:kinsoku/>
        <w:overflowPunct/>
        <w:topLinePunct w:val="0"/>
        <w:bidi w:val="0"/>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594BDDAA">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14:paraId="20368D47">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63711E12">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C9F9130">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728E322D">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0AA94D4D">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14:paraId="5CBF3689">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14:paraId="5AD091E9">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（供应商名称）的法定代表人。</w:t>
      </w:r>
    </w:p>
    <w:p w14:paraId="516061B3">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18A08A31">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0322DD2">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03AD668">
      <w:pPr>
        <w:keepNext w:val="0"/>
        <w:keepLines w:val="0"/>
        <w:pageBreakBefore w:val="0"/>
        <w:widowControl/>
        <w:kinsoku/>
        <w:wordWrap/>
        <w:overflowPunct/>
        <w:topLinePunct w:val="0"/>
        <w:autoSpaceDE/>
        <w:autoSpaceDN/>
        <w:bidi w:val="0"/>
        <w:adjustRightInd/>
        <w:snapToGrid/>
        <w:spacing w:line="360" w:lineRule="auto"/>
        <w:ind w:right="0" w:firstLine="5308" w:firstLineChars="2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供应商名称(电子签章)：</w:t>
      </w:r>
    </w:p>
    <w:p w14:paraId="75541868">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仿宋" w:hAnsi="仿宋" w:eastAsia="仿宋" w:cs="仿宋"/>
          <w:color w:val="auto"/>
          <w:kern w:val="0"/>
          <w:sz w:val="24"/>
          <w:szCs w:val="24"/>
          <w:highlight w:val="none"/>
          <w:u w:val="single"/>
        </w:rPr>
      </w:pPr>
    </w:p>
    <w:p w14:paraId="6C765987">
      <w:pPr>
        <w:keepNext w:val="0"/>
        <w:keepLines w:val="0"/>
        <w:pageBreakBefore w:val="0"/>
        <w:widowControl/>
        <w:kinsoku/>
        <w:wordWrap/>
        <w:overflowPunct/>
        <w:topLinePunct w:val="0"/>
        <w:autoSpaceDE/>
        <w:autoSpaceDN/>
        <w:bidi w:val="0"/>
        <w:adjustRightInd/>
        <w:snapToGrid/>
        <w:spacing w:line="360" w:lineRule="auto"/>
        <w:ind w:right="0"/>
        <w:jc w:val="righ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0DCF53A">
      <w:pPr>
        <w:pageBreakBefore w:val="0"/>
        <w:widowControl/>
        <w:kinsoku/>
        <w:overflowPunct/>
        <w:topLinePunct w:val="0"/>
        <w:bidi w:val="0"/>
        <w:spacing w:line="360" w:lineRule="auto"/>
        <w:jc w:val="center"/>
        <w:rPr>
          <w:rFonts w:hint="eastAsia" w:ascii="仿宋" w:hAnsi="仿宋" w:eastAsia="仿宋" w:cs="仿宋"/>
          <w:color w:val="auto"/>
          <w:kern w:val="0"/>
          <w:sz w:val="24"/>
          <w:szCs w:val="24"/>
          <w:highlight w:val="none"/>
        </w:rPr>
      </w:pPr>
    </w:p>
    <w:p w14:paraId="5C741E56">
      <w:pPr>
        <w:pStyle w:val="15"/>
        <w:pageBreakBefore w:val="0"/>
        <w:kinsoku/>
        <w:overflowPunct/>
        <w:topLinePunct w:val="0"/>
        <w:bidi w:val="0"/>
        <w:spacing w:line="360" w:lineRule="auto"/>
        <w:jc w:val="center"/>
        <w:rPr>
          <w:rFonts w:hint="eastAsia" w:ascii="仿宋" w:hAnsi="仿宋" w:eastAsia="仿宋" w:cs="仿宋"/>
          <w:b/>
          <w:color w:val="auto"/>
          <w:kern w:val="2"/>
          <w:sz w:val="24"/>
          <w:szCs w:val="24"/>
          <w:highlight w:val="none"/>
        </w:rPr>
      </w:pPr>
    </w:p>
    <w:p w14:paraId="713015A9">
      <w:pPr>
        <w:pStyle w:val="15"/>
        <w:pageBreakBefore w:val="0"/>
        <w:kinsoku/>
        <w:overflowPunct/>
        <w:topLinePunct w:val="0"/>
        <w:bidi w:val="0"/>
        <w:spacing w:line="360" w:lineRule="auto"/>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附：法定代表人身份证扫描件</w:t>
      </w:r>
    </w:p>
    <w:tbl>
      <w:tblPr>
        <w:tblStyle w:val="2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4E86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noWrap w:val="0"/>
            <w:vAlign w:val="top"/>
          </w:tcPr>
          <w:p w14:paraId="67B2B91C">
            <w:pPr>
              <w:pStyle w:val="64"/>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65D57416">
            <w:pPr>
              <w:pStyle w:val="64"/>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仿宋" w:hAnsi="仿宋" w:eastAsia="仿宋" w:cs="仿宋"/>
                <w:bCs/>
                <w:color w:val="auto"/>
                <w:sz w:val="24"/>
                <w:szCs w:val="24"/>
                <w:highlight w:val="none"/>
              </w:rPr>
            </w:pPr>
          </w:p>
        </w:tc>
      </w:tr>
    </w:tbl>
    <w:p w14:paraId="7BA4C1B1">
      <w:pPr>
        <w:pageBreakBefore w:val="0"/>
        <w:kinsoku/>
        <w:overflowPunct/>
        <w:topLinePunct w:val="0"/>
        <w:bidi w:val="0"/>
        <w:spacing w:line="360" w:lineRule="auto"/>
        <w:rPr>
          <w:rFonts w:hint="eastAsia" w:ascii="仿宋" w:hAnsi="仿宋" w:eastAsia="仿宋" w:cs="仿宋"/>
          <w:b/>
          <w:bCs/>
          <w:color w:val="auto"/>
          <w:sz w:val="24"/>
          <w:szCs w:val="24"/>
          <w:highlight w:val="none"/>
        </w:rPr>
      </w:pPr>
    </w:p>
    <w:p w14:paraId="60AC7EC3">
      <w:pPr>
        <w:pageBreakBefore w:val="0"/>
        <w:kinsoku/>
        <w:overflowPunct/>
        <w:topLinePunct w:val="0"/>
        <w:bidi w:val="0"/>
        <w:spacing w:line="360" w:lineRule="auto"/>
        <w:rPr>
          <w:rFonts w:hint="eastAsia" w:ascii="仿宋" w:hAnsi="仿宋" w:eastAsia="仿宋" w:cs="仿宋"/>
          <w:b/>
          <w:bCs/>
          <w:color w:val="auto"/>
          <w:sz w:val="24"/>
          <w:szCs w:val="24"/>
          <w:highlight w:val="none"/>
        </w:rPr>
      </w:pPr>
    </w:p>
    <w:p w14:paraId="1CBF4CF9">
      <w:pPr>
        <w:pageBreakBefore w:val="0"/>
        <w:kinsoku/>
        <w:overflowPunct/>
        <w:topLinePunct w:val="0"/>
        <w:bidi w:val="0"/>
        <w:spacing w:line="360" w:lineRule="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五</w:t>
      </w:r>
      <w:bookmarkEnd w:id="36"/>
      <w:r>
        <w:rPr>
          <w:rFonts w:hint="eastAsia" w:ascii="仿宋" w:hAnsi="仿宋" w:eastAsia="仿宋" w:cs="仿宋"/>
          <w:b/>
          <w:bCs/>
          <w:color w:val="auto"/>
          <w:sz w:val="24"/>
          <w:szCs w:val="24"/>
          <w:highlight w:val="none"/>
          <w:lang w:eastAsia="zh-CN"/>
        </w:rPr>
        <w:t>：</w:t>
      </w:r>
    </w:p>
    <w:p w14:paraId="39DC2171">
      <w:pPr>
        <w:pageBreakBefore w:val="0"/>
        <w:kinsoku/>
        <w:overflowPunct/>
        <w:topLinePunct w:val="0"/>
        <w:bidi w:val="0"/>
        <w:adjustRightInd w:val="0"/>
        <w:snapToGrid w:val="0"/>
        <w:spacing w:before="50" w:after="5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技术偏离表</w:t>
      </w:r>
    </w:p>
    <w:p w14:paraId="3ED12BA1">
      <w:pPr>
        <w:pStyle w:val="24"/>
        <w:pageBreakBefore w:val="0"/>
        <w:kinsoku/>
        <w:overflowPunct/>
        <w:topLinePunct w:val="0"/>
        <w:bidi w:val="0"/>
        <w:spacing w:line="360" w:lineRule="auto"/>
        <w:rPr>
          <w:rFonts w:hint="eastAsia" w:ascii="仿宋" w:hAnsi="仿宋" w:eastAsia="仿宋" w:cs="仿宋"/>
          <w:color w:val="auto"/>
          <w:highlight w:val="none"/>
          <w:lang w:val="en-US" w:eastAsia="zh-CN"/>
        </w:rPr>
      </w:pPr>
    </w:p>
    <w:tbl>
      <w:tblPr>
        <w:tblStyle w:val="25"/>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431"/>
        <w:gridCol w:w="1175"/>
      </w:tblGrid>
      <w:tr w14:paraId="2860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14:paraId="7C6531ED">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14:paraId="0D8E6C72">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采购文件要求</w:t>
            </w:r>
          </w:p>
        </w:tc>
        <w:tc>
          <w:tcPr>
            <w:tcW w:w="3431" w:type="dxa"/>
            <w:tcBorders>
              <w:top w:val="single" w:color="auto" w:sz="4" w:space="0"/>
              <w:left w:val="single" w:color="auto" w:sz="4" w:space="0"/>
              <w:bottom w:val="single" w:color="auto" w:sz="4" w:space="0"/>
              <w:right w:val="single" w:color="auto" w:sz="4" w:space="0"/>
            </w:tcBorders>
            <w:noWrap w:val="0"/>
            <w:vAlign w:val="top"/>
          </w:tcPr>
          <w:p w14:paraId="513BBEB4">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投标响应</w:t>
            </w:r>
          </w:p>
        </w:tc>
        <w:tc>
          <w:tcPr>
            <w:tcW w:w="1175" w:type="dxa"/>
            <w:tcBorders>
              <w:top w:val="single" w:color="auto" w:sz="4" w:space="0"/>
              <w:left w:val="single" w:color="auto" w:sz="4" w:space="0"/>
              <w:bottom w:val="single" w:color="auto" w:sz="4" w:space="0"/>
              <w:right w:val="single" w:color="auto" w:sz="4" w:space="0"/>
            </w:tcBorders>
            <w:noWrap w:val="0"/>
            <w:vAlign w:val="top"/>
          </w:tcPr>
          <w:p w14:paraId="27F355C9">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r>
      <w:tr w14:paraId="70A8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CBAC6CA">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4D6432C">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71735E7">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587756D">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5E91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7A26C590">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043670FC">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BFC0ED5">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2FA2C474">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444A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C676158">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0DC5B74B">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F61254F">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5FDB5E5">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6DAD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5A7EB223">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80577AF">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92FF875">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3862E53">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03F5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85BCE46">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763941B">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063FF84D">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333BDDD">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695D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94E52AA">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217A5682">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43598A5E">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7437384">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7EB0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296148E">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6EC6C8F">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F0868FF">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318FEA9">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14EE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DDA973D">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770CDF9">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2919A068">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256F40E2">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404A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7D47B9A5">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5F46BCD">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522E3CD">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B139CA7">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1B21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DE8B176">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1EBBDB2">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1DE38195">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5CF9681D">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r w14:paraId="295A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0B3ADC9">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4DE45E63">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6299AF1">
            <w:pPr>
              <w:pageBreakBefore w:val="0"/>
              <w:tabs>
                <w:tab w:val="left" w:pos="4905"/>
              </w:tabs>
              <w:kinsoku/>
              <w:overflowPunct/>
              <w:topLinePunct w:val="0"/>
              <w:bidi w:val="0"/>
              <w:spacing w:line="360" w:lineRule="auto"/>
              <w:rPr>
                <w:rFonts w:hint="eastAsia" w:ascii="仿宋" w:hAnsi="仿宋" w:eastAsia="仿宋" w:cs="仿宋"/>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768BE799">
            <w:pPr>
              <w:pageBreakBefore w:val="0"/>
              <w:tabs>
                <w:tab w:val="left" w:pos="4905"/>
              </w:tabs>
              <w:kinsoku/>
              <w:overflowPunct/>
              <w:topLinePunct w:val="0"/>
              <w:bidi w:val="0"/>
              <w:spacing w:line="360" w:lineRule="auto"/>
              <w:jc w:val="center"/>
              <w:rPr>
                <w:rFonts w:hint="eastAsia" w:ascii="仿宋" w:hAnsi="仿宋" w:eastAsia="仿宋" w:cs="仿宋"/>
                <w:color w:val="auto"/>
                <w:szCs w:val="21"/>
                <w:highlight w:val="none"/>
              </w:rPr>
            </w:pPr>
          </w:p>
        </w:tc>
      </w:tr>
    </w:tbl>
    <w:p w14:paraId="224A7727">
      <w:pPr>
        <w:pageBreakBefore w:val="0"/>
        <w:kinsoku/>
        <w:overflowPunct/>
        <w:topLinePunct w:val="0"/>
        <w:bidi w:val="0"/>
        <w:adjustRightInd w:val="0"/>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注：1、此表须与采购文件“采购项目说明及要求”相应标项内的所有</w:t>
      </w:r>
      <w:r>
        <w:rPr>
          <w:rFonts w:hint="eastAsia" w:ascii="仿宋" w:hAnsi="仿宋" w:eastAsia="仿宋" w:cs="仿宋"/>
          <w:color w:val="auto"/>
          <w:sz w:val="24"/>
          <w:szCs w:val="24"/>
          <w:highlight w:val="none"/>
          <w:lang w:eastAsia="zh-CN"/>
        </w:rPr>
        <w:t>服务要求</w:t>
      </w:r>
      <w:r>
        <w:rPr>
          <w:rFonts w:hint="eastAsia" w:ascii="仿宋" w:hAnsi="仿宋" w:eastAsia="仿宋" w:cs="仿宋"/>
          <w:color w:val="auto"/>
          <w:sz w:val="24"/>
          <w:szCs w:val="24"/>
          <w:highlight w:val="none"/>
        </w:rPr>
        <w:t>相比较且一一对应真实逐条填列。</w:t>
      </w:r>
    </w:p>
    <w:p w14:paraId="0F27BDD5">
      <w:pPr>
        <w:pageBreakBefore w:val="0"/>
        <w:kinsoku/>
        <w:overflowPunct/>
        <w:topLinePunct w:val="0"/>
        <w:bidi w:val="0"/>
        <w:adjustRightInd w:val="0"/>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投标人递交的技术规格书中必须真实逐条列明，否则由投标人自行承担相关风险。</w:t>
      </w:r>
    </w:p>
    <w:p w14:paraId="5137BA7D">
      <w:pPr>
        <w:pStyle w:val="7"/>
        <w:pageBreakBefore w:val="0"/>
        <w:numPr>
          <w:ilvl w:val="0"/>
          <w:numId w:val="0"/>
        </w:numPr>
        <w:kinsoku/>
        <w:overflowPunct/>
        <w:topLinePunct w:val="0"/>
        <w:bidi w:val="0"/>
        <w:spacing w:line="360" w:lineRule="auto"/>
        <w:rPr>
          <w:rFonts w:hint="eastAsia" w:ascii="仿宋" w:hAnsi="仿宋" w:eastAsia="仿宋" w:cs="仿宋"/>
          <w:color w:val="auto"/>
          <w:sz w:val="24"/>
          <w:szCs w:val="24"/>
          <w:highlight w:val="none"/>
        </w:rPr>
      </w:pPr>
    </w:p>
    <w:p w14:paraId="239B2411">
      <w:pPr>
        <w:pageBreakBefore w:val="0"/>
        <w:kinsoku/>
        <w:overflowPunct/>
        <w:topLinePunct w:val="0"/>
        <w:autoSpaceDE w:val="0"/>
        <w:autoSpaceDN w:val="0"/>
        <w:bidi w:val="0"/>
        <w:spacing w:line="360" w:lineRule="auto"/>
        <w:ind w:firstLine="5040" w:firstLineChars="2100"/>
        <w:rPr>
          <w:rFonts w:hint="eastAsia" w:ascii="仿宋" w:hAnsi="仿宋" w:eastAsia="仿宋" w:cs="仿宋"/>
          <w:color w:val="auto"/>
          <w:kern w:val="0"/>
          <w:sz w:val="24"/>
          <w:szCs w:val="24"/>
          <w:highlight w:val="none"/>
          <w:lang w:val="zh-CN"/>
        </w:rPr>
      </w:pPr>
    </w:p>
    <w:p w14:paraId="66EC60F6">
      <w:pPr>
        <w:pStyle w:val="3"/>
        <w:pageBreakBefore w:val="0"/>
        <w:kinsoku/>
        <w:overflowPunct/>
        <w:topLinePunct w:val="0"/>
        <w:bidi w:val="0"/>
        <w:spacing w:line="360" w:lineRule="auto"/>
        <w:rPr>
          <w:rFonts w:hint="eastAsia" w:ascii="仿宋" w:hAnsi="仿宋" w:eastAsia="仿宋" w:cs="仿宋"/>
          <w:color w:val="auto"/>
          <w:highlight w:val="none"/>
          <w:lang w:val="zh-CN"/>
        </w:rPr>
      </w:pPr>
    </w:p>
    <w:p w14:paraId="66E53C33">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8001C14">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362A38E4">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7A2690D4">
      <w:pPr>
        <w:pageBreakBefore w:val="0"/>
        <w:kinsoku/>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注：此表仅提供了表格形式，投标人可按此表格格式进行扩展。</w:t>
      </w:r>
    </w:p>
    <w:p w14:paraId="1C497547">
      <w:pPr>
        <w:pageBreakBefore w:val="0"/>
        <w:kinsoku/>
        <w:overflowPunct/>
        <w:topLinePunct w:val="0"/>
        <w:bidi w:val="0"/>
        <w:spacing w:line="360" w:lineRule="auto"/>
        <w:rPr>
          <w:rFonts w:hint="eastAsia" w:ascii="仿宋" w:hAnsi="仿宋" w:eastAsia="仿宋" w:cs="仿宋"/>
          <w:color w:val="auto"/>
          <w:sz w:val="24"/>
          <w:szCs w:val="24"/>
          <w:highlight w:val="none"/>
        </w:rPr>
      </w:pPr>
    </w:p>
    <w:p w14:paraId="370F9742">
      <w:pPr>
        <w:pageBreakBefore w:val="0"/>
        <w:kinsoku/>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1459FC6">
      <w:pPr>
        <w:pStyle w:val="3"/>
        <w:pageBreakBefore w:val="0"/>
        <w:numPr>
          <w:ilvl w:val="0"/>
          <w:numId w:val="0"/>
        </w:numPr>
        <w:tabs>
          <w:tab w:val="left" w:pos="358"/>
          <w:tab w:val="left" w:pos="420"/>
          <w:tab w:val="clear" w:pos="432"/>
        </w:tabs>
        <w:kinsoku/>
        <w:overflowPunct/>
        <w:topLinePunct w:val="0"/>
        <w:bidi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六</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3EB134E2">
      <w:pPr>
        <w:pageBreakBefore w:val="0"/>
        <w:kinsoku/>
        <w:overflowPunct/>
        <w:topLinePunct w:val="0"/>
        <w:bidi w:val="0"/>
        <w:spacing w:line="36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商务响应表</w:t>
      </w:r>
    </w:p>
    <w:p w14:paraId="6D702942">
      <w:pPr>
        <w:pStyle w:val="6"/>
        <w:pageBreakBefore w:val="0"/>
        <w:kinsoku/>
        <w:overflowPunct/>
        <w:topLinePunct w:val="0"/>
        <w:bidi w:val="0"/>
        <w:spacing w:line="360" w:lineRule="auto"/>
        <w:ind w:left="0" w:leftChars="0" w:firstLine="0" w:firstLineChars="0"/>
        <w:rPr>
          <w:rFonts w:hint="eastAsia" w:ascii="仿宋" w:hAnsi="仿宋" w:eastAsia="仿宋" w:cs="仿宋"/>
          <w:bCs/>
          <w:color w:val="auto"/>
          <w:sz w:val="24"/>
          <w:szCs w:val="24"/>
          <w:highlight w:val="none"/>
        </w:rPr>
      </w:pPr>
    </w:p>
    <w:p w14:paraId="3CAE38DF">
      <w:pPr>
        <w:pageBreakBefore w:val="0"/>
        <w:kinsoku/>
        <w:overflowPunct/>
        <w:topLinePunct w:val="0"/>
        <w:bidi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A268C0D">
      <w:pPr>
        <w:pageBreakBefore w:val="0"/>
        <w:kinsoku/>
        <w:overflowPunct/>
        <w:topLinePunct w:val="0"/>
        <w:bidi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编号： </w:t>
      </w:r>
    </w:p>
    <w:tbl>
      <w:tblPr>
        <w:tblStyle w:val="25"/>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14:paraId="404D9B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7DB69AF3">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项目</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8417B3B">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采购文件要求</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4DE7175">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是否响应</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89D03CD">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投标人的承诺或说明</w:t>
            </w:r>
          </w:p>
        </w:tc>
      </w:tr>
      <w:tr w14:paraId="531220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259E1891">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2C34A6BF">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40827AD">
            <w:pPr>
              <w:pageBreakBefore w:val="0"/>
              <w:kinsoku/>
              <w:overflowPunct/>
              <w:topLinePunct w:val="0"/>
              <w:bidi w:val="0"/>
              <w:snapToGrid w:val="0"/>
              <w:spacing w:before="156" w:beforeLines="50" w:line="360" w:lineRule="auto"/>
              <w:ind w:left="43"/>
              <w:jc w:val="center"/>
              <w:rPr>
                <w:rFonts w:hint="eastAsia" w:ascii="仿宋" w:hAnsi="仿宋" w:eastAsia="仿宋" w:cs="仿宋"/>
                <w:color w:val="auto"/>
                <w:sz w:val="24"/>
                <w:szCs w:val="24"/>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329D3A03">
            <w:pPr>
              <w:pageBreakBefore w:val="0"/>
              <w:kinsoku/>
              <w:overflowPunct/>
              <w:topLinePunct w:val="0"/>
              <w:bidi w:val="0"/>
              <w:snapToGrid w:val="0"/>
              <w:spacing w:before="156" w:beforeLines="50" w:line="360" w:lineRule="auto"/>
              <w:ind w:left="43"/>
              <w:jc w:val="center"/>
              <w:rPr>
                <w:rFonts w:hint="eastAsia" w:ascii="仿宋" w:hAnsi="仿宋" w:eastAsia="仿宋" w:cs="仿宋"/>
                <w:color w:val="auto"/>
                <w:sz w:val="24"/>
                <w:szCs w:val="24"/>
                <w:highlight w:val="none"/>
              </w:rPr>
            </w:pPr>
          </w:p>
        </w:tc>
      </w:tr>
      <w:tr w14:paraId="18940C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08F42D08">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1AC7E9DE">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6366ADE3">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32A2480D">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r>
      <w:tr w14:paraId="38E556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4E018CFE">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6F69389A">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7AC600EA">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19970C5">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r>
      <w:tr w14:paraId="3EB3F9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0"/>
            <w:vAlign w:val="center"/>
          </w:tcPr>
          <w:p w14:paraId="1D2142BB">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32C29067">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4B744158">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D3185B7">
            <w:pPr>
              <w:pageBreakBefore w:val="0"/>
              <w:kinsoku/>
              <w:overflowPunct/>
              <w:topLinePunct w:val="0"/>
              <w:bidi w:val="0"/>
              <w:snapToGrid w:val="0"/>
              <w:spacing w:before="156" w:beforeLines="50" w:line="360" w:lineRule="auto"/>
              <w:jc w:val="center"/>
              <w:rPr>
                <w:rFonts w:hint="eastAsia" w:ascii="仿宋" w:hAnsi="仿宋" w:eastAsia="仿宋" w:cs="仿宋"/>
                <w:color w:val="auto"/>
                <w:sz w:val="24"/>
                <w:szCs w:val="24"/>
                <w:highlight w:val="none"/>
              </w:rPr>
            </w:pPr>
          </w:p>
        </w:tc>
      </w:tr>
    </w:tbl>
    <w:p w14:paraId="0E1AC6C5">
      <w:pPr>
        <w:pageBreakBefore w:val="0"/>
        <w:kinsoku/>
        <w:overflowPunct/>
        <w:topLinePunct w:val="0"/>
        <w:bidi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注：此表仅提供了表格形式，由</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根据采购需求及采购文件要求编制。</w:t>
      </w:r>
    </w:p>
    <w:p w14:paraId="090A7A67">
      <w:pPr>
        <w:pStyle w:val="7"/>
        <w:pageBreakBefore w:val="0"/>
        <w:kinsoku/>
        <w:overflowPunct/>
        <w:topLinePunct w:val="0"/>
        <w:bidi w:val="0"/>
        <w:spacing w:line="360" w:lineRule="auto"/>
        <w:rPr>
          <w:rFonts w:hint="eastAsia" w:ascii="仿宋" w:hAnsi="仿宋" w:eastAsia="仿宋" w:cs="仿宋"/>
          <w:color w:val="auto"/>
          <w:sz w:val="24"/>
          <w:szCs w:val="24"/>
          <w:highlight w:val="none"/>
        </w:rPr>
      </w:pPr>
    </w:p>
    <w:p w14:paraId="7EFE6B7C">
      <w:pPr>
        <w:pageBreakBefore w:val="0"/>
        <w:kinsoku/>
        <w:overflowPunct/>
        <w:topLinePunct w:val="0"/>
        <w:bidi w:val="0"/>
        <w:snapToGrid w:val="0"/>
        <w:spacing w:before="156" w:beforeLines="50" w:line="360" w:lineRule="auto"/>
        <w:rPr>
          <w:rFonts w:hint="eastAsia" w:ascii="仿宋" w:hAnsi="仿宋" w:eastAsia="仿宋" w:cs="仿宋"/>
          <w:color w:val="auto"/>
          <w:sz w:val="24"/>
          <w:szCs w:val="24"/>
          <w:highlight w:val="none"/>
        </w:rPr>
      </w:pPr>
    </w:p>
    <w:p w14:paraId="7C88F8B6">
      <w:pPr>
        <w:pageBreakBefore w:val="0"/>
        <w:kinsoku/>
        <w:overflowPunct/>
        <w:topLinePunct w:val="0"/>
        <w:autoSpaceDE w:val="0"/>
        <w:autoSpaceDN w:val="0"/>
        <w:bidi w:val="0"/>
        <w:adjustRightInd w:val="0"/>
        <w:spacing w:line="360" w:lineRule="auto"/>
        <w:rPr>
          <w:rFonts w:hint="eastAsia" w:ascii="仿宋" w:hAnsi="仿宋" w:eastAsia="仿宋" w:cs="仿宋"/>
          <w:color w:val="auto"/>
          <w:sz w:val="24"/>
          <w:szCs w:val="24"/>
          <w:highlight w:val="none"/>
        </w:rPr>
      </w:pPr>
    </w:p>
    <w:p w14:paraId="094513A3">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1A50373E">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23D2C94C">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D15F6D2">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14C61E89">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73C02B2B">
      <w:pPr>
        <w:pageBreakBefore w:val="0"/>
        <w:kinsoku/>
        <w:overflowPunct/>
        <w:topLinePunct w:val="0"/>
        <w:bidi w:val="0"/>
        <w:spacing w:line="360" w:lineRule="auto"/>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shd w:val="clear" w:color="FFFFFF" w:fill="D9D9D9"/>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lang w:eastAsia="zh-CN"/>
        </w:rPr>
        <w:t>：</w:t>
      </w:r>
    </w:p>
    <w:p w14:paraId="4755F773">
      <w:pPr>
        <w:pageBreakBefore w:val="0"/>
        <w:kinsoku/>
        <w:overflowPunct/>
        <w:topLinePunct w:val="0"/>
        <w:bidi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4"/>
          <w:szCs w:val="24"/>
          <w:highlight w:val="none"/>
          <w:lang w:eastAsia="zh-CN"/>
        </w:rPr>
        <w:t>产品</w:t>
      </w:r>
      <w:r>
        <w:rPr>
          <w:rFonts w:hint="eastAsia" w:ascii="仿宋" w:hAnsi="仿宋" w:eastAsia="仿宋" w:cs="仿宋"/>
          <w:b/>
          <w:bCs/>
          <w:color w:val="auto"/>
          <w:sz w:val="24"/>
          <w:szCs w:val="24"/>
          <w:highlight w:val="none"/>
        </w:rPr>
        <w:t>配置清单</w:t>
      </w:r>
    </w:p>
    <w:tbl>
      <w:tblPr>
        <w:tblStyle w:val="25"/>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898"/>
        <w:gridCol w:w="830"/>
      </w:tblGrid>
      <w:tr w14:paraId="2FED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noWrap w:val="0"/>
            <w:vAlign w:val="center"/>
          </w:tcPr>
          <w:p w14:paraId="225001BC">
            <w:pPr>
              <w:pageBreakBefore w:val="0"/>
              <w:kinsoku/>
              <w:overflowPunct/>
              <w:topLinePunct w:val="0"/>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31" w:type="dxa"/>
            <w:noWrap w:val="0"/>
            <w:vAlign w:val="center"/>
          </w:tcPr>
          <w:p w14:paraId="497110CE">
            <w:pPr>
              <w:pageBreakBefore w:val="0"/>
              <w:kinsoku/>
              <w:overflowPunct/>
              <w:topLinePunct w:val="0"/>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2160" w:type="dxa"/>
            <w:noWrap w:val="0"/>
            <w:vAlign w:val="center"/>
          </w:tcPr>
          <w:p w14:paraId="6E5D0321">
            <w:pPr>
              <w:pageBreakBefore w:val="0"/>
              <w:kinsoku/>
              <w:overflowPunct/>
              <w:topLinePunct w:val="0"/>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投标品牌及型号</w:t>
            </w:r>
          </w:p>
        </w:tc>
        <w:tc>
          <w:tcPr>
            <w:tcW w:w="2340" w:type="dxa"/>
            <w:noWrap w:val="0"/>
            <w:vAlign w:val="center"/>
          </w:tcPr>
          <w:p w14:paraId="19179EB5">
            <w:pPr>
              <w:pageBreakBefore w:val="0"/>
              <w:kinsoku/>
              <w:overflowPunct/>
              <w:topLinePunct w:val="0"/>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规格配置详细说明</w:t>
            </w:r>
          </w:p>
        </w:tc>
        <w:tc>
          <w:tcPr>
            <w:tcW w:w="898" w:type="dxa"/>
            <w:noWrap w:val="0"/>
            <w:vAlign w:val="center"/>
          </w:tcPr>
          <w:p w14:paraId="6821D24A">
            <w:pPr>
              <w:pageBreakBefore w:val="0"/>
              <w:kinsoku/>
              <w:overflowPunct/>
              <w:topLinePunct w:val="0"/>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830" w:type="dxa"/>
            <w:noWrap w:val="0"/>
            <w:vAlign w:val="center"/>
          </w:tcPr>
          <w:p w14:paraId="073862A9">
            <w:pPr>
              <w:pageBreakBefore w:val="0"/>
              <w:kinsoku/>
              <w:overflowPunct/>
              <w:topLinePunct w:val="0"/>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D5F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14:paraId="1F449542">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531" w:type="dxa"/>
            <w:noWrap w:val="0"/>
            <w:vAlign w:val="center"/>
          </w:tcPr>
          <w:p w14:paraId="77A89E41">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160" w:type="dxa"/>
            <w:noWrap w:val="0"/>
            <w:vAlign w:val="center"/>
          </w:tcPr>
          <w:p w14:paraId="69AAB3F0">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340" w:type="dxa"/>
            <w:noWrap w:val="0"/>
            <w:vAlign w:val="center"/>
          </w:tcPr>
          <w:p w14:paraId="7B2E25F8">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98" w:type="dxa"/>
            <w:noWrap w:val="0"/>
            <w:vAlign w:val="center"/>
          </w:tcPr>
          <w:p w14:paraId="5CA99610">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0" w:type="dxa"/>
            <w:noWrap w:val="0"/>
            <w:vAlign w:val="center"/>
          </w:tcPr>
          <w:p w14:paraId="62D79C1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43E6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57259F0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531" w:type="dxa"/>
            <w:noWrap w:val="0"/>
            <w:vAlign w:val="center"/>
          </w:tcPr>
          <w:p w14:paraId="42D4CEA7">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160" w:type="dxa"/>
            <w:noWrap w:val="0"/>
            <w:vAlign w:val="center"/>
          </w:tcPr>
          <w:p w14:paraId="764B9211">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340" w:type="dxa"/>
            <w:noWrap w:val="0"/>
            <w:vAlign w:val="center"/>
          </w:tcPr>
          <w:p w14:paraId="468982BD">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98" w:type="dxa"/>
            <w:noWrap w:val="0"/>
            <w:vAlign w:val="center"/>
          </w:tcPr>
          <w:p w14:paraId="26800E4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0" w:type="dxa"/>
            <w:noWrap w:val="0"/>
            <w:vAlign w:val="center"/>
          </w:tcPr>
          <w:p w14:paraId="63D394C9">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7DE8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79A089C3">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531" w:type="dxa"/>
            <w:noWrap w:val="0"/>
            <w:vAlign w:val="center"/>
          </w:tcPr>
          <w:p w14:paraId="70BB7EBB">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160" w:type="dxa"/>
            <w:noWrap w:val="0"/>
            <w:vAlign w:val="center"/>
          </w:tcPr>
          <w:p w14:paraId="6221FC5C">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340" w:type="dxa"/>
            <w:noWrap w:val="0"/>
            <w:vAlign w:val="center"/>
          </w:tcPr>
          <w:p w14:paraId="61CDAE4D">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98" w:type="dxa"/>
            <w:noWrap w:val="0"/>
            <w:vAlign w:val="center"/>
          </w:tcPr>
          <w:p w14:paraId="4EE9153D">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0" w:type="dxa"/>
            <w:noWrap w:val="0"/>
            <w:vAlign w:val="center"/>
          </w:tcPr>
          <w:p w14:paraId="214DCD5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6F37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39812DE7">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531" w:type="dxa"/>
            <w:noWrap w:val="0"/>
            <w:vAlign w:val="center"/>
          </w:tcPr>
          <w:p w14:paraId="6E3DE29C">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160" w:type="dxa"/>
            <w:noWrap w:val="0"/>
            <w:vAlign w:val="center"/>
          </w:tcPr>
          <w:p w14:paraId="1BAAF5B9">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340" w:type="dxa"/>
            <w:noWrap w:val="0"/>
            <w:vAlign w:val="center"/>
          </w:tcPr>
          <w:p w14:paraId="720700C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98" w:type="dxa"/>
            <w:noWrap w:val="0"/>
            <w:vAlign w:val="center"/>
          </w:tcPr>
          <w:p w14:paraId="7B3FF1A9">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0" w:type="dxa"/>
            <w:noWrap w:val="0"/>
            <w:vAlign w:val="center"/>
          </w:tcPr>
          <w:p w14:paraId="71B87661">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6F39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4C8B9B56">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531" w:type="dxa"/>
            <w:noWrap w:val="0"/>
            <w:vAlign w:val="center"/>
          </w:tcPr>
          <w:p w14:paraId="5E6D4840">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160" w:type="dxa"/>
            <w:noWrap w:val="0"/>
            <w:vAlign w:val="center"/>
          </w:tcPr>
          <w:p w14:paraId="1816515E">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340" w:type="dxa"/>
            <w:noWrap w:val="0"/>
            <w:vAlign w:val="center"/>
          </w:tcPr>
          <w:p w14:paraId="578F71F2">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98" w:type="dxa"/>
            <w:noWrap w:val="0"/>
            <w:vAlign w:val="center"/>
          </w:tcPr>
          <w:p w14:paraId="49399804">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0" w:type="dxa"/>
            <w:noWrap w:val="0"/>
            <w:vAlign w:val="center"/>
          </w:tcPr>
          <w:p w14:paraId="3956C4E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7CB8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085C1639">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531" w:type="dxa"/>
            <w:noWrap w:val="0"/>
            <w:vAlign w:val="center"/>
          </w:tcPr>
          <w:p w14:paraId="584ED2C0">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160" w:type="dxa"/>
            <w:noWrap w:val="0"/>
            <w:vAlign w:val="center"/>
          </w:tcPr>
          <w:p w14:paraId="7785F82B">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340" w:type="dxa"/>
            <w:noWrap w:val="0"/>
            <w:vAlign w:val="center"/>
          </w:tcPr>
          <w:p w14:paraId="7CE18F97">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98" w:type="dxa"/>
            <w:noWrap w:val="0"/>
            <w:vAlign w:val="center"/>
          </w:tcPr>
          <w:p w14:paraId="518D9E23">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0" w:type="dxa"/>
            <w:noWrap w:val="0"/>
            <w:vAlign w:val="center"/>
          </w:tcPr>
          <w:p w14:paraId="1A6C498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1B7C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322FF3A8">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531" w:type="dxa"/>
            <w:noWrap w:val="0"/>
            <w:vAlign w:val="center"/>
          </w:tcPr>
          <w:p w14:paraId="510B60B1">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160" w:type="dxa"/>
            <w:noWrap w:val="0"/>
            <w:vAlign w:val="center"/>
          </w:tcPr>
          <w:p w14:paraId="446B3AB8">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340" w:type="dxa"/>
            <w:noWrap w:val="0"/>
            <w:vAlign w:val="center"/>
          </w:tcPr>
          <w:p w14:paraId="565C36BF">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98" w:type="dxa"/>
            <w:noWrap w:val="0"/>
            <w:vAlign w:val="center"/>
          </w:tcPr>
          <w:p w14:paraId="2F184E44">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0" w:type="dxa"/>
            <w:noWrap w:val="0"/>
            <w:vAlign w:val="center"/>
          </w:tcPr>
          <w:p w14:paraId="7E1D864D">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0F02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5CD7DF6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531" w:type="dxa"/>
            <w:noWrap w:val="0"/>
            <w:vAlign w:val="center"/>
          </w:tcPr>
          <w:p w14:paraId="6C34AD42">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160" w:type="dxa"/>
            <w:noWrap w:val="0"/>
            <w:vAlign w:val="center"/>
          </w:tcPr>
          <w:p w14:paraId="1E864D76">
            <w:pPr>
              <w:pageBreakBefore w:val="0"/>
              <w:kinsoku/>
              <w:overflowPunct/>
              <w:topLinePunct w:val="0"/>
              <w:bidi w:val="0"/>
              <w:snapToGrid w:val="0"/>
              <w:spacing w:line="360" w:lineRule="auto"/>
              <w:jc w:val="center"/>
              <w:rPr>
                <w:rFonts w:hint="eastAsia" w:ascii="仿宋" w:hAnsi="仿宋" w:eastAsia="仿宋" w:cs="仿宋"/>
                <w:color w:val="auto"/>
                <w:sz w:val="24"/>
                <w:szCs w:val="24"/>
                <w:highlight w:val="none"/>
              </w:rPr>
            </w:pPr>
          </w:p>
        </w:tc>
        <w:tc>
          <w:tcPr>
            <w:tcW w:w="2340" w:type="dxa"/>
            <w:noWrap w:val="0"/>
            <w:vAlign w:val="center"/>
          </w:tcPr>
          <w:p w14:paraId="7C0D7A9D">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98" w:type="dxa"/>
            <w:noWrap w:val="0"/>
            <w:vAlign w:val="center"/>
          </w:tcPr>
          <w:p w14:paraId="3356969F">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0" w:type="dxa"/>
            <w:noWrap w:val="0"/>
            <w:vAlign w:val="center"/>
          </w:tcPr>
          <w:p w14:paraId="69672ED6">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bl>
    <w:p w14:paraId="534F579E">
      <w:pPr>
        <w:pageBreakBefore w:val="0"/>
        <w:kinsoku/>
        <w:overflowPunct/>
        <w:topLinePunct w:val="0"/>
        <w:bidi w:val="0"/>
        <w:spacing w:line="360" w:lineRule="auto"/>
        <w:jc w:val="both"/>
        <w:rPr>
          <w:rFonts w:hint="eastAsia" w:ascii="仿宋" w:hAnsi="仿宋" w:eastAsia="仿宋" w:cs="仿宋"/>
          <w:b/>
          <w:bCs/>
          <w:color w:val="auto"/>
          <w:sz w:val="21"/>
          <w:szCs w:val="16"/>
          <w:highlight w:val="none"/>
          <w:lang w:val="en-US" w:eastAsia="zh-CN"/>
        </w:rPr>
      </w:pPr>
      <w:r>
        <w:rPr>
          <w:rFonts w:hint="eastAsia" w:ascii="仿宋" w:hAnsi="仿宋" w:eastAsia="仿宋" w:cs="仿宋"/>
          <w:b/>
          <w:bCs/>
          <w:color w:val="auto"/>
          <w:sz w:val="21"/>
          <w:szCs w:val="16"/>
          <w:highlight w:val="none"/>
          <w:lang w:val="en-US" w:eastAsia="zh-CN"/>
        </w:rPr>
        <w:t>注：此表仅提供了表格形式，由供应商根据采购需求及采购文件要求编制（包括且不限于清单、技术要求等内容，可自行增补，不允许少于清单、技术要求所列）。</w:t>
      </w:r>
    </w:p>
    <w:p w14:paraId="644BDDC7">
      <w:pPr>
        <w:pageBreakBefore w:val="0"/>
        <w:kinsoku/>
        <w:overflowPunct/>
        <w:topLinePunct w:val="0"/>
        <w:autoSpaceDE w:val="0"/>
        <w:autoSpaceDN w:val="0"/>
        <w:bidi w:val="0"/>
        <w:spacing w:line="360" w:lineRule="auto"/>
        <w:rPr>
          <w:rFonts w:hint="eastAsia" w:ascii="仿宋" w:hAnsi="仿宋" w:eastAsia="仿宋" w:cs="仿宋"/>
          <w:b/>
          <w:color w:val="auto"/>
          <w:kern w:val="0"/>
          <w:sz w:val="21"/>
          <w:szCs w:val="21"/>
          <w:highlight w:val="none"/>
        </w:rPr>
      </w:pPr>
    </w:p>
    <w:p w14:paraId="0697F0F2">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6435845D">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2BF335F8">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E91A327">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07B4FBEC">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spacing w:val="20"/>
          <w:sz w:val="21"/>
          <w:szCs w:val="21"/>
          <w:highlight w:val="none"/>
          <w:u w:val="single"/>
          <w:lang w:bidi="ar"/>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24FD37AE">
      <w:pPr>
        <w:pageBreakBefore w:val="0"/>
        <w:kinsoku/>
        <w:overflowPunct/>
        <w:topLinePunct w:val="0"/>
        <w:bidi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p>
    <w:p w14:paraId="2CC5C346">
      <w:pPr>
        <w:pageBreakBefore w:val="0"/>
        <w:kinsoku/>
        <w:overflowPunct/>
        <w:topLinePunct w:val="0"/>
        <w:bidi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八：</w:t>
      </w:r>
    </w:p>
    <w:p w14:paraId="7A67267D">
      <w:pPr>
        <w:pageBreakBefore w:val="0"/>
        <w:shd w:val="clear" w:color="auto" w:fill="auto"/>
        <w:kinsoku/>
        <w:overflowPunct/>
        <w:topLinePunct w:val="0"/>
        <w:bidi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项目负责人情况表</w:t>
      </w:r>
    </w:p>
    <w:p w14:paraId="4BEB5006">
      <w:pPr>
        <w:pageBreakBefore w:val="0"/>
        <w:shd w:val="clear" w:color="auto" w:fill="auto"/>
        <w:kinsoku/>
        <w:overflowPunct/>
        <w:topLinePunct w:val="0"/>
        <w:bidi w:val="0"/>
        <w:snapToGrid w:val="0"/>
        <w:spacing w:before="120" w:beforeLines="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34258332">
      <w:pPr>
        <w:pageBreakBefore w:val="0"/>
        <w:shd w:val="clear" w:color="auto" w:fill="auto"/>
        <w:kinsoku/>
        <w:overflowPunct/>
        <w:topLinePunct w:val="0"/>
        <w:bidi w:val="0"/>
        <w:spacing w:before="17" w:line="360" w:lineRule="auto"/>
        <w:rPr>
          <w:rFonts w:hint="eastAsia" w:ascii="仿宋" w:hAnsi="仿宋" w:eastAsia="仿宋" w:cs="仿宋"/>
          <w:color w:val="auto"/>
          <w:sz w:val="9"/>
          <w:szCs w:val="9"/>
          <w:highlight w:val="none"/>
        </w:rPr>
      </w:pPr>
      <w:r>
        <w:rPr>
          <w:rFonts w:hint="eastAsia" w:ascii="仿宋" w:hAnsi="仿宋" w:eastAsia="仿宋" w:cs="仿宋"/>
          <w:color w:val="auto"/>
          <w:sz w:val="24"/>
          <w:highlight w:val="none"/>
        </w:rPr>
        <w:t>项目编号：</w:t>
      </w:r>
    </w:p>
    <w:tbl>
      <w:tblPr>
        <w:tblStyle w:val="25"/>
        <w:tblW w:w="8712" w:type="dxa"/>
        <w:tblInd w:w="113" w:type="dxa"/>
        <w:tblLayout w:type="fixed"/>
        <w:tblCellMar>
          <w:top w:w="0" w:type="dxa"/>
          <w:left w:w="0" w:type="dxa"/>
          <w:bottom w:w="0" w:type="dxa"/>
          <w:right w:w="0" w:type="dxa"/>
        </w:tblCellMar>
      </w:tblPr>
      <w:tblGrid>
        <w:gridCol w:w="1974"/>
        <w:gridCol w:w="4046"/>
        <w:gridCol w:w="2692"/>
      </w:tblGrid>
      <w:tr w14:paraId="0B934A85">
        <w:tblPrEx>
          <w:tblCellMar>
            <w:top w:w="0" w:type="dxa"/>
            <w:left w:w="0" w:type="dxa"/>
            <w:bottom w:w="0" w:type="dxa"/>
            <w:right w:w="0" w:type="dxa"/>
          </w:tblCellMar>
        </w:tblPrEx>
        <w:trPr>
          <w:trHeight w:val="883" w:hRule="exact"/>
        </w:trPr>
        <w:tc>
          <w:tcPr>
            <w:tcW w:w="1974" w:type="dxa"/>
            <w:tcBorders>
              <w:top w:val="single" w:color="000000" w:sz="12" w:space="0"/>
              <w:left w:val="single" w:color="000000" w:sz="12" w:space="0"/>
              <w:bottom w:val="single" w:color="000000" w:sz="4" w:space="0"/>
              <w:right w:val="single" w:color="000000" w:sz="4" w:space="0"/>
            </w:tcBorders>
            <w:noWrap w:val="0"/>
            <w:vAlign w:val="center"/>
          </w:tcPr>
          <w:p w14:paraId="429CAEAC">
            <w:pPr>
              <w:pStyle w:val="43"/>
              <w:pageBreakBefore w:val="0"/>
              <w:shd w:val="clear" w:color="auto" w:fill="auto"/>
              <w:kinsoku/>
              <w:overflowPunct/>
              <w:topLinePunct w:val="0"/>
              <w:bidi w:val="0"/>
              <w:spacing w:before="118" w:line="360" w:lineRule="auto"/>
              <w:ind w:right="10"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姓名</w:t>
            </w:r>
          </w:p>
        </w:tc>
        <w:tc>
          <w:tcPr>
            <w:tcW w:w="4046" w:type="dxa"/>
            <w:tcBorders>
              <w:top w:val="single" w:color="000000" w:sz="12" w:space="0"/>
              <w:left w:val="single" w:color="000000" w:sz="4" w:space="0"/>
              <w:bottom w:val="single" w:color="000000" w:sz="4" w:space="0"/>
              <w:right w:val="single" w:color="000000" w:sz="4" w:space="0"/>
            </w:tcBorders>
            <w:noWrap w:val="0"/>
            <w:vAlign w:val="top"/>
          </w:tcPr>
          <w:p w14:paraId="4D4E651E">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2692" w:type="dxa"/>
            <w:tcBorders>
              <w:top w:val="single" w:color="000000" w:sz="12" w:space="0"/>
              <w:left w:val="single" w:color="000000" w:sz="4" w:space="0"/>
              <w:bottom w:val="single" w:color="000000" w:sz="4" w:space="0"/>
              <w:right w:val="single" w:color="000000" w:sz="12" w:space="0"/>
            </w:tcBorders>
            <w:noWrap w:val="0"/>
            <w:vAlign w:val="center"/>
          </w:tcPr>
          <w:p w14:paraId="614DC5CA">
            <w:pPr>
              <w:pStyle w:val="43"/>
              <w:pageBreakBefore w:val="0"/>
              <w:shd w:val="clear" w:color="auto" w:fill="auto"/>
              <w:kinsoku/>
              <w:overflowPunct/>
              <w:topLinePunct w:val="0"/>
              <w:bidi w:val="0"/>
              <w:spacing w:before="118"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近年来主要工作业绩</w:t>
            </w:r>
          </w:p>
        </w:tc>
      </w:tr>
      <w:tr w14:paraId="43E1AAD9">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62DF4866">
            <w:pPr>
              <w:pStyle w:val="43"/>
              <w:pageBreakBefore w:val="0"/>
              <w:shd w:val="clear" w:color="auto" w:fill="auto"/>
              <w:kinsoku/>
              <w:overflowPunct/>
              <w:topLinePunct w:val="0"/>
              <w:bidi w:val="0"/>
              <w:spacing w:before="118" w:line="360" w:lineRule="auto"/>
              <w:ind w:right="10"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性别</w:t>
            </w:r>
          </w:p>
        </w:tc>
        <w:tc>
          <w:tcPr>
            <w:tcW w:w="4046" w:type="dxa"/>
            <w:tcBorders>
              <w:top w:val="single" w:color="000000" w:sz="4" w:space="0"/>
              <w:left w:val="single" w:color="000000" w:sz="4" w:space="0"/>
              <w:bottom w:val="single" w:color="000000" w:sz="4" w:space="0"/>
              <w:right w:val="single" w:color="000000" w:sz="4" w:space="0"/>
            </w:tcBorders>
            <w:noWrap w:val="0"/>
            <w:vAlign w:val="top"/>
          </w:tcPr>
          <w:p w14:paraId="0AFF9F59">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2692" w:type="dxa"/>
            <w:vMerge w:val="restart"/>
            <w:tcBorders>
              <w:top w:val="single" w:color="000000" w:sz="4" w:space="0"/>
              <w:left w:val="single" w:color="000000" w:sz="4" w:space="0"/>
              <w:right w:val="single" w:color="000000" w:sz="12" w:space="0"/>
            </w:tcBorders>
            <w:noWrap w:val="0"/>
            <w:vAlign w:val="top"/>
          </w:tcPr>
          <w:p w14:paraId="38C15515">
            <w:pPr>
              <w:pStyle w:val="43"/>
              <w:pageBreakBefore w:val="0"/>
              <w:shd w:val="clear" w:color="auto" w:fill="auto"/>
              <w:kinsoku/>
              <w:overflowPunct/>
              <w:topLinePunct w:val="0"/>
              <w:bidi w:val="0"/>
              <w:spacing w:line="360" w:lineRule="auto"/>
              <w:ind w:firstLine="480"/>
              <w:jc w:val="left"/>
              <w:rPr>
                <w:rFonts w:hint="eastAsia" w:ascii="仿宋" w:hAnsi="仿宋" w:eastAsia="仿宋" w:cs="仿宋"/>
                <w:color w:val="auto"/>
                <w:sz w:val="24"/>
                <w:highlight w:val="none"/>
              </w:rPr>
            </w:pPr>
          </w:p>
          <w:p w14:paraId="264037D9">
            <w:pPr>
              <w:pStyle w:val="43"/>
              <w:pageBreakBefore w:val="0"/>
              <w:shd w:val="clear" w:color="auto" w:fill="auto"/>
              <w:kinsoku/>
              <w:overflowPunct/>
              <w:topLinePunct w:val="0"/>
              <w:bidi w:val="0"/>
              <w:spacing w:line="360" w:lineRule="auto"/>
              <w:ind w:firstLine="480"/>
              <w:jc w:val="left"/>
              <w:rPr>
                <w:rFonts w:hint="eastAsia" w:ascii="仿宋" w:hAnsi="仿宋" w:eastAsia="仿宋" w:cs="仿宋"/>
                <w:color w:val="auto"/>
                <w:sz w:val="24"/>
                <w:highlight w:val="none"/>
              </w:rPr>
            </w:pPr>
          </w:p>
          <w:p w14:paraId="55B23A3C">
            <w:pPr>
              <w:pStyle w:val="43"/>
              <w:pageBreakBefore w:val="0"/>
              <w:shd w:val="clear" w:color="auto" w:fill="auto"/>
              <w:kinsoku/>
              <w:overflowPunct/>
              <w:topLinePunct w:val="0"/>
              <w:bidi w:val="0"/>
              <w:spacing w:line="360" w:lineRule="auto"/>
              <w:ind w:firstLine="480"/>
              <w:jc w:val="left"/>
              <w:rPr>
                <w:rFonts w:hint="eastAsia" w:ascii="仿宋" w:hAnsi="仿宋" w:eastAsia="仿宋" w:cs="仿宋"/>
                <w:color w:val="auto"/>
                <w:sz w:val="24"/>
                <w:highlight w:val="none"/>
              </w:rPr>
            </w:pPr>
          </w:p>
          <w:p w14:paraId="55DF3181">
            <w:pPr>
              <w:pStyle w:val="43"/>
              <w:pageBreakBefore w:val="0"/>
              <w:shd w:val="clear" w:color="auto" w:fill="auto"/>
              <w:kinsoku/>
              <w:overflowPunct/>
              <w:topLinePunct w:val="0"/>
              <w:bidi w:val="0"/>
              <w:spacing w:line="360" w:lineRule="auto"/>
              <w:ind w:firstLine="480"/>
              <w:jc w:val="left"/>
              <w:rPr>
                <w:rFonts w:hint="eastAsia" w:ascii="仿宋" w:hAnsi="仿宋" w:eastAsia="仿宋" w:cs="仿宋"/>
                <w:color w:val="auto"/>
                <w:sz w:val="24"/>
                <w:highlight w:val="none"/>
              </w:rPr>
            </w:pPr>
          </w:p>
          <w:p w14:paraId="2BBD5EEA">
            <w:pPr>
              <w:pStyle w:val="43"/>
              <w:pageBreakBefore w:val="0"/>
              <w:shd w:val="clear" w:color="auto" w:fill="auto"/>
              <w:kinsoku/>
              <w:overflowPunct/>
              <w:topLinePunct w:val="0"/>
              <w:bidi w:val="0"/>
              <w:spacing w:line="360" w:lineRule="auto"/>
              <w:ind w:firstLine="480"/>
              <w:jc w:val="left"/>
              <w:rPr>
                <w:rFonts w:hint="eastAsia" w:ascii="仿宋" w:hAnsi="仿宋" w:eastAsia="仿宋" w:cs="仿宋"/>
                <w:color w:val="auto"/>
                <w:sz w:val="24"/>
                <w:highlight w:val="none"/>
              </w:rPr>
            </w:pPr>
          </w:p>
          <w:p w14:paraId="6A9214C2">
            <w:pPr>
              <w:pStyle w:val="43"/>
              <w:pageBreakBefore w:val="0"/>
              <w:shd w:val="clear" w:color="auto" w:fill="auto"/>
              <w:kinsoku/>
              <w:overflowPunct/>
              <w:topLinePunct w:val="0"/>
              <w:bidi w:val="0"/>
              <w:spacing w:line="360" w:lineRule="auto"/>
              <w:ind w:firstLine="480"/>
              <w:jc w:val="left"/>
              <w:rPr>
                <w:rFonts w:hint="eastAsia" w:ascii="仿宋" w:hAnsi="仿宋" w:eastAsia="仿宋" w:cs="仿宋"/>
                <w:color w:val="auto"/>
                <w:sz w:val="24"/>
                <w:highlight w:val="none"/>
              </w:rPr>
            </w:pPr>
          </w:p>
          <w:p w14:paraId="641A5ED6">
            <w:pPr>
              <w:pStyle w:val="43"/>
              <w:pageBreakBefore w:val="0"/>
              <w:shd w:val="clear" w:color="auto" w:fill="auto"/>
              <w:kinsoku/>
              <w:overflowPunct/>
              <w:topLinePunct w:val="0"/>
              <w:bidi w:val="0"/>
              <w:spacing w:before="15" w:line="360" w:lineRule="auto"/>
              <w:ind w:firstLine="480"/>
              <w:jc w:val="left"/>
              <w:rPr>
                <w:rFonts w:hint="eastAsia" w:ascii="仿宋" w:hAnsi="仿宋" w:eastAsia="仿宋" w:cs="仿宋"/>
                <w:color w:val="auto"/>
                <w:sz w:val="24"/>
                <w:highlight w:val="none"/>
              </w:rPr>
            </w:pPr>
          </w:p>
          <w:p w14:paraId="6D7316A2">
            <w:pPr>
              <w:pStyle w:val="43"/>
              <w:pageBreakBefore w:val="0"/>
              <w:shd w:val="clear" w:color="auto" w:fill="auto"/>
              <w:kinsoku/>
              <w:overflowPunct/>
              <w:topLinePunct w:val="0"/>
              <w:bidi w:val="0"/>
              <w:spacing w:before="177" w:line="360" w:lineRule="auto"/>
              <w:ind w:firstLine="0" w:firstLineChars="0"/>
              <w:rPr>
                <w:rFonts w:hint="eastAsia" w:ascii="仿宋" w:hAnsi="仿宋" w:eastAsia="仿宋" w:cs="仿宋"/>
                <w:color w:val="auto"/>
                <w:sz w:val="24"/>
                <w:highlight w:val="none"/>
              </w:rPr>
            </w:pPr>
          </w:p>
        </w:tc>
      </w:tr>
      <w:tr w14:paraId="7A11CA6C">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7ADBFEFF">
            <w:pPr>
              <w:pStyle w:val="43"/>
              <w:pageBreakBefore w:val="0"/>
              <w:shd w:val="clear" w:color="auto" w:fill="auto"/>
              <w:kinsoku/>
              <w:overflowPunct/>
              <w:topLinePunct w:val="0"/>
              <w:bidi w:val="0"/>
              <w:spacing w:before="118" w:line="360" w:lineRule="auto"/>
              <w:ind w:right="10"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年龄</w:t>
            </w:r>
          </w:p>
        </w:tc>
        <w:tc>
          <w:tcPr>
            <w:tcW w:w="4046" w:type="dxa"/>
            <w:tcBorders>
              <w:top w:val="single" w:color="000000" w:sz="4" w:space="0"/>
              <w:left w:val="single" w:color="000000" w:sz="4" w:space="0"/>
              <w:bottom w:val="single" w:color="000000" w:sz="4" w:space="0"/>
              <w:right w:val="single" w:color="000000" w:sz="4" w:space="0"/>
            </w:tcBorders>
            <w:noWrap w:val="0"/>
            <w:vAlign w:val="top"/>
          </w:tcPr>
          <w:p w14:paraId="301F90EC">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2692" w:type="dxa"/>
            <w:vMerge w:val="continue"/>
            <w:tcBorders>
              <w:left w:val="single" w:color="000000" w:sz="4" w:space="0"/>
              <w:right w:val="single" w:color="000000" w:sz="12" w:space="0"/>
            </w:tcBorders>
            <w:noWrap w:val="0"/>
            <w:vAlign w:val="top"/>
          </w:tcPr>
          <w:p w14:paraId="7937FC1B">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41BE4EA6">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19C3A402">
            <w:pPr>
              <w:pStyle w:val="43"/>
              <w:pageBreakBefore w:val="0"/>
              <w:shd w:val="clear" w:color="auto" w:fill="auto"/>
              <w:kinsoku/>
              <w:overflowPunct/>
              <w:topLinePunct w:val="0"/>
              <w:bidi w:val="0"/>
              <w:spacing w:before="118" w:line="36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职称</w:t>
            </w:r>
          </w:p>
        </w:tc>
        <w:tc>
          <w:tcPr>
            <w:tcW w:w="4046" w:type="dxa"/>
            <w:tcBorders>
              <w:top w:val="single" w:color="000000" w:sz="4" w:space="0"/>
              <w:left w:val="single" w:color="000000" w:sz="4" w:space="0"/>
              <w:bottom w:val="single" w:color="000000" w:sz="4" w:space="0"/>
              <w:right w:val="single" w:color="000000" w:sz="4" w:space="0"/>
            </w:tcBorders>
            <w:noWrap w:val="0"/>
            <w:vAlign w:val="top"/>
          </w:tcPr>
          <w:p w14:paraId="35D60E6C">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2692" w:type="dxa"/>
            <w:vMerge w:val="continue"/>
            <w:tcBorders>
              <w:left w:val="single" w:color="000000" w:sz="4" w:space="0"/>
              <w:right w:val="single" w:color="000000" w:sz="12" w:space="0"/>
            </w:tcBorders>
            <w:noWrap w:val="0"/>
            <w:vAlign w:val="top"/>
          </w:tcPr>
          <w:p w14:paraId="4F4EA641">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56193836">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62A0E2C4">
            <w:pPr>
              <w:pStyle w:val="43"/>
              <w:pageBreakBefore w:val="0"/>
              <w:shd w:val="clear" w:color="auto" w:fill="auto"/>
              <w:kinsoku/>
              <w:overflowPunct/>
              <w:topLinePunct w:val="0"/>
              <w:bidi w:val="0"/>
              <w:spacing w:before="118" w:line="36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资格证书及编号</w:t>
            </w:r>
          </w:p>
        </w:tc>
        <w:tc>
          <w:tcPr>
            <w:tcW w:w="4046" w:type="dxa"/>
            <w:tcBorders>
              <w:top w:val="single" w:color="000000" w:sz="4" w:space="0"/>
              <w:left w:val="single" w:color="000000" w:sz="4" w:space="0"/>
              <w:bottom w:val="single" w:color="000000" w:sz="4" w:space="0"/>
              <w:right w:val="single" w:color="000000" w:sz="4" w:space="0"/>
            </w:tcBorders>
            <w:noWrap w:val="0"/>
            <w:vAlign w:val="top"/>
          </w:tcPr>
          <w:p w14:paraId="2ED2E2AA">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2692" w:type="dxa"/>
            <w:vMerge w:val="continue"/>
            <w:tcBorders>
              <w:left w:val="single" w:color="000000" w:sz="4" w:space="0"/>
              <w:right w:val="single" w:color="000000" w:sz="12" w:space="0"/>
            </w:tcBorders>
            <w:noWrap w:val="0"/>
            <w:vAlign w:val="top"/>
          </w:tcPr>
          <w:p w14:paraId="419ADF43">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5F1EDEFD">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45A3D121">
            <w:pPr>
              <w:pStyle w:val="43"/>
              <w:pageBreakBefore w:val="0"/>
              <w:shd w:val="clear" w:color="auto" w:fill="auto"/>
              <w:kinsoku/>
              <w:overflowPunct/>
              <w:topLinePunct w:val="0"/>
              <w:bidi w:val="0"/>
              <w:spacing w:before="118" w:line="36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学  历</w:t>
            </w:r>
          </w:p>
        </w:tc>
        <w:tc>
          <w:tcPr>
            <w:tcW w:w="4046" w:type="dxa"/>
            <w:tcBorders>
              <w:top w:val="single" w:color="000000" w:sz="4" w:space="0"/>
              <w:left w:val="single" w:color="000000" w:sz="4" w:space="0"/>
              <w:bottom w:val="single" w:color="000000" w:sz="4" w:space="0"/>
              <w:right w:val="single" w:color="000000" w:sz="4" w:space="0"/>
            </w:tcBorders>
            <w:noWrap w:val="0"/>
            <w:vAlign w:val="top"/>
          </w:tcPr>
          <w:p w14:paraId="256D7DD0">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2692" w:type="dxa"/>
            <w:vMerge w:val="continue"/>
            <w:tcBorders>
              <w:left w:val="single" w:color="000000" w:sz="4" w:space="0"/>
              <w:right w:val="single" w:color="000000" w:sz="12" w:space="0"/>
            </w:tcBorders>
            <w:noWrap w:val="0"/>
            <w:vAlign w:val="top"/>
          </w:tcPr>
          <w:p w14:paraId="052F2A41">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36D9CC2D">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69DFF72C">
            <w:pPr>
              <w:pStyle w:val="43"/>
              <w:pageBreakBefore w:val="0"/>
              <w:shd w:val="clear" w:color="auto" w:fill="auto"/>
              <w:kinsoku/>
              <w:overflowPunct/>
              <w:topLinePunct w:val="0"/>
              <w:bidi w:val="0"/>
              <w:spacing w:before="118" w:line="36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联系电话</w:t>
            </w:r>
          </w:p>
        </w:tc>
        <w:tc>
          <w:tcPr>
            <w:tcW w:w="4046" w:type="dxa"/>
            <w:tcBorders>
              <w:top w:val="single" w:color="000000" w:sz="4" w:space="0"/>
              <w:left w:val="single" w:color="000000" w:sz="4" w:space="0"/>
              <w:bottom w:val="single" w:color="000000" w:sz="4" w:space="0"/>
              <w:right w:val="single" w:color="000000" w:sz="4" w:space="0"/>
            </w:tcBorders>
            <w:noWrap w:val="0"/>
            <w:vAlign w:val="top"/>
          </w:tcPr>
          <w:p w14:paraId="61FE2C6C">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2692" w:type="dxa"/>
            <w:vMerge w:val="continue"/>
            <w:tcBorders>
              <w:left w:val="single" w:color="000000" w:sz="4" w:space="0"/>
              <w:right w:val="single" w:color="000000" w:sz="12" w:space="0"/>
            </w:tcBorders>
            <w:noWrap w:val="0"/>
            <w:vAlign w:val="top"/>
          </w:tcPr>
          <w:p w14:paraId="655C743C">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192367EE">
        <w:tblPrEx>
          <w:tblCellMar>
            <w:top w:w="0" w:type="dxa"/>
            <w:left w:w="0" w:type="dxa"/>
            <w:bottom w:w="0" w:type="dxa"/>
            <w:right w:w="0" w:type="dxa"/>
          </w:tblCellMar>
        </w:tblPrEx>
        <w:trPr>
          <w:trHeight w:val="873" w:hRule="exact"/>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4BEE2CAA">
            <w:pPr>
              <w:pStyle w:val="43"/>
              <w:pageBreakBefore w:val="0"/>
              <w:shd w:val="clear" w:color="auto" w:fill="auto"/>
              <w:kinsoku/>
              <w:overflowPunct/>
              <w:topLinePunct w:val="0"/>
              <w:bidi w:val="0"/>
              <w:spacing w:before="118" w:line="36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从事同类项目年限</w:t>
            </w:r>
          </w:p>
        </w:tc>
        <w:tc>
          <w:tcPr>
            <w:tcW w:w="4046" w:type="dxa"/>
            <w:tcBorders>
              <w:top w:val="single" w:color="000000" w:sz="4" w:space="0"/>
              <w:left w:val="single" w:color="000000" w:sz="4" w:space="0"/>
              <w:bottom w:val="single" w:color="000000" w:sz="4" w:space="0"/>
              <w:right w:val="single" w:color="000000" w:sz="4" w:space="0"/>
            </w:tcBorders>
            <w:noWrap w:val="0"/>
            <w:vAlign w:val="top"/>
          </w:tcPr>
          <w:p w14:paraId="4350BBED">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2692" w:type="dxa"/>
            <w:vMerge w:val="continue"/>
            <w:tcBorders>
              <w:left w:val="single" w:color="000000" w:sz="4" w:space="0"/>
              <w:bottom w:val="single" w:color="000000" w:sz="4" w:space="0"/>
              <w:right w:val="single" w:color="000000" w:sz="12" w:space="0"/>
            </w:tcBorders>
            <w:noWrap w:val="0"/>
            <w:vAlign w:val="top"/>
          </w:tcPr>
          <w:p w14:paraId="29135D6D">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292D0E69">
        <w:tblPrEx>
          <w:tblCellMar>
            <w:top w:w="0" w:type="dxa"/>
            <w:left w:w="0" w:type="dxa"/>
            <w:bottom w:w="0" w:type="dxa"/>
            <w:right w:w="0" w:type="dxa"/>
          </w:tblCellMar>
        </w:tblPrEx>
        <w:trPr>
          <w:trHeight w:val="1101" w:hRule="exact"/>
        </w:trPr>
        <w:tc>
          <w:tcPr>
            <w:tcW w:w="1974" w:type="dxa"/>
            <w:tcBorders>
              <w:top w:val="single" w:color="000000" w:sz="4" w:space="0"/>
              <w:left w:val="single" w:color="000000" w:sz="12" w:space="0"/>
              <w:bottom w:val="single" w:color="000000" w:sz="12" w:space="0"/>
              <w:right w:val="single" w:color="000000" w:sz="4" w:space="0"/>
            </w:tcBorders>
            <w:noWrap w:val="0"/>
            <w:vAlign w:val="center"/>
          </w:tcPr>
          <w:p w14:paraId="7A0E1242">
            <w:pPr>
              <w:pStyle w:val="43"/>
              <w:pageBreakBefore w:val="0"/>
              <w:shd w:val="clear" w:color="auto" w:fill="auto"/>
              <w:kinsoku/>
              <w:overflowPunct/>
              <w:topLinePunct w:val="0"/>
              <w:bidi w:val="0"/>
              <w:spacing w:line="360" w:lineRule="auto"/>
              <w:ind w:right="7"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拟在本项目中担任</w:t>
            </w:r>
          </w:p>
          <w:p w14:paraId="0C2AF3C4">
            <w:pPr>
              <w:pStyle w:val="43"/>
              <w:pageBreakBefore w:val="0"/>
              <w:shd w:val="clear" w:color="auto" w:fill="auto"/>
              <w:kinsoku/>
              <w:overflowPunct/>
              <w:topLinePunct w:val="0"/>
              <w:bidi w:val="0"/>
              <w:spacing w:before="177" w:line="360" w:lineRule="auto"/>
              <w:ind w:right="7"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主要工作</w:t>
            </w:r>
          </w:p>
        </w:tc>
        <w:tc>
          <w:tcPr>
            <w:tcW w:w="6738" w:type="dxa"/>
            <w:gridSpan w:val="2"/>
            <w:tcBorders>
              <w:top w:val="single" w:color="000000" w:sz="4" w:space="0"/>
              <w:left w:val="single" w:color="000000" w:sz="4" w:space="0"/>
              <w:bottom w:val="single" w:color="000000" w:sz="12" w:space="0"/>
              <w:right w:val="single" w:color="000000" w:sz="12" w:space="0"/>
            </w:tcBorders>
            <w:noWrap w:val="0"/>
            <w:vAlign w:val="top"/>
          </w:tcPr>
          <w:p w14:paraId="2A0AAD36">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bl>
    <w:p w14:paraId="7168E049">
      <w:pPr>
        <w:pageBreakBefore w:val="0"/>
        <w:shd w:val="clear" w:color="auto" w:fill="auto"/>
        <w:kinsoku/>
        <w:overflowPunct/>
        <w:topLinePunct w:val="0"/>
        <w:bidi w:val="0"/>
        <w:spacing w:before="11" w:line="360" w:lineRule="auto"/>
        <w:ind w:firstLine="120"/>
        <w:rPr>
          <w:rFonts w:hint="eastAsia" w:ascii="仿宋" w:hAnsi="仿宋" w:eastAsia="仿宋" w:cs="仿宋"/>
          <w:color w:val="auto"/>
          <w:sz w:val="6"/>
          <w:szCs w:val="6"/>
          <w:highlight w:val="none"/>
        </w:rPr>
      </w:pPr>
    </w:p>
    <w:p w14:paraId="053C7107">
      <w:pPr>
        <w:pageBreakBefore w:val="0"/>
        <w:kinsoku/>
        <w:overflowPunct/>
        <w:topLinePunct w:val="0"/>
        <w:bidi w:val="0"/>
        <w:adjustRightInd w:val="0"/>
        <w:snapToGrid w:val="0"/>
        <w:spacing w:line="360" w:lineRule="auto"/>
        <w:ind w:firstLine="240" w:firstLineChars="100"/>
        <w:textAlignment w:val="baseline"/>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附身份证、</w:t>
      </w:r>
      <w:r>
        <w:rPr>
          <w:rFonts w:hint="eastAsia" w:ascii="仿宋" w:hAnsi="仿宋" w:eastAsia="仿宋" w:cs="仿宋"/>
          <w:color w:val="auto"/>
          <w:kern w:val="0"/>
          <w:sz w:val="24"/>
          <w:szCs w:val="24"/>
          <w:highlight w:val="none"/>
          <w:lang w:val="en-US" w:eastAsia="zh-CN"/>
        </w:rPr>
        <w:t>职称证书</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资格证书、业绩证明材料、</w:t>
      </w:r>
      <w:r>
        <w:rPr>
          <w:rFonts w:hint="eastAsia" w:ascii="仿宋" w:hAnsi="仿宋" w:eastAsia="仿宋" w:cs="仿宋"/>
          <w:color w:val="auto"/>
          <w:kern w:val="0"/>
          <w:sz w:val="24"/>
          <w:szCs w:val="24"/>
          <w:highlight w:val="none"/>
          <w:lang w:val="zh-CN"/>
        </w:rPr>
        <w:t>社保等</w:t>
      </w:r>
      <w:r>
        <w:rPr>
          <w:rFonts w:hint="eastAsia" w:ascii="仿宋" w:hAnsi="仿宋" w:eastAsia="仿宋" w:cs="仿宋"/>
          <w:color w:val="auto"/>
          <w:kern w:val="0"/>
          <w:sz w:val="24"/>
          <w:szCs w:val="24"/>
          <w:highlight w:val="none"/>
          <w:lang w:val="en-US" w:eastAsia="zh-CN"/>
        </w:rPr>
        <w:t>相关</w:t>
      </w:r>
      <w:r>
        <w:rPr>
          <w:rFonts w:hint="eastAsia" w:ascii="仿宋" w:hAnsi="仿宋" w:eastAsia="仿宋" w:cs="仿宋"/>
          <w:color w:val="auto"/>
          <w:kern w:val="0"/>
          <w:sz w:val="24"/>
          <w:szCs w:val="24"/>
          <w:highlight w:val="none"/>
          <w:lang w:val="zh-CN"/>
        </w:rPr>
        <w:t>证明</w:t>
      </w:r>
      <w:r>
        <w:rPr>
          <w:rFonts w:hint="eastAsia" w:ascii="仿宋" w:hAnsi="仿宋" w:eastAsia="仿宋" w:cs="仿宋"/>
          <w:color w:val="auto"/>
          <w:kern w:val="0"/>
          <w:sz w:val="24"/>
          <w:szCs w:val="24"/>
          <w:highlight w:val="none"/>
          <w:lang w:val="en-US" w:eastAsia="zh-CN"/>
        </w:rPr>
        <w:t>复印件</w:t>
      </w:r>
      <w:r>
        <w:rPr>
          <w:rFonts w:hint="eastAsia" w:ascii="仿宋" w:hAnsi="仿宋" w:eastAsia="仿宋" w:cs="仿宋"/>
          <w:color w:val="auto"/>
          <w:kern w:val="0"/>
          <w:sz w:val="24"/>
          <w:szCs w:val="24"/>
          <w:highlight w:val="none"/>
          <w:lang w:val="zh-CN"/>
        </w:rPr>
        <w:t>。</w:t>
      </w:r>
    </w:p>
    <w:p w14:paraId="0CEB2A89">
      <w:pPr>
        <w:pageBreakBefore w:val="0"/>
        <w:shd w:val="clear" w:color="auto" w:fill="auto"/>
        <w:kinsoku/>
        <w:overflowPunct/>
        <w:topLinePunct w:val="0"/>
        <w:bidi w:val="0"/>
        <w:adjustRightInd w:val="0"/>
        <w:snapToGrid w:val="0"/>
        <w:spacing w:line="360" w:lineRule="auto"/>
        <w:ind w:firstLine="3570" w:firstLineChars="1700"/>
        <w:textAlignment w:val="baseline"/>
        <w:rPr>
          <w:rFonts w:hint="eastAsia" w:ascii="仿宋" w:hAnsi="仿宋" w:eastAsia="仿宋" w:cs="仿宋"/>
          <w:color w:val="auto"/>
          <w:highlight w:val="none"/>
        </w:rPr>
      </w:pPr>
    </w:p>
    <w:p w14:paraId="35AA6FA5">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B957147">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7DF87519">
      <w:pPr>
        <w:pageBreakBefore w:val="0"/>
        <w:shd w:val="clear" w:color="auto" w:fill="auto"/>
        <w:kinsoku/>
        <w:overflowPunct/>
        <w:topLinePunct w:val="0"/>
        <w:bidi w:val="0"/>
        <w:snapToGrid w:val="0"/>
        <w:spacing w:line="360" w:lineRule="auto"/>
        <w:ind w:firstLine="5280" w:firstLineChars="2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26F02EB3">
      <w:pPr>
        <w:pageBreakBefore w:val="0"/>
        <w:shd w:val="clear" w:color="auto" w:fill="auto"/>
        <w:kinsoku/>
        <w:overflowPunct/>
        <w:topLinePunct w:val="0"/>
        <w:bidi w:val="0"/>
        <w:spacing w:line="360" w:lineRule="auto"/>
        <w:ind w:firstLine="0" w:firstLineChars="0"/>
        <w:rPr>
          <w:rFonts w:hint="eastAsia" w:ascii="仿宋" w:hAnsi="仿宋" w:eastAsia="仿宋" w:cs="仿宋"/>
          <w:b w:val="0"/>
          <w:bCs w:val="0"/>
          <w:color w:val="auto"/>
          <w:sz w:val="24"/>
          <w:szCs w:val="24"/>
          <w:highlight w:val="none"/>
        </w:rPr>
      </w:pPr>
    </w:p>
    <w:p w14:paraId="7F04DD57">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159FF67A">
      <w:pPr>
        <w:pageBreakBefore w:val="0"/>
        <w:shd w:val="clear" w:color="auto" w:fill="auto"/>
        <w:kinsoku/>
        <w:overflowPunct/>
        <w:topLinePunct w:val="0"/>
        <w:bidi w:val="0"/>
        <w:snapToGrid w:val="0"/>
        <w:spacing w:line="360" w:lineRule="auto"/>
        <w:ind w:left="643" w:hanging="482" w:hangingChars="200"/>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附件九：</w:t>
      </w:r>
    </w:p>
    <w:p w14:paraId="72FBD930">
      <w:pPr>
        <w:pageBreakBefore w:val="0"/>
        <w:shd w:val="clear" w:color="auto" w:fill="auto"/>
        <w:kinsoku/>
        <w:overflowPunct/>
        <w:topLinePunct w:val="0"/>
        <w:bidi w:val="0"/>
        <w:spacing w:line="360" w:lineRule="auto"/>
        <w:ind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项目实施人员一览表</w:t>
      </w:r>
    </w:p>
    <w:p w14:paraId="6BB340C8">
      <w:pPr>
        <w:pageBreakBefore w:val="0"/>
        <w:shd w:val="clear" w:color="auto" w:fill="auto"/>
        <w:kinsoku/>
        <w:overflowPunct/>
        <w:topLinePunct w:val="0"/>
        <w:bidi w:val="0"/>
        <w:snapToGrid w:val="0"/>
        <w:spacing w:before="120" w:beforeLines="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6619F97D">
      <w:pPr>
        <w:pStyle w:val="12"/>
        <w:pageBreakBefore w:val="0"/>
        <w:shd w:val="clear" w:color="auto" w:fill="auto"/>
        <w:kinsoku/>
        <w:overflowPunct/>
        <w:topLinePunct w:val="0"/>
        <w:bidi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sz w:val="24"/>
          <w:highlight w:val="none"/>
        </w:rPr>
        <w:t>项目编号：</w:t>
      </w:r>
    </w:p>
    <w:tbl>
      <w:tblPr>
        <w:tblStyle w:val="25"/>
        <w:tblW w:w="8820" w:type="dxa"/>
        <w:tblInd w:w="-185" w:type="dxa"/>
        <w:tblLayout w:type="fixed"/>
        <w:tblCellMar>
          <w:top w:w="0" w:type="dxa"/>
          <w:left w:w="0" w:type="dxa"/>
          <w:bottom w:w="0" w:type="dxa"/>
          <w:right w:w="0" w:type="dxa"/>
        </w:tblCellMar>
      </w:tblPr>
      <w:tblGrid>
        <w:gridCol w:w="690"/>
        <w:gridCol w:w="1530"/>
        <w:gridCol w:w="660"/>
        <w:gridCol w:w="810"/>
        <w:gridCol w:w="1545"/>
        <w:gridCol w:w="1215"/>
        <w:gridCol w:w="1507"/>
        <w:gridCol w:w="863"/>
      </w:tblGrid>
      <w:tr w14:paraId="01039C84">
        <w:tblPrEx>
          <w:tblCellMar>
            <w:top w:w="0" w:type="dxa"/>
            <w:left w:w="0" w:type="dxa"/>
            <w:bottom w:w="0" w:type="dxa"/>
            <w:right w:w="0" w:type="dxa"/>
          </w:tblCellMar>
        </w:tblPrEx>
        <w:trPr>
          <w:trHeight w:val="1451" w:hRule="exact"/>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7317DF">
            <w:pPr>
              <w:pStyle w:val="43"/>
              <w:pageBreakBefore w:val="0"/>
              <w:shd w:val="clear" w:color="auto" w:fill="auto"/>
              <w:kinsoku/>
              <w:overflowPunct/>
              <w:topLinePunct w:val="0"/>
              <w:bidi w:val="0"/>
              <w:spacing w:line="36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A75DCBD">
            <w:pPr>
              <w:pStyle w:val="43"/>
              <w:pageBreakBefore w:val="0"/>
              <w:shd w:val="clear" w:color="auto" w:fill="auto"/>
              <w:kinsoku/>
              <w:overflowPunct/>
              <w:topLinePunct w:val="0"/>
              <w:bidi w:val="0"/>
              <w:spacing w:line="360" w:lineRule="auto"/>
              <w:ind w:firstLine="0"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姓名</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28A2CF1">
            <w:pPr>
              <w:pStyle w:val="43"/>
              <w:pageBreakBefore w:val="0"/>
              <w:shd w:val="clear" w:color="auto" w:fill="auto"/>
              <w:kinsoku/>
              <w:overflowPunct/>
              <w:topLinePunct w:val="0"/>
              <w:bidi w:val="0"/>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职务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BFB3EF">
            <w:pPr>
              <w:pStyle w:val="43"/>
              <w:pageBreakBefore w:val="0"/>
              <w:shd w:val="clear" w:color="auto" w:fill="auto"/>
              <w:kinsoku/>
              <w:overflowPunct/>
              <w:topLinePunct w:val="0"/>
              <w:bidi w:val="0"/>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职责</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38EEA83">
            <w:pPr>
              <w:pStyle w:val="43"/>
              <w:pageBreakBefore w:val="0"/>
              <w:shd w:val="clear" w:color="auto" w:fill="auto"/>
              <w:kinsoku/>
              <w:overflowPunct/>
              <w:topLinePunct w:val="0"/>
              <w:bidi w:val="0"/>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专业技术资格</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72E7AFC">
            <w:pPr>
              <w:pStyle w:val="43"/>
              <w:pageBreakBefore w:val="0"/>
              <w:shd w:val="clear" w:color="auto" w:fill="auto"/>
              <w:kinsoku/>
              <w:overflowPunct/>
              <w:topLinePunct w:val="0"/>
              <w:bidi w:val="0"/>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证书编号</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14:paraId="07C237A8">
            <w:pPr>
              <w:pStyle w:val="43"/>
              <w:pageBreakBefore w:val="0"/>
              <w:shd w:val="clear" w:color="auto" w:fill="auto"/>
              <w:kinsoku/>
              <w:overflowPunct/>
              <w:topLinePunct w:val="0"/>
              <w:bidi w:val="0"/>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参加本单位工作时间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14:paraId="6C9407D8">
            <w:pPr>
              <w:pStyle w:val="43"/>
              <w:pageBreakBefore w:val="0"/>
              <w:shd w:val="clear" w:color="auto" w:fill="auto"/>
              <w:kinsoku/>
              <w:overflowPunct/>
              <w:topLinePunct w:val="0"/>
              <w:bidi w:val="0"/>
              <w:spacing w:line="360" w:lineRule="auto"/>
              <w:ind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val="en-US" w:eastAsia="zh-CN"/>
              </w:rPr>
              <w:t>备案</w:t>
            </w:r>
          </w:p>
        </w:tc>
      </w:tr>
      <w:tr w14:paraId="4F85B345">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070A1F53">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25D2F65E">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6AF7AC3A">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12B36F0E">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14:paraId="563B2958">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23131087">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top"/>
          </w:tcPr>
          <w:p w14:paraId="26429599">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14:paraId="111EF623">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00D32C7F">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5E834CA2">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4918DA4E">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0667FBEB">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0C5A3ECE">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14:paraId="276434E7">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4EAA1D0A">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top"/>
          </w:tcPr>
          <w:p w14:paraId="4C6938F4">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14:paraId="5C11ABFF">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41268FE7">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191898D1">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5012B3C0">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1171671">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53B0BCE2">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14:paraId="68DA60DD">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56F07EE2">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top"/>
          </w:tcPr>
          <w:p w14:paraId="391A77B5">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14:paraId="4848D040">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33BE3EED">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6C8F6707">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441B8E30">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7654251">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2FDE82B8">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14:paraId="5D37D30F">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498CF19C">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top"/>
          </w:tcPr>
          <w:p w14:paraId="69A333D1">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14:paraId="29554B82">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3A7207C9">
        <w:tblPrEx>
          <w:tblCellMar>
            <w:top w:w="0" w:type="dxa"/>
            <w:left w:w="0" w:type="dxa"/>
            <w:bottom w:w="0" w:type="dxa"/>
            <w:right w:w="0" w:type="dxa"/>
          </w:tblCellMar>
        </w:tblPrEx>
        <w:trPr>
          <w:trHeight w:val="834"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35FEF4CD">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7F8317D3">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507227A6">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721CF3C9">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14:paraId="5AE70BF3">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327F02ED">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top"/>
          </w:tcPr>
          <w:p w14:paraId="0D2A5325">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14:paraId="7F3A93FD">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r w14:paraId="14F0887E">
        <w:tblPrEx>
          <w:tblCellMar>
            <w:top w:w="0" w:type="dxa"/>
            <w:left w:w="0" w:type="dxa"/>
            <w:bottom w:w="0" w:type="dxa"/>
            <w:right w:w="0" w:type="dxa"/>
          </w:tblCellMar>
        </w:tblPrEx>
        <w:trPr>
          <w:trHeight w:val="833" w:hRule="exact"/>
        </w:trPr>
        <w:tc>
          <w:tcPr>
            <w:tcW w:w="690" w:type="dxa"/>
            <w:tcBorders>
              <w:top w:val="single" w:color="000000" w:sz="4" w:space="0"/>
              <w:left w:val="single" w:color="000000" w:sz="4" w:space="0"/>
              <w:bottom w:val="single" w:color="000000" w:sz="4" w:space="0"/>
              <w:right w:val="single" w:color="000000" w:sz="4" w:space="0"/>
            </w:tcBorders>
            <w:noWrap w:val="0"/>
            <w:vAlign w:val="top"/>
          </w:tcPr>
          <w:p w14:paraId="242A09EF">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top"/>
          </w:tcPr>
          <w:p w14:paraId="10AFBAD7">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14:paraId="4B256A5A">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6C5EA7D1">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top"/>
          </w:tcPr>
          <w:p w14:paraId="49A61EBF">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vAlign w:val="top"/>
          </w:tcPr>
          <w:p w14:paraId="6ADCD8B7">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1507" w:type="dxa"/>
            <w:tcBorders>
              <w:top w:val="single" w:color="000000" w:sz="4" w:space="0"/>
              <w:left w:val="single" w:color="000000" w:sz="4" w:space="0"/>
              <w:bottom w:val="single" w:color="000000" w:sz="4" w:space="0"/>
              <w:right w:val="single" w:color="000000" w:sz="4" w:space="0"/>
            </w:tcBorders>
            <w:noWrap w:val="0"/>
            <w:vAlign w:val="top"/>
          </w:tcPr>
          <w:p w14:paraId="12574039">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c>
          <w:tcPr>
            <w:tcW w:w="863" w:type="dxa"/>
            <w:tcBorders>
              <w:top w:val="single" w:color="000000" w:sz="4" w:space="0"/>
              <w:left w:val="single" w:color="000000" w:sz="4" w:space="0"/>
              <w:bottom w:val="single" w:color="000000" w:sz="4" w:space="0"/>
              <w:right w:val="single" w:color="000000" w:sz="4" w:space="0"/>
            </w:tcBorders>
            <w:noWrap w:val="0"/>
            <w:vAlign w:val="top"/>
          </w:tcPr>
          <w:p w14:paraId="4D71FC7C">
            <w:pPr>
              <w:pageBreakBefore w:val="0"/>
              <w:shd w:val="clear" w:color="auto" w:fill="auto"/>
              <w:kinsoku/>
              <w:overflowPunct/>
              <w:topLinePunct w:val="0"/>
              <w:bidi w:val="0"/>
              <w:spacing w:line="360" w:lineRule="auto"/>
              <w:ind w:firstLine="480"/>
              <w:rPr>
                <w:rFonts w:hint="eastAsia" w:ascii="仿宋" w:hAnsi="仿宋" w:eastAsia="仿宋" w:cs="仿宋"/>
                <w:color w:val="auto"/>
                <w:highlight w:val="none"/>
              </w:rPr>
            </w:pPr>
          </w:p>
        </w:tc>
      </w:tr>
    </w:tbl>
    <w:p w14:paraId="5278906D">
      <w:pPr>
        <w:pageBreakBefore w:val="0"/>
        <w:shd w:val="clear" w:color="auto" w:fill="auto"/>
        <w:kinsoku/>
        <w:overflowPunct/>
        <w:topLinePunct w:val="0"/>
        <w:bidi w:val="0"/>
        <w:spacing w:before="7" w:line="360" w:lineRule="auto"/>
        <w:ind w:firstLine="140"/>
        <w:rPr>
          <w:rFonts w:hint="eastAsia" w:ascii="仿宋" w:hAnsi="仿宋" w:eastAsia="仿宋" w:cs="仿宋"/>
          <w:color w:val="auto"/>
          <w:sz w:val="7"/>
          <w:szCs w:val="7"/>
          <w:highlight w:val="none"/>
        </w:rPr>
      </w:pPr>
    </w:p>
    <w:p w14:paraId="085577A6">
      <w:pPr>
        <w:pageBreakBefore w:val="0"/>
        <w:shd w:val="clear" w:color="auto" w:fill="auto"/>
        <w:kinsoku/>
        <w:overflowPunct/>
        <w:topLinePunct w:val="0"/>
        <w:bidi w:val="0"/>
        <w:spacing w:line="360" w:lineRule="auto"/>
        <w:ind w:left="212" w:right="345" w:firstLine="482"/>
        <w:jc w:val="left"/>
        <w:rPr>
          <w:rFonts w:hint="eastAsia" w:ascii="仿宋" w:hAnsi="仿宋" w:eastAsia="仿宋" w:cs="仿宋"/>
          <w:color w:val="auto"/>
          <w:highlight w:val="none"/>
        </w:rPr>
      </w:pPr>
      <w:r>
        <w:rPr>
          <w:rFonts w:hint="eastAsia" w:ascii="仿宋" w:hAnsi="仿宋" w:eastAsia="仿宋" w:cs="仿宋"/>
          <w:b/>
          <w:bCs/>
          <w:color w:val="auto"/>
          <w:highlight w:val="none"/>
        </w:rPr>
        <w:t>注：</w:t>
      </w:r>
    </w:p>
    <w:p w14:paraId="02156C57">
      <w:pPr>
        <w:pageBreakBefore w:val="0"/>
        <w:shd w:val="clear" w:color="auto" w:fill="auto"/>
        <w:kinsoku/>
        <w:overflowPunct/>
        <w:topLinePunct w:val="0"/>
        <w:bidi w:val="0"/>
        <w:spacing w:line="360" w:lineRule="auto"/>
        <w:ind w:left="651" w:right="345" w:firstLine="482"/>
        <w:jc w:val="left"/>
        <w:rPr>
          <w:rFonts w:hint="eastAsia" w:ascii="仿宋" w:hAnsi="仿宋" w:eastAsia="仿宋" w:cs="仿宋"/>
          <w:color w:val="auto"/>
          <w:highlight w:val="none"/>
        </w:rPr>
      </w:pPr>
      <w:r>
        <w:rPr>
          <w:rFonts w:hint="eastAsia" w:ascii="仿宋" w:hAnsi="仿宋" w:eastAsia="仿宋" w:cs="仿宋"/>
          <w:b/>
          <w:bCs/>
          <w:color w:val="auto"/>
          <w:highlight w:val="none"/>
        </w:rPr>
        <w:t>1.</w:t>
      </w:r>
      <w:r>
        <w:rPr>
          <w:rFonts w:hint="eastAsia" w:ascii="仿宋" w:hAnsi="仿宋" w:eastAsia="仿宋" w:cs="仿宋"/>
          <w:color w:val="auto"/>
          <w:highlight w:val="none"/>
        </w:rPr>
        <w:t>在填写时，如本表格不适合投标人的实际情况，可根据本表格式自行划表填写。</w:t>
      </w:r>
    </w:p>
    <w:p w14:paraId="54595386">
      <w:pPr>
        <w:pStyle w:val="11"/>
        <w:pageBreakBefore w:val="0"/>
        <w:shd w:val="clear" w:color="auto" w:fill="auto"/>
        <w:tabs>
          <w:tab w:val="left" w:pos="1839"/>
        </w:tabs>
        <w:kinsoku/>
        <w:overflowPunct/>
        <w:topLinePunct w:val="0"/>
        <w:bidi w:val="0"/>
        <w:spacing w:line="360" w:lineRule="auto"/>
        <w:ind w:firstLine="6160" w:firstLineChars="2200"/>
        <w:rPr>
          <w:rFonts w:hint="eastAsia" w:ascii="仿宋" w:hAnsi="仿宋" w:eastAsia="仿宋" w:cs="仿宋"/>
          <w:color w:val="auto"/>
          <w:highlight w:val="none"/>
        </w:rPr>
      </w:pPr>
    </w:p>
    <w:p w14:paraId="3130984E">
      <w:pPr>
        <w:pStyle w:val="12"/>
        <w:pageBreakBefore w:val="0"/>
        <w:shd w:val="clear" w:color="auto" w:fill="auto"/>
        <w:kinsoku/>
        <w:overflowPunct/>
        <w:topLinePunct w:val="0"/>
        <w:bidi w:val="0"/>
        <w:spacing w:line="360" w:lineRule="auto"/>
        <w:rPr>
          <w:rFonts w:hint="eastAsia" w:ascii="仿宋" w:hAnsi="仿宋" w:eastAsia="仿宋" w:cs="仿宋"/>
          <w:color w:val="auto"/>
          <w:highlight w:val="none"/>
        </w:rPr>
      </w:pPr>
    </w:p>
    <w:p w14:paraId="4914847A">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C04E649">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2D3CA951">
      <w:pPr>
        <w:pageBreakBefore w:val="0"/>
        <w:shd w:val="clear" w:color="auto" w:fill="auto"/>
        <w:kinsoku/>
        <w:overflowPunct/>
        <w:topLinePunct w:val="0"/>
        <w:bidi w:val="0"/>
        <w:snapToGrid w:val="0"/>
        <w:spacing w:line="360" w:lineRule="auto"/>
        <w:ind w:firstLine="5280" w:firstLineChars="2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2F23101B">
      <w:pPr>
        <w:pageBreakBefore w:val="0"/>
        <w:kinsoku/>
        <w:overflowPunct/>
        <w:topLinePunct w:val="0"/>
        <w:bidi w:val="0"/>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574DE6CF">
      <w:pPr>
        <w:pageBreakBefore w:val="0"/>
        <w:shd w:val="clear" w:color="auto" w:fill="auto"/>
        <w:kinsoku/>
        <w:overflowPunct/>
        <w:topLinePunct w:val="0"/>
        <w:bidi w:val="0"/>
        <w:snapToGrid w:val="0"/>
        <w:spacing w:line="360" w:lineRule="auto"/>
        <w:ind w:left="643" w:hanging="482" w:hangingChars="200"/>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附件十：</w:t>
      </w:r>
    </w:p>
    <w:p w14:paraId="2FAAD835">
      <w:pPr>
        <w:pageBreakBefore w:val="0"/>
        <w:shd w:val="clear" w:color="auto" w:fill="auto"/>
        <w:kinsoku/>
        <w:overflowPunct/>
        <w:topLinePunct w:val="0"/>
        <w:bidi w:val="0"/>
        <w:snapToGrid w:val="0"/>
        <w:spacing w:line="360" w:lineRule="auto"/>
        <w:ind w:left="643" w:hanging="482" w:hangingChars="200"/>
        <w:jc w:val="center"/>
        <w:rPr>
          <w:rFonts w:hint="eastAsia" w:ascii="仿宋" w:hAnsi="仿宋" w:eastAsia="仿宋" w:cs="仿宋"/>
          <w:b/>
          <w:color w:val="auto"/>
          <w:sz w:val="24"/>
          <w:szCs w:val="24"/>
          <w:highlight w:val="none"/>
          <w:lang w:val="en-US" w:eastAsia="zh-CN"/>
        </w:rPr>
      </w:pPr>
    </w:p>
    <w:p w14:paraId="33F4B00F">
      <w:pPr>
        <w:pageBreakBefore w:val="0"/>
        <w:shd w:val="clear" w:color="auto" w:fill="auto"/>
        <w:kinsoku/>
        <w:overflowPunct/>
        <w:topLinePunct w:val="0"/>
        <w:bidi w:val="0"/>
        <w:snapToGrid w:val="0"/>
        <w:spacing w:line="360" w:lineRule="auto"/>
        <w:ind w:left="643" w:hanging="482" w:hangingChars="200"/>
        <w:jc w:val="center"/>
        <w:rPr>
          <w:rFonts w:hint="eastAsia" w:ascii="仿宋" w:hAnsi="仿宋" w:eastAsia="仿宋" w:cs="仿宋"/>
          <w:color w:val="auto"/>
          <w:sz w:val="28"/>
          <w:szCs w:val="28"/>
          <w:highlight w:val="none"/>
          <w:u w:val="single"/>
        </w:rPr>
      </w:pPr>
      <w:r>
        <w:rPr>
          <w:rFonts w:hint="eastAsia" w:ascii="仿宋" w:hAnsi="仿宋" w:eastAsia="仿宋" w:cs="仿宋"/>
          <w:b/>
          <w:color w:val="auto"/>
          <w:sz w:val="24"/>
          <w:szCs w:val="24"/>
          <w:highlight w:val="none"/>
          <w:lang w:val="en-US" w:eastAsia="zh-CN"/>
        </w:rPr>
        <w:t>投标人同类项目实施情况一览表</w:t>
      </w:r>
    </w:p>
    <w:tbl>
      <w:tblPr>
        <w:tblStyle w:val="25"/>
        <w:tblpPr w:leftFromText="180" w:rightFromText="180" w:vertAnchor="text" w:horzAnchor="page" w:tblpX="1468" w:tblpY="408"/>
        <w:tblOverlap w:val="never"/>
        <w:tblW w:w="88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2"/>
        <w:gridCol w:w="2198"/>
        <w:gridCol w:w="693"/>
        <w:gridCol w:w="693"/>
        <w:gridCol w:w="1087"/>
        <w:gridCol w:w="1800"/>
        <w:gridCol w:w="814"/>
      </w:tblGrid>
      <w:tr w14:paraId="6FD0B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5" w:hRule="atLeast"/>
        </w:trPr>
        <w:tc>
          <w:tcPr>
            <w:tcW w:w="1552" w:type="dxa"/>
            <w:tcBorders>
              <w:top w:val="single" w:color="auto" w:sz="4" w:space="0"/>
              <w:left w:val="single" w:color="auto" w:sz="4" w:space="0"/>
              <w:bottom w:val="single" w:color="auto" w:sz="4" w:space="0"/>
              <w:right w:val="single" w:color="auto" w:sz="4" w:space="0"/>
            </w:tcBorders>
            <w:noWrap w:val="0"/>
            <w:vAlign w:val="center"/>
          </w:tcPr>
          <w:p w14:paraId="42FA1DE6">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p w14:paraId="55619DCA">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631A657A">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2A306051">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13B1F4A0">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6DD7A2C">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p w14:paraId="5087B34D">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14:paraId="60C9279E">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9EB9682">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采购单位联系人及联系电话</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0B83A12">
            <w:pPr>
              <w:pageBreakBefore w:val="0"/>
              <w:shd w:val="clear" w:color="auto" w:fill="auto"/>
              <w:kinsoku/>
              <w:overflowPunct/>
              <w:topLinePunct w:val="0"/>
              <w:bidi w:val="0"/>
              <w:snapToGrid w:val="0"/>
              <w:spacing w:before="120" w:beforeLines="5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2192F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noWrap w:val="0"/>
            <w:vAlign w:val="top"/>
          </w:tcPr>
          <w:p w14:paraId="2BEC7791">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2198" w:type="dxa"/>
            <w:tcBorders>
              <w:top w:val="single" w:color="auto" w:sz="4" w:space="0"/>
              <w:left w:val="single" w:color="auto" w:sz="4" w:space="0"/>
              <w:bottom w:val="single" w:color="auto" w:sz="4" w:space="0"/>
              <w:right w:val="single" w:color="auto" w:sz="4" w:space="0"/>
            </w:tcBorders>
            <w:noWrap w:val="0"/>
            <w:vAlign w:val="top"/>
          </w:tcPr>
          <w:p w14:paraId="3557F577">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45CEBCD7">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705CED3E">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88952CC">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D71DB41">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29BF584E">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r>
      <w:tr w14:paraId="7534C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552" w:type="dxa"/>
            <w:tcBorders>
              <w:top w:val="single" w:color="auto" w:sz="4" w:space="0"/>
              <w:left w:val="single" w:color="auto" w:sz="4" w:space="0"/>
              <w:bottom w:val="single" w:color="auto" w:sz="4" w:space="0"/>
              <w:right w:val="single" w:color="auto" w:sz="4" w:space="0"/>
            </w:tcBorders>
            <w:noWrap w:val="0"/>
            <w:vAlign w:val="top"/>
          </w:tcPr>
          <w:p w14:paraId="2F0736AA">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2198" w:type="dxa"/>
            <w:tcBorders>
              <w:top w:val="single" w:color="auto" w:sz="4" w:space="0"/>
              <w:left w:val="single" w:color="auto" w:sz="4" w:space="0"/>
              <w:bottom w:val="single" w:color="auto" w:sz="4" w:space="0"/>
              <w:right w:val="single" w:color="auto" w:sz="4" w:space="0"/>
            </w:tcBorders>
            <w:noWrap w:val="0"/>
            <w:vAlign w:val="top"/>
          </w:tcPr>
          <w:p w14:paraId="56B0FCDF">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16FD9951">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1607A428">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11361BB">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026CB45">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0E1C6D33">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r>
      <w:tr w14:paraId="2D52C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noWrap w:val="0"/>
            <w:vAlign w:val="top"/>
          </w:tcPr>
          <w:p w14:paraId="1D23378F">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2198" w:type="dxa"/>
            <w:tcBorders>
              <w:top w:val="single" w:color="auto" w:sz="4" w:space="0"/>
              <w:left w:val="single" w:color="auto" w:sz="4" w:space="0"/>
              <w:bottom w:val="single" w:color="auto" w:sz="4" w:space="0"/>
              <w:right w:val="single" w:color="auto" w:sz="4" w:space="0"/>
            </w:tcBorders>
            <w:noWrap w:val="0"/>
            <w:vAlign w:val="top"/>
          </w:tcPr>
          <w:p w14:paraId="334F10EF">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29C7D0EB">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03000108">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2CB0EA1D">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BE79E2E">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71DC183A">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r>
      <w:tr w14:paraId="70980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52" w:type="dxa"/>
            <w:tcBorders>
              <w:top w:val="single" w:color="auto" w:sz="4" w:space="0"/>
              <w:left w:val="single" w:color="auto" w:sz="4" w:space="0"/>
              <w:bottom w:val="single" w:color="auto" w:sz="4" w:space="0"/>
              <w:right w:val="single" w:color="auto" w:sz="4" w:space="0"/>
            </w:tcBorders>
            <w:noWrap w:val="0"/>
            <w:vAlign w:val="top"/>
          </w:tcPr>
          <w:p w14:paraId="31069571">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2198" w:type="dxa"/>
            <w:tcBorders>
              <w:top w:val="single" w:color="auto" w:sz="4" w:space="0"/>
              <w:left w:val="single" w:color="auto" w:sz="4" w:space="0"/>
              <w:bottom w:val="single" w:color="auto" w:sz="4" w:space="0"/>
              <w:right w:val="single" w:color="auto" w:sz="4" w:space="0"/>
            </w:tcBorders>
            <w:noWrap w:val="0"/>
            <w:vAlign w:val="top"/>
          </w:tcPr>
          <w:p w14:paraId="65EC95F5">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1092EB69">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2CD42EFF">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247419B4">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A7A0050">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5A3202E8">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r>
      <w:tr w14:paraId="35EAF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552" w:type="dxa"/>
            <w:tcBorders>
              <w:top w:val="single" w:color="auto" w:sz="4" w:space="0"/>
              <w:left w:val="single" w:color="auto" w:sz="4" w:space="0"/>
              <w:bottom w:val="single" w:color="auto" w:sz="4" w:space="0"/>
              <w:right w:val="single" w:color="auto" w:sz="4" w:space="0"/>
            </w:tcBorders>
            <w:noWrap w:val="0"/>
            <w:vAlign w:val="top"/>
          </w:tcPr>
          <w:p w14:paraId="6F3D1D17">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2198" w:type="dxa"/>
            <w:tcBorders>
              <w:top w:val="single" w:color="auto" w:sz="4" w:space="0"/>
              <w:left w:val="single" w:color="auto" w:sz="4" w:space="0"/>
              <w:bottom w:val="single" w:color="auto" w:sz="4" w:space="0"/>
              <w:right w:val="single" w:color="auto" w:sz="4" w:space="0"/>
            </w:tcBorders>
            <w:noWrap w:val="0"/>
            <w:vAlign w:val="top"/>
          </w:tcPr>
          <w:p w14:paraId="7E3F5B2E">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4D0C0ADE">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top"/>
          </w:tcPr>
          <w:p w14:paraId="7C9D543F">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4FF9DDF9">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ACA7861">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top"/>
          </w:tcPr>
          <w:p w14:paraId="1C35C0B7">
            <w:pPr>
              <w:pageBreakBefore w:val="0"/>
              <w:shd w:val="clear" w:color="auto" w:fill="auto"/>
              <w:kinsoku/>
              <w:overflowPunct/>
              <w:topLinePunct w:val="0"/>
              <w:bidi w:val="0"/>
              <w:snapToGrid w:val="0"/>
              <w:spacing w:before="50" w:after="120" w:afterLines="50" w:line="360" w:lineRule="auto"/>
              <w:jc w:val="left"/>
              <w:rPr>
                <w:rFonts w:hint="eastAsia" w:ascii="仿宋" w:hAnsi="仿宋" w:eastAsia="仿宋" w:cs="仿宋"/>
                <w:color w:val="auto"/>
                <w:sz w:val="28"/>
                <w:szCs w:val="28"/>
                <w:highlight w:val="none"/>
              </w:rPr>
            </w:pPr>
          </w:p>
        </w:tc>
      </w:tr>
    </w:tbl>
    <w:p w14:paraId="3C6B6A3E">
      <w:pPr>
        <w:pageBreakBefore w:val="0"/>
        <w:kinsoku/>
        <w:overflowPunct/>
        <w:topLinePunct w:val="0"/>
        <w:bidi w:val="0"/>
        <w:spacing w:line="360" w:lineRule="auto"/>
        <w:rPr>
          <w:rFonts w:hint="eastAsia" w:ascii="仿宋" w:hAnsi="仿宋" w:eastAsia="仿宋" w:cs="仿宋"/>
          <w:b/>
          <w:color w:val="auto"/>
          <w:sz w:val="24"/>
          <w:szCs w:val="24"/>
          <w:highlight w:val="none"/>
        </w:rPr>
      </w:pPr>
    </w:p>
    <w:p w14:paraId="648F18B9">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1B722D78">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7A8DB35A">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1A5BE84">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3A57FA5D">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08212E0F">
      <w:pPr>
        <w:pageBreakBefore w:val="0"/>
        <w:kinsoku/>
        <w:overflowPunct/>
        <w:topLinePunct w:val="0"/>
        <w:bidi w:val="0"/>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1ADC3AA0">
      <w:pPr>
        <w:pStyle w:val="60"/>
        <w:pageBreakBefore w:val="0"/>
        <w:kinsoku/>
        <w:overflowPunct/>
        <w:topLinePunct w:val="0"/>
        <w:bidi w:val="0"/>
        <w:spacing w:line="360" w:lineRule="auto"/>
        <w:ind w:left="0" w:leftChars="0" w:firstLine="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附件十一：</w:t>
      </w:r>
    </w:p>
    <w:p w14:paraId="0D3E1334">
      <w:pPr>
        <w:pageBreakBefore w:val="0"/>
        <w:kinsoku/>
        <w:overflowPunct/>
        <w:topLinePunct w:val="0"/>
        <w:autoSpaceDE w:val="0"/>
        <w:autoSpaceDN w:val="0"/>
        <w:bidi w:val="0"/>
        <w:spacing w:line="360" w:lineRule="auto"/>
        <w:ind w:left="2"/>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廉政承诺书</w:t>
      </w:r>
    </w:p>
    <w:p w14:paraId="42E30625">
      <w:pPr>
        <w:pageBreakBefore w:val="0"/>
        <w:kinsoku/>
        <w:overflowPunct/>
        <w:topLinePunct w:val="0"/>
        <w:autoSpaceDE w:val="0"/>
        <w:autoSpaceDN w:val="0"/>
        <w:bidi w:val="0"/>
        <w:spacing w:line="360" w:lineRule="auto"/>
        <w:ind w:left="2"/>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嵊州市水联贸易有限公司：    </w:t>
      </w:r>
    </w:p>
    <w:p w14:paraId="723F8170">
      <w:pPr>
        <w:pageBreakBefore w:val="0"/>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 xml:space="preserve">项目招标要求参加投标。在这次投标过程中和中标后，我们将严格遵守国家法律法规要求，并郑重承诺：    </w:t>
      </w:r>
    </w:p>
    <w:p w14:paraId="1D00A82A">
      <w:pPr>
        <w:pageBreakBefore w:val="0"/>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14:paraId="0F04F9A3">
      <w:pPr>
        <w:pageBreakBefore w:val="0"/>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14:paraId="603E7760">
      <w:pPr>
        <w:pageBreakBefore w:val="0"/>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14:paraId="6184450A">
      <w:pPr>
        <w:pageBreakBefore w:val="0"/>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四、不为项目有关人员及部门出国（境）、旅游等提供方便；    </w:t>
      </w:r>
    </w:p>
    <w:p w14:paraId="69825395">
      <w:pPr>
        <w:pageBreakBefore w:val="0"/>
        <w:kinsoku/>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五、不为项目有关人员个人装修住房、婚丧嫁娶、配偶子女工作安排等提供好处；    </w:t>
      </w:r>
    </w:p>
    <w:p w14:paraId="4AE583C9">
      <w:pPr>
        <w:pageBreakBefore w:val="0"/>
        <w:kinsoku/>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六、严格遵守政府采购法、民法典等法律，诚实守信，合法经营，坚决抵制各种违法违纪行为。    </w:t>
      </w:r>
    </w:p>
    <w:p w14:paraId="18F4909A">
      <w:pPr>
        <w:pageBreakBefore w:val="0"/>
        <w:kinsoku/>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14:paraId="76CD3395">
      <w:pPr>
        <w:pageBreakBefore w:val="0"/>
        <w:kinsoku/>
        <w:overflowPunct/>
        <w:topLinePunct w:val="0"/>
        <w:autoSpaceDE w:val="0"/>
        <w:autoSpaceDN w:val="0"/>
        <w:bidi w:val="0"/>
        <w:spacing w:line="360" w:lineRule="auto"/>
        <w:jc w:val="left"/>
        <w:rPr>
          <w:rFonts w:hint="eastAsia" w:ascii="仿宋" w:hAnsi="仿宋" w:eastAsia="仿宋" w:cs="仿宋"/>
          <w:color w:val="auto"/>
          <w:kern w:val="0"/>
          <w:sz w:val="24"/>
          <w:szCs w:val="24"/>
          <w:highlight w:val="none"/>
          <w:lang w:val="zh-CN"/>
        </w:rPr>
      </w:pPr>
    </w:p>
    <w:p w14:paraId="57572A61">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44798F61">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0D9B4BA4">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30172CB1">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019FF39">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05232B4A">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78507E3A">
      <w:pPr>
        <w:pageBreakBefore w:val="0"/>
        <w:kinsoku/>
        <w:overflowPunct/>
        <w:topLinePunct w:val="0"/>
        <w:bidi w:val="0"/>
        <w:spacing w:line="360" w:lineRule="auto"/>
        <w:jc w:val="left"/>
        <w:rPr>
          <w:rFonts w:hint="eastAsia" w:ascii="仿宋" w:hAnsi="仿宋" w:eastAsia="仿宋" w:cs="仿宋"/>
          <w:color w:val="auto"/>
          <w:sz w:val="24"/>
          <w:szCs w:val="24"/>
          <w:highlight w:val="none"/>
          <w:shd w:val="clear" w:color="FFFFFF" w:fill="D9D9D9"/>
        </w:rPr>
      </w:pPr>
    </w:p>
    <w:p w14:paraId="67CF7A5B">
      <w:pPr>
        <w:pageBreakBefore w:val="0"/>
        <w:kinsoku/>
        <w:overflowPunct/>
        <w:topLinePunct w:val="0"/>
        <w:bidi w:val="0"/>
        <w:spacing w:line="360" w:lineRule="auto"/>
        <w:jc w:val="left"/>
        <w:rPr>
          <w:rFonts w:hint="eastAsia" w:ascii="仿宋" w:hAnsi="仿宋" w:eastAsia="仿宋" w:cs="仿宋"/>
          <w:b/>
          <w:color w:val="auto"/>
          <w:sz w:val="24"/>
          <w:szCs w:val="24"/>
          <w:highlight w:val="none"/>
        </w:rPr>
      </w:pPr>
    </w:p>
    <w:p w14:paraId="1C4F77DA">
      <w:pPr>
        <w:pageBreakBefore w:val="0"/>
        <w:kinsoku/>
        <w:overflowPunct/>
        <w:topLinePunct w:val="0"/>
        <w:bidi w:val="0"/>
        <w:spacing w:line="360" w:lineRule="auto"/>
        <w:jc w:val="left"/>
        <w:rPr>
          <w:rFonts w:hint="eastAsia" w:ascii="仿宋" w:hAnsi="仿宋" w:eastAsia="仿宋" w:cs="仿宋"/>
          <w:b/>
          <w:color w:val="auto"/>
          <w:sz w:val="24"/>
          <w:szCs w:val="24"/>
          <w:highlight w:val="none"/>
        </w:rPr>
      </w:pPr>
    </w:p>
    <w:p w14:paraId="72543EA2">
      <w:pPr>
        <w:pageBreakBefore w:val="0"/>
        <w:kinsoku/>
        <w:overflowPunct/>
        <w:topLinePunct w:val="0"/>
        <w:bidi w:val="0"/>
        <w:spacing w:line="360" w:lineRule="auto"/>
        <w:rPr>
          <w:rFonts w:hint="eastAsia" w:ascii="仿宋" w:hAnsi="仿宋" w:eastAsia="仿宋" w:cs="仿宋"/>
          <w:b/>
          <w:color w:val="auto"/>
          <w:sz w:val="24"/>
          <w:szCs w:val="24"/>
          <w:highlight w:val="none"/>
        </w:rPr>
      </w:pPr>
    </w:p>
    <w:p w14:paraId="0612BE64">
      <w:pPr>
        <w:pageBreakBefore w:val="0"/>
        <w:kinsoku/>
        <w:overflowPunct/>
        <w:topLinePunct w:val="0"/>
        <w:bidi w:val="0"/>
        <w:spacing w:line="360" w:lineRule="auto"/>
        <w:rPr>
          <w:rFonts w:hint="eastAsia" w:ascii="仿宋" w:hAnsi="仿宋" w:eastAsia="仿宋" w:cs="仿宋"/>
          <w:b/>
          <w:color w:val="auto"/>
          <w:sz w:val="24"/>
          <w:szCs w:val="24"/>
          <w:highlight w:val="none"/>
        </w:rPr>
      </w:pPr>
    </w:p>
    <w:p w14:paraId="0CB495CC">
      <w:pPr>
        <w:pageBreakBefore w:val="0"/>
        <w:kinsoku/>
        <w:overflowPunct/>
        <w:topLinePunct w:val="0"/>
        <w:bidi w:val="0"/>
        <w:spacing w:line="360" w:lineRule="auto"/>
        <w:rPr>
          <w:rFonts w:hint="eastAsia" w:ascii="仿宋" w:hAnsi="仿宋" w:eastAsia="仿宋" w:cs="仿宋"/>
          <w:b/>
          <w:color w:val="auto"/>
          <w:sz w:val="24"/>
          <w:szCs w:val="24"/>
          <w:highlight w:val="none"/>
        </w:rPr>
      </w:pPr>
    </w:p>
    <w:p w14:paraId="6547318D">
      <w:pPr>
        <w:pStyle w:val="59"/>
        <w:pageBreakBefore w:val="0"/>
        <w:kinsoku/>
        <w:overflowPunct/>
        <w:topLinePunct w:val="0"/>
        <w:bidi w:val="0"/>
        <w:spacing w:after="0" w:afterLines="0"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十二：</w:t>
      </w:r>
    </w:p>
    <w:p w14:paraId="3FD5BF12">
      <w:pPr>
        <w:pageBreakBefore w:val="0"/>
        <w:kinsoku/>
        <w:overflowPunct/>
        <w:topLinePunct w:val="0"/>
        <w:bidi w:val="0"/>
        <w:snapToGrid w:val="0"/>
        <w:spacing w:line="360" w:lineRule="auto"/>
        <w:jc w:val="center"/>
        <w:rPr>
          <w:rFonts w:hint="eastAsia" w:ascii="仿宋" w:hAnsi="仿宋" w:eastAsia="仿宋" w:cs="仿宋"/>
          <w:b/>
          <w:color w:val="auto"/>
          <w:sz w:val="24"/>
          <w:szCs w:val="24"/>
          <w:highlight w:val="none"/>
        </w:rPr>
      </w:pPr>
    </w:p>
    <w:p w14:paraId="75412364">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开标一览表（报价表）                            </w:t>
      </w:r>
    </w:p>
    <w:p w14:paraId="7A30F492">
      <w:pPr>
        <w:pageBreakBefore w:val="0"/>
        <w:kinsoku/>
        <w:overflowPunct/>
        <w:topLinePunct w:val="0"/>
        <w:bidi w:val="0"/>
        <w:snapToGrid w:val="0"/>
        <w:spacing w:line="360" w:lineRule="auto"/>
        <w:rPr>
          <w:rFonts w:hint="eastAsia" w:ascii="仿宋" w:hAnsi="仿宋" w:eastAsia="仿宋" w:cs="仿宋"/>
          <w:color w:val="auto"/>
          <w:sz w:val="24"/>
          <w:szCs w:val="24"/>
          <w:highlight w:val="none"/>
        </w:rPr>
      </w:pPr>
    </w:p>
    <w:p w14:paraId="322C7050">
      <w:pPr>
        <w:pageBreakBefore w:val="0"/>
        <w:kinsoku/>
        <w:overflowPunct/>
        <w:topLinePunct w:val="0"/>
        <w:bidi w:val="0"/>
        <w:snapToGrid w:val="0"/>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5E1F6D39">
      <w:pPr>
        <w:pageBreakBefore w:val="0"/>
        <w:kinsoku/>
        <w:overflowPunct/>
        <w:topLinePunct w:val="0"/>
        <w:bidi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49CFBCA">
      <w:pPr>
        <w:pageBreakBefore w:val="0"/>
        <w:kinsoku/>
        <w:overflowPunct/>
        <w:topLinePunct w:val="0"/>
        <w:bidi w:val="0"/>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单位：人民币元                                              </w:t>
      </w:r>
    </w:p>
    <w:tbl>
      <w:tblPr>
        <w:tblStyle w:val="25"/>
        <w:tblW w:w="86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306"/>
        <w:gridCol w:w="1472"/>
        <w:gridCol w:w="1890"/>
        <w:gridCol w:w="1208"/>
      </w:tblGrid>
      <w:tr w14:paraId="0B5DC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681B4B0E">
            <w:pPr>
              <w:pageBreakBefore w:val="0"/>
              <w:kinsoku/>
              <w:overflowPunct/>
              <w:topLinePunct w:val="0"/>
              <w:bidi w:val="0"/>
              <w:snapToGrid w:val="0"/>
              <w:spacing w:before="100" w:beforeAutospacing="1" w:after="100" w:afterAutospacing="1"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3306" w:type="dxa"/>
            <w:tcBorders>
              <w:top w:val="single" w:color="auto" w:sz="4" w:space="0"/>
              <w:left w:val="single" w:color="auto" w:sz="4" w:space="0"/>
              <w:bottom w:val="single" w:color="auto" w:sz="4" w:space="0"/>
              <w:right w:val="single" w:color="auto" w:sz="4" w:space="0"/>
            </w:tcBorders>
            <w:noWrap w:val="0"/>
            <w:vAlign w:val="center"/>
          </w:tcPr>
          <w:p w14:paraId="77CE6AA4">
            <w:pPr>
              <w:pageBreakBefore w:val="0"/>
              <w:kinsoku/>
              <w:overflowPunct/>
              <w:topLinePunct w:val="0"/>
              <w:bidi w:val="0"/>
              <w:snapToGrid w:val="0"/>
              <w:spacing w:before="100" w:beforeAutospacing="1" w:after="100" w:afterAutospacing="1"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9DA05C8">
            <w:pPr>
              <w:pageBreakBefore w:val="0"/>
              <w:kinsoku/>
              <w:overflowPunct/>
              <w:topLinePunct w:val="0"/>
              <w:bidi w:val="0"/>
              <w:snapToGrid w:val="0"/>
              <w:spacing w:before="100" w:beforeAutospacing="1" w:after="100" w:afterAutospacing="1"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数量</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E42303C">
            <w:pPr>
              <w:pageBreakBefore w:val="0"/>
              <w:kinsoku/>
              <w:overflowPunct/>
              <w:topLinePunct w:val="0"/>
              <w:bidi w:val="0"/>
              <w:snapToGrid w:val="0"/>
              <w:spacing w:before="100" w:beforeAutospacing="1" w:after="100" w:afterAutospacing="1" w:line="360"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投标报价</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222E5ED6">
            <w:pPr>
              <w:pageBreakBefore w:val="0"/>
              <w:kinsoku/>
              <w:overflowPunct/>
              <w:topLinePunct w:val="0"/>
              <w:bidi w:val="0"/>
              <w:snapToGrid w:val="0"/>
              <w:spacing w:before="100" w:beforeAutospacing="1" w:after="100" w:afterAutospacing="1"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2A239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4C458525">
            <w:pPr>
              <w:pageBreakBefore w:val="0"/>
              <w:kinsoku/>
              <w:overflowPunct/>
              <w:topLinePunct w:val="0"/>
              <w:bidi w:val="0"/>
              <w:snapToGrid w:val="0"/>
              <w:spacing w:before="100" w:beforeAutospacing="1" w:after="100" w:afterAutospacing="1"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3306" w:type="dxa"/>
            <w:tcBorders>
              <w:top w:val="single" w:color="auto" w:sz="4" w:space="0"/>
              <w:left w:val="single" w:color="auto" w:sz="4" w:space="0"/>
              <w:bottom w:val="single" w:color="auto" w:sz="4" w:space="0"/>
              <w:right w:val="single" w:color="auto" w:sz="4" w:space="0"/>
            </w:tcBorders>
            <w:noWrap w:val="0"/>
            <w:vAlign w:val="center"/>
          </w:tcPr>
          <w:p w14:paraId="0A130085">
            <w:pPr>
              <w:pageBreakBefore w:val="0"/>
              <w:kinsoku/>
              <w:overflowPunct/>
              <w:topLinePunct w:val="0"/>
              <w:bidi w:val="0"/>
              <w:snapToGrid w:val="0"/>
              <w:spacing w:line="360" w:lineRule="auto"/>
              <w:jc w:val="center"/>
              <w:rPr>
                <w:rFonts w:hint="eastAsia" w:ascii="仿宋" w:hAnsi="仿宋" w:eastAsia="仿宋" w:cs="仿宋"/>
                <w:bCs/>
                <w:color w:val="auto"/>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CF604D1">
            <w:pPr>
              <w:pageBreakBefore w:val="0"/>
              <w:kinsoku/>
              <w:overflowPunct/>
              <w:topLinePunct w:val="0"/>
              <w:bidi w:val="0"/>
              <w:snapToGrid w:val="0"/>
              <w:spacing w:line="360" w:lineRule="auto"/>
              <w:jc w:val="center"/>
              <w:rPr>
                <w:rFonts w:hint="eastAsia" w:ascii="仿宋" w:hAnsi="仿宋" w:eastAsia="仿宋" w:cs="仿宋"/>
                <w:color w:val="auto"/>
                <w:sz w:val="21"/>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3C8EAB0">
            <w:pPr>
              <w:pageBreakBefore w:val="0"/>
              <w:kinsoku/>
              <w:overflowPunct/>
              <w:topLinePunct w:val="0"/>
              <w:bidi w:val="0"/>
              <w:snapToGrid w:val="0"/>
              <w:spacing w:line="360" w:lineRule="auto"/>
              <w:jc w:val="center"/>
              <w:rPr>
                <w:rFonts w:hint="eastAsia" w:ascii="仿宋" w:hAnsi="仿宋" w:eastAsia="仿宋" w:cs="仿宋"/>
                <w:color w:val="auto"/>
                <w:sz w:val="21"/>
                <w:szCs w:val="21"/>
                <w:highlight w:val="none"/>
                <w:lang w:eastAsia="zh-CN"/>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150F8B61">
            <w:pPr>
              <w:pageBreakBefore w:val="0"/>
              <w:kinsoku/>
              <w:overflowPunct/>
              <w:topLinePunct w:val="0"/>
              <w:bidi w:val="0"/>
              <w:snapToGrid w:val="0"/>
              <w:spacing w:before="100" w:beforeAutospacing="1" w:after="100" w:afterAutospacing="1" w:line="360" w:lineRule="auto"/>
              <w:rPr>
                <w:rFonts w:hint="eastAsia" w:ascii="仿宋" w:hAnsi="仿宋" w:eastAsia="仿宋" w:cs="仿宋"/>
                <w:color w:val="auto"/>
                <w:szCs w:val="21"/>
                <w:highlight w:val="none"/>
              </w:rPr>
            </w:pPr>
          </w:p>
        </w:tc>
      </w:tr>
      <w:tr w14:paraId="4676B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8626" w:type="dxa"/>
            <w:gridSpan w:val="5"/>
            <w:tcBorders>
              <w:top w:val="single" w:color="auto" w:sz="4" w:space="0"/>
              <w:left w:val="single" w:color="auto" w:sz="4" w:space="0"/>
              <w:bottom w:val="single" w:color="auto" w:sz="4" w:space="0"/>
              <w:right w:val="single" w:color="auto" w:sz="4" w:space="0"/>
            </w:tcBorders>
            <w:noWrap w:val="0"/>
            <w:vAlign w:val="center"/>
          </w:tcPr>
          <w:p w14:paraId="7DD3C1CC">
            <w:pPr>
              <w:pageBreakBefore w:val="0"/>
              <w:kinsoku/>
              <w:overflowPunct/>
              <w:topLinePunct w:val="0"/>
              <w:bidi w:val="0"/>
              <w:snapToGrid w:val="0"/>
              <w:spacing w:before="100" w:beforeAutospacing="1" w:after="100" w:afterAutospacing="1" w:line="360" w:lineRule="auto"/>
              <w:rPr>
                <w:rFonts w:hint="eastAsia" w:ascii="仿宋" w:hAnsi="仿宋" w:eastAsia="仿宋" w:cs="仿宋"/>
                <w:color w:val="auto"/>
                <w:szCs w:val="21"/>
                <w:highlight w:val="none"/>
                <w:lang w:eastAsia="zh-CN"/>
              </w:rPr>
            </w:pPr>
            <w:r>
              <w:rPr>
                <w:rFonts w:hint="eastAsia" w:ascii="仿宋" w:hAnsi="仿宋" w:eastAsia="仿宋" w:cs="仿宋"/>
                <w:b/>
                <w:bCs/>
                <w:color w:val="auto"/>
                <w:szCs w:val="21"/>
                <w:highlight w:val="none"/>
                <w:lang w:eastAsia="zh-CN"/>
              </w:rPr>
              <w:t>投标总</w:t>
            </w:r>
            <w:r>
              <w:rPr>
                <w:rFonts w:hint="eastAsia" w:ascii="仿宋" w:hAnsi="仿宋" w:eastAsia="仿宋" w:cs="仿宋"/>
                <w:b/>
                <w:bCs/>
                <w:color w:val="auto"/>
                <w:szCs w:val="21"/>
                <w:highlight w:val="none"/>
                <w:lang w:val="en-US" w:eastAsia="zh-CN"/>
              </w:rPr>
              <w:t>报价</w:t>
            </w:r>
            <w:r>
              <w:rPr>
                <w:rFonts w:hint="eastAsia" w:ascii="仿宋" w:hAnsi="仿宋" w:eastAsia="仿宋" w:cs="仿宋"/>
                <w:b/>
                <w:bCs/>
                <w:color w:val="auto"/>
                <w:szCs w:val="21"/>
                <w:highlight w:val="none"/>
                <w:lang w:eastAsia="zh-CN"/>
              </w:rPr>
              <w:t>（大写）：</w:t>
            </w:r>
            <w:r>
              <w:rPr>
                <w:rFonts w:hint="eastAsia" w:ascii="仿宋" w:hAnsi="仿宋" w:eastAsia="仿宋" w:cs="仿宋"/>
                <w:b/>
                <w:bCs/>
                <w:color w:val="auto"/>
                <w:szCs w:val="21"/>
                <w:highlight w:val="none"/>
                <w:lang w:val="en-US" w:eastAsia="zh-CN"/>
              </w:rPr>
              <w:t xml:space="preserve">               </w:t>
            </w:r>
            <w:r>
              <w:rPr>
                <w:rFonts w:hint="eastAsia" w:ascii="仿宋" w:hAnsi="仿宋" w:eastAsia="仿宋" w:cs="仿宋"/>
                <w:b/>
                <w:bCs/>
                <w:color w:val="auto"/>
                <w:szCs w:val="21"/>
                <w:highlight w:val="none"/>
                <w:lang w:eastAsia="zh-CN"/>
              </w:rPr>
              <w:t>元整</w:t>
            </w:r>
          </w:p>
        </w:tc>
      </w:tr>
    </w:tbl>
    <w:p w14:paraId="0BF576B1">
      <w:pPr>
        <w:pageBreakBefore w:val="0"/>
        <w:kinsoku/>
        <w:overflowPunct/>
        <w:topLinePunct w:val="0"/>
        <w:bidi w:val="0"/>
        <w:adjustRightInd w:val="0"/>
        <w:snapToGrid w:val="0"/>
        <w:spacing w:before="50" w:after="50"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注: </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366665A7">
      <w:pPr>
        <w:pageBreakBefore w:val="0"/>
        <w:kinsoku/>
        <w:overflowPunct/>
        <w:topLinePunct w:val="0"/>
        <w:bidi w:val="0"/>
        <w:adjustRightInd w:val="0"/>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2、投标报价须包括完成本项目技术要求所需的全部费用。</w:t>
      </w:r>
    </w:p>
    <w:p w14:paraId="06457EC7">
      <w:pPr>
        <w:pageBreakBefore w:val="0"/>
        <w:kinsoku/>
        <w:overflowPunct/>
        <w:topLinePunct w:val="0"/>
        <w:bidi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3、按国家规定由中标人缴纳的各种税收已包含在投标总价内，由中标人向税务机关缴纳。</w:t>
      </w:r>
    </w:p>
    <w:p w14:paraId="644FC334">
      <w:pPr>
        <w:pageBreakBefore w:val="0"/>
        <w:kinsoku/>
        <w:overflowPunct/>
        <w:topLinePunct w:val="0"/>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4B19729C">
      <w:pPr>
        <w:pageBreakBefore w:val="0"/>
        <w:kinsoku/>
        <w:overflowPunct/>
        <w:topLinePunct w:val="0"/>
        <w:bidi w:val="0"/>
        <w:spacing w:line="360" w:lineRule="auto"/>
        <w:ind w:firstLine="482"/>
        <w:rPr>
          <w:rFonts w:hint="eastAsia" w:ascii="仿宋" w:hAnsi="仿宋" w:eastAsia="仿宋" w:cs="仿宋"/>
          <w:color w:val="auto"/>
          <w:sz w:val="24"/>
          <w:szCs w:val="24"/>
          <w:highlight w:val="none"/>
        </w:rPr>
      </w:pPr>
    </w:p>
    <w:p w14:paraId="06F9848B">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kern w:val="0"/>
          <w:sz w:val="24"/>
          <w:szCs w:val="24"/>
          <w:highlight w:val="none"/>
          <w:lang w:val="zh-CN"/>
        </w:rPr>
      </w:pPr>
    </w:p>
    <w:p w14:paraId="52ACD1A0">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C17300C">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414619D3">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6F42E552">
      <w:pPr>
        <w:pageBreakBefore w:val="0"/>
        <w:kinsoku/>
        <w:overflowPunct/>
        <w:topLinePunct w:val="0"/>
        <w:bidi w:val="0"/>
        <w:adjustRightInd w:val="0"/>
        <w:snapToGrid w:val="0"/>
        <w:spacing w:line="360" w:lineRule="auto"/>
        <w:jc w:val="left"/>
        <w:textAlignment w:val="baseline"/>
        <w:rPr>
          <w:rFonts w:hint="eastAsia" w:ascii="仿宋" w:hAnsi="仿宋" w:eastAsia="仿宋" w:cs="仿宋"/>
          <w:b/>
          <w:bCs w:val="0"/>
          <w:color w:val="auto"/>
          <w:sz w:val="24"/>
          <w:szCs w:val="24"/>
          <w:highlight w:val="none"/>
          <w:lang w:eastAsia="zh-CN"/>
        </w:rPr>
      </w:pPr>
      <w:r>
        <w:rPr>
          <w:rFonts w:hint="eastAsia" w:ascii="仿宋" w:hAnsi="仿宋" w:eastAsia="仿宋" w:cs="仿宋"/>
          <w:color w:val="auto"/>
          <w:sz w:val="21"/>
          <w:szCs w:val="21"/>
          <w:highlight w:val="none"/>
        </w:rPr>
        <w:br w:type="page"/>
      </w:r>
      <w:r>
        <w:rPr>
          <w:rFonts w:hint="eastAsia" w:ascii="仿宋" w:hAnsi="仿宋" w:eastAsia="仿宋" w:cs="仿宋"/>
          <w:b/>
          <w:bCs w:val="0"/>
          <w:color w:val="auto"/>
          <w:sz w:val="24"/>
          <w:szCs w:val="24"/>
          <w:highlight w:val="none"/>
          <w:lang w:eastAsia="zh-CN"/>
        </w:rPr>
        <w:t>附件十</w:t>
      </w:r>
      <w:r>
        <w:rPr>
          <w:rFonts w:hint="eastAsia" w:ascii="仿宋" w:hAnsi="仿宋" w:eastAsia="仿宋" w:cs="仿宋"/>
          <w:b/>
          <w:bCs w:val="0"/>
          <w:color w:val="auto"/>
          <w:sz w:val="24"/>
          <w:szCs w:val="24"/>
          <w:highlight w:val="none"/>
          <w:lang w:val="en-US" w:eastAsia="zh-CN"/>
        </w:rPr>
        <w:t>三：</w:t>
      </w:r>
    </w:p>
    <w:p w14:paraId="169C6E18">
      <w:pPr>
        <w:pageBreakBefore w:val="0"/>
        <w:kinsoku/>
        <w:overflowPunct/>
        <w:topLinePunct w:val="0"/>
        <w:bidi w:val="0"/>
        <w:snapToGrid w:val="0"/>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2"/>
          <w:szCs w:val="32"/>
          <w:highlight w:val="none"/>
        </w:rPr>
        <w:t>报价</w:t>
      </w:r>
      <w:r>
        <w:rPr>
          <w:rFonts w:hint="eastAsia" w:ascii="仿宋" w:hAnsi="仿宋" w:eastAsia="仿宋" w:cs="仿宋"/>
          <w:color w:val="auto"/>
          <w:sz w:val="32"/>
          <w:szCs w:val="32"/>
          <w:highlight w:val="none"/>
          <w:lang w:eastAsia="zh-CN"/>
        </w:rPr>
        <w:t>明细</w:t>
      </w:r>
      <w:r>
        <w:rPr>
          <w:rFonts w:hint="eastAsia" w:ascii="仿宋" w:hAnsi="仿宋" w:eastAsia="仿宋" w:cs="仿宋"/>
          <w:color w:val="auto"/>
          <w:sz w:val="32"/>
          <w:szCs w:val="32"/>
          <w:highlight w:val="none"/>
        </w:rPr>
        <w:t>表</w:t>
      </w:r>
      <w:r>
        <w:rPr>
          <w:rFonts w:hint="eastAsia" w:ascii="仿宋" w:hAnsi="仿宋" w:eastAsia="仿宋" w:cs="仿宋"/>
          <w:color w:val="auto"/>
          <w:sz w:val="36"/>
          <w:szCs w:val="36"/>
          <w:highlight w:val="none"/>
        </w:rPr>
        <w:t xml:space="preserve">     </w:t>
      </w:r>
    </w:p>
    <w:p w14:paraId="5E400FC9">
      <w:pPr>
        <w:pageBreakBefore w:val="0"/>
        <w:kinsoku/>
        <w:overflowPunct/>
        <w:topLinePunct w:val="0"/>
        <w:bidi w:val="0"/>
        <w:snapToGrid w:val="0"/>
        <w:spacing w:line="360" w:lineRule="auto"/>
        <w:ind w:left="1200" w:hanging="1200" w:hanging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0A63301E">
      <w:pPr>
        <w:pageBreakBefore w:val="0"/>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金额单位：元</w:t>
      </w:r>
    </w:p>
    <w:tbl>
      <w:tblPr>
        <w:tblStyle w:val="2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14"/>
        <w:gridCol w:w="775"/>
        <w:gridCol w:w="1438"/>
        <w:gridCol w:w="800"/>
        <w:gridCol w:w="775"/>
        <w:gridCol w:w="787"/>
        <w:gridCol w:w="938"/>
        <w:gridCol w:w="836"/>
      </w:tblGrid>
      <w:tr w14:paraId="4176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FB10C04">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14" w:type="dxa"/>
            <w:tcBorders>
              <w:top w:val="single" w:color="auto" w:sz="4" w:space="0"/>
              <w:left w:val="nil"/>
              <w:bottom w:val="single" w:color="auto" w:sz="4" w:space="0"/>
              <w:right w:val="single" w:color="auto" w:sz="4" w:space="0"/>
            </w:tcBorders>
            <w:noWrap w:val="0"/>
            <w:vAlign w:val="center"/>
          </w:tcPr>
          <w:p w14:paraId="17D59F60">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75" w:type="dxa"/>
            <w:tcBorders>
              <w:top w:val="single" w:color="auto" w:sz="4" w:space="0"/>
              <w:left w:val="nil"/>
              <w:bottom w:val="single" w:color="auto" w:sz="4" w:space="0"/>
              <w:right w:val="single" w:color="auto" w:sz="4" w:space="0"/>
            </w:tcBorders>
            <w:noWrap w:val="0"/>
            <w:vAlign w:val="center"/>
          </w:tcPr>
          <w:p w14:paraId="09DC26E8">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438" w:type="dxa"/>
            <w:tcBorders>
              <w:top w:val="single" w:color="auto" w:sz="4" w:space="0"/>
              <w:left w:val="nil"/>
              <w:bottom w:val="single" w:color="auto" w:sz="4" w:space="0"/>
              <w:right w:val="single" w:color="auto" w:sz="4" w:space="0"/>
            </w:tcBorders>
            <w:noWrap w:val="0"/>
            <w:vAlign w:val="center"/>
          </w:tcPr>
          <w:p w14:paraId="1010BFF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规格及型号</w:t>
            </w:r>
          </w:p>
        </w:tc>
        <w:tc>
          <w:tcPr>
            <w:tcW w:w="800" w:type="dxa"/>
            <w:tcBorders>
              <w:top w:val="single" w:color="auto" w:sz="4" w:space="0"/>
              <w:left w:val="nil"/>
              <w:bottom w:val="single" w:color="auto" w:sz="4" w:space="0"/>
              <w:right w:val="single" w:color="auto" w:sz="4" w:space="0"/>
            </w:tcBorders>
            <w:noWrap w:val="0"/>
            <w:vAlign w:val="center"/>
          </w:tcPr>
          <w:p w14:paraId="5CAF9FD9">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775" w:type="dxa"/>
            <w:tcBorders>
              <w:top w:val="single" w:color="auto" w:sz="4" w:space="0"/>
              <w:left w:val="nil"/>
              <w:bottom w:val="single" w:color="auto" w:sz="4" w:space="0"/>
              <w:right w:val="single" w:color="auto" w:sz="4" w:space="0"/>
            </w:tcBorders>
            <w:noWrap w:val="0"/>
            <w:vAlign w:val="center"/>
          </w:tcPr>
          <w:p w14:paraId="083D30AB">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87" w:type="dxa"/>
            <w:tcBorders>
              <w:top w:val="single" w:color="auto" w:sz="4" w:space="0"/>
              <w:left w:val="nil"/>
              <w:bottom w:val="single" w:color="auto" w:sz="4" w:space="0"/>
              <w:right w:val="single" w:color="auto" w:sz="4" w:space="0"/>
            </w:tcBorders>
            <w:noWrap w:val="0"/>
            <w:vAlign w:val="center"/>
          </w:tcPr>
          <w:p w14:paraId="545B285D">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38" w:type="dxa"/>
            <w:tcBorders>
              <w:top w:val="single" w:color="auto" w:sz="4" w:space="0"/>
              <w:left w:val="nil"/>
              <w:bottom w:val="single" w:color="auto" w:sz="4" w:space="0"/>
              <w:right w:val="single" w:color="auto" w:sz="4" w:space="0"/>
            </w:tcBorders>
            <w:noWrap w:val="0"/>
            <w:vAlign w:val="center"/>
          </w:tcPr>
          <w:p w14:paraId="3B2F4DF5">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836" w:type="dxa"/>
            <w:tcBorders>
              <w:top w:val="single" w:color="auto" w:sz="4" w:space="0"/>
              <w:left w:val="nil"/>
              <w:bottom w:val="single" w:color="auto" w:sz="4" w:space="0"/>
              <w:right w:val="single" w:color="auto" w:sz="4" w:space="0"/>
            </w:tcBorders>
            <w:noWrap w:val="0"/>
            <w:vAlign w:val="center"/>
          </w:tcPr>
          <w:p w14:paraId="4374DFEE">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BF4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258709D">
            <w:pPr>
              <w:pageBreakBefore w:val="0"/>
              <w:widowControl/>
              <w:kinsoku/>
              <w:overflowPunct/>
              <w:topLinePunct w:val="0"/>
              <w:bidi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14" w:type="dxa"/>
            <w:tcBorders>
              <w:top w:val="single" w:color="auto" w:sz="4" w:space="0"/>
              <w:left w:val="nil"/>
              <w:bottom w:val="single" w:color="auto" w:sz="4" w:space="0"/>
              <w:right w:val="single" w:color="auto" w:sz="4" w:space="0"/>
            </w:tcBorders>
            <w:noWrap w:val="0"/>
            <w:vAlign w:val="center"/>
          </w:tcPr>
          <w:p w14:paraId="33A714F9">
            <w:pPr>
              <w:pageBreakBefore w:val="0"/>
              <w:kinsoku/>
              <w:overflowPunct/>
              <w:topLinePunct w:val="0"/>
              <w:bidi w:val="0"/>
              <w:spacing w:line="360" w:lineRule="auto"/>
              <w:jc w:val="center"/>
              <w:rPr>
                <w:rFonts w:hint="eastAsia" w:ascii="仿宋" w:hAnsi="仿宋" w:eastAsia="仿宋" w:cs="仿宋"/>
                <w:color w:val="auto"/>
                <w:sz w:val="24"/>
                <w:szCs w:val="24"/>
                <w:highlight w:val="none"/>
                <w:lang w:val="en-US" w:eastAsia="zh-CN"/>
              </w:rPr>
            </w:pPr>
          </w:p>
        </w:tc>
        <w:tc>
          <w:tcPr>
            <w:tcW w:w="775" w:type="dxa"/>
            <w:tcBorders>
              <w:top w:val="single" w:color="auto" w:sz="4" w:space="0"/>
              <w:left w:val="nil"/>
              <w:bottom w:val="single" w:color="auto" w:sz="4" w:space="0"/>
              <w:right w:val="single" w:color="auto" w:sz="4" w:space="0"/>
            </w:tcBorders>
            <w:noWrap w:val="0"/>
            <w:vAlign w:val="center"/>
          </w:tcPr>
          <w:p w14:paraId="3982DF97">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438" w:type="dxa"/>
            <w:tcBorders>
              <w:top w:val="single" w:color="auto" w:sz="4" w:space="0"/>
              <w:left w:val="nil"/>
              <w:bottom w:val="single" w:color="auto" w:sz="4" w:space="0"/>
              <w:right w:val="single" w:color="auto" w:sz="4" w:space="0"/>
            </w:tcBorders>
            <w:noWrap w:val="0"/>
            <w:vAlign w:val="center"/>
          </w:tcPr>
          <w:p w14:paraId="738CDC01">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61391D23">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585793A4">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76BCC149">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938" w:type="dxa"/>
            <w:tcBorders>
              <w:top w:val="single" w:color="auto" w:sz="4" w:space="0"/>
              <w:left w:val="nil"/>
              <w:bottom w:val="single" w:color="auto" w:sz="4" w:space="0"/>
              <w:right w:val="single" w:color="auto" w:sz="4" w:space="0"/>
            </w:tcBorders>
            <w:noWrap w:val="0"/>
            <w:vAlign w:val="center"/>
          </w:tcPr>
          <w:p w14:paraId="4DAB6CC5">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286370E7">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0ECD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887D67F">
            <w:pPr>
              <w:pageBreakBefore w:val="0"/>
              <w:widowControl/>
              <w:kinsoku/>
              <w:overflowPunct/>
              <w:topLinePunct w:val="0"/>
              <w:bidi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14" w:type="dxa"/>
            <w:tcBorders>
              <w:top w:val="single" w:color="auto" w:sz="4" w:space="0"/>
              <w:left w:val="nil"/>
              <w:bottom w:val="single" w:color="auto" w:sz="4" w:space="0"/>
              <w:right w:val="single" w:color="auto" w:sz="4" w:space="0"/>
            </w:tcBorders>
            <w:noWrap w:val="0"/>
            <w:vAlign w:val="center"/>
          </w:tcPr>
          <w:p w14:paraId="6D284AF2">
            <w:pPr>
              <w:pageBreakBefore w:val="0"/>
              <w:kinsoku/>
              <w:overflowPunct/>
              <w:topLinePunct w:val="0"/>
              <w:bidi w:val="0"/>
              <w:spacing w:line="360" w:lineRule="auto"/>
              <w:jc w:val="center"/>
              <w:rPr>
                <w:rFonts w:hint="eastAsia" w:ascii="仿宋" w:hAnsi="仿宋" w:eastAsia="仿宋" w:cs="仿宋"/>
                <w:color w:val="auto"/>
                <w:sz w:val="24"/>
                <w:szCs w:val="24"/>
                <w:highlight w:val="none"/>
                <w:lang w:val="en-US" w:eastAsia="zh-CN"/>
              </w:rPr>
            </w:pPr>
          </w:p>
        </w:tc>
        <w:tc>
          <w:tcPr>
            <w:tcW w:w="775" w:type="dxa"/>
            <w:tcBorders>
              <w:top w:val="single" w:color="auto" w:sz="4" w:space="0"/>
              <w:left w:val="nil"/>
              <w:bottom w:val="single" w:color="auto" w:sz="4" w:space="0"/>
              <w:right w:val="single" w:color="auto" w:sz="4" w:space="0"/>
            </w:tcBorders>
            <w:noWrap w:val="0"/>
            <w:vAlign w:val="center"/>
          </w:tcPr>
          <w:p w14:paraId="6A1E15B7">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438" w:type="dxa"/>
            <w:tcBorders>
              <w:top w:val="single" w:color="auto" w:sz="4" w:space="0"/>
              <w:left w:val="nil"/>
              <w:bottom w:val="single" w:color="auto" w:sz="4" w:space="0"/>
              <w:right w:val="single" w:color="auto" w:sz="4" w:space="0"/>
            </w:tcBorders>
            <w:noWrap w:val="0"/>
            <w:vAlign w:val="center"/>
          </w:tcPr>
          <w:p w14:paraId="263A2F55">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07F8290D">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6A55113B">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2ABBC338">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938" w:type="dxa"/>
            <w:tcBorders>
              <w:top w:val="single" w:color="auto" w:sz="4" w:space="0"/>
              <w:left w:val="nil"/>
              <w:bottom w:val="single" w:color="auto" w:sz="4" w:space="0"/>
              <w:right w:val="single" w:color="auto" w:sz="4" w:space="0"/>
            </w:tcBorders>
            <w:noWrap w:val="0"/>
            <w:vAlign w:val="center"/>
          </w:tcPr>
          <w:p w14:paraId="2B057C7E">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1E0D15A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56D5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E17B75E">
            <w:pPr>
              <w:pageBreakBefore w:val="0"/>
              <w:widowControl/>
              <w:kinsoku/>
              <w:overflowPunct/>
              <w:topLinePunct w:val="0"/>
              <w:bidi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14" w:type="dxa"/>
            <w:tcBorders>
              <w:top w:val="single" w:color="auto" w:sz="4" w:space="0"/>
              <w:left w:val="nil"/>
              <w:bottom w:val="single" w:color="auto" w:sz="4" w:space="0"/>
              <w:right w:val="single" w:color="auto" w:sz="4" w:space="0"/>
            </w:tcBorders>
            <w:noWrap w:val="0"/>
            <w:vAlign w:val="center"/>
          </w:tcPr>
          <w:p w14:paraId="7DDE08C9">
            <w:pPr>
              <w:pageBreakBefore w:val="0"/>
              <w:kinsoku/>
              <w:overflowPunct/>
              <w:topLinePunct w:val="0"/>
              <w:bidi w:val="0"/>
              <w:spacing w:line="360" w:lineRule="auto"/>
              <w:jc w:val="center"/>
              <w:rPr>
                <w:rFonts w:hint="eastAsia" w:ascii="仿宋" w:hAnsi="仿宋" w:eastAsia="仿宋" w:cs="仿宋"/>
                <w:color w:val="auto"/>
                <w:sz w:val="24"/>
                <w:szCs w:val="24"/>
                <w:highlight w:val="none"/>
                <w:lang w:eastAsia="zh-CN"/>
              </w:rPr>
            </w:pPr>
          </w:p>
        </w:tc>
        <w:tc>
          <w:tcPr>
            <w:tcW w:w="775" w:type="dxa"/>
            <w:tcBorders>
              <w:top w:val="single" w:color="auto" w:sz="4" w:space="0"/>
              <w:left w:val="nil"/>
              <w:bottom w:val="single" w:color="auto" w:sz="4" w:space="0"/>
              <w:right w:val="single" w:color="auto" w:sz="4" w:space="0"/>
            </w:tcBorders>
            <w:noWrap w:val="0"/>
            <w:vAlign w:val="center"/>
          </w:tcPr>
          <w:p w14:paraId="152E4B81">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438" w:type="dxa"/>
            <w:tcBorders>
              <w:top w:val="single" w:color="auto" w:sz="4" w:space="0"/>
              <w:left w:val="nil"/>
              <w:bottom w:val="single" w:color="auto" w:sz="4" w:space="0"/>
              <w:right w:val="single" w:color="auto" w:sz="4" w:space="0"/>
            </w:tcBorders>
            <w:noWrap w:val="0"/>
            <w:vAlign w:val="center"/>
          </w:tcPr>
          <w:p w14:paraId="20EF606E">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4D2E7599">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33A9C57D">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43F6F8A9">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938" w:type="dxa"/>
            <w:tcBorders>
              <w:top w:val="single" w:color="auto" w:sz="4" w:space="0"/>
              <w:left w:val="nil"/>
              <w:bottom w:val="single" w:color="auto" w:sz="4" w:space="0"/>
              <w:right w:val="single" w:color="auto" w:sz="4" w:space="0"/>
            </w:tcBorders>
            <w:noWrap w:val="0"/>
            <w:vAlign w:val="center"/>
          </w:tcPr>
          <w:p w14:paraId="6267419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74CFB78B">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664C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EF142F4">
            <w:pPr>
              <w:pageBreakBefore w:val="0"/>
              <w:widowControl/>
              <w:kinsoku/>
              <w:overflowPunct/>
              <w:topLinePunct w:val="0"/>
              <w:bidi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14" w:type="dxa"/>
            <w:tcBorders>
              <w:top w:val="single" w:color="auto" w:sz="4" w:space="0"/>
              <w:left w:val="nil"/>
              <w:bottom w:val="single" w:color="auto" w:sz="4" w:space="0"/>
              <w:right w:val="single" w:color="auto" w:sz="4" w:space="0"/>
            </w:tcBorders>
            <w:noWrap w:val="0"/>
            <w:vAlign w:val="center"/>
          </w:tcPr>
          <w:p w14:paraId="1931A829">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38B6624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438" w:type="dxa"/>
            <w:tcBorders>
              <w:top w:val="single" w:color="auto" w:sz="4" w:space="0"/>
              <w:left w:val="nil"/>
              <w:bottom w:val="single" w:color="auto" w:sz="4" w:space="0"/>
              <w:right w:val="single" w:color="auto" w:sz="4" w:space="0"/>
            </w:tcBorders>
            <w:noWrap w:val="0"/>
            <w:vAlign w:val="center"/>
          </w:tcPr>
          <w:p w14:paraId="5DAFC8E1">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6A315C22">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685C61D4">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73D62679">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938" w:type="dxa"/>
            <w:tcBorders>
              <w:top w:val="single" w:color="auto" w:sz="4" w:space="0"/>
              <w:left w:val="nil"/>
              <w:bottom w:val="single" w:color="auto" w:sz="4" w:space="0"/>
              <w:right w:val="single" w:color="auto" w:sz="4" w:space="0"/>
            </w:tcBorders>
            <w:noWrap w:val="0"/>
            <w:vAlign w:val="center"/>
          </w:tcPr>
          <w:p w14:paraId="3B172A73">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04FFCB6D">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6B7F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2EBFB20">
            <w:pPr>
              <w:pageBreakBefore w:val="0"/>
              <w:widowControl/>
              <w:kinsoku/>
              <w:overflowPunct/>
              <w:topLinePunct w:val="0"/>
              <w:bidi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14" w:type="dxa"/>
            <w:tcBorders>
              <w:top w:val="single" w:color="auto" w:sz="4" w:space="0"/>
              <w:left w:val="nil"/>
              <w:bottom w:val="single" w:color="auto" w:sz="4" w:space="0"/>
              <w:right w:val="single" w:color="auto" w:sz="4" w:space="0"/>
            </w:tcBorders>
            <w:noWrap w:val="0"/>
            <w:vAlign w:val="center"/>
          </w:tcPr>
          <w:p w14:paraId="54AE31D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07102D1E">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438" w:type="dxa"/>
            <w:tcBorders>
              <w:top w:val="single" w:color="auto" w:sz="4" w:space="0"/>
              <w:left w:val="nil"/>
              <w:bottom w:val="single" w:color="auto" w:sz="4" w:space="0"/>
              <w:right w:val="single" w:color="auto" w:sz="4" w:space="0"/>
            </w:tcBorders>
            <w:noWrap w:val="0"/>
            <w:vAlign w:val="center"/>
          </w:tcPr>
          <w:p w14:paraId="1E9BC547">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5B00D302">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49CAA807">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39A51E46">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938" w:type="dxa"/>
            <w:tcBorders>
              <w:top w:val="single" w:color="auto" w:sz="4" w:space="0"/>
              <w:left w:val="nil"/>
              <w:bottom w:val="single" w:color="auto" w:sz="4" w:space="0"/>
              <w:right w:val="single" w:color="auto" w:sz="4" w:space="0"/>
            </w:tcBorders>
            <w:noWrap w:val="0"/>
            <w:vAlign w:val="center"/>
          </w:tcPr>
          <w:p w14:paraId="59A09B4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157B742F">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497F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AD46DCB">
            <w:pPr>
              <w:pageBreakBefore w:val="0"/>
              <w:widowControl/>
              <w:kinsoku/>
              <w:overflowPunct/>
              <w:topLinePunct w:val="0"/>
              <w:bidi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14" w:type="dxa"/>
            <w:tcBorders>
              <w:top w:val="single" w:color="auto" w:sz="4" w:space="0"/>
              <w:left w:val="nil"/>
              <w:bottom w:val="single" w:color="auto" w:sz="4" w:space="0"/>
              <w:right w:val="single" w:color="auto" w:sz="4" w:space="0"/>
            </w:tcBorders>
            <w:noWrap w:val="0"/>
            <w:vAlign w:val="center"/>
          </w:tcPr>
          <w:p w14:paraId="47912CCF">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686AB6AB">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438" w:type="dxa"/>
            <w:tcBorders>
              <w:top w:val="single" w:color="auto" w:sz="4" w:space="0"/>
              <w:left w:val="nil"/>
              <w:bottom w:val="single" w:color="auto" w:sz="4" w:space="0"/>
              <w:right w:val="single" w:color="auto" w:sz="4" w:space="0"/>
            </w:tcBorders>
            <w:noWrap w:val="0"/>
            <w:vAlign w:val="center"/>
          </w:tcPr>
          <w:p w14:paraId="1B1DCDA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73212D81">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11F2E23C">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6B29B43E">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938" w:type="dxa"/>
            <w:tcBorders>
              <w:top w:val="single" w:color="auto" w:sz="4" w:space="0"/>
              <w:left w:val="nil"/>
              <w:bottom w:val="single" w:color="auto" w:sz="4" w:space="0"/>
              <w:right w:val="single" w:color="auto" w:sz="4" w:space="0"/>
            </w:tcBorders>
            <w:noWrap w:val="0"/>
            <w:vAlign w:val="center"/>
          </w:tcPr>
          <w:p w14:paraId="54B0A565">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3A76FE6A">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69B1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0E2ED4A">
            <w:pPr>
              <w:pageBreakBefore w:val="0"/>
              <w:widowControl/>
              <w:kinsoku/>
              <w:overflowPunct/>
              <w:topLinePunct w:val="0"/>
              <w:bidi w:val="0"/>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14" w:type="dxa"/>
            <w:tcBorders>
              <w:top w:val="single" w:color="auto" w:sz="4" w:space="0"/>
              <w:left w:val="nil"/>
              <w:bottom w:val="single" w:color="auto" w:sz="4" w:space="0"/>
              <w:right w:val="single" w:color="auto" w:sz="4" w:space="0"/>
            </w:tcBorders>
            <w:noWrap w:val="0"/>
            <w:vAlign w:val="center"/>
          </w:tcPr>
          <w:p w14:paraId="02E049E1">
            <w:pPr>
              <w:pageBreakBefore w:val="0"/>
              <w:kinsoku/>
              <w:overflowPunct/>
              <w:topLinePunct w:val="0"/>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p>
        </w:tc>
        <w:tc>
          <w:tcPr>
            <w:tcW w:w="775" w:type="dxa"/>
            <w:tcBorders>
              <w:top w:val="single" w:color="auto" w:sz="4" w:space="0"/>
              <w:left w:val="nil"/>
              <w:bottom w:val="single" w:color="auto" w:sz="4" w:space="0"/>
              <w:right w:val="single" w:color="auto" w:sz="4" w:space="0"/>
            </w:tcBorders>
            <w:noWrap w:val="0"/>
            <w:vAlign w:val="center"/>
          </w:tcPr>
          <w:p w14:paraId="08CA05E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1438" w:type="dxa"/>
            <w:tcBorders>
              <w:top w:val="single" w:color="auto" w:sz="4" w:space="0"/>
              <w:left w:val="nil"/>
              <w:bottom w:val="single" w:color="auto" w:sz="4" w:space="0"/>
              <w:right w:val="single" w:color="auto" w:sz="4" w:space="0"/>
            </w:tcBorders>
            <w:noWrap w:val="0"/>
            <w:vAlign w:val="center"/>
          </w:tcPr>
          <w:p w14:paraId="2274D63D">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00" w:type="dxa"/>
            <w:tcBorders>
              <w:top w:val="single" w:color="auto" w:sz="4" w:space="0"/>
              <w:left w:val="nil"/>
              <w:bottom w:val="single" w:color="auto" w:sz="4" w:space="0"/>
              <w:right w:val="single" w:color="auto" w:sz="4" w:space="0"/>
            </w:tcBorders>
            <w:noWrap w:val="0"/>
            <w:vAlign w:val="center"/>
          </w:tcPr>
          <w:p w14:paraId="71273917">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75" w:type="dxa"/>
            <w:tcBorders>
              <w:top w:val="single" w:color="auto" w:sz="4" w:space="0"/>
              <w:left w:val="nil"/>
              <w:bottom w:val="single" w:color="auto" w:sz="4" w:space="0"/>
              <w:right w:val="single" w:color="auto" w:sz="4" w:space="0"/>
            </w:tcBorders>
            <w:noWrap w:val="0"/>
            <w:vAlign w:val="center"/>
          </w:tcPr>
          <w:p w14:paraId="4556365B">
            <w:pPr>
              <w:pageBreakBefore w:val="0"/>
              <w:widowControl/>
              <w:kinsoku/>
              <w:overflowPunct/>
              <w:topLinePunct w:val="0"/>
              <w:bidi w:val="0"/>
              <w:spacing w:line="360" w:lineRule="auto"/>
              <w:jc w:val="center"/>
              <w:rPr>
                <w:rFonts w:hint="eastAsia" w:ascii="仿宋" w:hAnsi="仿宋" w:eastAsia="仿宋" w:cs="仿宋"/>
                <w:color w:val="auto"/>
                <w:sz w:val="24"/>
                <w:szCs w:val="24"/>
                <w:highlight w:val="none"/>
              </w:rPr>
            </w:pPr>
          </w:p>
        </w:tc>
        <w:tc>
          <w:tcPr>
            <w:tcW w:w="787" w:type="dxa"/>
            <w:tcBorders>
              <w:top w:val="single" w:color="auto" w:sz="4" w:space="0"/>
              <w:left w:val="nil"/>
              <w:bottom w:val="single" w:color="auto" w:sz="4" w:space="0"/>
              <w:right w:val="single" w:color="auto" w:sz="4" w:space="0"/>
            </w:tcBorders>
            <w:noWrap w:val="0"/>
            <w:vAlign w:val="center"/>
          </w:tcPr>
          <w:p w14:paraId="21B8F936">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938" w:type="dxa"/>
            <w:tcBorders>
              <w:top w:val="single" w:color="auto" w:sz="4" w:space="0"/>
              <w:left w:val="nil"/>
              <w:bottom w:val="single" w:color="auto" w:sz="4" w:space="0"/>
              <w:right w:val="single" w:color="auto" w:sz="4" w:space="0"/>
            </w:tcBorders>
            <w:noWrap w:val="0"/>
            <w:vAlign w:val="center"/>
          </w:tcPr>
          <w:p w14:paraId="250FD6B0">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836" w:type="dxa"/>
            <w:tcBorders>
              <w:top w:val="single" w:color="auto" w:sz="4" w:space="0"/>
              <w:left w:val="nil"/>
              <w:bottom w:val="single" w:color="auto" w:sz="4" w:space="0"/>
              <w:right w:val="single" w:color="auto" w:sz="4" w:space="0"/>
            </w:tcBorders>
            <w:noWrap w:val="0"/>
            <w:vAlign w:val="center"/>
          </w:tcPr>
          <w:p w14:paraId="7BF4CF9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r>
      <w:tr w14:paraId="3519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40" w:type="dxa"/>
            <w:gridSpan w:val="2"/>
            <w:vMerge w:val="restart"/>
            <w:tcBorders>
              <w:top w:val="single" w:color="auto" w:sz="4" w:space="0"/>
              <w:left w:val="single" w:color="auto" w:sz="4" w:space="0"/>
              <w:right w:val="single" w:color="auto" w:sz="4" w:space="0"/>
            </w:tcBorders>
            <w:noWrap w:val="0"/>
            <w:vAlign w:val="center"/>
          </w:tcPr>
          <w:p w14:paraId="69C4F1D0">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c>
          <w:tcPr>
            <w:tcW w:w="6349" w:type="dxa"/>
            <w:gridSpan w:val="7"/>
            <w:tcBorders>
              <w:top w:val="single" w:color="auto" w:sz="4" w:space="0"/>
              <w:left w:val="nil"/>
              <w:bottom w:val="single" w:color="auto" w:sz="4" w:space="0"/>
              <w:right w:val="single" w:color="auto" w:sz="4" w:space="0"/>
            </w:tcBorders>
            <w:noWrap w:val="0"/>
            <w:vAlign w:val="center"/>
          </w:tcPr>
          <w:p w14:paraId="71D26C92">
            <w:pPr>
              <w:pageBreakBefore w:val="0"/>
              <w:kinsoku/>
              <w:overflowPunct/>
              <w:topLinePunct w:val="0"/>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p>
        </w:tc>
      </w:tr>
      <w:tr w14:paraId="2EFC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40" w:type="dxa"/>
            <w:gridSpan w:val="2"/>
            <w:vMerge w:val="continue"/>
            <w:tcBorders>
              <w:left w:val="single" w:color="auto" w:sz="4" w:space="0"/>
              <w:bottom w:val="single" w:color="auto" w:sz="4" w:space="0"/>
              <w:right w:val="single" w:color="auto" w:sz="4" w:space="0"/>
            </w:tcBorders>
            <w:noWrap w:val="0"/>
            <w:vAlign w:val="center"/>
          </w:tcPr>
          <w:p w14:paraId="3E7A624C">
            <w:pPr>
              <w:pageBreakBefore w:val="0"/>
              <w:kinsoku/>
              <w:overflowPunct/>
              <w:topLinePunct w:val="0"/>
              <w:bidi w:val="0"/>
              <w:spacing w:line="360" w:lineRule="auto"/>
              <w:jc w:val="center"/>
              <w:rPr>
                <w:rFonts w:hint="eastAsia" w:ascii="仿宋" w:hAnsi="仿宋" w:eastAsia="仿宋" w:cs="仿宋"/>
                <w:color w:val="auto"/>
                <w:sz w:val="24"/>
                <w:szCs w:val="24"/>
                <w:highlight w:val="none"/>
              </w:rPr>
            </w:pPr>
          </w:p>
        </w:tc>
        <w:tc>
          <w:tcPr>
            <w:tcW w:w="6349" w:type="dxa"/>
            <w:gridSpan w:val="7"/>
            <w:tcBorders>
              <w:top w:val="single" w:color="auto" w:sz="4" w:space="0"/>
              <w:left w:val="nil"/>
              <w:bottom w:val="single" w:color="auto" w:sz="4" w:space="0"/>
              <w:right w:val="single" w:color="auto" w:sz="4" w:space="0"/>
            </w:tcBorders>
            <w:noWrap w:val="0"/>
            <w:vAlign w:val="center"/>
          </w:tcPr>
          <w:p w14:paraId="0EE60479">
            <w:pPr>
              <w:pageBreakBefore w:val="0"/>
              <w:kinsoku/>
              <w:overflowPunct/>
              <w:topLinePunct w:val="0"/>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w:t>
            </w:r>
          </w:p>
        </w:tc>
      </w:tr>
    </w:tbl>
    <w:p w14:paraId="2F695BA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 xml:space="preserve"> 投标报价应为投标人完成本项目全部内容所需费用的含税价（包括但不限于</w:t>
      </w:r>
      <w:r>
        <w:rPr>
          <w:rFonts w:hint="eastAsia" w:ascii="仿宋" w:hAnsi="仿宋" w:eastAsia="仿宋" w:cs="仿宋"/>
          <w:color w:val="auto"/>
          <w:sz w:val="22"/>
          <w:szCs w:val="22"/>
          <w:highlight w:val="none"/>
          <w:lang w:val="en-US" w:eastAsia="zh-CN"/>
        </w:rPr>
        <w:t>车辆上牌费用</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质保期内年检设备拆装费、</w:t>
      </w:r>
      <w:r>
        <w:rPr>
          <w:rFonts w:hint="eastAsia" w:ascii="仿宋" w:hAnsi="仿宋" w:eastAsia="仿宋" w:cs="仿宋"/>
          <w:color w:val="auto"/>
          <w:sz w:val="22"/>
          <w:szCs w:val="22"/>
          <w:highlight w:val="none"/>
          <w:lang w:eastAsia="zh-CN"/>
        </w:rPr>
        <w:t>总包费、</w:t>
      </w:r>
      <w:r>
        <w:rPr>
          <w:rFonts w:hint="eastAsia" w:ascii="仿宋" w:hAnsi="仿宋" w:eastAsia="仿宋" w:cs="仿宋"/>
          <w:color w:val="auto"/>
          <w:sz w:val="22"/>
          <w:szCs w:val="22"/>
          <w:highlight w:val="none"/>
        </w:rPr>
        <w:t>人工费、管理费、技术服务、售后服务、材料机械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利润、项目措施费、保险、各类税费及采购合同包含的所有风险、责任等在合同实施过程中应预见或不可预见费用等）。所有价格均应予人民币报价，金额单位为元。</w:t>
      </w:r>
    </w:p>
    <w:p w14:paraId="3CF88096">
      <w:pPr>
        <w:keepNext w:val="0"/>
        <w:keepLines w:val="0"/>
        <w:pageBreakBefore w:val="0"/>
        <w:widowControl w:val="0"/>
        <w:kinsoku/>
        <w:wordWrap/>
        <w:overflowPunct/>
        <w:topLinePunct w:val="0"/>
        <w:autoSpaceDE/>
        <w:autoSpaceDN/>
        <w:bidi w:val="0"/>
        <w:adjustRightInd w:val="0"/>
        <w:snapToGrid/>
        <w:spacing w:line="360" w:lineRule="auto"/>
        <w:ind w:left="143" w:leftChars="68" w:firstLine="321" w:firstLineChars="146"/>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、此表是投标文件的必要文件，是投标文件的组成部分</w:t>
      </w:r>
      <w:r>
        <w:rPr>
          <w:rFonts w:hint="eastAsia" w:ascii="仿宋" w:hAnsi="仿宋" w:eastAsia="仿宋" w:cs="仿宋"/>
          <w:color w:val="auto"/>
          <w:sz w:val="22"/>
          <w:szCs w:val="22"/>
          <w:highlight w:val="none"/>
          <w:lang w:eastAsia="zh-CN"/>
        </w:rPr>
        <w:t>。</w:t>
      </w:r>
    </w:p>
    <w:p w14:paraId="4902A537">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b/>
          <w:color w:val="auto"/>
          <w:sz w:val="22"/>
          <w:szCs w:val="22"/>
          <w:highlight w:val="none"/>
        </w:rPr>
        <w:t>以上投标总价不得超出最高限价，否则作无效标处理。</w:t>
      </w:r>
    </w:p>
    <w:p w14:paraId="4DE5FC13">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p>
    <w:p w14:paraId="60B21DA3">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zh-CN"/>
        </w:rPr>
        <w:t>投标人名称（公章）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ACD7C84">
      <w:pPr>
        <w:pageBreakBefore w:val="0"/>
        <w:kinsoku/>
        <w:overflowPunct/>
        <w:topLinePunct w:val="0"/>
        <w:bidi w:val="0"/>
        <w:adjustRightInd w:val="0"/>
        <w:snapToGrid w:val="0"/>
        <w:spacing w:line="360" w:lineRule="auto"/>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r>
        <w:rPr>
          <w:rFonts w:hint="eastAsia" w:ascii="仿宋" w:hAnsi="仿宋" w:eastAsia="仿宋" w:cs="仿宋"/>
          <w:color w:val="auto"/>
          <w:sz w:val="24"/>
          <w:highlight w:val="none"/>
          <w:u w:val="single"/>
        </w:rPr>
        <w:t xml:space="preserve">                 </w:t>
      </w:r>
    </w:p>
    <w:p w14:paraId="51B47660">
      <w:pPr>
        <w:pageBreakBefore w:val="0"/>
        <w:widowControl/>
        <w:numPr>
          <w:ilvl w:val="0"/>
          <w:numId w:val="0"/>
        </w:numPr>
        <w:kinsoku/>
        <w:wordWrap w:val="0"/>
        <w:overflowPunct/>
        <w:topLinePunct w:val="0"/>
        <w:bidi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月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w:t>
      </w:r>
    </w:p>
    <w:p w14:paraId="2EA4C7E1">
      <w:pPr>
        <w:pageBreakBefore w:val="0"/>
        <w:kinsoku/>
        <w:overflowPunct/>
        <w:topLinePunct w:val="0"/>
        <w:bidi w:val="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53303EE2">
      <w:pPr>
        <w:pStyle w:val="65"/>
        <w:pageBreakBefore w:val="0"/>
        <w:widowControl w:val="0"/>
        <w:shd w:val="clear" w:color="auto" w:fill="auto"/>
        <w:kinsoku/>
        <w:overflowPunct/>
        <w:topLinePunct w:val="0"/>
        <w:bidi w:val="0"/>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国企采购</w:t>
      </w:r>
      <w:r>
        <w:rPr>
          <w:rFonts w:hint="eastAsia" w:ascii="仿宋" w:hAnsi="仿宋" w:eastAsia="仿宋" w:cs="仿宋"/>
          <w:b/>
          <w:bCs/>
          <w:color w:val="auto"/>
          <w:sz w:val="24"/>
          <w:szCs w:val="24"/>
          <w:highlight w:val="none"/>
        </w:rPr>
        <w:t>活动现场确认声明书</w:t>
      </w:r>
    </w:p>
    <w:p w14:paraId="7612F8D1">
      <w:pPr>
        <w:pStyle w:val="65"/>
        <w:pageBreakBefore w:val="0"/>
        <w:widowControl w:val="0"/>
        <w:shd w:val="clear" w:color="auto" w:fill="auto"/>
        <w:kinsoku/>
        <w:overflowPunct/>
        <w:topLinePunct w:val="0"/>
        <w:bidi w:val="0"/>
        <w:snapToGrid w:val="0"/>
        <w:spacing w:line="360" w:lineRule="auto"/>
        <w:ind w:firstLine="480" w:firstLineChars="200"/>
        <w:jc w:val="both"/>
        <w:rPr>
          <w:rFonts w:hint="eastAsia" w:ascii="仿宋" w:hAnsi="仿宋" w:eastAsia="仿宋" w:cs="仿宋"/>
          <w:color w:val="auto"/>
          <w:spacing w:val="6"/>
          <w:sz w:val="24"/>
          <w:szCs w:val="24"/>
          <w:highlight w:val="none"/>
          <w:u w:val="single"/>
        </w:rPr>
      </w:pPr>
      <w:r>
        <w:rPr>
          <w:rFonts w:hint="eastAsia" w:ascii="仿宋" w:hAnsi="仿宋" w:eastAsia="仿宋" w:cs="仿宋"/>
          <w:color w:val="auto"/>
          <w:sz w:val="24"/>
          <w:szCs w:val="24"/>
          <w:highlight w:val="none"/>
          <w:u w:val="single"/>
          <w:lang w:eastAsia="zh-CN"/>
        </w:rPr>
        <w:t>浙江华元工程咨询有限公司</w:t>
      </w:r>
      <w:r>
        <w:rPr>
          <w:rFonts w:hint="eastAsia" w:ascii="仿宋" w:hAnsi="仿宋" w:eastAsia="仿宋" w:cs="仿宋"/>
          <w:color w:val="auto"/>
          <w:spacing w:val="6"/>
          <w:sz w:val="24"/>
          <w:szCs w:val="24"/>
          <w:highlight w:val="none"/>
          <w:u w:val="single"/>
        </w:rPr>
        <w:t>：</w:t>
      </w:r>
    </w:p>
    <w:p w14:paraId="7A230F1D">
      <w:pPr>
        <w:pStyle w:val="65"/>
        <w:pageBreakBefore w:val="0"/>
        <w:widowControl w:val="0"/>
        <w:shd w:val="clear" w:color="auto" w:fill="auto"/>
        <w:kinsoku/>
        <w:overflowPunct/>
        <w:topLinePunct w:val="0"/>
        <w:bidi w:val="0"/>
        <w:snapToGri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u w:val="single"/>
        </w:rPr>
        <w:t>本人经由           （单位）负责人     （姓名）合法授权参加</w:t>
      </w:r>
      <w:r>
        <w:rPr>
          <w:rFonts w:hint="eastAsia" w:ascii="仿宋" w:hAnsi="仿宋" w:eastAsia="仿宋" w:cs="仿宋"/>
          <w:color w:val="auto"/>
          <w:spacing w:val="6"/>
          <w:sz w:val="24"/>
          <w:szCs w:val="24"/>
          <w:highlight w:val="none"/>
          <w:u w:val="single"/>
          <w:lang w:val="en-US" w:eastAsia="zh-CN"/>
        </w:rPr>
        <w:t xml:space="preserve">    项目名称</w:t>
      </w:r>
      <w:r>
        <w:rPr>
          <w:rFonts w:hint="eastAsia" w:ascii="仿宋" w:hAnsi="仿宋" w:eastAsia="仿宋" w:cs="仿宋"/>
          <w:color w:val="auto"/>
          <w:spacing w:val="6"/>
          <w:sz w:val="24"/>
          <w:szCs w:val="24"/>
          <w:highlight w:val="none"/>
          <w:u w:val="single"/>
        </w:rPr>
        <w:t>（</w:t>
      </w:r>
      <w:r>
        <w:rPr>
          <w:rFonts w:hint="eastAsia" w:ascii="仿宋" w:hAnsi="仿宋" w:eastAsia="仿宋" w:cs="仿宋"/>
          <w:color w:val="auto"/>
          <w:spacing w:val="6"/>
          <w:sz w:val="24"/>
          <w:szCs w:val="24"/>
          <w:highlight w:val="none"/>
          <w:u w:val="single"/>
          <w:lang w:val="en-US" w:eastAsia="zh-CN"/>
        </w:rPr>
        <w:t>项目</w:t>
      </w:r>
      <w:r>
        <w:rPr>
          <w:rFonts w:hint="eastAsia" w:ascii="仿宋" w:hAnsi="仿宋" w:eastAsia="仿宋" w:cs="仿宋"/>
          <w:color w:val="auto"/>
          <w:spacing w:val="6"/>
          <w:sz w:val="24"/>
          <w:szCs w:val="24"/>
          <w:highlight w:val="none"/>
          <w:u w:val="single"/>
        </w:rPr>
        <w:t>编号：</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w:t>
      </w:r>
      <w:r>
        <w:rPr>
          <w:rFonts w:hint="eastAsia" w:ascii="仿宋" w:hAnsi="仿宋" w:eastAsia="仿宋" w:cs="仿宋"/>
          <w:color w:val="auto"/>
          <w:spacing w:val="6"/>
          <w:sz w:val="24"/>
          <w:szCs w:val="24"/>
          <w:highlight w:val="none"/>
          <w:lang w:eastAsia="zh-CN"/>
        </w:rPr>
        <w:t>国企采购</w:t>
      </w:r>
      <w:r>
        <w:rPr>
          <w:rFonts w:hint="eastAsia" w:ascii="仿宋" w:hAnsi="仿宋" w:eastAsia="仿宋" w:cs="仿宋"/>
          <w:color w:val="auto"/>
          <w:spacing w:val="6"/>
          <w:sz w:val="24"/>
          <w:szCs w:val="24"/>
          <w:highlight w:val="none"/>
        </w:rPr>
        <w:t xml:space="preserve">活动，经与本单位法人代表（负责人）联系确认，现就有关公平竞争事项郑重声明如下： </w:t>
      </w:r>
    </w:p>
    <w:p w14:paraId="7CFA56D5">
      <w:pPr>
        <w:pStyle w:val="66"/>
        <w:pageBreakBefore w:val="0"/>
        <w:widowControl/>
        <w:numPr>
          <w:ilvl w:val="0"/>
          <w:numId w:val="0"/>
        </w:numPr>
        <w:shd w:val="clear" w:color="auto" w:fill="auto"/>
        <w:kinsoku/>
        <w:overflowPunct/>
        <w:topLinePunct w:val="0"/>
        <w:bidi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本单位与</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 xml:space="preserve">之间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247FB76">
      <w:pPr>
        <w:pStyle w:val="66"/>
        <w:pageBreakBefore w:val="0"/>
        <w:widowControl/>
        <w:shd w:val="clear" w:color="auto" w:fill="auto"/>
        <w:kinsoku/>
        <w:overflowPunct/>
        <w:topLinePunct w:val="0"/>
        <w:bidi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7A7FF626">
      <w:pPr>
        <w:pStyle w:val="66"/>
        <w:pageBreakBefore w:val="0"/>
        <w:widowControl/>
        <w:shd w:val="clear" w:color="auto" w:fill="auto"/>
        <w:kinsoku/>
        <w:overflowPunct/>
        <w:topLinePunct w:val="0"/>
        <w:bidi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4A4EC223">
      <w:pPr>
        <w:pStyle w:val="66"/>
        <w:pageBreakBefore w:val="0"/>
        <w:widowControl/>
        <w:shd w:val="clear" w:color="auto" w:fill="auto"/>
        <w:kinsoku/>
        <w:overflowPunct/>
        <w:topLinePunct w:val="0"/>
        <w:bidi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47FDE74">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206ED9FA">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19437391">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6C5A36FD">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2B985D75">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7781E57B">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053CCFDB">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26781B69">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2EC90DE3">
      <w:pPr>
        <w:pStyle w:val="65"/>
        <w:pageBreakBefore w:val="0"/>
        <w:widowControl w:val="0"/>
        <w:shd w:val="clear" w:color="auto" w:fill="auto"/>
        <w:kinsoku/>
        <w:overflowPunct/>
        <w:topLinePunct w:val="0"/>
        <w:bidi w:val="0"/>
        <w:snapToGrid w:val="0"/>
        <w:spacing w:line="360" w:lineRule="auto"/>
        <w:jc w:val="both"/>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94AAB64">
      <w:pPr>
        <w:pStyle w:val="66"/>
        <w:pageBreakBefore w:val="0"/>
        <w:widowControl/>
        <w:numPr>
          <w:ilvl w:val="0"/>
          <w:numId w:val="5"/>
        </w:numPr>
        <w:shd w:val="clear" w:color="auto" w:fill="auto"/>
        <w:kinsoku/>
        <w:overflowPunct/>
        <w:topLinePunct w:val="0"/>
        <w:bidi w:val="0"/>
        <w:snapToGrid w:val="0"/>
        <w:spacing w:line="360" w:lineRule="auto"/>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w:t>
      </w:r>
      <w:r>
        <w:rPr>
          <w:rFonts w:hint="eastAsia" w:ascii="仿宋" w:hAnsi="仿宋" w:eastAsia="仿宋" w:cs="仿宋"/>
          <w:color w:val="auto"/>
          <w:kern w:val="0"/>
          <w:sz w:val="24"/>
          <w:szCs w:val="24"/>
          <w:highlight w:val="none"/>
          <w:lang w:eastAsia="zh-CN"/>
        </w:rPr>
        <w:t>国企采购</w:t>
      </w:r>
      <w:r>
        <w:rPr>
          <w:rFonts w:hint="eastAsia" w:ascii="仿宋" w:hAnsi="仿宋" w:eastAsia="仿宋" w:cs="仿宋"/>
          <w:color w:val="auto"/>
          <w:kern w:val="0"/>
          <w:sz w:val="24"/>
          <w:szCs w:val="24"/>
          <w:highlight w:val="none"/>
        </w:rPr>
        <w:t>法律法规和现场纪律。</w:t>
      </w:r>
    </w:p>
    <w:p w14:paraId="47AF83D7">
      <w:pPr>
        <w:pStyle w:val="66"/>
        <w:pageBreakBefore w:val="0"/>
        <w:widowControl/>
        <w:numPr>
          <w:ilvl w:val="0"/>
          <w:numId w:val="5"/>
        </w:numPr>
        <w:shd w:val="clear" w:color="auto" w:fill="auto"/>
        <w:kinsoku/>
        <w:overflowPunct/>
        <w:topLinePunct w:val="0"/>
        <w:bidi w:val="0"/>
        <w:snapToGrid w:val="0"/>
        <w:spacing w:line="360" w:lineRule="auto"/>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70457AE">
      <w:pPr>
        <w:pStyle w:val="65"/>
        <w:pageBreakBefore w:val="0"/>
        <w:widowControl w:val="0"/>
        <w:shd w:val="clear" w:color="auto" w:fill="auto"/>
        <w:kinsoku/>
        <w:overflowPunct/>
        <w:topLinePunct w:val="0"/>
        <w:bidi w:val="0"/>
        <w:snapToGrid w:val="0"/>
        <w:spacing w:line="360" w:lineRule="auto"/>
        <w:ind w:firstLine="5760" w:firstLineChars="24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（供应商代表签名）</w:t>
      </w:r>
    </w:p>
    <w:p w14:paraId="5151E25E">
      <w:pPr>
        <w:pStyle w:val="65"/>
        <w:pageBreakBefore w:val="0"/>
        <w:widowControl w:val="0"/>
        <w:shd w:val="clear" w:color="auto" w:fill="auto"/>
        <w:kinsoku/>
        <w:overflowPunct/>
        <w:topLinePunct w:val="0"/>
        <w:bidi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3284500">
      <w:pPr>
        <w:pageBreakBefore w:val="0"/>
        <w:shd w:val="clear" w:color="auto" w:fill="auto"/>
        <w:kinsoku/>
        <w:overflowPunct/>
        <w:topLinePunct w:val="0"/>
        <w:bidi w:val="0"/>
        <w:snapToGrid w:val="0"/>
        <w:spacing w:line="360" w:lineRule="auto"/>
        <w:ind w:firstLine="482" w:firstLineChars="200"/>
        <w:rPr>
          <w:rFonts w:hint="eastAsia" w:ascii="仿宋" w:hAnsi="仿宋" w:eastAsia="仿宋" w:cs="仿宋"/>
          <w:b/>
          <w:bCs/>
          <w:color w:val="auto"/>
          <w:sz w:val="24"/>
          <w:szCs w:val="24"/>
          <w:highlight w:val="none"/>
        </w:rPr>
      </w:pPr>
    </w:p>
    <w:p w14:paraId="27D76EE7">
      <w:pPr>
        <w:pStyle w:val="32"/>
        <w:pageBreakBefore w:val="0"/>
        <w:kinsoku/>
        <w:overflowPunct/>
        <w:topLinePunct w:val="0"/>
        <w:bidi w:val="0"/>
        <w:spacing w:line="36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文件解密结束后，各投标供应商签署《</w:t>
      </w:r>
      <w:r>
        <w:rPr>
          <w:rFonts w:hint="eastAsia" w:ascii="仿宋" w:hAnsi="仿宋" w:eastAsia="仿宋" w:cs="仿宋"/>
          <w:b/>
          <w:bCs/>
          <w:color w:val="auto"/>
          <w:sz w:val="24"/>
          <w:szCs w:val="24"/>
          <w:highlight w:val="none"/>
          <w:lang w:eastAsia="zh-CN"/>
        </w:rPr>
        <w:t>国企采购</w:t>
      </w:r>
      <w:r>
        <w:rPr>
          <w:rFonts w:hint="eastAsia" w:ascii="仿宋" w:hAnsi="仿宋" w:eastAsia="仿宋" w:cs="仿宋"/>
          <w:b/>
          <w:bCs/>
          <w:color w:val="auto"/>
          <w:sz w:val="24"/>
          <w:szCs w:val="24"/>
          <w:highlight w:val="none"/>
        </w:rPr>
        <w:t>活动现场确认声明书》，并在</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分钟内以扫描件方式发送至代理机构邮箱：</w:t>
      </w:r>
      <w:r>
        <w:rPr>
          <w:rFonts w:hint="eastAsia" w:ascii="仿宋" w:hAnsi="仿宋" w:eastAsia="仿宋" w:cs="仿宋"/>
          <w:b/>
          <w:bCs/>
          <w:color w:val="auto"/>
          <w:sz w:val="24"/>
          <w:szCs w:val="24"/>
          <w:highlight w:val="none"/>
          <w:lang w:val="en-US" w:eastAsia="zh-CN"/>
        </w:rPr>
        <w:t xml:space="preserve"> 2418551644</w:t>
      </w:r>
      <w:r>
        <w:rPr>
          <w:rFonts w:hint="eastAsia" w:ascii="仿宋" w:hAnsi="仿宋" w:eastAsia="仿宋" w:cs="仿宋"/>
          <w:b/>
          <w:bCs/>
          <w:color w:val="auto"/>
          <w:sz w:val="24"/>
          <w:szCs w:val="24"/>
          <w:highlight w:val="none"/>
        </w:rPr>
        <w:t>@qq.com</w:t>
      </w:r>
      <w:r>
        <w:rPr>
          <w:rFonts w:hint="eastAsia" w:ascii="仿宋" w:hAnsi="仿宋" w:eastAsia="仿宋" w:cs="仿宋"/>
          <w:b/>
          <w:bCs/>
          <w:color w:val="auto"/>
          <w:sz w:val="24"/>
          <w:szCs w:val="24"/>
          <w:highlight w:val="none"/>
          <w:lang w:eastAsia="zh-CN"/>
        </w:rPr>
        <w:t>。</w:t>
      </w:r>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2A0E">
    <w:pPr>
      <w:framePr w:wrap="around" w:vAnchor="text" w:hAnchor="margin" w:xAlign="right" w:y="1"/>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76CE983B">
    <w:pPr>
      <w:widowControl w:val="0"/>
      <w:tabs>
        <w:tab w:val="center" w:pos="4153"/>
        <w:tab w:val="right" w:pos="8306"/>
      </w:tabs>
      <w:adjustRightInd w:val="0"/>
      <w:snapToGrid w:val="0"/>
      <w:ind w:right="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7789">
    <w:pPr>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2263">
    <w:pPr>
      <w:pStyle w:val="18"/>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0114">
    <w:pPr>
      <w:pStyle w:val="18"/>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BD07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1BD071">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634E">
    <w:pPr>
      <w:pStyle w:val="18"/>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09392">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709392">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72DF">
    <w:pPr>
      <w:widowControl w:val="0"/>
      <w:adjustRightInd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09BEB">
                          <w:pPr>
                            <w:widowControl w:val="0"/>
                            <w:adjustRightInd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2609BEB">
                    <w:pPr>
                      <w:widowControl w:val="0"/>
                      <w:adjustRightInd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F4A1">
    <w:pPr>
      <w:pStyle w:val="18"/>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762C9">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8762C9">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570D">
    <w:pPr>
      <w:widowControl w:val="0"/>
      <w:pBdr>
        <w:top w:val="none" w:color="auto" w:sz="0" w:space="0"/>
        <w:left w:val="none" w:color="auto" w:sz="0" w:space="0"/>
        <w:bottom w:val="none" w:color="auto" w:sz="0" w:space="1"/>
        <w:right w:val="none" w:color="auto" w:sz="0" w:space="0"/>
        <w:between w:val="none" w:color="auto" w:sz="0" w:space="0"/>
      </w:pBdr>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AE83">
    <w:pPr>
      <w:widowControl w:val="0"/>
      <w:pBdr>
        <w:bottom w:val="single" w:color="auto" w:sz="6" w:space="1"/>
      </w:pBdr>
      <w:tabs>
        <w:tab w:val="center" w:pos="4153"/>
        <w:tab w:val="right" w:pos="8306"/>
      </w:tabs>
      <w:adjustRightInd w:val="0"/>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9F12">
    <w:pPr>
      <w:widowControl w:val="0"/>
      <w:pBdr>
        <w:bottom w:val="single" w:color="auto" w:sz="6" w:space="1"/>
      </w:pBdr>
      <w:tabs>
        <w:tab w:val="center" w:pos="0"/>
        <w:tab w:val="center" w:pos="4153"/>
        <w:tab w:val="right" w:pos="8306"/>
      </w:tabs>
      <w:adjustRightInd w:val="0"/>
      <w:snapToGrid w:val="0"/>
      <w:jc w:val="left"/>
      <w:rPr>
        <w:rFonts w:ascii="Times New Roman" w:hAnsi="Times New Roman" w:eastAsia="仿宋_GB2312" w:cs="Times New Roman"/>
        <w:kern w:val="2"/>
        <w:sz w:val="18"/>
        <w:szCs w:val="18"/>
        <w:lang w:val="en-US" w:eastAsia="zh-CN" w:bidi="ar-SA"/>
      </w:rPr>
    </w:pPr>
    <w:r>
      <w:rPr>
        <w:rFonts w:hint="eastAsia" w:ascii="仿宋" w:hAnsi="仿宋" w:eastAsia="仿宋" w:cs="仿宋"/>
        <w:kern w:val="2"/>
        <w:sz w:val="18"/>
        <w:szCs w:val="18"/>
        <w:lang w:val="en-US" w:eastAsia="zh-CN" w:bidi="ar-SA"/>
      </w:rPr>
      <w:t xml:space="preserve">浙江华元工程咨询有限公司                                                    磋商文件编号:HY-202335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7D0B8">
    <w:pPr>
      <w:pStyle w:val="19"/>
      <w:pBdr>
        <w:bottom w:val="none" w:color="auto" w:sz="0" w:space="4"/>
      </w:pBdr>
      <w:tabs>
        <w:tab w:val="left" w:pos="1394"/>
        <w:tab w:val="right" w:pos="9190"/>
      </w:tabs>
      <w:jc w:val="left"/>
      <w:rPr>
        <w:rFonts w:ascii="仿宋_GB2312" w:eastAsia="仿宋_GB2312"/>
        <w:b w:val="0"/>
        <w:i/>
        <w:sz w:val="18"/>
        <w:u w:val="single"/>
        <w:lang w:val="en-US"/>
      </w:rPr>
    </w:pPr>
    <w:r>
      <w:rPr>
        <w:rFonts w:hint="eastAsia"/>
        <w:lang w:eastAsia="zh-CN"/>
      </w:rPr>
      <w:tab/>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B51B">
    <w:pPr>
      <w:widowControl w:val="0"/>
      <w:pBdr>
        <w:top w:val="none" w:color="auto" w:sz="0" w:space="1"/>
        <w:left w:val="none" w:color="auto" w:sz="0" w:space="4"/>
        <w:bottom w:val="none" w:color="auto" w:sz="0" w:space="1"/>
        <w:right w:val="none" w:color="auto" w:sz="0" w:space="4"/>
      </w:pBdr>
      <w:adjustRightInd w:val="0"/>
      <w:snapToGrid w:val="0"/>
      <w:spacing w:line="240" w:lineRule="auto"/>
      <w:jc w:val="both"/>
      <w:outlineLvl w:val="9"/>
      <w:rPr>
        <w:rFonts w:hint="eastAsia" w:ascii="Times New Roman" w:hAnsi="Times New Roman"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FDFF">
    <w:pPr>
      <w:pStyle w:val="19"/>
      <w:pBdr>
        <w:bottom w:val="none" w:color="auto" w:sz="0" w:space="0"/>
      </w:pBdr>
      <w:tabs>
        <w:tab w:val="center" w:pos="4535"/>
        <w:tab w:val="right" w:pos="9070"/>
        <w:tab w:val="clear" w:pos="4153"/>
        <w:tab w:val="clear" w:pos="8306"/>
      </w:tabs>
      <w:jc w:val="both"/>
      <w:rPr>
        <w:rFonts w:hint="eastAsia" w:eastAsia="宋体"/>
        <w:lang w:eastAsia="zh-CN"/>
      </w:rPr>
    </w:pPr>
    <w:r>
      <w:rPr>
        <w:lang w:val="zh-CN"/>
      </w:rPr>
      <w:t></w:t>
    </w:r>
  </w:p>
  <w:p w14:paraId="4D98B2A1">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5E59C"/>
    <w:multiLevelType w:val="singleLevel"/>
    <w:tmpl w:val="F815E59C"/>
    <w:lvl w:ilvl="0" w:tentative="0">
      <w:start w:val="1"/>
      <w:numFmt w:val="decimal"/>
      <w:pStyle w:val="5"/>
      <w:lvlText w:val="%1."/>
      <w:lvlJc w:val="left"/>
      <w:pPr>
        <w:tabs>
          <w:tab w:val="left" w:pos="360"/>
        </w:tabs>
        <w:ind w:left="360" w:hanging="360"/>
      </w:pPr>
    </w:lvl>
  </w:abstractNum>
  <w:abstractNum w:abstractNumId="1">
    <w:nsid w:val="00000002"/>
    <w:multiLevelType w:val="singleLevel"/>
    <w:tmpl w:val="00000002"/>
    <w:lvl w:ilvl="0" w:tentative="0">
      <w:start w:val="1"/>
      <w:numFmt w:val="decimal"/>
      <w:pStyle w:val="4"/>
      <w:lvlText w:val="%1."/>
      <w:lvlJc w:val="left"/>
      <w:pPr>
        <w:tabs>
          <w:tab w:val="left" w:pos="1200"/>
        </w:tabs>
        <w:ind w:left="1200" w:hanging="360"/>
      </w:pPr>
    </w:lvl>
  </w:abstractNum>
  <w:abstractNum w:abstractNumId="2">
    <w:nsid w:val="3ACA936A"/>
    <w:multiLevelType w:val="singleLevel"/>
    <w:tmpl w:val="3ACA936A"/>
    <w:lvl w:ilvl="0" w:tentative="0">
      <w:start w:val="6"/>
      <w:numFmt w:val="chineseCounting"/>
      <w:suff w:val="space"/>
      <w:lvlText w:val="第%1章"/>
      <w:lvlJc w:val="left"/>
      <w:rPr>
        <w:rFonts w:hint="eastAsia"/>
      </w:rPr>
    </w:lvl>
  </w:abstractNum>
  <w:abstractNum w:abstractNumId="3">
    <w:nsid w:val="545A512C"/>
    <w:multiLevelType w:val="multilevel"/>
    <w:tmpl w:val="545A512C"/>
    <w:lvl w:ilvl="0" w:tentative="0">
      <w:start w:val="1"/>
      <w:numFmt w:val="chineseCountingThousand"/>
      <w:pStyle w:val="53"/>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MzQxMzQ3ZDIzYzFmMTMyN2FkYzY0ZTVjNWY3OTEifQ=="/>
    <w:docVar w:name="KSO_WPS_MARK_KEY" w:val="32788969-611e-4250-af95-9c694458ee98"/>
  </w:docVars>
  <w:rsids>
    <w:rsidRoot w:val="00172A27"/>
    <w:rsid w:val="001E20C4"/>
    <w:rsid w:val="00392C9F"/>
    <w:rsid w:val="004C1763"/>
    <w:rsid w:val="007A6F63"/>
    <w:rsid w:val="00883F05"/>
    <w:rsid w:val="010F5957"/>
    <w:rsid w:val="015A1D63"/>
    <w:rsid w:val="01D17056"/>
    <w:rsid w:val="01D64ED1"/>
    <w:rsid w:val="01DD1B38"/>
    <w:rsid w:val="029645C8"/>
    <w:rsid w:val="02C31095"/>
    <w:rsid w:val="02DC4289"/>
    <w:rsid w:val="03174EFC"/>
    <w:rsid w:val="03330E14"/>
    <w:rsid w:val="045301F6"/>
    <w:rsid w:val="048B5BE2"/>
    <w:rsid w:val="048C3708"/>
    <w:rsid w:val="048D515B"/>
    <w:rsid w:val="049F3ADE"/>
    <w:rsid w:val="050B287F"/>
    <w:rsid w:val="05AB7E42"/>
    <w:rsid w:val="05AC22B4"/>
    <w:rsid w:val="05AD539E"/>
    <w:rsid w:val="05D11D1B"/>
    <w:rsid w:val="066E30C6"/>
    <w:rsid w:val="068D11C9"/>
    <w:rsid w:val="068F128E"/>
    <w:rsid w:val="072C6C80"/>
    <w:rsid w:val="0735422A"/>
    <w:rsid w:val="07750484"/>
    <w:rsid w:val="07A6439C"/>
    <w:rsid w:val="07E55609"/>
    <w:rsid w:val="07F65A68"/>
    <w:rsid w:val="08137BB3"/>
    <w:rsid w:val="08255E29"/>
    <w:rsid w:val="08771587"/>
    <w:rsid w:val="08A13C26"/>
    <w:rsid w:val="08C13889"/>
    <w:rsid w:val="08C56458"/>
    <w:rsid w:val="091617A9"/>
    <w:rsid w:val="0922094A"/>
    <w:rsid w:val="09244C0B"/>
    <w:rsid w:val="0995305F"/>
    <w:rsid w:val="09B56422"/>
    <w:rsid w:val="09F33027"/>
    <w:rsid w:val="0ADF29D6"/>
    <w:rsid w:val="0AEC4F01"/>
    <w:rsid w:val="0B1A26F2"/>
    <w:rsid w:val="0B2051ED"/>
    <w:rsid w:val="0B5A00BC"/>
    <w:rsid w:val="0B61144B"/>
    <w:rsid w:val="0B640F3B"/>
    <w:rsid w:val="0B701717"/>
    <w:rsid w:val="0BE8391A"/>
    <w:rsid w:val="0C045FAE"/>
    <w:rsid w:val="0C127144"/>
    <w:rsid w:val="0C1C5F69"/>
    <w:rsid w:val="0C3850CA"/>
    <w:rsid w:val="0C50687D"/>
    <w:rsid w:val="0C7D22B4"/>
    <w:rsid w:val="0C9870EE"/>
    <w:rsid w:val="0CAB39C1"/>
    <w:rsid w:val="0D742C3A"/>
    <w:rsid w:val="0DA16476"/>
    <w:rsid w:val="0DFA16E3"/>
    <w:rsid w:val="0E481840"/>
    <w:rsid w:val="0E574324"/>
    <w:rsid w:val="0EFF3289"/>
    <w:rsid w:val="0F160D00"/>
    <w:rsid w:val="0F492922"/>
    <w:rsid w:val="0FB75ADD"/>
    <w:rsid w:val="0FD96780"/>
    <w:rsid w:val="10252FC2"/>
    <w:rsid w:val="10613C9B"/>
    <w:rsid w:val="10B21E22"/>
    <w:rsid w:val="119B7EDC"/>
    <w:rsid w:val="11A66257"/>
    <w:rsid w:val="11D54941"/>
    <w:rsid w:val="11DF3F6F"/>
    <w:rsid w:val="122A37A2"/>
    <w:rsid w:val="122D652B"/>
    <w:rsid w:val="123A1761"/>
    <w:rsid w:val="125504D8"/>
    <w:rsid w:val="127057E2"/>
    <w:rsid w:val="12D96480"/>
    <w:rsid w:val="136F1FAB"/>
    <w:rsid w:val="13756DEA"/>
    <w:rsid w:val="13E250F3"/>
    <w:rsid w:val="1436279F"/>
    <w:rsid w:val="146C70F1"/>
    <w:rsid w:val="14813B92"/>
    <w:rsid w:val="15652FB8"/>
    <w:rsid w:val="156B73D6"/>
    <w:rsid w:val="157E340B"/>
    <w:rsid w:val="15E50ECA"/>
    <w:rsid w:val="161C2C4B"/>
    <w:rsid w:val="16736123"/>
    <w:rsid w:val="167E1845"/>
    <w:rsid w:val="16997282"/>
    <w:rsid w:val="16AE2DB5"/>
    <w:rsid w:val="16BE5E75"/>
    <w:rsid w:val="16EA778B"/>
    <w:rsid w:val="173619DD"/>
    <w:rsid w:val="17502DFE"/>
    <w:rsid w:val="17530D90"/>
    <w:rsid w:val="17551109"/>
    <w:rsid w:val="17AE5F69"/>
    <w:rsid w:val="184B4C79"/>
    <w:rsid w:val="18A961DF"/>
    <w:rsid w:val="18C82B09"/>
    <w:rsid w:val="19753946"/>
    <w:rsid w:val="19CE71CF"/>
    <w:rsid w:val="1A2542E3"/>
    <w:rsid w:val="1A9C3B54"/>
    <w:rsid w:val="1AC53CEC"/>
    <w:rsid w:val="1AD31C39"/>
    <w:rsid w:val="1B1251DA"/>
    <w:rsid w:val="1B2C18EF"/>
    <w:rsid w:val="1B3F540B"/>
    <w:rsid w:val="1B495CB6"/>
    <w:rsid w:val="1B6B7EAF"/>
    <w:rsid w:val="1BC079CB"/>
    <w:rsid w:val="1BD47322"/>
    <w:rsid w:val="1BDB6D28"/>
    <w:rsid w:val="1BDE747D"/>
    <w:rsid w:val="1C0830AE"/>
    <w:rsid w:val="1C580C60"/>
    <w:rsid w:val="1C6E5776"/>
    <w:rsid w:val="1CA73630"/>
    <w:rsid w:val="1CC51E11"/>
    <w:rsid w:val="1CC70F5D"/>
    <w:rsid w:val="1CDA72AF"/>
    <w:rsid w:val="1D025BE3"/>
    <w:rsid w:val="1DE101C9"/>
    <w:rsid w:val="1E2C3B3A"/>
    <w:rsid w:val="1E48740B"/>
    <w:rsid w:val="1E917E41"/>
    <w:rsid w:val="1E961885"/>
    <w:rsid w:val="1EAD16DB"/>
    <w:rsid w:val="1F03794F"/>
    <w:rsid w:val="1F2733E1"/>
    <w:rsid w:val="1F413615"/>
    <w:rsid w:val="1FBB33C8"/>
    <w:rsid w:val="1FE419F9"/>
    <w:rsid w:val="1FFE5062"/>
    <w:rsid w:val="20623F6B"/>
    <w:rsid w:val="207003FC"/>
    <w:rsid w:val="214E571E"/>
    <w:rsid w:val="22283319"/>
    <w:rsid w:val="22AC2190"/>
    <w:rsid w:val="22BF2D49"/>
    <w:rsid w:val="22F60296"/>
    <w:rsid w:val="22FE5C89"/>
    <w:rsid w:val="23052BAC"/>
    <w:rsid w:val="23091023"/>
    <w:rsid w:val="23715468"/>
    <w:rsid w:val="23CD0296"/>
    <w:rsid w:val="23CD191B"/>
    <w:rsid w:val="23F03210"/>
    <w:rsid w:val="23F073B8"/>
    <w:rsid w:val="245D501C"/>
    <w:rsid w:val="24613E12"/>
    <w:rsid w:val="246E6D2A"/>
    <w:rsid w:val="249F642D"/>
    <w:rsid w:val="24EF0146"/>
    <w:rsid w:val="24F529AD"/>
    <w:rsid w:val="24F9398B"/>
    <w:rsid w:val="25172F64"/>
    <w:rsid w:val="255816B9"/>
    <w:rsid w:val="258B7119"/>
    <w:rsid w:val="259B2E34"/>
    <w:rsid w:val="25DA20CE"/>
    <w:rsid w:val="261849A4"/>
    <w:rsid w:val="261D1FBA"/>
    <w:rsid w:val="263E265D"/>
    <w:rsid w:val="265E0AC9"/>
    <w:rsid w:val="26C340F0"/>
    <w:rsid w:val="26FB3F19"/>
    <w:rsid w:val="272B2A55"/>
    <w:rsid w:val="2774773A"/>
    <w:rsid w:val="27FA0EB0"/>
    <w:rsid w:val="28102B00"/>
    <w:rsid w:val="284952C6"/>
    <w:rsid w:val="28602CF9"/>
    <w:rsid w:val="28610884"/>
    <w:rsid w:val="287265EE"/>
    <w:rsid w:val="28831FDC"/>
    <w:rsid w:val="28887BBF"/>
    <w:rsid w:val="28AB1AFF"/>
    <w:rsid w:val="28B24203"/>
    <w:rsid w:val="28B46C06"/>
    <w:rsid w:val="28C606E7"/>
    <w:rsid w:val="28F17E5A"/>
    <w:rsid w:val="291A3901"/>
    <w:rsid w:val="2936586D"/>
    <w:rsid w:val="297840D8"/>
    <w:rsid w:val="298A250D"/>
    <w:rsid w:val="29A11BC3"/>
    <w:rsid w:val="29D761B0"/>
    <w:rsid w:val="2A6A738C"/>
    <w:rsid w:val="2B053749"/>
    <w:rsid w:val="2B717030"/>
    <w:rsid w:val="2B7F765C"/>
    <w:rsid w:val="2B983E5B"/>
    <w:rsid w:val="2BA8774B"/>
    <w:rsid w:val="2BA9405C"/>
    <w:rsid w:val="2BCA36FB"/>
    <w:rsid w:val="2C491492"/>
    <w:rsid w:val="2CF02E0A"/>
    <w:rsid w:val="2CFD506C"/>
    <w:rsid w:val="2D0B3147"/>
    <w:rsid w:val="2D7C7310"/>
    <w:rsid w:val="2DBB4593"/>
    <w:rsid w:val="2E536EC1"/>
    <w:rsid w:val="2E6B2346"/>
    <w:rsid w:val="2E8A60D5"/>
    <w:rsid w:val="2E8B40A5"/>
    <w:rsid w:val="2E9B6E1D"/>
    <w:rsid w:val="2F6F3887"/>
    <w:rsid w:val="2F8F6B4E"/>
    <w:rsid w:val="2FCD67FF"/>
    <w:rsid w:val="30A80AFD"/>
    <w:rsid w:val="31040592"/>
    <w:rsid w:val="314C7DA0"/>
    <w:rsid w:val="317C228B"/>
    <w:rsid w:val="31960443"/>
    <w:rsid w:val="31CD0D39"/>
    <w:rsid w:val="31E179A2"/>
    <w:rsid w:val="31E340B8"/>
    <w:rsid w:val="31FD161E"/>
    <w:rsid w:val="322070BA"/>
    <w:rsid w:val="336851BD"/>
    <w:rsid w:val="33887F26"/>
    <w:rsid w:val="33997124"/>
    <w:rsid w:val="33C61EE3"/>
    <w:rsid w:val="34357285"/>
    <w:rsid w:val="345A5B9C"/>
    <w:rsid w:val="346E4CE5"/>
    <w:rsid w:val="349C4A25"/>
    <w:rsid w:val="34C2344F"/>
    <w:rsid w:val="35095DD3"/>
    <w:rsid w:val="35284C04"/>
    <w:rsid w:val="35415CC5"/>
    <w:rsid w:val="35AB3FE0"/>
    <w:rsid w:val="35CF548D"/>
    <w:rsid w:val="35D00C8D"/>
    <w:rsid w:val="365E4655"/>
    <w:rsid w:val="37147A2D"/>
    <w:rsid w:val="37667C65"/>
    <w:rsid w:val="380F20AB"/>
    <w:rsid w:val="38DF76EC"/>
    <w:rsid w:val="38F71BE7"/>
    <w:rsid w:val="39B83C7A"/>
    <w:rsid w:val="39DD01C6"/>
    <w:rsid w:val="3A152C5D"/>
    <w:rsid w:val="3ACF167E"/>
    <w:rsid w:val="3AF51FAE"/>
    <w:rsid w:val="3B013F51"/>
    <w:rsid w:val="3B481E05"/>
    <w:rsid w:val="3B693880"/>
    <w:rsid w:val="3B8C57C0"/>
    <w:rsid w:val="3C035D77"/>
    <w:rsid w:val="3C1B4E74"/>
    <w:rsid w:val="3C2F521E"/>
    <w:rsid w:val="3C522566"/>
    <w:rsid w:val="3C6F5846"/>
    <w:rsid w:val="3CBA349C"/>
    <w:rsid w:val="3CCC5372"/>
    <w:rsid w:val="3DCF2E33"/>
    <w:rsid w:val="3DED5018"/>
    <w:rsid w:val="3E4533F9"/>
    <w:rsid w:val="3EE020AB"/>
    <w:rsid w:val="3F6E2034"/>
    <w:rsid w:val="3F7C65CA"/>
    <w:rsid w:val="3F894D05"/>
    <w:rsid w:val="401D2E8B"/>
    <w:rsid w:val="406B3A5D"/>
    <w:rsid w:val="40F26DC2"/>
    <w:rsid w:val="4102302D"/>
    <w:rsid w:val="41485C02"/>
    <w:rsid w:val="418D3461"/>
    <w:rsid w:val="41A02791"/>
    <w:rsid w:val="42461484"/>
    <w:rsid w:val="424E74B9"/>
    <w:rsid w:val="426E45CA"/>
    <w:rsid w:val="42983F5E"/>
    <w:rsid w:val="429964FE"/>
    <w:rsid w:val="42A11B51"/>
    <w:rsid w:val="42CB2886"/>
    <w:rsid w:val="42CE210B"/>
    <w:rsid w:val="430F7403"/>
    <w:rsid w:val="43790813"/>
    <w:rsid w:val="437B0872"/>
    <w:rsid w:val="437B6846"/>
    <w:rsid w:val="43A10A30"/>
    <w:rsid w:val="43BC51C5"/>
    <w:rsid w:val="43C81360"/>
    <w:rsid w:val="43E4263E"/>
    <w:rsid w:val="440B2BD3"/>
    <w:rsid w:val="44507CD3"/>
    <w:rsid w:val="45350C77"/>
    <w:rsid w:val="45413FEA"/>
    <w:rsid w:val="457355B8"/>
    <w:rsid w:val="45B92792"/>
    <w:rsid w:val="4609787D"/>
    <w:rsid w:val="463827CD"/>
    <w:rsid w:val="4695042E"/>
    <w:rsid w:val="46EB7AE7"/>
    <w:rsid w:val="47201F5D"/>
    <w:rsid w:val="4746792E"/>
    <w:rsid w:val="484B3C78"/>
    <w:rsid w:val="4882187E"/>
    <w:rsid w:val="49AB59AC"/>
    <w:rsid w:val="49B602E6"/>
    <w:rsid w:val="49F96DF7"/>
    <w:rsid w:val="4A01737A"/>
    <w:rsid w:val="4A8C758B"/>
    <w:rsid w:val="4A9613D0"/>
    <w:rsid w:val="4ADF2496"/>
    <w:rsid w:val="4AE159AE"/>
    <w:rsid w:val="4B227353"/>
    <w:rsid w:val="4B513949"/>
    <w:rsid w:val="4B6127C6"/>
    <w:rsid w:val="4B9806D2"/>
    <w:rsid w:val="4BB921A4"/>
    <w:rsid w:val="4BEF0206"/>
    <w:rsid w:val="4C0A4515"/>
    <w:rsid w:val="4C545E87"/>
    <w:rsid w:val="4C883BFB"/>
    <w:rsid w:val="4CC31472"/>
    <w:rsid w:val="4D4963D8"/>
    <w:rsid w:val="4D957FFE"/>
    <w:rsid w:val="4D9C5EC7"/>
    <w:rsid w:val="4DAB5C9B"/>
    <w:rsid w:val="4E231EC4"/>
    <w:rsid w:val="4E956242"/>
    <w:rsid w:val="4F0C09A7"/>
    <w:rsid w:val="4F2B4960"/>
    <w:rsid w:val="4F2D3FC6"/>
    <w:rsid w:val="4F3D70A6"/>
    <w:rsid w:val="4F902856"/>
    <w:rsid w:val="50412013"/>
    <w:rsid w:val="504B2EFC"/>
    <w:rsid w:val="505F7E11"/>
    <w:rsid w:val="50DA0F30"/>
    <w:rsid w:val="51791528"/>
    <w:rsid w:val="51827B03"/>
    <w:rsid w:val="51CE5AD4"/>
    <w:rsid w:val="51E250F7"/>
    <w:rsid w:val="521D136B"/>
    <w:rsid w:val="52A1794C"/>
    <w:rsid w:val="52CD0789"/>
    <w:rsid w:val="52DC26C4"/>
    <w:rsid w:val="52E9244F"/>
    <w:rsid w:val="530A525A"/>
    <w:rsid w:val="532145A8"/>
    <w:rsid w:val="53737017"/>
    <w:rsid w:val="53B27C58"/>
    <w:rsid w:val="53C03E02"/>
    <w:rsid w:val="53C71634"/>
    <w:rsid w:val="53F84C6D"/>
    <w:rsid w:val="54336CC9"/>
    <w:rsid w:val="54A94D46"/>
    <w:rsid w:val="54FD6C70"/>
    <w:rsid w:val="552C79A0"/>
    <w:rsid w:val="55986DE4"/>
    <w:rsid w:val="55B278D2"/>
    <w:rsid w:val="55F3683A"/>
    <w:rsid w:val="562A1811"/>
    <w:rsid w:val="566D0271"/>
    <w:rsid w:val="569E52E2"/>
    <w:rsid w:val="570556BE"/>
    <w:rsid w:val="57174DF3"/>
    <w:rsid w:val="573B509D"/>
    <w:rsid w:val="57AA7FAC"/>
    <w:rsid w:val="57BD4234"/>
    <w:rsid w:val="57D12A81"/>
    <w:rsid w:val="57FB7AFE"/>
    <w:rsid w:val="58276B98"/>
    <w:rsid w:val="584E2BC1"/>
    <w:rsid w:val="58801DB1"/>
    <w:rsid w:val="58CF00A9"/>
    <w:rsid w:val="58E60240"/>
    <w:rsid w:val="59E15CAF"/>
    <w:rsid w:val="5A1153B7"/>
    <w:rsid w:val="5A300CCB"/>
    <w:rsid w:val="5A3B68D8"/>
    <w:rsid w:val="5A5E1183"/>
    <w:rsid w:val="5A865DA5"/>
    <w:rsid w:val="5ACE6B45"/>
    <w:rsid w:val="5ADE2363"/>
    <w:rsid w:val="5B1C3014"/>
    <w:rsid w:val="5B7850F9"/>
    <w:rsid w:val="5BC70423"/>
    <w:rsid w:val="5BDF3E49"/>
    <w:rsid w:val="5CBB5B7C"/>
    <w:rsid w:val="5D3B6F2A"/>
    <w:rsid w:val="5D8248E2"/>
    <w:rsid w:val="5DA430DC"/>
    <w:rsid w:val="5DE413E6"/>
    <w:rsid w:val="5E0C3C77"/>
    <w:rsid w:val="5E27164D"/>
    <w:rsid w:val="5EE24D3D"/>
    <w:rsid w:val="5F420880"/>
    <w:rsid w:val="5F684E46"/>
    <w:rsid w:val="5F851BEE"/>
    <w:rsid w:val="600E76A2"/>
    <w:rsid w:val="601C4AE4"/>
    <w:rsid w:val="602933BD"/>
    <w:rsid w:val="60BE63C8"/>
    <w:rsid w:val="60CE137B"/>
    <w:rsid w:val="611F2CEE"/>
    <w:rsid w:val="613F3A29"/>
    <w:rsid w:val="614918DA"/>
    <w:rsid w:val="619A5388"/>
    <w:rsid w:val="61A46067"/>
    <w:rsid w:val="61C45305"/>
    <w:rsid w:val="61D221A3"/>
    <w:rsid w:val="626E4313"/>
    <w:rsid w:val="62BF27C0"/>
    <w:rsid w:val="631636F6"/>
    <w:rsid w:val="63183093"/>
    <w:rsid w:val="63DE611E"/>
    <w:rsid w:val="641E1B13"/>
    <w:rsid w:val="648669A1"/>
    <w:rsid w:val="648D7576"/>
    <w:rsid w:val="64AC465A"/>
    <w:rsid w:val="65367FB6"/>
    <w:rsid w:val="65395319"/>
    <w:rsid w:val="65612869"/>
    <w:rsid w:val="657607C4"/>
    <w:rsid w:val="6590599E"/>
    <w:rsid w:val="65E96C18"/>
    <w:rsid w:val="6603438C"/>
    <w:rsid w:val="664B5A81"/>
    <w:rsid w:val="66557ECD"/>
    <w:rsid w:val="665B39BA"/>
    <w:rsid w:val="66BC5161"/>
    <w:rsid w:val="66C5335B"/>
    <w:rsid w:val="66EC059D"/>
    <w:rsid w:val="6709226D"/>
    <w:rsid w:val="67566EED"/>
    <w:rsid w:val="675863D3"/>
    <w:rsid w:val="67790886"/>
    <w:rsid w:val="67E16AD1"/>
    <w:rsid w:val="67EF7E71"/>
    <w:rsid w:val="68150768"/>
    <w:rsid w:val="68182925"/>
    <w:rsid w:val="68297D70"/>
    <w:rsid w:val="68F4037D"/>
    <w:rsid w:val="694B4332"/>
    <w:rsid w:val="697114BB"/>
    <w:rsid w:val="69C2248D"/>
    <w:rsid w:val="69EC54F9"/>
    <w:rsid w:val="69F745C9"/>
    <w:rsid w:val="6A88588B"/>
    <w:rsid w:val="6B2146DE"/>
    <w:rsid w:val="6B2D4220"/>
    <w:rsid w:val="6B3929BF"/>
    <w:rsid w:val="6B773E86"/>
    <w:rsid w:val="6BBF78A7"/>
    <w:rsid w:val="6C271CBE"/>
    <w:rsid w:val="6C4018A9"/>
    <w:rsid w:val="6C7E0833"/>
    <w:rsid w:val="6C812CB3"/>
    <w:rsid w:val="6CB57E24"/>
    <w:rsid w:val="6D4F2026"/>
    <w:rsid w:val="6DD13AB1"/>
    <w:rsid w:val="6E301F80"/>
    <w:rsid w:val="6E400DFD"/>
    <w:rsid w:val="6EBB22D2"/>
    <w:rsid w:val="6ED96F57"/>
    <w:rsid w:val="6EEB568F"/>
    <w:rsid w:val="6EF11E06"/>
    <w:rsid w:val="6F4831D1"/>
    <w:rsid w:val="7009419F"/>
    <w:rsid w:val="704240C4"/>
    <w:rsid w:val="70B0222F"/>
    <w:rsid w:val="7136383E"/>
    <w:rsid w:val="713F6856"/>
    <w:rsid w:val="717C3606"/>
    <w:rsid w:val="71B477D2"/>
    <w:rsid w:val="71C42D2E"/>
    <w:rsid w:val="71F24A3F"/>
    <w:rsid w:val="7271765A"/>
    <w:rsid w:val="731107FB"/>
    <w:rsid w:val="738A4257"/>
    <w:rsid w:val="73AF1A71"/>
    <w:rsid w:val="73D03939"/>
    <w:rsid w:val="73D56FFD"/>
    <w:rsid w:val="74602D6B"/>
    <w:rsid w:val="74A92964"/>
    <w:rsid w:val="74B66881"/>
    <w:rsid w:val="74BE7A92"/>
    <w:rsid w:val="75071439"/>
    <w:rsid w:val="75153B55"/>
    <w:rsid w:val="754E350B"/>
    <w:rsid w:val="755328D0"/>
    <w:rsid w:val="75BE5F9B"/>
    <w:rsid w:val="75D13559"/>
    <w:rsid w:val="75D45C09"/>
    <w:rsid w:val="76886E4D"/>
    <w:rsid w:val="76A47C80"/>
    <w:rsid w:val="76C27D0D"/>
    <w:rsid w:val="770816CA"/>
    <w:rsid w:val="775015AB"/>
    <w:rsid w:val="77C11D73"/>
    <w:rsid w:val="782D11B6"/>
    <w:rsid w:val="78756116"/>
    <w:rsid w:val="787978AF"/>
    <w:rsid w:val="789234F5"/>
    <w:rsid w:val="78B0254F"/>
    <w:rsid w:val="792739D7"/>
    <w:rsid w:val="79A645BE"/>
    <w:rsid w:val="7A652E89"/>
    <w:rsid w:val="7A8F32ED"/>
    <w:rsid w:val="7AED5135"/>
    <w:rsid w:val="7AFC6F42"/>
    <w:rsid w:val="7B5B0FFC"/>
    <w:rsid w:val="7B6E3FBF"/>
    <w:rsid w:val="7BCC7A0E"/>
    <w:rsid w:val="7BFF03C0"/>
    <w:rsid w:val="7C037D98"/>
    <w:rsid w:val="7C367925"/>
    <w:rsid w:val="7C75137E"/>
    <w:rsid w:val="7C860123"/>
    <w:rsid w:val="7D40798F"/>
    <w:rsid w:val="7DD26CCC"/>
    <w:rsid w:val="7E603A39"/>
    <w:rsid w:val="7EE423FE"/>
    <w:rsid w:val="7F2A6DE2"/>
    <w:rsid w:val="7F351391"/>
    <w:rsid w:val="7F3761A7"/>
    <w:rsid w:val="7FDD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0"/>
        <w:numId w:val="1"/>
      </w:numPr>
      <w:tabs>
        <w:tab w:val="left" w:pos="2651"/>
      </w:tabs>
      <w:spacing w:before="260" w:after="260" w:line="416" w:lineRule="auto"/>
      <w:outlineLvl w:val="2"/>
    </w:pPr>
    <w:rPr>
      <w:rFonts w:eastAsia="仿宋_GB2312"/>
      <w:b/>
      <w:sz w:val="32"/>
      <w:szCs w:val="20"/>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qFormat/>
    <w:uiPriority w:val="0"/>
    <w:pPr>
      <w:spacing w:line="200" w:lineRule="exact"/>
      <w:ind w:firstLine="301"/>
    </w:pPr>
    <w:rPr>
      <w:rFonts w:ascii="宋体" w:hAnsi="Courier New" w:cs="宋体"/>
      <w:spacing w:val="-4"/>
      <w:sz w:val="18"/>
      <w:szCs w:val="18"/>
    </w:rPr>
  </w:style>
  <w:style w:type="paragraph" w:styleId="8">
    <w:name w:val="caption"/>
    <w:basedOn w:val="1"/>
    <w:next w:val="1"/>
    <w:qFormat/>
    <w:uiPriority w:val="0"/>
    <w:pPr>
      <w:spacing w:before="152" w:after="160"/>
    </w:pPr>
    <w:rPr>
      <w:rFonts w:ascii="Arial" w:hAnsi="Arial" w:eastAsia="黑体"/>
      <w:sz w:val="20"/>
      <w:szCs w:val="20"/>
    </w:rPr>
  </w:style>
  <w:style w:type="paragraph" w:styleId="9">
    <w:name w:val="annotation text"/>
    <w:basedOn w:val="1"/>
    <w:semiHidden/>
    <w:qFormat/>
    <w:uiPriority w:val="0"/>
    <w:pPr>
      <w:adjustRightInd w:val="0"/>
      <w:spacing w:line="312" w:lineRule="atLeast"/>
      <w:jc w:val="left"/>
      <w:textAlignment w:val="baseline"/>
    </w:pPr>
    <w:rPr>
      <w:kern w:val="0"/>
      <w:szCs w:val="20"/>
    </w:rPr>
  </w:style>
  <w:style w:type="paragraph" w:styleId="10">
    <w:name w:val="Body Text 3"/>
    <w:basedOn w:val="1"/>
    <w:qFormat/>
    <w:uiPriority w:val="0"/>
    <w:pPr>
      <w:snapToGrid w:val="0"/>
      <w:spacing w:before="50" w:after="50"/>
    </w:pPr>
    <w:rPr>
      <w:rFonts w:hAnsi="宋体" w:eastAsia="仿宋_GB2312"/>
      <w:b/>
      <w:bCs/>
      <w:sz w:val="24"/>
      <w:szCs w:val="24"/>
    </w:rPr>
  </w:style>
  <w:style w:type="paragraph" w:styleId="11">
    <w:name w:val="Body Text"/>
    <w:basedOn w:val="1"/>
    <w:next w:val="12"/>
    <w:qFormat/>
    <w:uiPriority w:val="0"/>
    <w:pPr>
      <w:spacing w:before="100" w:beforeAutospacing="1" w:after="120"/>
    </w:pPr>
    <w:rPr>
      <w:sz w:val="28"/>
      <w:szCs w:val="28"/>
    </w:rPr>
  </w:style>
  <w:style w:type="paragraph" w:styleId="12">
    <w:name w:val="Body Text First Indent"/>
    <w:basedOn w:val="11"/>
    <w:qFormat/>
    <w:uiPriority w:val="0"/>
    <w:pPr>
      <w:widowControl/>
      <w:spacing w:before="120" w:beforeAutospacing="0"/>
      <w:ind w:firstLine="100" w:firstLineChars="100"/>
    </w:pPr>
    <w:rPr>
      <w:color w:val="000000"/>
    </w:rPr>
  </w:style>
  <w:style w:type="paragraph" w:styleId="13">
    <w:name w:val="List 2"/>
    <w:basedOn w:val="1"/>
    <w:qFormat/>
    <w:uiPriority w:val="0"/>
    <w:pPr>
      <w:ind w:left="100" w:leftChars="200" w:hanging="200" w:hangingChars="200"/>
    </w:pPr>
    <w:rPr>
      <w:sz w:val="28"/>
    </w:rPr>
  </w:style>
  <w:style w:type="paragraph" w:styleId="14">
    <w:name w:val="Block Text"/>
    <w:basedOn w:val="1"/>
    <w:qFormat/>
    <w:uiPriority w:val="0"/>
    <w:pPr>
      <w:widowControl w:val="0"/>
      <w:adjustRightInd w:val="0"/>
      <w:snapToGrid w:val="0"/>
      <w:spacing w:line="300" w:lineRule="auto"/>
      <w:ind w:left="958" w:right="-120" w:rightChars="-120"/>
      <w:jc w:val="left"/>
      <w:textAlignment w:val="baseline"/>
    </w:pPr>
    <w:rPr>
      <w:rFonts w:hint="eastAsia" w:ascii="宋体" w:hAnsi="宋体" w:eastAsia="宋体" w:cs="Times New Roman"/>
      <w:kern w:val="2"/>
      <w:sz w:val="28"/>
      <w:szCs w:val="20"/>
      <w:lang w:val="en-US" w:eastAsia="zh-CN" w:bidi="ar-SA"/>
    </w:rPr>
  </w:style>
  <w:style w:type="paragraph" w:styleId="15">
    <w:name w:val="Plain Text"/>
    <w:basedOn w:val="1"/>
    <w:next w:val="16"/>
    <w:qFormat/>
    <w:uiPriority w:val="0"/>
    <w:pPr>
      <w:spacing w:beforeLines="50" w:afterLines="50" w:line="400" w:lineRule="exact"/>
    </w:pPr>
    <w:rPr>
      <w:rFonts w:ascii="宋体" w:hAnsi="Courier New" w:cs="宋体"/>
      <w:sz w:val="24"/>
      <w:szCs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qFormat/>
    <w:uiPriority w:val="0"/>
    <w:pPr>
      <w:spacing w:line="480" w:lineRule="auto"/>
      <w:ind w:left="420" w:leftChars="200"/>
    </w:p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4"/>
    <w:basedOn w:val="1"/>
    <w:next w:val="1"/>
    <w:qFormat/>
    <w:uiPriority w:val="0"/>
    <w:pPr>
      <w:wordWrap w:val="0"/>
      <w:ind w:left="850"/>
      <w:jc w:val="both"/>
    </w:pPr>
    <w:rPr>
      <w:rFonts w:ascii="Calibri" w:hAnsi="Calibri"/>
      <w:sz w:val="21"/>
      <w:lang w:val="en-US" w:eastAsia="zh-CN" w:bidi="ar-SA"/>
    </w:rPr>
  </w:style>
  <w:style w:type="paragraph" w:styleId="21">
    <w:name w:val="toc 6"/>
    <w:basedOn w:val="1"/>
    <w:next w:val="1"/>
    <w:unhideWhenUsed/>
    <w:qFormat/>
    <w:uiPriority w:val="39"/>
    <w:pPr>
      <w:spacing w:line="240" w:lineRule="auto"/>
      <w:ind w:left="2100" w:leftChars="1000" w:firstLine="0" w:firstLineChars="0"/>
    </w:pPr>
    <w:rPr>
      <w:rFonts w:ascii="等线" w:hAnsi="等线" w:eastAsia="等线"/>
      <w:sz w:val="21"/>
      <w:szCs w:val="22"/>
    </w:r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Title"/>
    <w:basedOn w:val="1"/>
    <w:next w:val="1"/>
    <w:qFormat/>
    <w:uiPriority w:val="99"/>
    <w:pPr>
      <w:jc w:val="center"/>
      <w:outlineLvl w:val="0"/>
    </w:pPr>
    <w:rPr>
      <w:rFonts w:ascii="Cambria" w:hAnsi="Cambria"/>
      <w:b/>
      <w:bCs/>
      <w:sz w:val="32"/>
      <w:szCs w:val="32"/>
    </w:rPr>
  </w:style>
  <w:style w:type="paragraph" w:styleId="24">
    <w:name w:val="Body Text First Indent 2"/>
    <w:basedOn w:val="7"/>
    <w:qFormat/>
    <w:uiPriority w:val="0"/>
    <w:pPr>
      <w:ind w:firstLine="420"/>
    </w:pPr>
    <w:rPr>
      <w:rFonts w:cs="宋体"/>
      <w:sz w:val="21"/>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ascii="Arial" w:hAnsi="Arial" w:eastAsia="黑体" w:cs="Arial"/>
      <w:snapToGrid w:val="0"/>
      <w:kern w:val="0"/>
      <w:szCs w:val="21"/>
    </w:rPr>
  </w:style>
  <w:style w:type="character" w:styleId="29">
    <w:name w:val="Hyperlink"/>
    <w:qFormat/>
    <w:uiPriority w:val="99"/>
    <w:rPr>
      <w:rFonts w:ascii="Arial" w:hAnsi="Arial" w:eastAsia="黑体" w:cs="Arial"/>
      <w:snapToGrid w:val="0"/>
      <w:color w:val="000000"/>
      <w:kern w:val="0"/>
      <w:sz w:val="18"/>
      <w:szCs w:val="18"/>
      <w:u w:val="none"/>
    </w:rPr>
  </w:style>
  <w:style w:type="paragraph" w:customStyle="1" w:styleId="30">
    <w:name w:val="Default"/>
    <w:next w:val="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2">
    <w:name w:val="BodyText1I2"/>
    <w:basedOn w:val="33"/>
    <w:qFormat/>
    <w:uiPriority w:val="0"/>
    <w:pPr>
      <w:spacing w:after="120" w:line="240" w:lineRule="auto"/>
      <w:ind w:left="200" w:leftChars="200" w:firstLine="200" w:firstLineChars="200"/>
      <w:jc w:val="both"/>
      <w:textAlignment w:val="baseline"/>
    </w:pPr>
    <w:rPr>
      <w:rFonts w:ascii="Calibri" w:hAnsi="Calibri"/>
      <w:spacing w:val="-4"/>
      <w:kern w:val="2"/>
      <w:sz w:val="21"/>
      <w:szCs w:val="22"/>
      <w:lang w:val="en-US" w:eastAsia="zh-CN" w:bidi="ar-SA"/>
    </w:rPr>
  </w:style>
  <w:style w:type="paragraph" w:customStyle="1" w:styleId="33">
    <w:name w:val="BodyTextIndent"/>
    <w:basedOn w:val="1"/>
    <w:qFormat/>
    <w:uiPriority w:val="0"/>
    <w:pPr>
      <w:spacing w:line="200" w:lineRule="exact"/>
      <w:ind w:firstLine="301"/>
    </w:pPr>
    <w:rPr>
      <w:rFonts w:ascii="宋体" w:hAnsi="Courier New"/>
      <w:spacing w:val="-4"/>
      <w:sz w:val="18"/>
    </w:rPr>
  </w:style>
  <w:style w:type="paragraph" w:customStyle="1" w:styleId="3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
    <w:name w:val="正文2"/>
    <w:basedOn w:val="1"/>
    <w:qFormat/>
    <w:uiPriority w:val="0"/>
    <w:pPr>
      <w:spacing w:before="156" w:line="360" w:lineRule="auto"/>
      <w:ind w:firstLine="510" w:firstLineChars="200"/>
    </w:pPr>
    <w:rPr>
      <w:sz w:val="24"/>
      <w:szCs w:val="20"/>
    </w:rPr>
  </w:style>
  <w:style w:type="character" w:customStyle="1" w:styleId="36">
    <w:name w:val="NormalCharacter"/>
    <w:qFormat/>
    <w:uiPriority w:val="0"/>
  </w:style>
  <w:style w:type="paragraph" w:customStyle="1" w:styleId="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9">
    <w:name w:val="font01"/>
    <w:basedOn w:val="27"/>
    <w:qFormat/>
    <w:uiPriority w:val="0"/>
    <w:rPr>
      <w:rFonts w:hint="eastAsia" w:ascii="仿宋" w:hAnsi="仿宋" w:eastAsia="仿宋" w:cs="仿宋"/>
      <w:color w:val="000000"/>
      <w:sz w:val="20"/>
      <w:szCs w:val="20"/>
      <w:u w:val="none"/>
    </w:rPr>
  </w:style>
  <w:style w:type="paragraph" w:customStyle="1" w:styleId="40">
    <w:name w:val="_正文"/>
    <w:basedOn w:val="1"/>
    <w:qFormat/>
    <w:uiPriority w:val="0"/>
    <w:pPr>
      <w:tabs>
        <w:tab w:val="left" w:pos="540"/>
      </w:tabs>
      <w:spacing w:line="360" w:lineRule="auto"/>
      <w:ind w:firstLine="200" w:firstLineChars="200"/>
    </w:pPr>
    <w:rPr>
      <w:rFonts w:cs="Arial"/>
      <w:sz w:val="24"/>
    </w:rPr>
  </w:style>
  <w:style w:type="paragraph" w:customStyle="1" w:styleId="41">
    <w:name w:val="样式 列表编号 + 段后: 0.5 行"/>
    <w:basedOn w:val="5"/>
    <w:qFormat/>
    <w:uiPriority w:val="0"/>
    <w:pPr>
      <w:ind w:left="720"/>
    </w:pPr>
  </w:style>
  <w:style w:type="paragraph" w:customStyle="1" w:styleId="42">
    <w:name w:val="Table caption|1"/>
    <w:basedOn w:val="1"/>
    <w:qFormat/>
    <w:uiPriority w:val="0"/>
    <w:pPr>
      <w:widowControl w:val="0"/>
      <w:shd w:val="clear" w:color="auto" w:fill="auto"/>
      <w:spacing w:line="463" w:lineRule="auto"/>
      <w:ind w:firstLine="400"/>
    </w:pPr>
    <w:rPr>
      <w:sz w:val="20"/>
      <w:szCs w:val="20"/>
      <w:u w:val="none"/>
      <w:shd w:val="clear" w:color="auto" w:fill="auto"/>
      <w:lang w:val="zh-TW" w:eastAsia="zh-TW" w:bidi="zh-TW"/>
    </w:rPr>
  </w:style>
  <w:style w:type="paragraph" w:customStyle="1" w:styleId="43">
    <w:name w:val="Table Paragraph"/>
    <w:basedOn w:val="1"/>
    <w:qFormat/>
    <w:uiPriority w:val="1"/>
  </w:style>
  <w:style w:type="paragraph" w:customStyle="1" w:styleId="44">
    <w:name w:val="DG正文"/>
    <w:basedOn w:val="1"/>
    <w:qFormat/>
    <w:uiPriority w:val="99"/>
    <w:pPr>
      <w:widowControl/>
      <w:spacing w:line="360" w:lineRule="auto"/>
      <w:ind w:right="142" w:firstLine="640"/>
      <w:jc w:val="left"/>
    </w:pPr>
    <w:rPr>
      <w:rFonts w:ascii="Calibri" w:hAnsi="Calibri" w:cs="Calibri"/>
    </w:rPr>
  </w:style>
  <w:style w:type="paragraph" w:customStyle="1" w:styleId="45">
    <w:name w:val="WPSOffice手动目录 1"/>
    <w:qFormat/>
    <w:uiPriority w:val="0"/>
    <w:pPr>
      <w:ind w:leftChars="0"/>
    </w:pPr>
    <w:rPr>
      <w:rFonts w:asciiTheme="minorHAnsi" w:hAnsiTheme="minorHAnsi" w:eastAsiaTheme="minorEastAsia" w:cstheme="minorBidi"/>
      <w:sz w:val="20"/>
      <w:szCs w:val="20"/>
    </w:rPr>
  </w:style>
  <w:style w:type="character" w:customStyle="1" w:styleId="46">
    <w:name w:val="font11"/>
    <w:basedOn w:val="27"/>
    <w:qFormat/>
    <w:uiPriority w:val="0"/>
    <w:rPr>
      <w:rFonts w:hint="eastAsia" w:ascii="宋体" w:hAnsi="宋体" w:eastAsia="宋体" w:cs="宋体"/>
      <w:color w:val="FF0000"/>
      <w:sz w:val="24"/>
      <w:szCs w:val="24"/>
      <w:u w:val="none"/>
    </w:rPr>
  </w:style>
  <w:style w:type="character" w:customStyle="1" w:styleId="47">
    <w:name w:val="font71"/>
    <w:basedOn w:val="27"/>
    <w:qFormat/>
    <w:uiPriority w:val="0"/>
    <w:rPr>
      <w:rFonts w:hint="eastAsia" w:ascii="宋体" w:hAnsi="宋体" w:eastAsia="宋体" w:cs="宋体"/>
      <w:color w:val="FF0000"/>
      <w:sz w:val="24"/>
      <w:szCs w:val="24"/>
      <w:u w:val="none"/>
    </w:rPr>
  </w:style>
  <w:style w:type="character" w:customStyle="1" w:styleId="48">
    <w:name w:val="font61"/>
    <w:basedOn w:val="27"/>
    <w:qFormat/>
    <w:uiPriority w:val="0"/>
    <w:rPr>
      <w:rFonts w:hint="eastAsia" w:ascii="宋体" w:hAnsi="宋体" w:eastAsia="宋体" w:cs="宋体"/>
      <w:color w:val="000000"/>
      <w:sz w:val="24"/>
      <w:szCs w:val="24"/>
      <w:u w:val="none"/>
    </w:rPr>
  </w:style>
  <w:style w:type="character" w:customStyle="1" w:styleId="49">
    <w:name w:val="font21"/>
    <w:basedOn w:val="27"/>
    <w:qFormat/>
    <w:uiPriority w:val="0"/>
    <w:rPr>
      <w:rFonts w:hint="eastAsia" w:ascii="宋体" w:hAnsi="宋体" w:eastAsia="宋体" w:cs="宋体"/>
      <w:color w:val="FF0000"/>
      <w:sz w:val="24"/>
      <w:szCs w:val="24"/>
      <w:u w:val="none"/>
    </w:rPr>
  </w:style>
  <w:style w:type="character" w:customStyle="1" w:styleId="50">
    <w:name w:val="font41"/>
    <w:basedOn w:val="27"/>
    <w:qFormat/>
    <w:uiPriority w:val="0"/>
    <w:rPr>
      <w:rFonts w:hint="eastAsia" w:ascii="宋体" w:hAnsi="宋体" w:eastAsia="宋体" w:cs="宋体"/>
      <w:color w:val="000000"/>
      <w:sz w:val="24"/>
      <w:szCs w:val="24"/>
      <w:u w:val="none"/>
    </w:rPr>
  </w:style>
  <w:style w:type="character" w:customStyle="1" w:styleId="51">
    <w:name w:val="font51"/>
    <w:basedOn w:val="27"/>
    <w:qFormat/>
    <w:uiPriority w:val="0"/>
    <w:rPr>
      <w:rFonts w:hint="eastAsia" w:ascii="宋体" w:hAnsi="宋体" w:eastAsia="宋体" w:cs="宋体"/>
      <w:color w:val="FF0000"/>
      <w:sz w:val="24"/>
      <w:szCs w:val="24"/>
      <w:u w:val="none"/>
    </w:rPr>
  </w:style>
  <w:style w:type="paragraph" w:customStyle="1" w:styleId="52">
    <w:name w:val="样式 宋体"/>
    <w:basedOn w:val="1"/>
    <w:next w:val="1"/>
    <w:qFormat/>
    <w:uiPriority w:val="0"/>
    <w:pPr>
      <w:widowControl/>
      <w:spacing w:line="240" w:lineRule="auto"/>
      <w:ind w:firstLine="0" w:firstLineChars="0"/>
    </w:pPr>
    <w:rPr>
      <w:rFonts w:ascii="宋体" w:hAnsi="Times New Roman"/>
      <w:color w:val="000000"/>
      <w:sz w:val="24"/>
      <w:szCs w:val="20"/>
    </w:rPr>
  </w:style>
  <w:style w:type="paragraph" w:customStyle="1" w:styleId="53">
    <w:name w:val="Plain Text"/>
    <w:basedOn w:val="54"/>
    <w:qFormat/>
    <w:uiPriority w:val="0"/>
    <w:pPr>
      <w:numPr>
        <w:ilvl w:val="0"/>
        <w:numId w:val="3"/>
      </w:numPr>
      <w:autoSpaceDE w:val="0"/>
      <w:autoSpaceDN w:val="0"/>
      <w:adjustRightInd w:val="0"/>
      <w:ind w:left="0" w:firstLine="0"/>
      <w:textAlignment w:val="baseline"/>
    </w:pPr>
    <w:rPr>
      <w:rFonts w:ascii="宋体" w:hAnsi="Tms Rmn"/>
      <w:kern w:val="0"/>
      <w:sz w:val="21"/>
    </w:rPr>
  </w:style>
  <w:style w:type="paragraph" w:customStyle="1" w:styleId="54">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5">
    <w:name w:val="UserStyle_187"/>
    <w:qFormat/>
    <w:uiPriority w:val="0"/>
    <w:pPr>
      <w:spacing w:line="360" w:lineRule="auto"/>
      <w:jc w:val="both"/>
      <w:textAlignment w:val="baseline"/>
    </w:pPr>
    <w:rPr>
      <w:rFonts w:ascii="Calibri" w:hAnsi="Calibri" w:eastAsia="宋体" w:cs="Times New Roman"/>
      <w:kern w:val="2"/>
      <w:sz w:val="24"/>
      <w:szCs w:val="21"/>
      <w:lang w:val="en-US" w:eastAsia="zh-CN" w:bidi="ar-SA"/>
    </w:rPr>
  </w:style>
  <w:style w:type="paragraph" w:customStyle="1" w:styleId="56">
    <w:name w:val="NormalIndent"/>
    <w:basedOn w:val="1"/>
    <w:next w:val="33"/>
    <w:qFormat/>
    <w:uiPriority w:val="0"/>
    <w:pPr>
      <w:ind w:firstLine="420"/>
    </w:pPr>
  </w:style>
  <w:style w:type="character" w:customStyle="1" w:styleId="57">
    <w:name w:val="textfont1"/>
    <w:basedOn w:val="27"/>
    <w:qFormat/>
    <w:uiPriority w:val="0"/>
    <w:rPr>
      <w:rFonts w:ascii="Times New Roman" w:hAnsi="Times New Roman" w:eastAsia="宋体" w:cs="Times New Roman"/>
      <w:sz w:val="22"/>
      <w:szCs w:val="22"/>
    </w:rPr>
  </w:style>
  <w:style w:type="paragraph" w:customStyle="1" w:styleId="58">
    <w:name w:val="p0"/>
    <w:basedOn w:val="1"/>
    <w:qFormat/>
    <w:uiPriority w:val="0"/>
    <w:pPr>
      <w:widowControl/>
    </w:pPr>
    <w:rPr>
      <w:rFonts w:ascii="Times New Roman" w:hAnsi="Times New Roman" w:eastAsia="宋体" w:cs="Times New Roman"/>
      <w:kern w:val="0"/>
      <w:szCs w:val="21"/>
    </w:rPr>
  </w:style>
  <w:style w:type="paragraph" w:customStyle="1" w:styleId="59">
    <w:name w:val="正文段"/>
    <w:basedOn w:val="1"/>
    <w:qFormat/>
    <w:uiPriority w:val="0"/>
    <w:pPr>
      <w:widowControl/>
      <w:snapToGrid w:val="0"/>
      <w:spacing w:after="50" w:afterLines="50"/>
      <w:ind w:firstLine="200" w:firstLineChars="200"/>
    </w:pPr>
    <w:rPr>
      <w:rFonts w:ascii="Times New Roman" w:hAnsi="Times New Roman"/>
      <w:kern w:val="0"/>
      <w:sz w:val="24"/>
      <w:szCs w:val="20"/>
    </w:rPr>
  </w:style>
  <w:style w:type="paragraph" w:customStyle="1" w:styleId="60">
    <w:name w:val="样式4"/>
    <w:basedOn w:val="7"/>
    <w:qFormat/>
    <w:uiPriority w:val="0"/>
    <w:pPr>
      <w:snapToGrid w:val="0"/>
      <w:ind w:firstLine="539"/>
    </w:pPr>
    <w:rPr>
      <w:rFonts w:ascii="Times New Roman" w:hAnsi="Times New Roman" w:eastAsia="宋体" w:cs="Times New Roman"/>
    </w:rPr>
  </w:style>
  <w:style w:type="paragraph" w:customStyle="1" w:styleId="6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_Style 3"/>
    <w:basedOn w:val="1"/>
    <w:qFormat/>
    <w:uiPriority w:val="0"/>
    <w:pPr>
      <w:ind w:firstLine="420" w:firstLineChars="200"/>
    </w:pPr>
    <w:rPr>
      <w:rFonts w:eastAsia="仿宋_GB2312"/>
      <w:sz w:val="28"/>
    </w:rPr>
  </w:style>
  <w:style w:type="paragraph" w:customStyle="1" w:styleId="63">
    <w:name w:val="列出段落1"/>
    <w:basedOn w:val="1"/>
    <w:qFormat/>
    <w:uiPriority w:val="99"/>
    <w:pPr>
      <w:ind w:firstLine="420" w:firstLineChars="200"/>
    </w:pPr>
  </w:style>
  <w:style w:type="paragraph" w:customStyle="1" w:styleId="64">
    <w:name w:val="纯文本_0_0"/>
    <w:basedOn w:val="1"/>
    <w:qFormat/>
    <w:uiPriority w:val="0"/>
    <w:pPr>
      <w:adjustRightInd/>
    </w:pPr>
    <w:rPr>
      <w:rFonts w:ascii="宋体" w:hAnsi="Courier New"/>
      <w:szCs w:val="21"/>
    </w:rPr>
  </w:style>
  <w:style w:type="paragraph" w:customStyle="1" w:styleId="65">
    <w:name w:val="纯文本1"/>
    <w:basedOn w:val="1"/>
    <w:qFormat/>
    <w:uiPriority w:val="0"/>
    <w:rPr>
      <w:rFonts w:ascii="宋体" w:hAnsi="Courier New" w:cs="Times New Roman"/>
      <w:kern w:val="0"/>
      <w:sz w:val="20"/>
      <w:szCs w:val="20"/>
    </w:rPr>
  </w:style>
  <w:style w:type="paragraph" w:customStyle="1" w:styleId="66">
    <w:name w:val="正文1"/>
    <w:basedOn w:val="1"/>
    <w:qFormat/>
    <w:uiPriority w:val="0"/>
    <w:pPr>
      <w:adjustRightInd w:val="0"/>
      <w:spacing w:line="360" w:lineRule="atLeast"/>
      <w:jc w:val="left"/>
    </w:pPr>
    <w:rPr>
      <w:rFonts w:eastAsia="Tahoma"/>
      <w:kern w:val="0"/>
      <w:sz w:val="24"/>
      <w:szCs w:val="20"/>
    </w:rPr>
  </w:style>
  <w:style w:type="paragraph" w:customStyle="1" w:styleId="67">
    <w:name w:val="表格文字"/>
    <w:basedOn w:val="1"/>
    <w:next w:val="11"/>
    <w:qFormat/>
    <w:uiPriority w:val="99"/>
    <w:pPr>
      <w:spacing w:line="420" w:lineRule="atLeast"/>
      <w:textAlignment w:val="baseline"/>
    </w:pPr>
    <w:rPr>
      <w:rFonts w:ascii="Calibri" w:hAnsi="Calibri"/>
    </w:rPr>
  </w:style>
  <w:style w:type="paragraph" w:customStyle="1" w:styleId="68">
    <w:name w:val="Table Text"/>
    <w:basedOn w:val="1"/>
    <w:semiHidden/>
    <w:qFormat/>
    <w:uiPriority w:val="0"/>
    <w:rPr>
      <w:rFonts w:ascii="宋体" w:hAnsi="宋体" w:eastAsia="宋体" w:cs="宋体"/>
      <w:sz w:val="20"/>
      <w:szCs w:val="20"/>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正文文本1"/>
    <w:basedOn w:val="1"/>
    <w:qFormat/>
    <w:uiPriority w:val="0"/>
    <w:pPr>
      <w:shd w:val="clear" w:color="auto" w:fill="FFFFFF"/>
      <w:spacing w:after="60" w:line="394" w:lineRule="exact"/>
      <w:ind w:hanging="520"/>
      <w:jc w:val="distribute"/>
    </w:pPr>
    <w:rPr>
      <w:rFonts w:hAnsi="宋体"/>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13879</Words>
  <Characters>15571</Characters>
  <Lines>0</Lines>
  <Paragraphs>0</Paragraphs>
  <TotalTime>0</TotalTime>
  <ScaleCrop>false</ScaleCrop>
  <LinksUpToDate>false</LinksUpToDate>
  <CharactersWithSpaces>15848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2023-06-28T01:50:00Z</dcterms:created>
  <dc:creator>心雨</dc:creator>
  <cp:lastModifiedBy>晕忽忽</cp:lastModifiedBy>
  <cp:lastPrinted>2025-01-23T08:22:00Z</cp:lastPrinted>
  <dcterms:modified xsi:type="dcterms:W3CDTF">2025-01-26T06:51:35Z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DA6735A8DE8842159268E90B07B64E37_13</vt:lpwstr>
  </property>
  <property fmtid="{D5CDD505-2E9C-101B-9397-08002B2CF9AE}" pid="4" name="KSOTemplateDocerSaveRecord">
    <vt:lpwstr>eyJoZGlkIjoiYTc2YjE4OWRiMDZhMzAxMWQ2NzEwM2FlNGM2ZGJhNDEiLCJ1c2VySWQiOiI0MjAzMTkwMDYifQ==</vt:lpwstr>
  </property>
</Properties>
</file>