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7B2B3">
      <w:pPr>
        <w:widowControl w:val="0"/>
        <w:adjustRightInd w:val="0"/>
        <w:snapToGrid w:val="0"/>
        <w:rPr>
          <w:color w:val="auto"/>
          <w:highlight w:val="none"/>
        </w:rPr>
      </w:pPr>
      <w:r>
        <w:rPr>
          <w:color w:val="auto"/>
          <w:highlight w:val="none"/>
        </w:rPr>
        <w:drawing>
          <wp:inline distT="0" distB="0" distL="0" distR="0">
            <wp:extent cx="1820545" cy="604520"/>
            <wp:effectExtent l="0" t="0" r="0" b="0"/>
            <wp:docPr id="92896723"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6723" name="图片 1" descr="文本&#10;&#10;中度可信度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0545" cy="604520"/>
                    </a:xfrm>
                    <a:prstGeom prst="rect">
                      <a:avLst/>
                    </a:prstGeom>
                    <a:noFill/>
                    <a:ln>
                      <a:noFill/>
                    </a:ln>
                  </pic:spPr>
                </pic:pic>
              </a:graphicData>
            </a:graphic>
          </wp:inline>
        </w:drawing>
      </w:r>
    </w:p>
    <w:p w14:paraId="61280709">
      <w:pPr>
        <w:widowControl w:val="0"/>
        <w:adjustRightInd w:val="0"/>
        <w:snapToGrid w:val="0"/>
        <w:rPr>
          <w:color w:val="auto"/>
          <w:highlight w:val="none"/>
        </w:rPr>
      </w:pPr>
    </w:p>
    <w:p w14:paraId="57A2DFFA">
      <w:pPr>
        <w:widowControl w:val="0"/>
        <w:adjustRightInd w:val="0"/>
        <w:snapToGrid w:val="0"/>
        <w:rPr>
          <w:color w:val="auto"/>
          <w:highlight w:val="none"/>
        </w:rPr>
      </w:pPr>
    </w:p>
    <w:p w14:paraId="1E774F64">
      <w:pPr>
        <w:widowControl w:val="0"/>
        <w:adjustRightInd w:val="0"/>
        <w:snapToGrid w:val="0"/>
        <w:rPr>
          <w:color w:val="auto"/>
          <w:highlight w:val="none"/>
        </w:rPr>
      </w:pPr>
    </w:p>
    <w:p w14:paraId="622D7370">
      <w:pPr>
        <w:widowControl w:val="0"/>
        <w:adjustRightInd w:val="0"/>
        <w:snapToGrid w:val="0"/>
        <w:rPr>
          <w:color w:val="auto"/>
          <w:highlight w:val="none"/>
        </w:rPr>
      </w:pPr>
    </w:p>
    <w:p w14:paraId="04B26DCD">
      <w:pPr>
        <w:widowControl w:val="0"/>
        <w:adjustRightInd w:val="0"/>
        <w:snapToGrid w:val="0"/>
        <w:rPr>
          <w:color w:val="auto"/>
          <w:highlight w:val="none"/>
        </w:rPr>
      </w:pPr>
    </w:p>
    <w:p w14:paraId="4C2B0A58">
      <w:pPr>
        <w:widowControl w:val="0"/>
        <w:adjustRightInd w:val="0"/>
        <w:snapToGrid w:val="0"/>
        <w:rPr>
          <w:color w:val="auto"/>
          <w:highlight w:val="none"/>
        </w:rPr>
      </w:pPr>
    </w:p>
    <w:p w14:paraId="2A38A6A4">
      <w:pPr>
        <w:widowControl w:val="0"/>
        <w:adjustRightInd w:val="0"/>
        <w:snapToGrid w:val="0"/>
        <w:rPr>
          <w:color w:val="auto"/>
          <w:highlight w:val="none"/>
        </w:rPr>
      </w:pPr>
    </w:p>
    <w:p w14:paraId="5A5D9ECB">
      <w:pPr>
        <w:pStyle w:val="79"/>
        <w:spacing w:line="240" w:lineRule="atLeast"/>
        <w:ind w:firstLine="0" w:firstLineChars="0"/>
        <w:jc w:val="center"/>
        <w:rPr>
          <w:rFonts w:hint="eastAsia" w:ascii="宋体" w:hAnsi="宋体" w:cs="宋体"/>
          <w:b/>
          <w:bCs/>
          <w:snapToGrid/>
          <w:color w:val="auto"/>
          <w:sz w:val="32"/>
          <w:szCs w:val="32"/>
          <w:highlight w:val="none"/>
        </w:rPr>
      </w:pPr>
      <w:r>
        <w:rPr>
          <w:rFonts w:hint="eastAsia" w:ascii="宋体" w:hAnsi="宋体" w:cs="宋体"/>
          <w:b/>
          <w:bCs/>
          <w:snapToGrid/>
          <w:color w:val="auto"/>
          <w:sz w:val="32"/>
          <w:szCs w:val="32"/>
          <w:highlight w:val="none"/>
        </w:rPr>
        <w:t>象山县爵溪街道小微企业集聚区建筑用石料（凝灰岩）矿开采加工、配套设施建设及矿产品销售代理一体化服务项目</w:t>
      </w:r>
    </w:p>
    <w:p w14:paraId="54A1BAF2">
      <w:pPr>
        <w:widowControl w:val="0"/>
        <w:adjustRightInd w:val="0"/>
        <w:snapToGrid w:val="0"/>
        <w:rPr>
          <w:color w:val="auto"/>
          <w:highlight w:val="none"/>
        </w:rPr>
      </w:pPr>
    </w:p>
    <w:p w14:paraId="5B8DB0A7">
      <w:pPr>
        <w:widowControl w:val="0"/>
        <w:adjustRightInd w:val="0"/>
        <w:snapToGrid w:val="0"/>
        <w:rPr>
          <w:color w:val="auto"/>
          <w:highlight w:val="none"/>
        </w:rPr>
      </w:pPr>
    </w:p>
    <w:p w14:paraId="65BECF3B">
      <w:pPr>
        <w:widowControl w:val="0"/>
        <w:adjustRightInd w:val="0"/>
        <w:snapToGrid w:val="0"/>
        <w:rPr>
          <w:color w:val="auto"/>
          <w:highlight w:val="none"/>
        </w:rPr>
      </w:pPr>
    </w:p>
    <w:p w14:paraId="6420FF18">
      <w:pPr>
        <w:widowControl w:val="0"/>
        <w:adjustRightInd w:val="0"/>
        <w:snapToGrid w:val="0"/>
        <w:jc w:val="center"/>
        <w:rPr>
          <w:color w:val="auto"/>
          <w:highlight w:val="none"/>
        </w:rPr>
      </w:pPr>
      <w:r>
        <w:rPr>
          <w:rFonts w:hint="eastAsia" w:ascii="华文中宋" w:hAnsi="华文中宋" w:eastAsia="华文中宋"/>
          <w:b/>
          <w:bCs/>
          <w:color w:val="auto"/>
          <w:spacing w:val="60"/>
          <w:sz w:val="72"/>
          <w:szCs w:val="72"/>
          <w:highlight w:val="none"/>
        </w:rPr>
        <w:t>招标文</w:t>
      </w:r>
      <w:r>
        <w:rPr>
          <w:rFonts w:hint="eastAsia" w:ascii="华文中宋" w:hAnsi="华文中宋" w:eastAsia="华文中宋"/>
          <w:b/>
          <w:bCs/>
          <w:color w:val="auto"/>
          <w:sz w:val="72"/>
          <w:szCs w:val="72"/>
          <w:highlight w:val="none"/>
        </w:rPr>
        <w:t>件</w:t>
      </w:r>
    </w:p>
    <w:p w14:paraId="60E734CD">
      <w:pPr>
        <w:widowControl w:val="0"/>
        <w:adjustRightInd w:val="0"/>
        <w:snapToGrid w:val="0"/>
        <w:rPr>
          <w:color w:val="auto"/>
          <w:highlight w:val="none"/>
        </w:rPr>
      </w:pPr>
    </w:p>
    <w:p w14:paraId="20E18AB2">
      <w:pPr>
        <w:widowControl w:val="0"/>
        <w:adjustRightInd w:val="0"/>
        <w:snapToGrid w:val="0"/>
        <w:rPr>
          <w:color w:val="auto"/>
          <w:highlight w:val="none"/>
        </w:rPr>
      </w:pPr>
    </w:p>
    <w:p w14:paraId="07928990">
      <w:pPr>
        <w:widowControl w:val="0"/>
        <w:adjustRightInd w:val="0"/>
        <w:snapToGrid w:val="0"/>
        <w:rPr>
          <w:color w:val="auto"/>
          <w:highlight w:val="none"/>
        </w:rPr>
      </w:pPr>
    </w:p>
    <w:p w14:paraId="1BB403F3">
      <w:pPr>
        <w:widowControl w:val="0"/>
        <w:adjustRightInd w:val="0"/>
        <w:snapToGrid w:val="0"/>
        <w:jc w:val="center"/>
        <w:rPr>
          <w:color w:val="auto"/>
          <w:highlight w:val="none"/>
        </w:rPr>
      </w:pPr>
      <w:r>
        <w:rPr>
          <w:rFonts w:hint="eastAsia" w:ascii="宋体" w:hAnsi="宋体" w:cs="宋体"/>
          <w:b/>
          <w:color w:val="auto"/>
          <w:sz w:val="44"/>
          <w:szCs w:val="44"/>
          <w:highlight w:val="none"/>
        </w:rPr>
        <w:t>（电子招投标）</w:t>
      </w:r>
    </w:p>
    <w:p w14:paraId="64084250">
      <w:pPr>
        <w:widowControl w:val="0"/>
        <w:adjustRightInd w:val="0"/>
        <w:snapToGrid w:val="0"/>
        <w:rPr>
          <w:color w:val="auto"/>
          <w:highlight w:val="none"/>
        </w:rPr>
      </w:pPr>
    </w:p>
    <w:p w14:paraId="2BE4EA61">
      <w:pPr>
        <w:widowControl w:val="0"/>
        <w:adjustRightInd w:val="0"/>
        <w:snapToGrid w:val="0"/>
        <w:rPr>
          <w:color w:val="auto"/>
          <w:highlight w:val="none"/>
        </w:rPr>
      </w:pPr>
    </w:p>
    <w:p w14:paraId="0800539F">
      <w:pPr>
        <w:widowControl w:val="0"/>
        <w:adjustRightInd w:val="0"/>
        <w:snapToGrid w:val="0"/>
        <w:rPr>
          <w:color w:val="auto"/>
          <w:highlight w:val="none"/>
        </w:rPr>
      </w:pPr>
    </w:p>
    <w:p w14:paraId="0F94C013">
      <w:pPr>
        <w:snapToGrid w:val="0"/>
        <w:spacing w:line="360" w:lineRule="auto"/>
        <w:jc w:val="center"/>
        <w:rPr>
          <w:color w:val="auto"/>
          <w:sz w:val="30"/>
          <w:szCs w:val="30"/>
          <w:highlight w:val="none"/>
        </w:rPr>
      </w:pPr>
      <w:r>
        <w:rPr>
          <w:rFonts w:hint="eastAsia" w:ascii="宋体" w:hAnsi="宋体" w:cs="宋体"/>
          <w:color w:val="auto"/>
          <w:sz w:val="30"/>
          <w:szCs w:val="30"/>
          <w:highlight w:val="none"/>
        </w:rPr>
        <w:t>项目编号：</w:t>
      </w:r>
      <w:r>
        <w:rPr>
          <w:color w:val="auto"/>
          <w:sz w:val="30"/>
          <w:szCs w:val="30"/>
          <w:highlight w:val="none"/>
        </w:rPr>
        <w:t>2024-CGDL-05-001C</w:t>
      </w:r>
    </w:p>
    <w:p w14:paraId="58994D0D">
      <w:pPr>
        <w:widowControl w:val="0"/>
        <w:adjustRightInd w:val="0"/>
        <w:snapToGrid w:val="0"/>
        <w:rPr>
          <w:color w:val="auto"/>
          <w:highlight w:val="none"/>
        </w:rPr>
      </w:pPr>
    </w:p>
    <w:p w14:paraId="0C2DD5C0">
      <w:pPr>
        <w:widowControl w:val="0"/>
        <w:adjustRightInd w:val="0"/>
        <w:snapToGrid w:val="0"/>
        <w:rPr>
          <w:color w:val="auto"/>
          <w:highlight w:val="none"/>
        </w:rPr>
      </w:pPr>
    </w:p>
    <w:p w14:paraId="556DDB0D">
      <w:pPr>
        <w:widowControl w:val="0"/>
        <w:adjustRightInd w:val="0"/>
        <w:snapToGrid w:val="0"/>
        <w:rPr>
          <w:color w:val="auto"/>
          <w:highlight w:val="none"/>
        </w:rPr>
      </w:pPr>
    </w:p>
    <w:p w14:paraId="72795351">
      <w:pPr>
        <w:widowControl w:val="0"/>
        <w:adjustRightInd w:val="0"/>
        <w:snapToGrid w:val="0"/>
        <w:rPr>
          <w:color w:val="auto"/>
          <w:highlight w:val="none"/>
        </w:rPr>
      </w:pPr>
    </w:p>
    <w:p w14:paraId="337E4336">
      <w:pPr>
        <w:widowControl w:val="0"/>
        <w:adjustRightInd w:val="0"/>
        <w:snapToGrid w:val="0"/>
        <w:rPr>
          <w:color w:val="auto"/>
          <w:highlight w:val="none"/>
        </w:rPr>
      </w:pPr>
    </w:p>
    <w:p w14:paraId="62F76851">
      <w:pPr>
        <w:widowControl w:val="0"/>
        <w:adjustRightInd w:val="0"/>
        <w:snapToGrid w:val="0"/>
        <w:rPr>
          <w:color w:val="auto"/>
          <w:highlight w:val="none"/>
        </w:rPr>
      </w:pPr>
    </w:p>
    <w:p w14:paraId="7CD33C34">
      <w:pPr>
        <w:widowControl w:val="0"/>
        <w:adjustRightInd w:val="0"/>
        <w:snapToGrid w:val="0"/>
        <w:rPr>
          <w:color w:val="auto"/>
          <w:highlight w:val="none"/>
        </w:rPr>
      </w:pPr>
    </w:p>
    <w:p w14:paraId="3FA453F3">
      <w:pPr>
        <w:widowControl w:val="0"/>
        <w:adjustRightInd w:val="0"/>
        <w:snapToGrid w:val="0"/>
        <w:rPr>
          <w:color w:val="auto"/>
          <w:highlight w:val="none"/>
        </w:rPr>
      </w:pPr>
    </w:p>
    <w:p w14:paraId="03834241">
      <w:pPr>
        <w:widowControl w:val="0"/>
        <w:adjustRightInd w:val="0"/>
        <w:snapToGrid w:val="0"/>
        <w:rPr>
          <w:color w:val="auto"/>
          <w:highlight w:val="none"/>
        </w:rPr>
      </w:pPr>
    </w:p>
    <w:p w14:paraId="2E560813">
      <w:pPr>
        <w:widowControl w:val="0"/>
        <w:adjustRightInd w:val="0"/>
        <w:snapToGrid w:val="0"/>
        <w:rPr>
          <w:color w:val="auto"/>
          <w:highlight w:val="none"/>
        </w:rPr>
      </w:pPr>
    </w:p>
    <w:p w14:paraId="4869D2AD">
      <w:pPr>
        <w:widowControl w:val="0"/>
        <w:adjustRightInd w:val="0"/>
        <w:snapToGrid w:val="0"/>
        <w:rPr>
          <w:color w:val="auto"/>
          <w:highlight w:val="none"/>
        </w:rPr>
      </w:pPr>
    </w:p>
    <w:p w14:paraId="1EC41C3A">
      <w:pPr>
        <w:widowControl w:val="0"/>
        <w:adjustRightInd w:val="0"/>
        <w:snapToGrid w:val="0"/>
        <w:rPr>
          <w:color w:val="auto"/>
          <w:highlight w:val="none"/>
        </w:rPr>
      </w:pPr>
    </w:p>
    <w:p w14:paraId="647BADB1">
      <w:pPr>
        <w:widowControl w:val="0"/>
        <w:adjustRightInd w:val="0"/>
        <w:snapToGrid w:val="0"/>
        <w:rPr>
          <w:color w:val="auto"/>
          <w:highlight w:val="none"/>
        </w:rPr>
      </w:pPr>
    </w:p>
    <w:tbl>
      <w:tblPr>
        <w:tblStyle w:val="60"/>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2"/>
        <w:gridCol w:w="4717"/>
      </w:tblGrid>
      <w:tr w14:paraId="0BDE4D5D">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Ex>
        <w:trPr>
          <w:trHeight w:val="680" w:hRule="atLeast"/>
          <w:jc w:val="center"/>
        </w:trPr>
        <w:tc>
          <w:tcPr>
            <w:tcW w:w="1962" w:type="dxa"/>
            <w:vAlign w:val="center"/>
          </w:tcPr>
          <w:p w14:paraId="77C34A38">
            <w:pPr>
              <w:widowControl w:val="0"/>
              <w:adjustRightInd w:val="0"/>
              <w:snapToGrid w:val="0"/>
              <w:rPr>
                <w:rFonts w:hint="eastAsia" w:hAnsi="宋体"/>
                <w:b/>
                <w:color w:val="auto"/>
                <w:sz w:val="24"/>
                <w:highlight w:val="none"/>
              </w:rPr>
            </w:pPr>
            <w:r>
              <w:rPr>
                <w:rFonts w:hint="eastAsia" w:hAnsi="宋体"/>
                <w:b/>
                <w:color w:val="auto"/>
                <w:sz w:val="24"/>
                <w:highlight w:val="none"/>
              </w:rPr>
              <w:t>采购人：</w:t>
            </w:r>
          </w:p>
        </w:tc>
        <w:tc>
          <w:tcPr>
            <w:tcW w:w="4717" w:type="dxa"/>
            <w:vAlign w:val="center"/>
          </w:tcPr>
          <w:p w14:paraId="1A034E44">
            <w:pPr>
              <w:widowControl w:val="0"/>
              <w:adjustRightInd w:val="0"/>
              <w:snapToGrid w:val="0"/>
              <w:rPr>
                <w:rFonts w:hint="eastAsia" w:hAnsi="宋体"/>
                <w:b/>
                <w:color w:val="auto"/>
                <w:sz w:val="24"/>
                <w:highlight w:val="none"/>
              </w:rPr>
            </w:pPr>
            <w:r>
              <w:rPr>
                <w:rFonts w:hAnsi="宋体"/>
                <w:b/>
                <w:color w:val="auto"/>
                <w:sz w:val="24"/>
                <w:highlight w:val="none"/>
              </w:rPr>
              <w:t>宁波交运资源开发有限公司</w:t>
            </w:r>
          </w:p>
        </w:tc>
      </w:tr>
      <w:tr w14:paraId="17328269">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1962" w:type="dxa"/>
            <w:vAlign w:val="center"/>
          </w:tcPr>
          <w:p w14:paraId="6A4AA746">
            <w:pPr>
              <w:widowControl w:val="0"/>
              <w:adjustRightInd w:val="0"/>
              <w:snapToGrid w:val="0"/>
              <w:rPr>
                <w:b/>
                <w:color w:val="auto"/>
                <w:sz w:val="24"/>
                <w:highlight w:val="none"/>
              </w:rPr>
            </w:pPr>
            <w:r>
              <w:rPr>
                <w:rFonts w:hint="eastAsia" w:hAnsi="宋体"/>
                <w:b/>
                <w:color w:val="auto"/>
                <w:sz w:val="24"/>
                <w:highlight w:val="none"/>
              </w:rPr>
              <w:t>采购代理</w:t>
            </w:r>
            <w:r>
              <w:rPr>
                <w:rFonts w:hAnsi="宋体"/>
                <w:b/>
                <w:color w:val="auto"/>
                <w:sz w:val="24"/>
                <w:highlight w:val="none"/>
              </w:rPr>
              <w:t>机构：</w:t>
            </w:r>
          </w:p>
        </w:tc>
        <w:tc>
          <w:tcPr>
            <w:tcW w:w="4717" w:type="dxa"/>
            <w:vAlign w:val="center"/>
          </w:tcPr>
          <w:p w14:paraId="4D001500">
            <w:pPr>
              <w:widowControl w:val="0"/>
              <w:adjustRightInd w:val="0"/>
              <w:snapToGrid w:val="0"/>
              <w:rPr>
                <w:b/>
                <w:color w:val="auto"/>
                <w:sz w:val="24"/>
                <w:highlight w:val="none"/>
              </w:rPr>
            </w:pPr>
            <w:r>
              <w:rPr>
                <w:rFonts w:hAnsi="宋体"/>
                <w:b/>
                <w:color w:val="auto"/>
                <w:sz w:val="24"/>
                <w:highlight w:val="none"/>
              </w:rPr>
              <w:t>宁波建信工程造价咨询事务所有限公司</w:t>
            </w:r>
          </w:p>
        </w:tc>
      </w:tr>
      <w:tr w14:paraId="2C5881A4">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6679" w:type="dxa"/>
            <w:gridSpan w:val="2"/>
            <w:vAlign w:val="center"/>
          </w:tcPr>
          <w:p w14:paraId="07C1AEB8">
            <w:pPr>
              <w:widowControl w:val="0"/>
              <w:adjustRightInd w:val="0"/>
              <w:snapToGrid w:val="0"/>
              <w:jc w:val="center"/>
              <w:rPr>
                <w:b/>
                <w:color w:val="auto"/>
                <w:sz w:val="24"/>
                <w:highlight w:val="none"/>
              </w:rPr>
            </w:pPr>
            <w:r>
              <w:rPr>
                <w:b/>
                <w:color w:val="auto"/>
                <w:sz w:val="24"/>
                <w:highlight w:val="none"/>
              </w:rPr>
              <w:t>202</w:t>
            </w:r>
            <w:r>
              <w:rPr>
                <w:rFonts w:hint="eastAsia"/>
                <w:b/>
                <w:color w:val="auto"/>
                <w:sz w:val="24"/>
                <w:highlight w:val="none"/>
              </w:rPr>
              <w:t>4</w:t>
            </w:r>
            <w:r>
              <w:rPr>
                <w:rFonts w:hAnsi="宋体"/>
                <w:b/>
                <w:color w:val="auto"/>
                <w:sz w:val="24"/>
                <w:highlight w:val="none"/>
              </w:rPr>
              <w:t>年</w:t>
            </w:r>
            <w:r>
              <w:rPr>
                <w:rFonts w:hint="eastAsia"/>
                <w:b/>
                <w:color w:val="auto"/>
                <w:sz w:val="24"/>
                <w:highlight w:val="none"/>
              </w:rPr>
              <w:t>8</w:t>
            </w:r>
            <w:r>
              <w:rPr>
                <w:rFonts w:hAnsi="宋体"/>
                <w:b/>
                <w:color w:val="auto"/>
                <w:sz w:val="24"/>
                <w:highlight w:val="none"/>
              </w:rPr>
              <w:t>月</w:t>
            </w:r>
            <w:r>
              <w:rPr>
                <w:rFonts w:hint="eastAsia" w:hAnsi="宋体"/>
                <w:b/>
                <w:color w:val="auto"/>
                <w:sz w:val="24"/>
                <w:highlight w:val="none"/>
              </w:rPr>
              <w:t>12日</w:t>
            </w:r>
          </w:p>
        </w:tc>
      </w:tr>
    </w:tbl>
    <w:p w14:paraId="5A723E47">
      <w:pPr>
        <w:widowControl w:val="0"/>
        <w:adjustRightInd w:val="0"/>
        <w:snapToGrid w:val="0"/>
        <w:rPr>
          <w:color w:val="auto"/>
          <w:highlight w:val="none"/>
        </w:rPr>
      </w:pPr>
    </w:p>
    <w:p w14:paraId="6BCC117E">
      <w:pPr>
        <w:widowControl w:val="0"/>
        <w:adjustRightInd w:val="0"/>
        <w:snapToGrid w:val="0"/>
        <w:rPr>
          <w:color w:val="auto"/>
          <w:highlight w:val="none"/>
        </w:rPr>
      </w:pPr>
    </w:p>
    <w:p w14:paraId="0EC7F79A">
      <w:pPr>
        <w:widowControl w:val="0"/>
        <w:adjustRightInd w:val="0"/>
        <w:snapToGrid w:val="0"/>
        <w:rPr>
          <w:color w:val="auto"/>
          <w:highlight w:val="none"/>
        </w:rPr>
      </w:pPr>
    </w:p>
    <w:p w14:paraId="0DC78555">
      <w:pPr>
        <w:widowControl w:val="0"/>
        <w:adjustRightInd w:val="0"/>
        <w:snapToGrid w:val="0"/>
        <w:rPr>
          <w:color w:val="auto"/>
          <w:highlight w:val="none"/>
        </w:rPr>
        <w:sectPr>
          <w:type w:val="oddPage"/>
          <w:pgSz w:w="11906" w:h="16838"/>
          <w:pgMar w:top="1440" w:right="1304" w:bottom="1440" w:left="1134" w:header="851" w:footer="992" w:gutter="0"/>
          <w:cols w:space="720" w:num="1"/>
          <w:docGrid w:type="lines" w:linePitch="312" w:charSpace="0"/>
        </w:sectPr>
      </w:pPr>
    </w:p>
    <w:p w14:paraId="4CAEB325">
      <w:pPr>
        <w:widowControl w:val="0"/>
        <w:adjustRightInd w:val="0"/>
        <w:snapToGrid w:val="0"/>
        <w:spacing w:before="156" w:beforeLines="50" w:after="156" w:afterLines="50" w:line="300" w:lineRule="auto"/>
        <w:jc w:val="center"/>
        <w:rPr>
          <w:rFonts w:hint="eastAsia" w:ascii="华文中宋" w:hAnsi="华文中宋" w:eastAsia="华文中宋"/>
          <w:b/>
          <w:bCs/>
          <w:color w:val="auto"/>
          <w:sz w:val="44"/>
          <w:szCs w:val="30"/>
          <w:highlight w:val="none"/>
        </w:rPr>
      </w:pPr>
      <w:r>
        <w:rPr>
          <w:rFonts w:ascii="华文中宋" w:hAnsi="华文中宋" w:eastAsia="华文中宋"/>
          <w:b/>
          <w:bCs/>
          <w:color w:val="auto"/>
          <w:sz w:val="44"/>
          <w:szCs w:val="30"/>
          <w:highlight w:val="none"/>
        </w:rPr>
        <w:t>目 录</w:t>
      </w:r>
    </w:p>
    <w:p w14:paraId="4DBEB1AB">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b/>
          <w:bCs/>
          <w:color w:val="auto"/>
          <w:sz w:val="44"/>
          <w:szCs w:val="30"/>
          <w:highlight w:val="none"/>
        </w:rPr>
        <w:fldChar w:fldCharType="begin"/>
      </w:r>
      <w:r>
        <w:rPr>
          <w:b/>
          <w:bCs/>
          <w:color w:val="auto"/>
          <w:sz w:val="44"/>
          <w:szCs w:val="30"/>
          <w:highlight w:val="none"/>
        </w:rPr>
        <w:instrText xml:space="preserve"> TOC \o "1-4" \h \z \u </w:instrText>
      </w:r>
      <w:r>
        <w:rPr>
          <w:b/>
          <w:bCs/>
          <w:color w:val="auto"/>
          <w:sz w:val="44"/>
          <w:szCs w:val="30"/>
          <w:highlight w:val="none"/>
        </w:rPr>
        <w:fldChar w:fldCharType="separate"/>
      </w:r>
      <w:r>
        <w:rPr>
          <w:color w:val="auto"/>
          <w:highlight w:val="none"/>
        </w:rPr>
        <w:fldChar w:fldCharType="begin"/>
      </w:r>
      <w:r>
        <w:rPr>
          <w:color w:val="auto"/>
          <w:highlight w:val="none"/>
        </w:rPr>
        <w:instrText xml:space="preserve"> HYPERLINK \l "_Toc173761911" </w:instrText>
      </w:r>
      <w:r>
        <w:rPr>
          <w:color w:val="auto"/>
          <w:highlight w:val="none"/>
        </w:rPr>
        <w:fldChar w:fldCharType="separate"/>
      </w:r>
      <w:r>
        <w:rPr>
          <w:rStyle w:val="74"/>
          <w:color w:val="auto"/>
          <w:highlight w:val="none"/>
        </w:rPr>
        <w:t>第一部分 招标公告</w:t>
      </w:r>
      <w:r>
        <w:rPr>
          <w:color w:val="auto"/>
          <w:highlight w:val="none"/>
        </w:rPr>
        <w:tab/>
      </w:r>
      <w:r>
        <w:rPr>
          <w:color w:val="auto"/>
          <w:highlight w:val="none"/>
        </w:rPr>
        <w:fldChar w:fldCharType="begin"/>
      </w:r>
      <w:r>
        <w:rPr>
          <w:color w:val="auto"/>
          <w:highlight w:val="none"/>
        </w:rPr>
        <w:instrText xml:space="preserve"> PAGEREF _Toc173761911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7B2C730">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"_Toc173761912" </w:instrText>
      </w:r>
      <w:r>
        <w:rPr>
          <w:color w:val="auto"/>
          <w:highlight w:val="none"/>
        </w:rPr>
        <w:fldChar w:fldCharType="separate"/>
      </w:r>
      <w:r>
        <w:rPr>
          <w:rStyle w:val="74"/>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_Toc173761912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0903CA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"_Toc173761913" </w:instrText>
      </w:r>
      <w:r>
        <w:rPr>
          <w:color w:val="auto"/>
          <w:highlight w:val="none"/>
        </w:rPr>
        <w:fldChar w:fldCharType="separate"/>
      </w:r>
      <w:r>
        <w:rPr>
          <w:rStyle w:val="74"/>
          <w:color w:val="auto"/>
          <w:highlight w:val="none"/>
        </w:rPr>
        <w:t>二、申请人的资格要求</w:t>
      </w:r>
      <w:r>
        <w:rPr>
          <w:color w:val="auto"/>
          <w:highlight w:val="none"/>
        </w:rPr>
        <w:tab/>
      </w:r>
      <w:r>
        <w:rPr>
          <w:color w:val="auto"/>
          <w:highlight w:val="none"/>
        </w:rPr>
        <w:fldChar w:fldCharType="begin"/>
      </w:r>
      <w:r>
        <w:rPr>
          <w:color w:val="auto"/>
          <w:highlight w:val="none"/>
        </w:rPr>
        <w:instrText xml:space="preserve"> PAGEREF _Toc173761913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8739FB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"_Toc173761914" </w:instrText>
      </w:r>
      <w:r>
        <w:rPr>
          <w:color w:val="auto"/>
          <w:highlight w:val="none"/>
        </w:rPr>
        <w:fldChar w:fldCharType="separate"/>
      </w:r>
      <w:r>
        <w:rPr>
          <w:rStyle w:val="74"/>
          <w:color w:val="auto"/>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_Toc173761914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6C23F0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"_Toc173761915" </w:instrText>
      </w:r>
      <w:r>
        <w:rPr>
          <w:color w:val="auto"/>
          <w:highlight w:val="none"/>
        </w:rPr>
        <w:fldChar w:fldCharType="separate"/>
      </w:r>
      <w:r>
        <w:rPr>
          <w:rStyle w:val="74"/>
          <w:color w:val="auto"/>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_Toc173761915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4F83DA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"_Toc173761916" </w:instrText>
      </w:r>
      <w:r>
        <w:rPr>
          <w:color w:val="auto"/>
          <w:highlight w:val="none"/>
        </w:rPr>
        <w:fldChar w:fldCharType="separate"/>
      </w:r>
      <w:r>
        <w:rPr>
          <w:rStyle w:val="74"/>
          <w:color w:val="auto"/>
          <w:highlight w:val="none"/>
        </w:rPr>
        <w:t>五、公告期限</w:t>
      </w:r>
      <w:r>
        <w:rPr>
          <w:color w:val="auto"/>
          <w:highlight w:val="none"/>
        </w:rPr>
        <w:tab/>
      </w:r>
      <w:r>
        <w:rPr>
          <w:color w:val="auto"/>
          <w:highlight w:val="none"/>
        </w:rPr>
        <w:fldChar w:fldCharType="begin"/>
      </w:r>
      <w:r>
        <w:rPr>
          <w:color w:val="auto"/>
          <w:highlight w:val="none"/>
        </w:rPr>
        <w:instrText xml:space="preserve"> PAGEREF _Toc173761916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261977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"_Toc173761917" </w:instrText>
      </w:r>
      <w:r>
        <w:rPr>
          <w:color w:val="auto"/>
          <w:highlight w:val="none"/>
        </w:rPr>
        <w:fldChar w:fldCharType="separate"/>
      </w:r>
      <w:r>
        <w:rPr>
          <w:rStyle w:val="74"/>
          <w:color w:val="auto"/>
          <w:highlight w:val="none"/>
        </w:rPr>
        <w:t>六、其他补充事宜</w:t>
      </w:r>
      <w:r>
        <w:rPr>
          <w:color w:val="auto"/>
          <w:highlight w:val="none"/>
        </w:rPr>
        <w:tab/>
      </w:r>
      <w:r>
        <w:rPr>
          <w:color w:val="auto"/>
          <w:highlight w:val="none"/>
        </w:rPr>
        <w:fldChar w:fldCharType="begin"/>
      </w:r>
      <w:r>
        <w:rPr>
          <w:color w:val="auto"/>
          <w:highlight w:val="none"/>
        </w:rPr>
        <w:instrText xml:space="preserve"> PAGEREF _Toc173761917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4FC96CF">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"_Toc173761918" </w:instrText>
      </w:r>
      <w:r>
        <w:rPr>
          <w:color w:val="auto"/>
          <w:highlight w:val="none"/>
        </w:rPr>
        <w:fldChar w:fldCharType="separate"/>
      </w:r>
      <w:r>
        <w:rPr>
          <w:rStyle w:val="74"/>
          <w:color w:val="auto"/>
          <w:highlight w:val="none"/>
        </w:rPr>
        <w:t>七、对本次采购提出询问、质疑、投诉，请按以下方式联系</w:t>
      </w:r>
      <w:r>
        <w:rPr>
          <w:color w:val="auto"/>
          <w:highlight w:val="none"/>
        </w:rPr>
        <w:tab/>
      </w:r>
      <w:r>
        <w:rPr>
          <w:color w:val="auto"/>
          <w:highlight w:val="none"/>
        </w:rPr>
        <w:fldChar w:fldCharType="begin"/>
      </w:r>
      <w:r>
        <w:rPr>
          <w:color w:val="auto"/>
          <w:highlight w:val="none"/>
        </w:rPr>
        <w:instrText xml:space="preserve"> PAGEREF _Toc173761918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932504E">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"_Toc173761919" </w:instrText>
      </w:r>
      <w:r>
        <w:rPr>
          <w:color w:val="auto"/>
          <w:highlight w:val="none"/>
        </w:rPr>
        <w:fldChar w:fldCharType="separate"/>
      </w:r>
      <w:r>
        <w:rPr>
          <w:rStyle w:val="74"/>
          <w:color w:val="auto"/>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_Toc173761919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A3F704A">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"_Toc173761920" </w:instrText>
      </w:r>
      <w:r>
        <w:rPr>
          <w:color w:val="auto"/>
          <w:highlight w:val="none"/>
        </w:rPr>
        <w:fldChar w:fldCharType="separate"/>
      </w:r>
      <w:r>
        <w:rPr>
          <w:rStyle w:val="74"/>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_Toc173761920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EC3AA51">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"_Toc173761921" </w:instrText>
      </w:r>
      <w:r>
        <w:rPr>
          <w:color w:val="auto"/>
          <w:highlight w:val="none"/>
        </w:rPr>
        <w:fldChar w:fldCharType="separate"/>
      </w:r>
      <w:r>
        <w:rPr>
          <w:rStyle w:val="74"/>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_Toc173761921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3699A5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"_Toc173761922" </w:instrText>
      </w:r>
      <w:r>
        <w:rPr>
          <w:color w:val="auto"/>
          <w:highlight w:val="none"/>
        </w:rPr>
        <w:fldChar w:fldCharType="separate"/>
      </w:r>
      <w:r>
        <w:rPr>
          <w:rStyle w:val="74"/>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_Toc173761922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552452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"_Toc173761923" </w:instrText>
      </w:r>
      <w:r>
        <w:rPr>
          <w:color w:val="auto"/>
          <w:highlight w:val="none"/>
        </w:rPr>
        <w:fldChar w:fldCharType="separate"/>
      </w:r>
      <w:r>
        <w:rPr>
          <w:rStyle w:val="74"/>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_Toc173761923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033012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"_Toc173761924" </w:instrText>
      </w:r>
      <w:r>
        <w:rPr>
          <w:color w:val="auto"/>
          <w:highlight w:val="none"/>
        </w:rPr>
        <w:fldChar w:fldCharType="separate"/>
      </w:r>
      <w:r>
        <w:rPr>
          <w:rStyle w:val="74"/>
          <w:color w:val="auto"/>
          <w:highlight w:val="none"/>
        </w:rPr>
        <w:t>3.采购项目需要落实的政府采购政策</w:t>
      </w:r>
      <w:r>
        <w:rPr>
          <w:color w:val="auto"/>
          <w:highlight w:val="none"/>
        </w:rPr>
        <w:tab/>
      </w:r>
      <w:r>
        <w:rPr>
          <w:color w:val="auto"/>
          <w:highlight w:val="none"/>
        </w:rPr>
        <w:fldChar w:fldCharType="begin"/>
      </w:r>
      <w:r>
        <w:rPr>
          <w:color w:val="auto"/>
          <w:highlight w:val="none"/>
        </w:rPr>
        <w:instrText xml:space="preserve"> PAGEREF _Toc173761924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FC0A3F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"_Toc173761925" </w:instrText>
      </w:r>
      <w:r>
        <w:rPr>
          <w:color w:val="auto"/>
          <w:highlight w:val="none"/>
        </w:rPr>
        <w:fldChar w:fldCharType="separate"/>
      </w:r>
      <w:r>
        <w:rPr>
          <w:rStyle w:val="74"/>
          <w:color w:val="auto"/>
          <w:highlight w:val="none"/>
        </w:rPr>
        <w:t>4.询问、质疑、投诉、补偿救济</w:t>
      </w:r>
      <w:r>
        <w:rPr>
          <w:color w:val="auto"/>
          <w:highlight w:val="none"/>
        </w:rPr>
        <w:tab/>
      </w:r>
      <w:r>
        <w:rPr>
          <w:color w:val="auto"/>
          <w:highlight w:val="none"/>
        </w:rPr>
        <w:fldChar w:fldCharType="begin"/>
      </w:r>
      <w:r>
        <w:rPr>
          <w:color w:val="auto"/>
          <w:highlight w:val="none"/>
        </w:rPr>
        <w:instrText xml:space="preserve"> PAGEREF _Toc173761925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C5F104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"_Toc173761926" </w:instrText>
      </w:r>
      <w:r>
        <w:rPr>
          <w:color w:val="auto"/>
          <w:highlight w:val="none"/>
        </w:rPr>
        <w:fldChar w:fldCharType="separate"/>
      </w:r>
      <w:r>
        <w:rPr>
          <w:rStyle w:val="74"/>
          <w:color w:val="auto"/>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_Toc173761926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6011E1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"_Toc173761927" </w:instrText>
      </w:r>
      <w:r>
        <w:rPr>
          <w:color w:val="auto"/>
          <w:highlight w:val="none"/>
        </w:rPr>
        <w:fldChar w:fldCharType="separate"/>
      </w:r>
      <w:r>
        <w:rPr>
          <w:rStyle w:val="74"/>
          <w:color w:val="auto"/>
          <w:highlight w:val="none"/>
        </w:rPr>
        <w:t>5.招标文件的构成</w:t>
      </w:r>
      <w:r>
        <w:rPr>
          <w:color w:val="auto"/>
          <w:highlight w:val="none"/>
        </w:rPr>
        <w:tab/>
      </w:r>
      <w:r>
        <w:rPr>
          <w:color w:val="auto"/>
          <w:highlight w:val="none"/>
        </w:rPr>
        <w:fldChar w:fldCharType="begin"/>
      </w:r>
      <w:r>
        <w:rPr>
          <w:color w:val="auto"/>
          <w:highlight w:val="none"/>
        </w:rPr>
        <w:instrText xml:space="preserve"> PAGEREF _Toc173761927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3EBE9D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"_Toc173761928" </w:instrText>
      </w:r>
      <w:r>
        <w:rPr>
          <w:color w:val="auto"/>
          <w:highlight w:val="none"/>
        </w:rPr>
        <w:fldChar w:fldCharType="separate"/>
      </w:r>
      <w:r>
        <w:rPr>
          <w:rStyle w:val="74"/>
          <w:color w:val="auto"/>
          <w:highlight w:val="none"/>
        </w:rPr>
        <w:t>6.招标文件的澄清、修改</w:t>
      </w:r>
      <w:r>
        <w:rPr>
          <w:color w:val="auto"/>
          <w:highlight w:val="none"/>
        </w:rPr>
        <w:tab/>
      </w:r>
      <w:r>
        <w:rPr>
          <w:color w:val="auto"/>
          <w:highlight w:val="none"/>
        </w:rPr>
        <w:fldChar w:fldCharType="begin"/>
      </w:r>
      <w:r>
        <w:rPr>
          <w:color w:val="auto"/>
          <w:highlight w:val="none"/>
        </w:rPr>
        <w:instrText xml:space="preserve"> PAGEREF _Toc173761928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C75B6C4">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"_Toc173761929" </w:instrText>
      </w:r>
      <w:r>
        <w:rPr>
          <w:color w:val="auto"/>
          <w:highlight w:val="none"/>
        </w:rPr>
        <w:fldChar w:fldCharType="separate"/>
      </w:r>
      <w:r>
        <w:rPr>
          <w:rStyle w:val="74"/>
          <w:color w:val="auto"/>
          <w:highlight w:val="none"/>
        </w:rPr>
        <w:t>三、投标</w:t>
      </w:r>
      <w:r>
        <w:rPr>
          <w:color w:val="auto"/>
          <w:highlight w:val="none"/>
        </w:rPr>
        <w:tab/>
      </w:r>
      <w:r>
        <w:rPr>
          <w:color w:val="auto"/>
          <w:highlight w:val="none"/>
        </w:rPr>
        <w:fldChar w:fldCharType="begin"/>
      </w:r>
      <w:r>
        <w:rPr>
          <w:color w:val="auto"/>
          <w:highlight w:val="none"/>
        </w:rPr>
        <w:instrText xml:space="preserve"> PAGEREF _Toc173761929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AF14DC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"_Toc173761930" </w:instrText>
      </w:r>
      <w:r>
        <w:rPr>
          <w:color w:val="auto"/>
          <w:highlight w:val="none"/>
        </w:rPr>
        <w:fldChar w:fldCharType="separate"/>
      </w:r>
      <w:r>
        <w:rPr>
          <w:rStyle w:val="74"/>
          <w:color w:val="auto"/>
          <w:highlight w:val="none"/>
        </w:rPr>
        <w:t>7.招标文件的获取</w:t>
      </w:r>
      <w:r>
        <w:rPr>
          <w:color w:val="auto"/>
          <w:highlight w:val="none"/>
        </w:rPr>
        <w:tab/>
      </w:r>
      <w:r>
        <w:rPr>
          <w:color w:val="auto"/>
          <w:highlight w:val="none"/>
        </w:rPr>
        <w:fldChar w:fldCharType="begin"/>
      </w:r>
      <w:r>
        <w:rPr>
          <w:color w:val="auto"/>
          <w:highlight w:val="none"/>
        </w:rPr>
        <w:instrText xml:space="preserve"> PAGEREF _Toc173761930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640A2B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"_Toc173761931" </w:instrText>
      </w:r>
      <w:r>
        <w:rPr>
          <w:color w:val="auto"/>
          <w:highlight w:val="none"/>
        </w:rPr>
        <w:fldChar w:fldCharType="separate"/>
      </w:r>
      <w:r>
        <w:rPr>
          <w:rStyle w:val="74"/>
          <w:color w:val="auto"/>
          <w:highlight w:val="none"/>
        </w:rPr>
        <w:t>8.开标前答疑会或现场考察</w:t>
      </w:r>
      <w:r>
        <w:rPr>
          <w:color w:val="auto"/>
          <w:highlight w:val="none"/>
        </w:rPr>
        <w:tab/>
      </w:r>
      <w:r>
        <w:rPr>
          <w:color w:val="auto"/>
          <w:highlight w:val="none"/>
        </w:rPr>
        <w:fldChar w:fldCharType="begin"/>
      </w:r>
      <w:r>
        <w:rPr>
          <w:color w:val="auto"/>
          <w:highlight w:val="none"/>
        </w:rPr>
        <w:instrText xml:space="preserve"> PAGEREF _Toc173761931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8AEB912">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"_Toc173761932" </w:instrText>
      </w:r>
      <w:r>
        <w:rPr>
          <w:color w:val="auto"/>
          <w:highlight w:val="none"/>
        </w:rPr>
        <w:fldChar w:fldCharType="separate"/>
      </w:r>
      <w:r>
        <w:rPr>
          <w:rStyle w:val="74"/>
          <w:color w:val="auto"/>
          <w:highlight w:val="none"/>
        </w:rPr>
        <w:t>9.投标保证金</w:t>
      </w:r>
      <w:r>
        <w:rPr>
          <w:color w:val="auto"/>
          <w:highlight w:val="none"/>
        </w:rPr>
        <w:tab/>
      </w:r>
      <w:r>
        <w:rPr>
          <w:color w:val="auto"/>
          <w:highlight w:val="none"/>
        </w:rPr>
        <w:fldChar w:fldCharType="begin"/>
      </w:r>
      <w:r>
        <w:rPr>
          <w:color w:val="auto"/>
          <w:highlight w:val="none"/>
        </w:rPr>
        <w:instrText xml:space="preserve"> PAGEREF _Toc173761932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1FEADB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"_Toc173761933" </w:instrText>
      </w:r>
      <w:r>
        <w:rPr>
          <w:color w:val="auto"/>
          <w:highlight w:val="none"/>
        </w:rPr>
        <w:fldChar w:fldCharType="separate"/>
      </w:r>
      <w:r>
        <w:rPr>
          <w:rStyle w:val="74"/>
          <w:color w:val="auto"/>
          <w:highlight w:val="none"/>
        </w:rPr>
        <w:t>10.投标文件的语言</w:t>
      </w:r>
      <w:r>
        <w:rPr>
          <w:color w:val="auto"/>
          <w:highlight w:val="none"/>
        </w:rPr>
        <w:tab/>
      </w:r>
      <w:r>
        <w:rPr>
          <w:color w:val="auto"/>
          <w:highlight w:val="none"/>
        </w:rPr>
        <w:fldChar w:fldCharType="begin"/>
      </w:r>
      <w:r>
        <w:rPr>
          <w:color w:val="auto"/>
          <w:highlight w:val="none"/>
        </w:rPr>
        <w:instrText xml:space="preserve"> PAGEREF _Toc173761933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25C59C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"_Toc173761934" </w:instrText>
      </w:r>
      <w:r>
        <w:rPr>
          <w:color w:val="auto"/>
          <w:highlight w:val="none"/>
        </w:rPr>
        <w:fldChar w:fldCharType="separate"/>
      </w:r>
      <w:r>
        <w:rPr>
          <w:rStyle w:val="74"/>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_Toc173761934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BED9FA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"_Toc173761935" </w:instrText>
      </w:r>
      <w:r>
        <w:rPr>
          <w:color w:val="auto"/>
          <w:highlight w:val="none"/>
        </w:rPr>
        <w:fldChar w:fldCharType="separate"/>
      </w:r>
      <w:r>
        <w:rPr>
          <w:rStyle w:val="74"/>
          <w:color w:val="auto"/>
          <w:highlight w:val="none"/>
        </w:rPr>
        <w:t>12.投标文件的编制</w:t>
      </w:r>
      <w:r>
        <w:rPr>
          <w:color w:val="auto"/>
          <w:highlight w:val="none"/>
        </w:rPr>
        <w:tab/>
      </w:r>
      <w:r>
        <w:rPr>
          <w:color w:val="auto"/>
          <w:highlight w:val="none"/>
        </w:rPr>
        <w:fldChar w:fldCharType="begin"/>
      </w:r>
      <w:r>
        <w:rPr>
          <w:color w:val="auto"/>
          <w:highlight w:val="none"/>
        </w:rPr>
        <w:instrText xml:space="preserve"> PAGEREF _Toc173761935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613B56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"_Toc173761936" </w:instrText>
      </w:r>
      <w:r>
        <w:rPr>
          <w:color w:val="auto"/>
          <w:highlight w:val="none"/>
        </w:rPr>
        <w:fldChar w:fldCharType="separate"/>
      </w:r>
      <w:r>
        <w:rPr>
          <w:rStyle w:val="74"/>
          <w:color w:val="auto"/>
          <w:highlight w:val="none"/>
        </w:rPr>
        <w:t>13.投标文件的签署、盖章</w:t>
      </w:r>
      <w:r>
        <w:rPr>
          <w:color w:val="auto"/>
          <w:highlight w:val="none"/>
        </w:rPr>
        <w:tab/>
      </w:r>
      <w:r>
        <w:rPr>
          <w:color w:val="auto"/>
          <w:highlight w:val="none"/>
        </w:rPr>
        <w:fldChar w:fldCharType="begin"/>
      </w:r>
      <w:r>
        <w:rPr>
          <w:color w:val="auto"/>
          <w:highlight w:val="none"/>
        </w:rPr>
        <w:instrText xml:space="preserve"> PAGEREF _Toc173761936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D21CB3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"_Toc173761937" </w:instrText>
      </w:r>
      <w:r>
        <w:rPr>
          <w:color w:val="auto"/>
          <w:highlight w:val="none"/>
        </w:rPr>
        <w:fldChar w:fldCharType="separate"/>
      </w:r>
      <w:r>
        <w:rPr>
          <w:rStyle w:val="74"/>
          <w:color w:val="auto"/>
          <w:highlight w:val="none"/>
        </w:rPr>
        <w:t>14.投标文件的提交、补充、修改、撤回</w:t>
      </w:r>
      <w:r>
        <w:rPr>
          <w:color w:val="auto"/>
          <w:highlight w:val="none"/>
        </w:rPr>
        <w:tab/>
      </w:r>
      <w:r>
        <w:rPr>
          <w:color w:val="auto"/>
          <w:highlight w:val="none"/>
        </w:rPr>
        <w:fldChar w:fldCharType="begin"/>
      </w:r>
      <w:r>
        <w:rPr>
          <w:color w:val="auto"/>
          <w:highlight w:val="none"/>
        </w:rPr>
        <w:instrText xml:space="preserve"> PAGEREF _Toc173761937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47DBE5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"_Toc173761938" </w:instrText>
      </w:r>
      <w:r>
        <w:rPr>
          <w:color w:val="auto"/>
          <w:highlight w:val="none"/>
        </w:rPr>
        <w:fldChar w:fldCharType="separate"/>
      </w:r>
      <w:r>
        <w:rPr>
          <w:rStyle w:val="74"/>
          <w:color w:val="auto"/>
          <w:highlight w:val="none"/>
        </w:rPr>
        <w:t>15.备份投标文件</w:t>
      </w:r>
      <w:r>
        <w:rPr>
          <w:color w:val="auto"/>
          <w:highlight w:val="none"/>
        </w:rPr>
        <w:tab/>
      </w:r>
      <w:r>
        <w:rPr>
          <w:color w:val="auto"/>
          <w:highlight w:val="none"/>
        </w:rPr>
        <w:fldChar w:fldCharType="begin"/>
      </w:r>
      <w:r>
        <w:rPr>
          <w:color w:val="auto"/>
          <w:highlight w:val="none"/>
        </w:rPr>
        <w:instrText xml:space="preserve"> PAGEREF _Toc173761938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6FB123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"_Toc173761939" </w:instrText>
      </w:r>
      <w:r>
        <w:rPr>
          <w:color w:val="auto"/>
          <w:highlight w:val="none"/>
        </w:rPr>
        <w:fldChar w:fldCharType="separate"/>
      </w:r>
      <w:r>
        <w:rPr>
          <w:rStyle w:val="74"/>
          <w:color w:val="auto"/>
          <w:highlight w:val="none"/>
        </w:rPr>
        <w:t>16.投标文件的无效处理</w:t>
      </w:r>
      <w:r>
        <w:rPr>
          <w:color w:val="auto"/>
          <w:highlight w:val="none"/>
        </w:rPr>
        <w:tab/>
      </w:r>
      <w:r>
        <w:rPr>
          <w:color w:val="auto"/>
          <w:highlight w:val="none"/>
        </w:rPr>
        <w:fldChar w:fldCharType="begin"/>
      </w:r>
      <w:r>
        <w:rPr>
          <w:color w:val="auto"/>
          <w:highlight w:val="none"/>
        </w:rPr>
        <w:instrText xml:space="preserve"> PAGEREF _Toc173761939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8F7FF8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"_Toc173761940" </w:instrText>
      </w:r>
      <w:r>
        <w:rPr>
          <w:color w:val="auto"/>
          <w:highlight w:val="none"/>
        </w:rPr>
        <w:fldChar w:fldCharType="separate"/>
      </w:r>
      <w:r>
        <w:rPr>
          <w:rStyle w:val="74"/>
          <w:color w:val="auto"/>
          <w:highlight w:val="none"/>
        </w:rPr>
        <w:t>17.投标有效期</w:t>
      </w:r>
      <w:r>
        <w:rPr>
          <w:color w:val="auto"/>
          <w:highlight w:val="none"/>
        </w:rPr>
        <w:tab/>
      </w:r>
      <w:r>
        <w:rPr>
          <w:color w:val="auto"/>
          <w:highlight w:val="none"/>
        </w:rPr>
        <w:fldChar w:fldCharType="begin"/>
      </w:r>
      <w:r>
        <w:rPr>
          <w:color w:val="auto"/>
          <w:highlight w:val="none"/>
        </w:rPr>
        <w:instrText xml:space="preserve"> PAGEREF _Toc173761940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D120B8B">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"_Toc173761941" </w:instrText>
      </w:r>
      <w:r>
        <w:rPr>
          <w:color w:val="auto"/>
          <w:highlight w:val="none"/>
        </w:rPr>
        <w:fldChar w:fldCharType="separate"/>
      </w:r>
      <w:r>
        <w:rPr>
          <w:rStyle w:val="74"/>
          <w:color w:val="auto"/>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_Toc173761941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851D439">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"_Toc173761942" </w:instrText>
      </w:r>
      <w:r>
        <w:rPr>
          <w:color w:val="auto"/>
          <w:highlight w:val="none"/>
        </w:rPr>
        <w:fldChar w:fldCharType="separate"/>
      </w:r>
      <w:r>
        <w:rPr>
          <w:rStyle w:val="74"/>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_Toc173761942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6476AF2">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"_Toc173761943" </w:instrText>
      </w:r>
      <w:r>
        <w:rPr>
          <w:color w:val="auto"/>
          <w:highlight w:val="none"/>
        </w:rPr>
        <w:fldChar w:fldCharType="separate"/>
      </w:r>
      <w:r>
        <w:rPr>
          <w:rStyle w:val="74"/>
          <w:color w:val="auto"/>
          <w:highlight w:val="none"/>
        </w:rPr>
        <w:t>19.资格审查</w:t>
      </w:r>
      <w:r>
        <w:rPr>
          <w:color w:val="auto"/>
          <w:highlight w:val="none"/>
        </w:rPr>
        <w:tab/>
      </w:r>
      <w:r>
        <w:rPr>
          <w:color w:val="auto"/>
          <w:highlight w:val="none"/>
        </w:rPr>
        <w:fldChar w:fldCharType="begin"/>
      </w:r>
      <w:r>
        <w:rPr>
          <w:color w:val="auto"/>
          <w:highlight w:val="none"/>
        </w:rPr>
        <w:instrText xml:space="preserve"> PAGEREF _Toc173761943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CDE906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"_Toc173761944" </w:instrText>
      </w:r>
      <w:r>
        <w:rPr>
          <w:color w:val="auto"/>
          <w:highlight w:val="none"/>
        </w:rPr>
        <w:fldChar w:fldCharType="separate"/>
      </w:r>
      <w:r>
        <w:rPr>
          <w:rStyle w:val="74"/>
          <w:color w:val="auto"/>
          <w:highlight w:val="none"/>
        </w:rPr>
        <w:t>20.信用信息查询</w:t>
      </w:r>
      <w:r>
        <w:rPr>
          <w:color w:val="auto"/>
          <w:highlight w:val="none"/>
        </w:rPr>
        <w:tab/>
      </w:r>
      <w:r>
        <w:rPr>
          <w:color w:val="auto"/>
          <w:highlight w:val="none"/>
        </w:rPr>
        <w:fldChar w:fldCharType="begin"/>
      </w:r>
      <w:r>
        <w:rPr>
          <w:color w:val="auto"/>
          <w:highlight w:val="none"/>
        </w:rPr>
        <w:instrText xml:space="preserve"> PAGEREF _Toc173761944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1563B4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"_Toc173761945" </w:instrText>
      </w:r>
      <w:r>
        <w:rPr>
          <w:color w:val="auto"/>
          <w:highlight w:val="none"/>
        </w:rPr>
        <w:fldChar w:fldCharType="separate"/>
      </w:r>
      <w:r>
        <w:rPr>
          <w:rStyle w:val="74"/>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_Toc173761945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42DACE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"_Toc173761946" </w:instrText>
      </w:r>
      <w:r>
        <w:rPr>
          <w:color w:val="auto"/>
          <w:highlight w:val="none"/>
        </w:rPr>
        <w:fldChar w:fldCharType="separate"/>
      </w:r>
      <w:r>
        <w:rPr>
          <w:rStyle w:val="74"/>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_Toc173761946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74EC8A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"_Toc173761947" </w:instrText>
      </w:r>
      <w:r>
        <w:rPr>
          <w:color w:val="auto"/>
          <w:highlight w:val="none"/>
        </w:rPr>
        <w:fldChar w:fldCharType="separate"/>
      </w:r>
      <w:r>
        <w:rPr>
          <w:rStyle w:val="74"/>
          <w:color w:val="auto"/>
          <w:highlight w:val="none"/>
        </w:rPr>
        <w:t>22.确定中标供应商</w:t>
      </w:r>
      <w:r>
        <w:rPr>
          <w:color w:val="auto"/>
          <w:highlight w:val="none"/>
        </w:rPr>
        <w:tab/>
      </w:r>
      <w:r>
        <w:rPr>
          <w:color w:val="auto"/>
          <w:highlight w:val="none"/>
        </w:rPr>
        <w:fldChar w:fldCharType="begin"/>
      </w:r>
      <w:r>
        <w:rPr>
          <w:color w:val="auto"/>
          <w:highlight w:val="none"/>
        </w:rPr>
        <w:instrText xml:space="preserve"> PAGEREF _Toc173761947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475558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"_Toc173761948" </w:instrText>
      </w:r>
      <w:r>
        <w:rPr>
          <w:color w:val="auto"/>
          <w:highlight w:val="none"/>
        </w:rPr>
        <w:fldChar w:fldCharType="separate"/>
      </w:r>
      <w:r>
        <w:rPr>
          <w:rStyle w:val="74"/>
          <w:color w:val="auto"/>
          <w:highlight w:val="none"/>
        </w:rPr>
        <w:t>23.中标通知与中标结果公告</w:t>
      </w:r>
      <w:r>
        <w:rPr>
          <w:color w:val="auto"/>
          <w:highlight w:val="none"/>
        </w:rPr>
        <w:tab/>
      </w:r>
      <w:r>
        <w:rPr>
          <w:color w:val="auto"/>
          <w:highlight w:val="none"/>
        </w:rPr>
        <w:fldChar w:fldCharType="begin"/>
      </w:r>
      <w:r>
        <w:rPr>
          <w:color w:val="auto"/>
          <w:highlight w:val="none"/>
        </w:rPr>
        <w:instrText xml:space="preserve"> PAGEREF _Toc173761948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45E532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"_Toc173761949" </w:instrText>
      </w:r>
      <w:r>
        <w:rPr>
          <w:color w:val="auto"/>
          <w:highlight w:val="none"/>
        </w:rPr>
        <w:fldChar w:fldCharType="separate"/>
      </w:r>
      <w:r>
        <w:rPr>
          <w:rStyle w:val="74"/>
          <w:color w:val="auto"/>
          <w:highlight w:val="none"/>
        </w:rPr>
        <w:t>七、合同授予</w:t>
      </w:r>
      <w:r>
        <w:rPr>
          <w:color w:val="auto"/>
          <w:highlight w:val="none"/>
        </w:rPr>
        <w:tab/>
      </w:r>
      <w:r>
        <w:rPr>
          <w:color w:val="auto"/>
          <w:highlight w:val="none"/>
        </w:rPr>
        <w:fldChar w:fldCharType="begin"/>
      </w:r>
      <w:r>
        <w:rPr>
          <w:color w:val="auto"/>
          <w:highlight w:val="none"/>
        </w:rPr>
        <w:instrText xml:space="preserve"> PAGEREF _Toc173761949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1A849A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"_Toc173761950" </w:instrText>
      </w:r>
      <w:r>
        <w:rPr>
          <w:color w:val="auto"/>
          <w:highlight w:val="none"/>
        </w:rPr>
        <w:fldChar w:fldCharType="separate"/>
      </w:r>
      <w:r>
        <w:rPr>
          <w:rStyle w:val="74"/>
          <w:color w:val="auto"/>
          <w:highlight w:val="none"/>
        </w:rPr>
        <w:t>25.合同的签订</w:t>
      </w:r>
      <w:r>
        <w:rPr>
          <w:color w:val="auto"/>
          <w:highlight w:val="none"/>
        </w:rPr>
        <w:tab/>
      </w:r>
      <w:r>
        <w:rPr>
          <w:color w:val="auto"/>
          <w:highlight w:val="none"/>
        </w:rPr>
        <w:fldChar w:fldCharType="begin"/>
      </w:r>
      <w:r>
        <w:rPr>
          <w:color w:val="auto"/>
          <w:highlight w:val="none"/>
        </w:rPr>
        <w:instrText xml:space="preserve"> PAGEREF _Toc173761950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01F0AC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"_Toc173761951" </w:instrText>
      </w:r>
      <w:r>
        <w:rPr>
          <w:color w:val="auto"/>
          <w:highlight w:val="none"/>
        </w:rPr>
        <w:fldChar w:fldCharType="separate"/>
      </w:r>
      <w:r>
        <w:rPr>
          <w:rStyle w:val="74"/>
          <w:color w:val="auto"/>
          <w:highlight w:val="none"/>
        </w:rPr>
        <w:t>26.履约保证金</w:t>
      </w:r>
      <w:r>
        <w:rPr>
          <w:color w:val="auto"/>
          <w:highlight w:val="none"/>
        </w:rPr>
        <w:tab/>
      </w:r>
      <w:r>
        <w:rPr>
          <w:color w:val="auto"/>
          <w:highlight w:val="none"/>
        </w:rPr>
        <w:fldChar w:fldCharType="begin"/>
      </w:r>
      <w:r>
        <w:rPr>
          <w:color w:val="auto"/>
          <w:highlight w:val="none"/>
        </w:rPr>
        <w:instrText xml:space="preserve"> PAGEREF _Toc173761951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1EE20A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"_Toc173761952" </w:instrText>
      </w:r>
      <w:r>
        <w:rPr>
          <w:color w:val="auto"/>
          <w:highlight w:val="none"/>
        </w:rPr>
        <w:fldChar w:fldCharType="separate"/>
      </w:r>
      <w:r>
        <w:rPr>
          <w:rStyle w:val="74"/>
          <w:color w:val="auto"/>
          <w:highlight w:val="none"/>
        </w:rPr>
        <w:t>27.预付款</w:t>
      </w:r>
      <w:r>
        <w:rPr>
          <w:color w:val="auto"/>
          <w:highlight w:val="none"/>
        </w:rPr>
        <w:tab/>
      </w:r>
      <w:r>
        <w:rPr>
          <w:color w:val="auto"/>
          <w:highlight w:val="none"/>
        </w:rPr>
        <w:fldChar w:fldCharType="begin"/>
      </w:r>
      <w:r>
        <w:rPr>
          <w:color w:val="auto"/>
          <w:highlight w:val="none"/>
        </w:rPr>
        <w:instrText xml:space="preserve"> PAGEREF _Toc173761952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768949E">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"_Toc173761953" </w:instrText>
      </w:r>
      <w:r>
        <w:rPr>
          <w:color w:val="auto"/>
          <w:highlight w:val="none"/>
        </w:rPr>
        <w:fldChar w:fldCharType="separate"/>
      </w:r>
      <w:r>
        <w:rPr>
          <w:rStyle w:val="74"/>
          <w:color w:val="auto"/>
          <w:highlight w:val="none"/>
        </w:rPr>
        <w:t>八、电子交易活动的中止</w:t>
      </w:r>
      <w:r>
        <w:rPr>
          <w:color w:val="auto"/>
          <w:highlight w:val="none"/>
        </w:rPr>
        <w:tab/>
      </w:r>
      <w:r>
        <w:rPr>
          <w:color w:val="auto"/>
          <w:highlight w:val="none"/>
        </w:rPr>
        <w:fldChar w:fldCharType="begin"/>
      </w:r>
      <w:r>
        <w:rPr>
          <w:color w:val="auto"/>
          <w:highlight w:val="none"/>
        </w:rPr>
        <w:instrText xml:space="preserve"> PAGEREF _Toc173761953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21A505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"_Toc173761954" </w:instrText>
      </w:r>
      <w:r>
        <w:rPr>
          <w:color w:val="auto"/>
          <w:highlight w:val="none"/>
        </w:rPr>
        <w:fldChar w:fldCharType="separate"/>
      </w:r>
      <w:r>
        <w:rPr>
          <w:rStyle w:val="74"/>
          <w:color w:val="auto"/>
          <w:highlight w:val="none"/>
        </w:rPr>
        <w:t>28.电子交易活动的中止</w:t>
      </w:r>
      <w:r>
        <w:rPr>
          <w:color w:val="auto"/>
          <w:highlight w:val="none"/>
        </w:rPr>
        <w:tab/>
      </w:r>
      <w:r>
        <w:rPr>
          <w:color w:val="auto"/>
          <w:highlight w:val="none"/>
        </w:rPr>
        <w:fldChar w:fldCharType="begin"/>
      </w:r>
      <w:r>
        <w:rPr>
          <w:color w:val="auto"/>
          <w:highlight w:val="none"/>
        </w:rPr>
        <w:instrText xml:space="preserve"> PAGEREF _Toc173761954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688AC0A">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"_Toc173761955" </w:instrText>
      </w:r>
      <w:r>
        <w:rPr>
          <w:color w:val="auto"/>
          <w:highlight w:val="none"/>
        </w:rPr>
        <w:fldChar w:fldCharType="separate"/>
      </w:r>
      <w:r>
        <w:rPr>
          <w:rStyle w:val="74"/>
          <w:color w:val="auto"/>
          <w:highlight w:val="none"/>
        </w:rPr>
        <w:t>九、验收</w:t>
      </w:r>
      <w:r>
        <w:rPr>
          <w:color w:val="auto"/>
          <w:highlight w:val="none"/>
        </w:rPr>
        <w:tab/>
      </w:r>
      <w:r>
        <w:rPr>
          <w:color w:val="auto"/>
          <w:highlight w:val="none"/>
        </w:rPr>
        <w:fldChar w:fldCharType="begin"/>
      </w:r>
      <w:r>
        <w:rPr>
          <w:color w:val="auto"/>
          <w:highlight w:val="none"/>
        </w:rPr>
        <w:instrText xml:space="preserve"> PAGEREF _Toc173761955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43CC95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"_Toc173761956" </w:instrText>
      </w:r>
      <w:r>
        <w:rPr>
          <w:color w:val="auto"/>
          <w:highlight w:val="none"/>
        </w:rPr>
        <w:fldChar w:fldCharType="separate"/>
      </w:r>
      <w:r>
        <w:rPr>
          <w:rStyle w:val="74"/>
          <w:color w:val="auto"/>
          <w:highlight w:val="none"/>
        </w:rPr>
        <w:t>30.验收</w:t>
      </w:r>
      <w:r>
        <w:rPr>
          <w:color w:val="auto"/>
          <w:highlight w:val="none"/>
        </w:rPr>
        <w:tab/>
      </w:r>
      <w:r>
        <w:rPr>
          <w:color w:val="auto"/>
          <w:highlight w:val="none"/>
        </w:rPr>
        <w:fldChar w:fldCharType="begin"/>
      </w:r>
      <w:r>
        <w:rPr>
          <w:color w:val="auto"/>
          <w:highlight w:val="none"/>
        </w:rPr>
        <w:instrText xml:space="preserve"> PAGEREF _Toc173761956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B04A994">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"_Toc173761957" </w:instrText>
      </w:r>
      <w:r>
        <w:rPr>
          <w:color w:val="auto"/>
          <w:highlight w:val="none"/>
        </w:rPr>
        <w:fldChar w:fldCharType="separate"/>
      </w:r>
      <w:r>
        <w:rPr>
          <w:rStyle w:val="74"/>
          <w:color w:val="auto"/>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_Toc173761957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CEA7B9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"_Toc173761958" </w:instrText>
      </w:r>
      <w:r>
        <w:rPr>
          <w:color w:val="auto"/>
          <w:highlight w:val="none"/>
        </w:rPr>
        <w:fldChar w:fldCharType="separate"/>
      </w:r>
      <w:r>
        <w:rPr>
          <w:rStyle w:val="74"/>
          <w:color w:val="auto"/>
          <w:highlight w:val="none"/>
        </w:rPr>
        <w:t>一、项目基本概况</w:t>
      </w:r>
      <w:r>
        <w:rPr>
          <w:color w:val="auto"/>
          <w:highlight w:val="none"/>
        </w:rPr>
        <w:tab/>
      </w:r>
      <w:r>
        <w:rPr>
          <w:color w:val="auto"/>
          <w:highlight w:val="none"/>
        </w:rPr>
        <w:fldChar w:fldCharType="begin"/>
      </w:r>
      <w:r>
        <w:rPr>
          <w:color w:val="auto"/>
          <w:highlight w:val="none"/>
        </w:rPr>
        <w:instrText xml:space="preserve"> PAGEREF _Toc173761958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A942E3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"_Toc173761959" </w:instrText>
      </w:r>
      <w:r>
        <w:rPr>
          <w:color w:val="auto"/>
          <w:highlight w:val="none"/>
        </w:rPr>
        <w:fldChar w:fldCharType="separate"/>
      </w:r>
      <w:r>
        <w:rPr>
          <w:rStyle w:val="74"/>
          <w:color w:val="auto"/>
          <w:highlight w:val="none"/>
        </w:rPr>
        <w:t>（一）项目名称</w:t>
      </w:r>
      <w:r>
        <w:rPr>
          <w:color w:val="auto"/>
          <w:highlight w:val="none"/>
        </w:rPr>
        <w:tab/>
      </w:r>
      <w:r>
        <w:rPr>
          <w:color w:val="auto"/>
          <w:highlight w:val="none"/>
        </w:rPr>
        <w:fldChar w:fldCharType="begin"/>
      </w:r>
      <w:r>
        <w:rPr>
          <w:color w:val="auto"/>
          <w:highlight w:val="none"/>
        </w:rPr>
        <w:instrText xml:space="preserve"> PAGEREF _Toc173761959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1BCDBA7">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"_Toc173761960" </w:instrText>
      </w:r>
      <w:r>
        <w:rPr>
          <w:color w:val="auto"/>
          <w:highlight w:val="none"/>
        </w:rPr>
        <w:fldChar w:fldCharType="separate"/>
      </w:r>
      <w:r>
        <w:rPr>
          <w:rStyle w:val="74"/>
          <w:color w:val="auto"/>
          <w:highlight w:val="none"/>
        </w:rPr>
        <w:t>（二）矿区位置</w:t>
      </w:r>
      <w:r>
        <w:rPr>
          <w:color w:val="auto"/>
          <w:highlight w:val="none"/>
        </w:rPr>
        <w:tab/>
      </w:r>
      <w:r>
        <w:rPr>
          <w:color w:val="auto"/>
          <w:highlight w:val="none"/>
        </w:rPr>
        <w:fldChar w:fldCharType="begin"/>
      </w:r>
      <w:r>
        <w:rPr>
          <w:color w:val="auto"/>
          <w:highlight w:val="none"/>
        </w:rPr>
        <w:instrText xml:space="preserve"> PAGEREF _Toc173761960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54364F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"_Toc173761961" </w:instrText>
      </w:r>
      <w:r>
        <w:rPr>
          <w:color w:val="auto"/>
          <w:highlight w:val="none"/>
        </w:rPr>
        <w:fldChar w:fldCharType="separate"/>
      </w:r>
      <w:r>
        <w:rPr>
          <w:rStyle w:val="74"/>
          <w:color w:val="auto"/>
          <w:highlight w:val="none"/>
        </w:rPr>
        <w:t>（三）矿区范围</w:t>
      </w:r>
      <w:r>
        <w:rPr>
          <w:color w:val="auto"/>
          <w:highlight w:val="none"/>
        </w:rPr>
        <w:tab/>
      </w:r>
      <w:r>
        <w:rPr>
          <w:color w:val="auto"/>
          <w:highlight w:val="none"/>
        </w:rPr>
        <w:fldChar w:fldCharType="begin"/>
      </w:r>
      <w:r>
        <w:rPr>
          <w:color w:val="auto"/>
          <w:highlight w:val="none"/>
        </w:rPr>
        <w:instrText xml:space="preserve"> PAGEREF _Toc173761961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5845221">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"_Toc173761962" </w:instrText>
      </w:r>
      <w:r>
        <w:rPr>
          <w:color w:val="auto"/>
          <w:highlight w:val="none"/>
        </w:rPr>
        <w:fldChar w:fldCharType="separate"/>
      </w:r>
      <w:r>
        <w:rPr>
          <w:rStyle w:val="74"/>
          <w:color w:val="auto"/>
          <w:highlight w:val="none"/>
        </w:rPr>
        <w:t>（四）开采矿种</w:t>
      </w:r>
      <w:r>
        <w:rPr>
          <w:color w:val="auto"/>
          <w:highlight w:val="none"/>
        </w:rPr>
        <w:tab/>
      </w:r>
      <w:r>
        <w:rPr>
          <w:color w:val="auto"/>
          <w:highlight w:val="none"/>
        </w:rPr>
        <w:fldChar w:fldCharType="begin"/>
      </w:r>
      <w:r>
        <w:rPr>
          <w:color w:val="auto"/>
          <w:highlight w:val="none"/>
        </w:rPr>
        <w:instrText xml:space="preserve"> PAGEREF _Toc173761962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04FC15C">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"_Toc173761963" </w:instrText>
      </w:r>
      <w:r>
        <w:rPr>
          <w:color w:val="auto"/>
          <w:highlight w:val="none"/>
        </w:rPr>
        <w:fldChar w:fldCharType="separate"/>
      </w:r>
      <w:r>
        <w:rPr>
          <w:rStyle w:val="74"/>
          <w:color w:val="auto"/>
          <w:highlight w:val="none"/>
        </w:rPr>
        <w:t>（五）开采方式</w:t>
      </w:r>
      <w:r>
        <w:rPr>
          <w:color w:val="auto"/>
          <w:highlight w:val="none"/>
        </w:rPr>
        <w:tab/>
      </w:r>
      <w:r>
        <w:rPr>
          <w:color w:val="auto"/>
          <w:highlight w:val="none"/>
        </w:rPr>
        <w:fldChar w:fldCharType="begin"/>
      </w:r>
      <w:r>
        <w:rPr>
          <w:color w:val="auto"/>
          <w:highlight w:val="none"/>
        </w:rPr>
        <w:instrText xml:space="preserve"> PAGEREF _Toc173761963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3EB9CC8D">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"_Toc173761964" </w:instrText>
      </w:r>
      <w:r>
        <w:rPr>
          <w:color w:val="auto"/>
          <w:highlight w:val="none"/>
        </w:rPr>
        <w:fldChar w:fldCharType="separate"/>
      </w:r>
      <w:r>
        <w:rPr>
          <w:rStyle w:val="74"/>
          <w:color w:val="auto"/>
          <w:highlight w:val="none"/>
        </w:rPr>
        <w:t>（六）矿区资源储量及其他</w:t>
      </w:r>
      <w:r>
        <w:rPr>
          <w:color w:val="auto"/>
          <w:highlight w:val="none"/>
        </w:rPr>
        <w:tab/>
      </w:r>
      <w:r>
        <w:rPr>
          <w:color w:val="auto"/>
          <w:highlight w:val="none"/>
        </w:rPr>
        <w:fldChar w:fldCharType="begin"/>
      </w:r>
      <w:r>
        <w:rPr>
          <w:color w:val="auto"/>
          <w:highlight w:val="none"/>
        </w:rPr>
        <w:instrText xml:space="preserve"> PAGEREF _Toc173761964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78E906E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"_Toc173761965" </w:instrText>
      </w:r>
      <w:r>
        <w:rPr>
          <w:color w:val="auto"/>
          <w:highlight w:val="none"/>
        </w:rPr>
        <w:fldChar w:fldCharType="separate"/>
      </w:r>
      <w:r>
        <w:rPr>
          <w:rStyle w:val="74"/>
          <w:color w:val="auto"/>
          <w:highlight w:val="none"/>
        </w:rPr>
        <w:t>（七）项目批复文件许可情况</w:t>
      </w:r>
      <w:r>
        <w:rPr>
          <w:color w:val="auto"/>
          <w:highlight w:val="none"/>
        </w:rPr>
        <w:tab/>
      </w:r>
      <w:r>
        <w:rPr>
          <w:color w:val="auto"/>
          <w:highlight w:val="none"/>
        </w:rPr>
        <w:fldChar w:fldCharType="begin"/>
      </w:r>
      <w:r>
        <w:rPr>
          <w:color w:val="auto"/>
          <w:highlight w:val="none"/>
        </w:rPr>
        <w:instrText xml:space="preserve"> PAGEREF _Toc173761965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EB9AE6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"_Toc173761966" </w:instrText>
      </w:r>
      <w:r>
        <w:rPr>
          <w:color w:val="auto"/>
          <w:highlight w:val="none"/>
        </w:rPr>
        <w:fldChar w:fldCharType="separate"/>
      </w:r>
      <w:r>
        <w:rPr>
          <w:rStyle w:val="74"/>
          <w:color w:val="auto"/>
          <w:highlight w:val="none"/>
        </w:rPr>
        <w:t>二、矿产资源开发开采基本要求</w:t>
      </w:r>
      <w:r>
        <w:rPr>
          <w:color w:val="auto"/>
          <w:highlight w:val="none"/>
        </w:rPr>
        <w:tab/>
      </w:r>
      <w:r>
        <w:rPr>
          <w:color w:val="auto"/>
          <w:highlight w:val="none"/>
        </w:rPr>
        <w:fldChar w:fldCharType="begin"/>
      </w:r>
      <w:r>
        <w:rPr>
          <w:color w:val="auto"/>
          <w:highlight w:val="none"/>
        </w:rPr>
        <w:instrText xml:space="preserve"> PAGEREF _Toc173761966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465203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"_Toc173761967" </w:instrText>
      </w:r>
      <w:r>
        <w:rPr>
          <w:color w:val="auto"/>
          <w:highlight w:val="none"/>
        </w:rPr>
        <w:fldChar w:fldCharType="separate"/>
      </w:r>
      <w:r>
        <w:rPr>
          <w:rStyle w:val="74"/>
          <w:color w:val="auto"/>
          <w:highlight w:val="none"/>
        </w:rPr>
        <w:t>（一）计划服务期</w:t>
      </w:r>
      <w:r>
        <w:rPr>
          <w:color w:val="auto"/>
          <w:highlight w:val="none"/>
        </w:rPr>
        <w:tab/>
      </w:r>
      <w:r>
        <w:rPr>
          <w:color w:val="auto"/>
          <w:highlight w:val="none"/>
        </w:rPr>
        <w:fldChar w:fldCharType="begin"/>
      </w:r>
      <w:r>
        <w:rPr>
          <w:color w:val="auto"/>
          <w:highlight w:val="none"/>
        </w:rPr>
        <w:instrText xml:space="preserve"> PAGEREF _Toc173761967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69142D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"_Toc173761968" </w:instrText>
      </w:r>
      <w:r>
        <w:rPr>
          <w:color w:val="auto"/>
          <w:highlight w:val="none"/>
        </w:rPr>
        <w:fldChar w:fldCharType="separate"/>
      </w:r>
      <w:r>
        <w:rPr>
          <w:rStyle w:val="74"/>
          <w:color w:val="auto"/>
          <w:highlight w:val="none"/>
        </w:rPr>
        <w:t>（二）生产规模</w:t>
      </w:r>
      <w:r>
        <w:rPr>
          <w:color w:val="auto"/>
          <w:highlight w:val="none"/>
        </w:rPr>
        <w:tab/>
      </w:r>
      <w:r>
        <w:rPr>
          <w:color w:val="auto"/>
          <w:highlight w:val="none"/>
        </w:rPr>
        <w:fldChar w:fldCharType="begin"/>
      </w:r>
      <w:r>
        <w:rPr>
          <w:color w:val="auto"/>
          <w:highlight w:val="none"/>
        </w:rPr>
        <w:instrText xml:space="preserve"> PAGEREF _Toc173761968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DBEAED7">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"_Toc173761969" </w:instrText>
      </w:r>
      <w:r>
        <w:rPr>
          <w:color w:val="auto"/>
          <w:highlight w:val="none"/>
        </w:rPr>
        <w:fldChar w:fldCharType="separate"/>
      </w:r>
      <w:r>
        <w:rPr>
          <w:rStyle w:val="74"/>
          <w:color w:val="auto"/>
          <w:highlight w:val="none"/>
        </w:rPr>
        <w:t>▲（三）矿山系统安全、环保、开采加工、职业危害防护等基本要求</w:t>
      </w:r>
      <w:r>
        <w:rPr>
          <w:color w:val="auto"/>
          <w:highlight w:val="none"/>
        </w:rPr>
        <w:tab/>
      </w:r>
      <w:r>
        <w:rPr>
          <w:color w:val="auto"/>
          <w:highlight w:val="none"/>
        </w:rPr>
        <w:fldChar w:fldCharType="begin"/>
      </w:r>
      <w:r>
        <w:rPr>
          <w:color w:val="auto"/>
          <w:highlight w:val="none"/>
        </w:rPr>
        <w:instrText xml:space="preserve"> PAGEREF _Toc173761969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7463B6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"_Toc173761970" </w:instrText>
      </w:r>
      <w:r>
        <w:rPr>
          <w:color w:val="auto"/>
          <w:highlight w:val="none"/>
        </w:rPr>
        <w:fldChar w:fldCharType="separate"/>
      </w:r>
      <w:r>
        <w:rPr>
          <w:rStyle w:val="74"/>
          <w:color w:val="auto"/>
          <w:highlight w:val="none"/>
        </w:rPr>
        <w:t>（四）矿山设备、人员组织及管理架构</w:t>
      </w:r>
      <w:r>
        <w:rPr>
          <w:color w:val="auto"/>
          <w:highlight w:val="none"/>
        </w:rPr>
        <w:tab/>
      </w:r>
      <w:r>
        <w:rPr>
          <w:color w:val="auto"/>
          <w:highlight w:val="none"/>
        </w:rPr>
        <w:fldChar w:fldCharType="begin"/>
      </w:r>
      <w:r>
        <w:rPr>
          <w:color w:val="auto"/>
          <w:highlight w:val="none"/>
        </w:rPr>
        <w:instrText xml:space="preserve"> PAGEREF _Toc173761970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C62D62F">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"_Toc173761971" </w:instrText>
      </w:r>
      <w:r>
        <w:rPr>
          <w:color w:val="auto"/>
          <w:highlight w:val="none"/>
        </w:rPr>
        <w:fldChar w:fldCharType="separate"/>
      </w:r>
      <w:r>
        <w:rPr>
          <w:rStyle w:val="74"/>
          <w:color w:val="auto"/>
          <w:highlight w:val="none"/>
        </w:rPr>
        <w:t>▲（五）矿山必要基础设施建设要求</w:t>
      </w:r>
      <w:r>
        <w:rPr>
          <w:color w:val="auto"/>
          <w:highlight w:val="none"/>
        </w:rPr>
        <w:tab/>
      </w:r>
      <w:r>
        <w:rPr>
          <w:color w:val="auto"/>
          <w:highlight w:val="none"/>
        </w:rPr>
        <w:fldChar w:fldCharType="begin"/>
      </w:r>
      <w:r>
        <w:rPr>
          <w:color w:val="auto"/>
          <w:highlight w:val="none"/>
        </w:rPr>
        <w:instrText xml:space="preserve"> PAGEREF _Toc173761971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6BFA025">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"_Toc173761972" </w:instrText>
      </w:r>
      <w:r>
        <w:rPr>
          <w:color w:val="auto"/>
          <w:highlight w:val="none"/>
        </w:rPr>
        <w:fldChar w:fldCharType="separate"/>
      </w:r>
      <w:r>
        <w:rPr>
          <w:rStyle w:val="74"/>
          <w:color w:val="auto"/>
          <w:highlight w:val="none"/>
        </w:rPr>
        <w:t>▲（六）销售管理要求</w:t>
      </w:r>
      <w:r>
        <w:rPr>
          <w:color w:val="auto"/>
          <w:highlight w:val="none"/>
        </w:rPr>
        <w:tab/>
      </w:r>
      <w:r>
        <w:rPr>
          <w:color w:val="auto"/>
          <w:highlight w:val="none"/>
        </w:rPr>
        <w:fldChar w:fldCharType="begin"/>
      </w:r>
      <w:r>
        <w:rPr>
          <w:color w:val="auto"/>
          <w:highlight w:val="none"/>
        </w:rPr>
        <w:instrText xml:space="preserve"> PAGEREF _Toc173761972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06F617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"_Toc173761973" </w:instrText>
      </w:r>
      <w:r>
        <w:rPr>
          <w:color w:val="auto"/>
          <w:highlight w:val="none"/>
        </w:rPr>
        <w:fldChar w:fldCharType="separate"/>
      </w:r>
      <w:r>
        <w:rPr>
          <w:rStyle w:val="74"/>
          <w:color w:val="auto"/>
          <w:highlight w:val="none"/>
        </w:rPr>
        <w:t>（七）外运配套码头建设及运营管理基本要求</w:t>
      </w:r>
      <w:r>
        <w:rPr>
          <w:color w:val="auto"/>
          <w:highlight w:val="none"/>
        </w:rPr>
        <w:tab/>
      </w:r>
      <w:r>
        <w:rPr>
          <w:color w:val="auto"/>
          <w:highlight w:val="none"/>
        </w:rPr>
        <w:fldChar w:fldCharType="begin"/>
      </w:r>
      <w:r>
        <w:rPr>
          <w:color w:val="auto"/>
          <w:highlight w:val="none"/>
        </w:rPr>
        <w:instrText xml:space="preserve"> PAGEREF _Toc173761973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BFAEAA5">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"_Toc173761974" </w:instrText>
      </w:r>
      <w:r>
        <w:rPr>
          <w:color w:val="auto"/>
          <w:highlight w:val="none"/>
        </w:rPr>
        <w:fldChar w:fldCharType="separate"/>
      </w:r>
      <w:r>
        <w:rPr>
          <w:rStyle w:val="74"/>
          <w:color w:val="auto"/>
          <w:highlight w:val="none"/>
        </w:rPr>
        <w:t>（八）其他要求</w:t>
      </w:r>
      <w:r>
        <w:rPr>
          <w:color w:val="auto"/>
          <w:highlight w:val="none"/>
        </w:rPr>
        <w:tab/>
      </w:r>
      <w:r>
        <w:rPr>
          <w:color w:val="auto"/>
          <w:highlight w:val="none"/>
        </w:rPr>
        <w:fldChar w:fldCharType="begin"/>
      </w:r>
      <w:r>
        <w:rPr>
          <w:color w:val="auto"/>
          <w:highlight w:val="none"/>
        </w:rPr>
        <w:instrText xml:space="preserve"> PAGEREF _Toc173761974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408A2A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"_Toc173761975" </w:instrText>
      </w:r>
      <w:r>
        <w:rPr>
          <w:color w:val="auto"/>
          <w:highlight w:val="none"/>
        </w:rPr>
        <w:fldChar w:fldCharType="separate"/>
      </w:r>
      <w:r>
        <w:rPr>
          <w:rStyle w:val="74"/>
          <w:color w:val="auto"/>
          <w:highlight w:val="none"/>
        </w:rPr>
        <w:t>（九）特别要求</w:t>
      </w:r>
      <w:r>
        <w:rPr>
          <w:color w:val="auto"/>
          <w:highlight w:val="none"/>
        </w:rPr>
        <w:tab/>
      </w:r>
      <w:r>
        <w:rPr>
          <w:color w:val="auto"/>
          <w:highlight w:val="none"/>
        </w:rPr>
        <w:fldChar w:fldCharType="begin"/>
      </w:r>
      <w:r>
        <w:rPr>
          <w:color w:val="auto"/>
          <w:highlight w:val="none"/>
        </w:rPr>
        <w:instrText xml:space="preserve"> PAGEREF _Toc173761975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0A55608D">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"_Toc173761976" </w:instrText>
      </w:r>
      <w:r>
        <w:rPr>
          <w:color w:val="auto"/>
          <w:highlight w:val="none"/>
        </w:rPr>
        <w:fldChar w:fldCharType="separate"/>
      </w:r>
      <w:r>
        <w:rPr>
          <w:rStyle w:val="74"/>
          <w:color w:val="auto"/>
          <w:highlight w:val="none"/>
        </w:rPr>
        <w:t>三、工作内容和服务要求</w:t>
      </w:r>
      <w:r>
        <w:rPr>
          <w:color w:val="auto"/>
          <w:highlight w:val="none"/>
        </w:rPr>
        <w:tab/>
      </w:r>
      <w:r>
        <w:rPr>
          <w:color w:val="auto"/>
          <w:highlight w:val="none"/>
        </w:rPr>
        <w:fldChar w:fldCharType="begin"/>
      </w:r>
      <w:r>
        <w:rPr>
          <w:color w:val="auto"/>
          <w:highlight w:val="none"/>
        </w:rPr>
        <w:instrText xml:space="preserve"> PAGEREF _Toc173761976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865C064">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"_Toc173761977" </w:instrText>
      </w:r>
      <w:r>
        <w:rPr>
          <w:color w:val="auto"/>
          <w:highlight w:val="none"/>
        </w:rPr>
        <w:fldChar w:fldCharType="separate"/>
      </w:r>
      <w:r>
        <w:rPr>
          <w:rStyle w:val="74"/>
          <w:color w:val="auto"/>
          <w:highlight w:val="none"/>
        </w:rPr>
        <w:t>（一）供应商须保障的可量化的服务指标</w:t>
      </w:r>
      <w:r>
        <w:rPr>
          <w:color w:val="auto"/>
          <w:highlight w:val="none"/>
        </w:rPr>
        <w:tab/>
      </w:r>
      <w:r>
        <w:rPr>
          <w:color w:val="auto"/>
          <w:highlight w:val="none"/>
        </w:rPr>
        <w:fldChar w:fldCharType="begin"/>
      </w:r>
      <w:r>
        <w:rPr>
          <w:color w:val="auto"/>
          <w:highlight w:val="none"/>
        </w:rPr>
        <w:instrText xml:space="preserve"> PAGEREF _Toc173761977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292748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"_Toc173761978" </w:instrText>
      </w:r>
      <w:r>
        <w:rPr>
          <w:color w:val="auto"/>
          <w:highlight w:val="none"/>
        </w:rPr>
        <w:fldChar w:fldCharType="separate"/>
      </w:r>
      <w:r>
        <w:rPr>
          <w:rStyle w:val="74"/>
          <w:color w:val="auto"/>
          <w:highlight w:val="none"/>
        </w:rPr>
        <w:t>（二）组织实施方案</w:t>
      </w:r>
      <w:r>
        <w:rPr>
          <w:color w:val="auto"/>
          <w:highlight w:val="none"/>
        </w:rPr>
        <w:tab/>
      </w:r>
      <w:r>
        <w:rPr>
          <w:color w:val="auto"/>
          <w:highlight w:val="none"/>
        </w:rPr>
        <w:fldChar w:fldCharType="begin"/>
      </w:r>
      <w:r>
        <w:rPr>
          <w:color w:val="auto"/>
          <w:highlight w:val="none"/>
        </w:rPr>
        <w:instrText xml:space="preserve"> PAGEREF _Toc173761978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078D1B5D">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"_Toc173761979" </w:instrText>
      </w:r>
      <w:r>
        <w:rPr>
          <w:color w:val="auto"/>
          <w:highlight w:val="none"/>
        </w:rPr>
        <w:fldChar w:fldCharType="separate"/>
      </w:r>
      <w:r>
        <w:rPr>
          <w:rStyle w:val="74"/>
          <w:color w:val="auto"/>
          <w:highlight w:val="none"/>
        </w:rPr>
        <w:t>（三）现场施工作业的相关工作内容</w:t>
      </w:r>
      <w:r>
        <w:rPr>
          <w:color w:val="auto"/>
          <w:highlight w:val="none"/>
        </w:rPr>
        <w:tab/>
      </w:r>
      <w:r>
        <w:rPr>
          <w:color w:val="auto"/>
          <w:highlight w:val="none"/>
        </w:rPr>
        <w:fldChar w:fldCharType="begin"/>
      </w:r>
      <w:r>
        <w:rPr>
          <w:color w:val="auto"/>
          <w:highlight w:val="none"/>
        </w:rPr>
        <w:instrText xml:space="preserve"> PAGEREF _Toc173761979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B5F7ABA">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"_Toc173761980" </w:instrText>
      </w:r>
      <w:r>
        <w:rPr>
          <w:color w:val="auto"/>
          <w:highlight w:val="none"/>
        </w:rPr>
        <w:fldChar w:fldCharType="separate"/>
      </w:r>
      <w:r>
        <w:rPr>
          <w:rStyle w:val="74"/>
          <w:color w:val="auto"/>
          <w:highlight w:val="none"/>
        </w:rPr>
        <w:t>（四）矿山系统安全、环保、质量及技术管理工作内容</w:t>
      </w:r>
      <w:r>
        <w:rPr>
          <w:color w:val="auto"/>
          <w:highlight w:val="none"/>
        </w:rPr>
        <w:tab/>
      </w:r>
      <w:r>
        <w:rPr>
          <w:color w:val="auto"/>
          <w:highlight w:val="none"/>
        </w:rPr>
        <w:fldChar w:fldCharType="begin"/>
      </w:r>
      <w:r>
        <w:rPr>
          <w:color w:val="auto"/>
          <w:highlight w:val="none"/>
        </w:rPr>
        <w:instrText xml:space="preserve"> PAGEREF _Toc173761980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8F4176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"_Toc173761981" </w:instrText>
      </w:r>
      <w:r>
        <w:rPr>
          <w:color w:val="auto"/>
          <w:highlight w:val="none"/>
        </w:rPr>
        <w:fldChar w:fldCharType="separate"/>
      </w:r>
      <w:r>
        <w:rPr>
          <w:rStyle w:val="74"/>
          <w:color w:val="auto"/>
          <w:highlight w:val="none"/>
        </w:rPr>
        <w:t>（五）外运配套码头工程安全生产、环境保护管理工作内容</w:t>
      </w:r>
      <w:r>
        <w:rPr>
          <w:color w:val="auto"/>
          <w:highlight w:val="none"/>
        </w:rPr>
        <w:tab/>
      </w:r>
      <w:r>
        <w:rPr>
          <w:color w:val="auto"/>
          <w:highlight w:val="none"/>
        </w:rPr>
        <w:fldChar w:fldCharType="begin"/>
      </w:r>
      <w:r>
        <w:rPr>
          <w:color w:val="auto"/>
          <w:highlight w:val="none"/>
        </w:rPr>
        <w:instrText xml:space="preserve"> PAGEREF _Toc173761981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3732782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"_Toc173761982" </w:instrText>
      </w:r>
      <w:r>
        <w:rPr>
          <w:color w:val="auto"/>
          <w:highlight w:val="none"/>
        </w:rPr>
        <w:fldChar w:fldCharType="separate"/>
      </w:r>
      <w:r>
        <w:rPr>
          <w:rStyle w:val="74"/>
          <w:color w:val="auto"/>
          <w:highlight w:val="none"/>
        </w:rPr>
        <w:t>（六）矿山地质环境治理与土地复垦及闭坑审批工作内容</w:t>
      </w:r>
      <w:r>
        <w:rPr>
          <w:color w:val="auto"/>
          <w:highlight w:val="none"/>
        </w:rPr>
        <w:tab/>
      </w:r>
      <w:r>
        <w:rPr>
          <w:color w:val="auto"/>
          <w:highlight w:val="none"/>
        </w:rPr>
        <w:fldChar w:fldCharType="begin"/>
      </w:r>
      <w:r>
        <w:rPr>
          <w:color w:val="auto"/>
          <w:highlight w:val="none"/>
        </w:rPr>
        <w:instrText xml:space="preserve"> PAGEREF _Toc173761982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63735D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"_Toc173761983" </w:instrText>
      </w:r>
      <w:r>
        <w:rPr>
          <w:color w:val="auto"/>
          <w:highlight w:val="none"/>
        </w:rPr>
        <w:fldChar w:fldCharType="separate"/>
      </w:r>
      <w:r>
        <w:rPr>
          <w:rStyle w:val="74"/>
          <w:color w:val="auto"/>
          <w:highlight w:val="none"/>
        </w:rPr>
        <w:t>（七）涉及到的审批、码头建设及相关延伸服务工作内容</w:t>
      </w:r>
      <w:r>
        <w:rPr>
          <w:color w:val="auto"/>
          <w:highlight w:val="none"/>
        </w:rPr>
        <w:tab/>
      </w:r>
      <w:r>
        <w:rPr>
          <w:color w:val="auto"/>
          <w:highlight w:val="none"/>
        </w:rPr>
        <w:fldChar w:fldCharType="begin"/>
      </w:r>
      <w:r>
        <w:rPr>
          <w:color w:val="auto"/>
          <w:highlight w:val="none"/>
        </w:rPr>
        <w:instrText xml:space="preserve"> PAGEREF _Toc173761983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F189D1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"_Toc173761984" </w:instrText>
      </w:r>
      <w:r>
        <w:rPr>
          <w:color w:val="auto"/>
          <w:highlight w:val="none"/>
        </w:rPr>
        <w:fldChar w:fldCharType="separate"/>
      </w:r>
      <w:r>
        <w:rPr>
          <w:rStyle w:val="74"/>
          <w:color w:val="auto"/>
          <w:highlight w:val="none"/>
        </w:rPr>
        <w:t>（八）其他工作内容和服务</w:t>
      </w:r>
      <w:r>
        <w:rPr>
          <w:color w:val="auto"/>
          <w:highlight w:val="none"/>
        </w:rPr>
        <w:tab/>
      </w:r>
      <w:r>
        <w:rPr>
          <w:color w:val="auto"/>
          <w:highlight w:val="none"/>
        </w:rPr>
        <w:fldChar w:fldCharType="begin"/>
      </w:r>
      <w:r>
        <w:rPr>
          <w:color w:val="auto"/>
          <w:highlight w:val="none"/>
        </w:rPr>
        <w:instrText xml:space="preserve"> PAGEREF _Toc173761984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5E4F7975">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"_Toc173761985" </w:instrText>
      </w:r>
      <w:r>
        <w:rPr>
          <w:color w:val="auto"/>
          <w:highlight w:val="none"/>
        </w:rPr>
        <w:fldChar w:fldCharType="separate"/>
      </w:r>
      <w:r>
        <w:rPr>
          <w:rStyle w:val="74"/>
          <w:color w:val="auto"/>
          <w:highlight w:val="none"/>
        </w:rPr>
        <w:t>四、采购人负责内容</w:t>
      </w:r>
      <w:r>
        <w:rPr>
          <w:color w:val="auto"/>
          <w:highlight w:val="none"/>
        </w:rPr>
        <w:tab/>
      </w:r>
      <w:r>
        <w:rPr>
          <w:color w:val="auto"/>
          <w:highlight w:val="none"/>
        </w:rPr>
        <w:fldChar w:fldCharType="begin"/>
      </w:r>
      <w:r>
        <w:rPr>
          <w:color w:val="auto"/>
          <w:highlight w:val="none"/>
        </w:rPr>
        <w:instrText xml:space="preserve"> PAGEREF _Toc173761985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9F3723E">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"_Toc173761986" </w:instrText>
      </w:r>
      <w:r>
        <w:rPr>
          <w:color w:val="auto"/>
          <w:highlight w:val="none"/>
        </w:rPr>
        <w:fldChar w:fldCharType="separate"/>
      </w:r>
      <w:r>
        <w:rPr>
          <w:rStyle w:val="74"/>
          <w:color w:val="auto"/>
          <w:highlight w:val="none"/>
        </w:rPr>
        <w:t>五、投标报价要求</w:t>
      </w:r>
      <w:r>
        <w:rPr>
          <w:color w:val="auto"/>
          <w:highlight w:val="none"/>
        </w:rPr>
        <w:tab/>
      </w:r>
      <w:r>
        <w:rPr>
          <w:color w:val="auto"/>
          <w:highlight w:val="none"/>
        </w:rPr>
        <w:fldChar w:fldCharType="begin"/>
      </w:r>
      <w:r>
        <w:rPr>
          <w:color w:val="auto"/>
          <w:highlight w:val="none"/>
        </w:rPr>
        <w:instrText xml:space="preserve"> PAGEREF _Toc173761986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B728E3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"_Toc173761987" </w:instrText>
      </w:r>
      <w:r>
        <w:rPr>
          <w:color w:val="auto"/>
          <w:highlight w:val="none"/>
        </w:rPr>
        <w:fldChar w:fldCharType="separate"/>
      </w:r>
      <w:r>
        <w:rPr>
          <w:rStyle w:val="74"/>
          <w:color w:val="auto"/>
          <w:highlight w:val="none"/>
        </w:rPr>
        <w:t>六、结算</w:t>
      </w:r>
      <w:r>
        <w:rPr>
          <w:color w:val="auto"/>
          <w:highlight w:val="none"/>
        </w:rPr>
        <w:tab/>
      </w:r>
      <w:r>
        <w:rPr>
          <w:color w:val="auto"/>
          <w:highlight w:val="none"/>
        </w:rPr>
        <w:fldChar w:fldCharType="begin"/>
      </w:r>
      <w:r>
        <w:rPr>
          <w:color w:val="auto"/>
          <w:highlight w:val="none"/>
        </w:rPr>
        <w:instrText xml:space="preserve"> PAGEREF _Toc173761987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4C697B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"_Toc173761988" </w:instrText>
      </w:r>
      <w:r>
        <w:rPr>
          <w:color w:val="auto"/>
          <w:highlight w:val="none"/>
        </w:rPr>
        <w:fldChar w:fldCharType="separate"/>
      </w:r>
      <w:r>
        <w:rPr>
          <w:rStyle w:val="74"/>
          <w:color w:val="auto"/>
          <w:highlight w:val="none"/>
        </w:rPr>
        <w:t>（一）结算说明</w:t>
      </w:r>
      <w:r>
        <w:rPr>
          <w:color w:val="auto"/>
          <w:highlight w:val="none"/>
        </w:rPr>
        <w:tab/>
      </w:r>
      <w:r>
        <w:rPr>
          <w:color w:val="auto"/>
          <w:highlight w:val="none"/>
        </w:rPr>
        <w:fldChar w:fldCharType="begin"/>
      </w:r>
      <w:r>
        <w:rPr>
          <w:color w:val="auto"/>
          <w:highlight w:val="none"/>
        </w:rPr>
        <w:instrText xml:space="preserve"> PAGEREF _Toc173761988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1B7291E">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"_Toc173761989" </w:instrText>
      </w:r>
      <w:r>
        <w:rPr>
          <w:color w:val="auto"/>
          <w:highlight w:val="none"/>
        </w:rPr>
        <w:fldChar w:fldCharType="separate"/>
      </w:r>
      <w:r>
        <w:rPr>
          <w:rStyle w:val="74"/>
          <w:color w:val="auto"/>
          <w:highlight w:val="none"/>
        </w:rPr>
        <w:t>（二）费用结算</w:t>
      </w:r>
      <w:r>
        <w:rPr>
          <w:color w:val="auto"/>
          <w:highlight w:val="none"/>
        </w:rPr>
        <w:tab/>
      </w:r>
      <w:r>
        <w:rPr>
          <w:color w:val="auto"/>
          <w:highlight w:val="none"/>
        </w:rPr>
        <w:fldChar w:fldCharType="begin"/>
      </w:r>
      <w:r>
        <w:rPr>
          <w:color w:val="auto"/>
          <w:highlight w:val="none"/>
        </w:rPr>
        <w:instrText xml:space="preserve"> PAGEREF _Toc173761989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AB10B15">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"_Toc173761990" </w:instrText>
      </w:r>
      <w:r>
        <w:rPr>
          <w:color w:val="auto"/>
          <w:highlight w:val="none"/>
        </w:rPr>
        <w:fldChar w:fldCharType="separate"/>
      </w:r>
      <w:r>
        <w:rPr>
          <w:rStyle w:val="74"/>
          <w:color w:val="auto"/>
          <w:highlight w:val="none"/>
        </w:rPr>
        <w:t>七、付款方式</w:t>
      </w:r>
      <w:r>
        <w:rPr>
          <w:color w:val="auto"/>
          <w:highlight w:val="none"/>
        </w:rPr>
        <w:tab/>
      </w:r>
      <w:r>
        <w:rPr>
          <w:color w:val="auto"/>
          <w:highlight w:val="none"/>
        </w:rPr>
        <w:fldChar w:fldCharType="begin"/>
      </w:r>
      <w:r>
        <w:rPr>
          <w:color w:val="auto"/>
          <w:highlight w:val="none"/>
        </w:rPr>
        <w:instrText xml:space="preserve"> PAGEREF _Toc173761990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250324C3">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"_Toc173761991" </w:instrText>
      </w:r>
      <w:r>
        <w:rPr>
          <w:color w:val="auto"/>
          <w:highlight w:val="none"/>
        </w:rPr>
        <w:fldChar w:fldCharType="separate"/>
      </w:r>
      <w:r>
        <w:rPr>
          <w:rStyle w:val="74"/>
          <w:color w:val="auto"/>
          <w:highlight w:val="none"/>
        </w:rPr>
        <w:t>八、履约保证金</w:t>
      </w:r>
      <w:r>
        <w:rPr>
          <w:color w:val="auto"/>
          <w:highlight w:val="none"/>
        </w:rPr>
        <w:tab/>
      </w:r>
      <w:r>
        <w:rPr>
          <w:color w:val="auto"/>
          <w:highlight w:val="none"/>
        </w:rPr>
        <w:fldChar w:fldCharType="begin"/>
      </w:r>
      <w:r>
        <w:rPr>
          <w:color w:val="auto"/>
          <w:highlight w:val="none"/>
        </w:rPr>
        <w:instrText xml:space="preserve"> PAGEREF _Toc173761991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04A60830">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"_Toc173761992" </w:instrText>
      </w:r>
      <w:r>
        <w:rPr>
          <w:color w:val="auto"/>
          <w:highlight w:val="none"/>
        </w:rPr>
        <w:fldChar w:fldCharType="separate"/>
      </w:r>
      <w:r>
        <w:rPr>
          <w:rStyle w:val="74"/>
          <w:color w:val="auto"/>
          <w:highlight w:val="none"/>
        </w:rPr>
        <w:t>九、销售担保</w:t>
      </w:r>
      <w:r>
        <w:rPr>
          <w:color w:val="auto"/>
          <w:highlight w:val="none"/>
        </w:rPr>
        <w:tab/>
      </w:r>
      <w:r>
        <w:rPr>
          <w:color w:val="auto"/>
          <w:highlight w:val="none"/>
        </w:rPr>
        <w:fldChar w:fldCharType="begin"/>
      </w:r>
      <w:r>
        <w:rPr>
          <w:color w:val="auto"/>
          <w:highlight w:val="none"/>
        </w:rPr>
        <w:instrText xml:space="preserve"> PAGEREF _Toc173761992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094C784">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"_Toc173761993" </w:instrText>
      </w:r>
      <w:r>
        <w:rPr>
          <w:color w:val="auto"/>
          <w:highlight w:val="none"/>
        </w:rPr>
        <w:fldChar w:fldCharType="separate"/>
      </w:r>
      <w:r>
        <w:rPr>
          <w:rStyle w:val="74"/>
          <w:color w:val="auto"/>
          <w:highlight w:val="none"/>
        </w:rPr>
        <w:t>十、验收</w:t>
      </w:r>
      <w:r>
        <w:rPr>
          <w:color w:val="auto"/>
          <w:highlight w:val="none"/>
        </w:rPr>
        <w:tab/>
      </w:r>
      <w:r>
        <w:rPr>
          <w:color w:val="auto"/>
          <w:highlight w:val="none"/>
        </w:rPr>
        <w:fldChar w:fldCharType="begin"/>
      </w:r>
      <w:r>
        <w:rPr>
          <w:color w:val="auto"/>
          <w:highlight w:val="none"/>
        </w:rPr>
        <w:instrText xml:space="preserve"> PAGEREF _Toc173761993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6B707FE">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"_Toc173761994" </w:instrText>
      </w:r>
      <w:r>
        <w:rPr>
          <w:color w:val="auto"/>
          <w:highlight w:val="none"/>
        </w:rPr>
        <w:fldChar w:fldCharType="separate"/>
      </w:r>
      <w:r>
        <w:rPr>
          <w:rStyle w:val="74"/>
          <w:color w:val="auto"/>
          <w:highlight w:val="none"/>
        </w:rPr>
        <w:t>十一、违约责任</w:t>
      </w:r>
      <w:r>
        <w:rPr>
          <w:color w:val="auto"/>
          <w:highlight w:val="none"/>
        </w:rPr>
        <w:tab/>
      </w:r>
      <w:r>
        <w:rPr>
          <w:color w:val="auto"/>
          <w:highlight w:val="none"/>
        </w:rPr>
        <w:fldChar w:fldCharType="begin"/>
      </w:r>
      <w:r>
        <w:rPr>
          <w:color w:val="auto"/>
          <w:highlight w:val="none"/>
        </w:rPr>
        <w:instrText xml:space="preserve"> PAGEREF _Toc173761994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06BA6AA0">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"_Toc173761995" </w:instrText>
      </w:r>
      <w:r>
        <w:rPr>
          <w:color w:val="auto"/>
          <w:highlight w:val="none"/>
        </w:rPr>
        <w:fldChar w:fldCharType="separate"/>
      </w:r>
      <w:r>
        <w:rPr>
          <w:rStyle w:val="74"/>
          <w:color w:val="auto"/>
          <w:highlight w:val="none"/>
        </w:rPr>
        <w:t>十二、实施依据及相关标准</w:t>
      </w:r>
      <w:r>
        <w:rPr>
          <w:color w:val="auto"/>
          <w:highlight w:val="none"/>
        </w:rPr>
        <w:tab/>
      </w:r>
      <w:r>
        <w:rPr>
          <w:color w:val="auto"/>
          <w:highlight w:val="none"/>
        </w:rPr>
        <w:fldChar w:fldCharType="begin"/>
      </w:r>
      <w:r>
        <w:rPr>
          <w:color w:val="auto"/>
          <w:highlight w:val="none"/>
        </w:rPr>
        <w:instrText xml:space="preserve"> PAGEREF _Toc173761995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38993D50">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"_Toc173761996" </w:instrText>
      </w:r>
      <w:r>
        <w:rPr>
          <w:color w:val="auto"/>
          <w:highlight w:val="none"/>
        </w:rPr>
        <w:fldChar w:fldCharType="separate"/>
      </w:r>
      <w:r>
        <w:rPr>
          <w:rStyle w:val="74"/>
          <w:color w:val="auto"/>
          <w:highlight w:val="none"/>
        </w:rPr>
        <w:t>（一）国家有关法律</w:t>
      </w:r>
      <w:r>
        <w:rPr>
          <w:color w:val="auto"/>
          <w:highlight w:val="none"/>
        </w:rPr>
        <w:tab/>
      </w:r>
      <w:r>
        <w:rPr>
          <w:color w:val="auto"/>
          <w:highlight w:val="none"/>
        </w:rPr>
        <w:fldChar w:fldCharType="begin"/>
      </w:r>
      <w:r>
        <w:rPr>
          <w:color w:val="auto"/>
          <w:highlight w:val="none"/>
        </w:rPr>
        <w:instrText xml:space="preserve"> PAGEREF _Toc173761996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69D200F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"_Toc173761997" </w:instrText>
      </w:r>
      <w:r>
        <w:rPr>
          <w:color w:val="auto"/>
          <w:highlight w:val="none"/>
        </w:rPr>
        <w:fldChar w:fldCharType="separate"/>
      </w:r>
      <w:r>
        <w:rPr>
          <w:rStyle w:val="74"/>
          <w:color w:val="auto"/>
          <w:highlight w:val="none"/>
        </w:rPr>
        <w:t>（二）行政法规</w:t>
      </w:r>
      <w:r>
        <w:rPr>
          <w:color w:val="auto"/>
          <w:highlight w:val="none"/>
        </w:rPr>
        <w:tab/>
      </w:r>
      <w:r>
        <w:rPr>
          <w:color w:val="auto"/>
          <w:highlight w:val="none"/>
        </w:rPr>
        <w:fldChar w:fldCharType="begin"/>
      </w:r>
      <w:r>
        <w:rPr>
          <w:color w:val="auto"/>
          <w:highlight w:val="none"/>
        </w:rPr>
        <w:instrText xml:space="preserve"> PAGEREF _Toc173761997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387B50C8">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"_Toc173761998" </w:instrText>
      </w:r>
      <w:r>
        <w:rPr>
          <w:color w:val="auto"/>
          <w:highlight w:val="none"/>
        </w:rPr>
        <w:fldChar w:fldCharType="separate"/>
      </w:r>
      <w:r>
        <w:rPr>
          <w:rStyle w:val="74"/>
          <w:color w:val="auto"/>
          <w:highlight w:val="none"/>
        </w:rPr>
        <w:t>（三）部门规章及规范性文件</w:t>
      </w:r>
      <w:r>
        <w:rPr>
          <w:color w:val="auto"/>
          <w:highlight w:val="none"/>
        </w:rPr>
        <w:tab/>
      </w:r>
      <w:r>
        <w:rPr>
          <w:color w:val="auto"/>
          <w:highlight w:val="none"/>
        </w:rPr>
        <w:fldChar w:fldCharType="begin"/>
      </w:r>
      <w:r>
        <w:rPr>
          <w:color w:val="auto"/>
          <w:highlight w:val="none"/>
        </w:rPr>
        <w:instrText xml:space="preserve"> PAGEREF _Toc173761998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DD6CEB6">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"_Toc173761999" </w:instrText>
      </w:r>
      <w:r>
        <w:rPr>
          <w:color w:val="auto"/>
          <w:highlight w:val="none"/>
        </w:rPr>
        <w:fldChar w:fldCharType="separate"/>
      </w:r>
      <w:r>
        <w:rPr>
          <w:rStyle w:val="74"/>
          <w:color w:val="auto"/>
          <w:highlight w:val="none"/>
        </w:rPr>
        <w:t>（四）地方法规及规范性文件</w:t>
      </w:r>
      <w:r>
        <w:rPr>
          <w:color w:val="auto"/>
          <w:highlight w:val="none"/>
        </w:rPr>
        <w:tab/>
      </w:r>
      <w:r>
        <w:rPr>
          <w:color w:val="auto"/>
          <w:highlight w:val="none"/>
        </w:rPr>
        <w:fldChar w:fldCharType="begin"/>
      </w:r>
      <w:r>
        <w:rPr>
          <w:color w:val="auto"/>
          <w:highlight w:val="none"/>
        </w:rPr>
        <w:instrText xml:space="preserve"> PAGEREF _Toc173761999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4C515F3">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"_Toc173762000" </w:instrText>
      </w:r>
      <w:r>
        <w:rPr>
          <w:color w:val="auto"/>
          <w:highlight w:val="none"/>
        </w:rPr>
        <w:fldChar w:fldCharType="separate"/>
      </w:r>
      <w:r>
        <w:rPr>
          <w:rStyle w:val="74"/>
          <w:color w:val="auto"/>
          <w:highlight w:val="none"/>
        </w:rPr>
        <w:t>（五）国家标准</w:t>
      </w:r>
      <w:r>
        <w:rPr>
          <w:color w:val="auto"/>
          <w:highlight w:val="none"/>
        </w:rPr>
        <w:tab/>
      </w:r>
      <w:r>
        <w:rPr>
          <w:color w:val="auto"/>
          <w:highlight w:val="none"/>
        </w:rPr>
        <w:fldChar w:fldCharType="begin"/>
      </w:r>
      <w:r>
        <w:rPr>
          <w:color w:val="auto"/>
          <w:highlight w:val="none"/>
        </w:rPr>
        <w:instrText xml:space="preserve"> PAGEREF _Toc173762000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77E7F29A">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"_Toc173762001" </w:instrText>
      </w:r>
      <w:r>
        <w:rPr>
          <w:color w:val="auto"/>
          <w:highlight w:val="none"/>
        </w:rPr>
        <w:fldChar w:fldCharType="separate"/>
      </w:r>
      <w:r>
        <w:rPr>
          <w:rStyle w:val="74"/>
          <w:color w:val="auto"/>
          <w:highlight w:val="none"/>
        </w:rPr>
        <w:t>（六）行业行业标准</w:t>
      </w:r>
      <w:r>
        <w:rPr>
          <w:color w:val="auto"/>
          <w:highlight w:val="none"/>
        </w:rPr>
        <w:tab/>
      </w:r>
      <w:r>
        <w:rPr>
          <w:color w:val="auto"/>
          <w:highlight w:val="none"/>
        </w:rPr>
        <w:fldChar w:fldCharType="begin"/>
      </w:r>
      <w:r>
        <w:rPr>
          <w:color w:val="auto"/>
          <w:highlight w:val="none"/>
        </w:rPr>
        <w:instrText xml:space="preserve"> PAGEREF _Toc173762001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1852EA4B">
      <w:pPr>
        <w:pStyle w:val="32"/>
        <w:tabs>
          <w:tab w:val="right" w:leader="dot" w:pos="9458"/>
        </w:tabs>
        <w:ind w:left="42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"_Toc173762002" </w:instrText>
      </w:r>
      <w:r>
        <w:rPr>
          <w:color w:val="auto"/>
          <w:highlight w:val="none"/>
        </w:rPr>
        <w:fldChar w:fldCharType="separate"/>
      </w:r>
      <w:r>
        <w:rPr>
          <w:rStyle w:val="74"/>
          <w:color w:val="auto"/>
          <w:highlight w:val="none"/>
        </w:rPr>
        <w:t>（七）建设项目技术资料</w:t>
      </w:r>
      <w:r>
        <w:rPr>
          <w:color w:val="auto"/>
          <w:highlight w:val="none"/>
        </w:rPr>
        <w:tab/>
      </w:r>
      <w:r>
        <w:rPr>
          <w:color w:val="auto"/>
          <w:highlight w:val="none"/>
        </w:rPr>
        <w:fldChar w:fldCharType="begin"/>
      </w:r>
      <w:r>
        <w:rPr>
          <w:color w:val="auto"/>
          <w:highlight w:val="none"/>
        </w:rPr>
        <w:instrText xml:space="preserve"> PAGEREF _Toc173762002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3FF30BE6">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"_Toc173762003" </w:instrText>
      </w:r>
      <w:r>
        <w:rPr>
          <w:color w:val="auto"/>
          <w:highlight w:val="none"/>
        </w:rPr>
        <w:fldChar w:fldCharType="separate"/>
      </w:r>
      <w:r>
        <w:rPr>
          <w:rStyle w:val="74"/>
          <w:color w:val="auto"/>
          <w:highlight w:val="none"/>
        </w:rPr>
        <w:t>第四部分 评标办法</w:t>
      </w:r>
      <w:r>
        <w:rPr>
          <w:color w:val="auto"/>
          <w:highlight w:val="none"/>
        </w:rPr>
        <w:tab/>
      </w:r>
      <w:r>
        <w:rPr>
          <w:color w:val="auto"/>
          <w:highlight w:val="none"/>
        </w:rPr>
        <w:fldChar w:fldCharType="begin"/>
      </w:r>
      <w:r>
        <w:rPr>
          <w:color w:val="auto"/>
          <w:highlight w:val="none"/>
        </w:rPr>
        <w:instrText xml:space="preserve"> PAGEREF _Toc173762003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6A1C496C">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"_Toc173762004" </w:instrText>
      </w:r>
      <w:r>
        <w:rPr>
          <w:color w:val="auto"/>
          <w:highlight w:val="none"/>
        </w:rPr>
        <w:fldChar w:fldCharType="separate"/>
      </w:r>
      <w:r>
        <w:rPr>
          <w:rStyle w:val="74"/>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_Toc173762004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5A39B064">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"_Toc173762005" </w:instrText>
      </w:r>
      <w:r>
        <w:rPr>
          <w:color w:val="auto"/>
          <w:highlight w:val="none"/>
        </w:rPr>
        <w:fldChar w:fldCharType="separate"/>
      </w:r>
      <w:r>
        <w:rPr>
          <w:rStyle w:val="74"/>
          <w:color w:val="auto"/>
          <w:highlight w:val="none"/>
        </w:rPr>
        <w:t>一、评标方法</w:t>
      </w:r>
      <w:r>
        <w:rPr>
          <w:color w:val="auto"/>
          <w:highlight w:val="none"/>
        </w:rPr>
        <w:tab/>
      </w:r>
      <w:r>
        <w:rPr>
          <w:color w:val="auto"/>
          <w:highlight w:val="none"/>
        </w:rPr>
        <w:fldChar w:fldCharType="begin"/>
      </w:r>
      <w:r>
        <w:rPr>
          <w:color w:val="auto"/>
          <w:highlight w:val="none"/>
        </w:rPr>
        <w:instrText xml:space="preserve"> PAGEREF _Toc173762005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7230C55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"_Toc173762006" </w:instrText>
      </w:r>
      <w:r>
        <w:rPr>
          <w:color w:val="auto"/>
          <w:highlight w:val="none"/>
        </w:rPr>
        <w:fldChar w:fldCharType="separate"/>
      </w:r>
      <w:r>
        <w:rPr>
          <w:rStyle w:val="74"/>
          <w:color w:val="auto"/>
          <w:highlight w:val="none"/>
        </w:rPr>
        <w:t>二、评标标准</w:t>
      </w:r>
      <w:r>
        <w:rPr>
          <w:color w:val="auto"/>
          <w:highlight w:val="none"/>
        </w:rPr>
        <w:tab/>
      </w:r>
      <w:r>
        <w:rPr>
          <w:color w:val="auto"/>
          <w:highlight w:val="none"/>
        </w:rPr>
        <w:fldChar w:fldCharType="begin"/>
      </w:r>
      <w:r>
        <w:rPr>
          <w:color w:val="auto"/>
          <w:highlight w:val="none"/>
        </w:rPr>
        <w:instrText xml:space="preserve"> PAGEREF _Toc173762006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540F92B7">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"_Toc173762007" </w:instrText>
      </w:r>
      <w:r>
        <w:rPr>
          <w:color w:val="auto"/>
          <w:highlight w:val="none"/>
        </w:rPr>
        <w:fldChar w:fldCharType="separate"/>
      </w:r>
      <w:r>
        <w:rPr>
          <w:rStyle w:val="74"/>
          <w:color w:val="auto"/>
          <w:highlight w:val="none"/>
        </w:rPr>
        <w:t>三、评标程序</w:t>
      </w:r>
      <w:r>
        <w:rPr>
          <w:color w:val="auto"/>
          <w:highlight w:val="none"/>
        </w:rPr>
        <w:tab/>
      </w:r>
      <w:r>
        <w:rPr>
          <w:color w:val="auto"/>
          <w:highlight w:val="none"/>
        </w:rPr>
        <w:fldChar w:fldCharType="begin"/>
      </w:r>
      <w:r>
        <w:rPr>
          <w:color w:val="auto"/>
          <w:highlight w:val="none"/>
        </w:rPr>
        <w:instrText xml:space="preserve"> PAGEREF _Toc173762007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747C56E9">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"_Toc173762008" </w:instrText>
      </w:r>
      <w:r>
        <w:rPr>
          <w:color w:val="auto"/>
          <w:highlight w:val="none"/>
        </w:rPr>
        <w:fldChar w:fldCharType="separate"/>
      </w:r>
      <w:r>
        <w:rPr>
          <w:rStyle w:val="74"/>
          <w:color w:val="auto"/>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_Toc173762008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611F2014">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"_Toc173762009" </w:instrText>
      </w:r>
      <w:r>
        <w:rPr>
          <w:color w:val="auto"/>
          <w:highlight w:val="none"/>
        </w:rPr>
        <w:fldChar w:fldCharType="separate"/>
      </w:r>
      <w:r>
        <w:rPr>
          <w:rStyle w:val="74"/>
          <w:color w:val="auto"/>
          <w:highlight w:val="none"/>
        </w:rPr>
        <w:t>第五部分 拟签订的合同文本</w:t>
      </w:r>
      <w:r>
        <w:rPr>
          <w:color w:val="auto"/>
          <w:highlight w:val="none"/>
        </w:rPr>
        <w:tab/>
      </w:r>
      <w:r>
        <w:rPr>
          <w:color w:val="auto"/>
          <w:highlight w:val="none"/>
        </w:rPr>
        <w:fldChar w:fldCharType="begin"/>
      </w:r>
      <w:r>
        <w:rPr>
          <w:color w:val="auto"/>
          <w:highlight w:val="none"/>
        </w:rPr>
        <w:instrText xml:space="preserve"> PAGEREF _Toc173762009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21E8DCA">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"_Toc173762010" </w:instrText>
      </w:r>
      <w:r>
        <w:rPr>
          <w:color w:val="auto"/>
          <w:highlight w:val="none"/>
        </w:rPr>
        <w:fldChar w:fldCharType="separate"/>
      </w:r>
      <w:r>
        <w:rPr>
          <w:rStyle w:val="74"/>
          <w:color w:val="auto"/>
          <w:highlight w:val="none"/>
        </w:rPr>
        <w:t>一、项目主体合同</w:t>
      </w:r>
      <w:r>
        <w:rPr>
          <w:color w:val="auto"/>
          <w:highlight w:val="none"/>
        </w:rPr>
        <w:tab/>
      </w:r>
      <w:r>
        <w:rPr>
          <w:color w:val="auto"/>
          <w:highlight w:val="none"/>
        </w:rPr>
        <w:fldChar w:fldCharType="begin"/>
      </w:r>
      <w:r>
        <w:rPr>
          <w:color w:val="auto"/>
          <w:highlight w:val="none"/>
        </w:rPr>
        <w:instrText xml:space="preserve"> PAGEREF _Toc173762010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69322EC9">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"_Toc173762011" </w:instrText>
      </w:r>
      <w:r>
        <w:rPr>
          <w:color w:val="auto"/>
          <w:highlight w:val="none"/>
        </w:rPr>
        <w:fldChar w:fldCharType="separate"/>
      </w:r>
      <w:r>
        <w:rPr>
          <w:rStyle w:val="74"/>
          <w:color w:val="auto"/>
          <w:highlight w:val="none"/>
        </w:rPr>
        <w:t>二、销售代理及运营协议书</w:t>
      </w:r>
      <w:r>
        <w:rPr>
          <w:color w:val="auto"/>
          <w:highlight w:val="none"/>
        </w:rPr>
        <w:tab/>
      </w:r>
      <w:r>
        <w:rPr>
          <w:color w:val="auto"/>
          <w:highlight w:val="none"/>
        </w:rPr>
        <w:fldChar w:fldCharType="begin"/>
      </w:r>
      <w:r>
        <w:rPr>
          <w:color w:val="auto"/>
          <w:highlight w:val="none"/>
        </w:rPr>
        <w:instrText xml:space="preserve"> PAGEREF _Toc173762011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4539BBE6">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"_Toc173762012" </w:instrText>
      </w:r>
      <w:r>
        <w:rPr>
          <w:color w:val="auto"/>
          <w:highlight w:val="none"/>
        </w:rPr>
        <w:fldChar w:fldCharType="separate"/>
      </w:r>
      <w:r>
        <w:rPr>
          <w:rStyle w:val="74"/>
          <w:color w:val="auto"/>
          <w:highlight w:val="none"/>
        </w:rPr>
        <w:t>三、外运配套码头等工程设计施工合同</w:t>
      </w:r>
      <w:r>
        <w:rPr>
          <w:color w:val="auto"/>
          <w:highlight w:val="none"/>
        </w:rPr>
        <w:tab/>
      </w:r>
      <w:r>
        <w:rPr>
          <w:color w:val="auto"/>
          <w:highlight w:val="none"/>
        </w:rPr>
        <w:fldChar w:fldCharType="begin"/>
      </w:r>
      <w:r>
        <w:rPr>
          <w:color w:val="auto"/>
          <w:highlight w:val="none"/>
        </w:rPr>
        <w:instrText xml:space="preserve"> PAGEREF _Toc173762012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52EA4018">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"_Toc173762013" </w:instrText>
      </w:r>
      <w:r>
        <w:rPr>
          <w:color w:val="auto"/>
          <w:highlight w:val="none"/>
        </w:rPr>
        <w:fldChar w:fldCharType="separate"/>
      </w:r>
      <w:r>
        <w:rPr>
          <w:rStyle w:val="74"/>
          <w:color w:val="auto"/>
          <w:highlight w:val="none"/>
        </w:rPr>
        <w:t>四、非煤矿山外包工程安全生产管理协议</w:t>
      </w:r>
      <w:r>
        <w:rPr>
          <w:color w:val="auto"/>
          <w:highlight w:val="none"/>
        </w:rPr>
        <w:tab/>
      </w:r>
      <w:r>
        <w:rPr>
          <w:color w:val="auto"/>
          <w:highlight w:val="none"/>
        </w:rPr>
        <w:fldChar w:fldCharType="begin"/>
      </w:r>
      <w:r>
        <w:rPr>
          <w:color w:val="auto"/>
          <w:highlight w:val="none"/>
        </w:rPr>
        <w:instrText xml:space="preserve"> PAGEREF _Toc173762013 \h </w:instrText>
      </w:r>
      <w:r>
        <w:rPr>
          <w:color w:val="auto"/>
          <w:highlight w:val="none"/>
        </w:rPr>
        <w:fldChar w:fldCharType="separate"/>
      </w:r>
      <w:r>
        <w:rPr>
          <w:color w:val="auto"/>
          <w:highlight w:val="none"/>
        </w:rPr>
        <w:t>165</w:t>
      </w:r>
      <w:r>
        <w:rPr>
          <w:color w:val="auto"/>
          <w:highlight w:val="none"/>
        </w:rPr>
        <w:fldChar w:fldCharType="end"/>
      </w:r>
      <w:r>
        <w:rPr>
          <w:color w:val="auto"/>
          <w:highlight w:val="none"/>
        </w:rPr>
        <w:fldChar w:fldCharType="end"/>
      </w:r>
    </w:p>
    <w:p w14:paraId="7FA9B4E1">
      <w:pPr>
        <w:pStyle w:val="50"/>
        <w:tabs>
          <w:tab w:val="right" w:leader="dot" w:pos="9458"/>
        </w:tabs>
        <w:ind w:left="210"/>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"_Toc173762014" </w:instrText>
      </w:r>
      <w:r>
        <w:rPr>
          <w:color w:val="auto"/>
          <w:highlight w:val="none"/>
        </w:rPr>
        <w:fldChar w:fldCharType="separate"/>
      </w:r>
      <w:r>
        <w:rPr>
          <w:rStyle w:val="74"/>
          <w:color w:val="auto"/>
          <w:highlight w:val="none"/>
        </w:rPr>
        <w:t>五、廉政责任书</w:t>
      </w:r>
      <w:r>
        <w:rPr>
          <w:color w:val="auto"/>
          <w:highlight w:val="none"/>
        </w:rPr>
        <w:tab/>
      </w:r>
      <w:r>
        <w:rPr>
          <w:color w:val="auto"/>
          <w:highlight w:val="none"/>
        </w:rPr>
        <w:fldChar w:fldCharType="begin"/>
      </w:r>
      <w:r>
        <w:rPr>
          <w:color w:val="auto"/>
          <w:highlight w:val="none"/>
        </w:rPr>
        <w:instrText xml:space="preserve"> PAGEREF _Toc173762014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14:paraId="2C8D059D">
      <w:pPr>
        <w:pStyle w:val="42"/>
        <w:tabs>
          <w:tab w:val="right" w:leader="dot" w:pos="9458"/>
        </w:tabs>
        <w:rPr>
          <w:rFonts w:hint="eastAsia" w:asciiTheme="minorHAnsi" w:hAnsiTheme="minorHAnsi" w:eastAsiaTheme="minorEastAsia" w:cstheme="minorBidi"/>
          <w:color w:val="auto"/>
          <w:sz w:val="22"/>
          <w:highlight w:val="none"/>
          <w14:ligatures w14:val="standardContextual"/>
        </w:rPr>
      </w:pPr>
      <w:r>
        <w:rPr>
          <w:color w:val="auto"/>
          <w:highlight w:val="none"/>
        </w:rPr>
        <w:fldChar w:fldCharType="begin"/>
      </w:r>
      <w:r>
        <w:rPr>
          <w:color w:val="auto"/>
          <w:highlight w:val="none"/>
        </w:rPr>
        <w:instrText xml:space="preserve"> HYPERLINK \l "_Toc173762015" </w:instrText>
      </w:r>
      <w:r>
        <w:rPr>
          <w:color w:val="auto"/>
          <w:highlight w:val="none"/>
        </w:rPr>
        <w:fldChar w:fldCharType="separate"/>
      </w:r>
      <w:r>
        <w:rPr>
          <w:rStyle w:val="74"/>
          <w:color w:val="auto"/>
          <w:highlight w:val="none"/>
        </w:rPr>
        <w:t>第六部分 应提交的有关格式范例</w:t>
      </w:r>
      <w:r>
        <w:rPr>
          <w:color w:val="auto"/>
          <w:highlight w:val="none"/>
        </w:rPr>
        <w:tab/>
      </w:r>
      <w:r>
        <w:rPr>
          <w:color w:val="auto"/>
          <w:highlight w:val="none"/>
        </w:rPr>
        <w:fldChar w:fldCharType="begin"/>
      </w:r>
      <w:r>
        <w:rPr>
          <w:color w:val="auto"/>
          <w:highlight w:val="none"/>
        </w:rPr>
        <w:instrText xml:space="preserve"> PAGEREF _Toc173762015 \h </w:instrText>
      </w:r>
      <w:r>
        <w:rPr>
          <w:color w:val="auto"/>
          <w:highlight w:val="none"/>
        </w:rPr>
        <w:fldChar w:fldCharType="separate"/>
      </w:r>
      <w:r>
        <w:rPr>
          <w:color w:val="auto"/>
          <w:highlight w:val="none"/>
        </w:rPr>
        <w:t>177</w:t>
      </w:r>
      <w:r>
        <w:rPr>
          <w:color w:val="auto"/>
          <w:highlight w:val="none"/>
        </w:rPr>
        <w:fldChar w:fldCharType="end"/>
      </w:r>
      <w:r>
        <w:rPr>
          <w:color w:val="auto"/>
          <w:highlight w:val="none"/>
        </w:rPr>
        <w:fldChar w:fldCharType="end"/>
      </w:r>
    </w:p>
    <w:p w14:paraId="20BDD62A">
      <w:pPr>
        <w:widowControl w:val="0"/>
        <w:adjustRightInd w:val="0"/>
        <w:snapToGrid w:val="0"/>
        <w:rPr>
          <w:color w:val="auto"/>
          <w:highlight w:val="none"/>
        </w:rPr>
      </w:pPr>
      <w:r>
        <w:rPr>
          <w:color w:val="auto"/>
          <w:highlight w:val="none"/>
        </w:rPr>
        <w:fldChar w:fldCharType="end"/>
      </w:r>
    </w:p>
    <w:p w14:paraId="243CEF64">
      <w:pPr>
        <w:widowControl w:val="0"/>
        <w:adjustRightInd w:val="0"/>
        <w:snapToGrid w:val="0"/>
        <w:rPr>
          <w:color w:val="auto"/>
          <w:highlight w:val="none"/>
        </w:rPr>
      </w:pPr>
    </w:p>
    <w:p w14:paraId="0D09E6D1">
      <w:pPr>
        <w:widowControl w:val="0"/>
        <w:adjustRightInd w:val="0"/>
        <w:snapToGrid w:val="0"/>
        <w:rPr>
          <w:color w:val="auto"/>
          <w:highlight w:val="none"/>
        </w:rPr>
      </w:pPr>
    </w:p>
    <w:p w14:paraId="15A58E10">
      <w:pPr>
        <w:widowControl w:val="0"/>
        <w:adjustRightInd w:val="0"/>
        <w:snapToGrid w:val="0"/>
        <w:jc w:val="left"/>
        <w:rPr>
          <w:snapToGrid w:val="0"/>
          <w:color w:val="auto"/>
          <w:kern w:val="0"/>
          <w:highlight w:val="none"/>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720" w:num="1"/>
          <w:docGrid w:type="lines" w:linePitch="312" w:charSpace="0"/>
        </w:sectPr>
      </w:pPr>
    </w:p>
    <w:p w14:paraId="210BD27B">
      <w:pPr>
        <w:pStyle w:val="2"/>
        <w:keepNext w:val="0"/>
        <w:keepLines w:val="0"/>
        <w:adjustRightInd w:val="0"/>
        <w:snapToGrid w:val="0"/>
        <w:rPr>
          <w:color w:val="auto"/>
          <w:highlight w:val="none"/>
        </w:rPr>
      </w:pPr>
      <w:bookmarkStart w:id="0" w:name="_Toc173761911"/>
      <w:r>
        <w:rPr>
          <w:rFonts w:hint="eastAsia"/>
          <w:color w:val="auto"/>
          <w:highlight w:val="none"/>
        </w:rPr>
        <w:t>第一部分 招标公告</w:t>
      </w:r>
      <w:bookmarkEnd w:id="0"/>
    </w:p>
    <w:p w14:paraId="5D966B8F">
      <w:pPr>
        <w:widowControl w:val="0"/>
        <w:adjustRightInd w:val="0"/>
        <w:snapToGrid w:val="0"/>
        <w:rPr>
          <w:color w:val="auto"/>
          <w:highlight w:val="none"/>
        </w:rPr>
      </w:pPr>
    </w:p>
    <w:p w14:paraId="6EA93399">
      <w:pPr>
        <w:widowControl w:val="0"/>
        <w:adjustRightInd w:val="0"/>
        <w:snapToGrid w:val="0"/>
        <w:rPr>
          <w:color w:val="auto"/>
          <w:highlight w:val="none"/>
        </w:rPr>
      </w:pPr>
    </w:p>
    <w:p w14:paraId="6C2D6EF0">
      <w:pPr>
        <w:widowControl w:val="0"/>
        <w:adjustRightInd w:val="0"/>
        <w:snapToGrid w:val="0"/>
        <w:rPr>
          <w:color w:val="auto"/>
          <w:highlight w:val="none"/>
        </w:rPr>
      </w:pP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11016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458" w:type="dxa"/>
            <w:vAlign w:val="center"/>
          </w:tcPr>
          <w:p w14:paraId="2605DEDB">
            <w:pPr>
              <w:widowControl w:val="0"/>
              <w:adjustRightInd w:val="0"/>
              <w:snapToGrid w:val="0"/>
              <w:spacing w:line="300" w:lineRule="auto"/>
              <w:ind w:firstLine="480" w:firstLineChars="200"/>
              <w:rPr>
                <w:rFonts w:hint="eastAsia" w:hAnsi="宋体"/>
                <w:color w:val="auto"/>
                <w:sz w:val="24"/>
                <w:highlight w:val="none"/>
              </w:rPr>
            </w:pPr>
            <w:r>
              <w:rPr>
                <w:rFonts w:hint="eastAsia" w:hAnsi="宋体"/>
                <w:color w:val="auto"/>
                <w:sz w:val="24"/>
                <w:highlight w:val="none"/>
              </w:rPr>
              <w:t>项目概况</w:t>
            </w:r>
          </w:p>
          <w:p w14:paraId="4A43402A">
            <w:pPr>
              <w:widowControl w:val="0"/>
              <w:adjustRightInd w:val="0"/>
              <w:snapToGrid w:val="0"/>
              <w:spacing w:line="300" w:lineRule="auto"/>
              <w:ind w:firstLine="480" w:firstLineChars="200"/>
              <w:rPr>
                <w:color w:val="auto"/>
                <w:highlight w:val="none"/>
              </w:rPr>
            </w:pPr>
            <w:r>
              <w:rPr>
                <w:iCs/>
                <w:color w:val="auto"/>
                <w:sz w:val="24"/>
                <w:highlight w:val="none"/>
                <w:u w:val="single"/>
              </w:rPr>
              <w:t xml:space="preserve">   </w:t>
            </w:r>
            <w:r>
              <w:rPr>
                <w:rFonts w:hint="eastAsia" w:hAnsi="宋体"/>
                <w:color w:val="auto"/>
                <w:sz w:val="24"/>
                <w:highlight w:val="none"/>
                <w:u w:val="single"/>
              </w:rPr>
              <w:t xml:space="preserve">象山县爵溪街道小微企业集聚区建筑用石料（凝灰岩）矿开采加工、配套设施建设及矿产品销售代理一体化服务项目 </w:t>
            </w:r>
            <w:r>
              <w:rPr>
                <w:rFonts w:hAnsi="宋体"/>
                <w:color w:val="auto"/>
                <w:sz w:val="24"/>
                <w:highlight w:val="none"/>
                <w:u w:val="single"/>
              </w:rPr>
              <w:t xml:space="preserve">  </w:t>
            </w:r>
            <w:r>
              <w:rPr>
                <w:rFonts w:hint="eastAsia" w:hAnsi="宋体"/>
                <w:color w:val="auto"/>
                <w:sz w:val="24"/>
                <w:highlight w:val="none"/>
              </w:rPr>
              <w:t>招</w:t>
            </w:r>
            <w:r>
              <w:rPr>
                <w:rFonts w:hint="eastAsia" w:hAnsi="宋体"/>
                <w:color w:val="auto"/>
                <w:sz w:val="24"/>
                <w:highlight w:val="none"/>
              </w:rPr>
              <w:t>标项目的潜在投标人应在乐采云平台（login-lcy.lecaiyun.com）获取（下载）招标文件，并于</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2024年9月2日9点20分00秒 </w:t>
            </w:r>
            <w:r>
              <w:rPr>
                <w:rFonts w:hAnsi="宋体"/>
                <w:color w:val="auto"/>
                <w:sz w:val="24"/>
                <w:highlight w:val="none"/>
                <w:u w:val="single"/>
              </w:rPr>
              <w:t xml:space="preserve"> </w:t>
            </w:r>
            <w:r>
              <w:rPr>
                <w:rFonts w:hint="eastAsia" w:hAnsi="宋体"/>
                <w:color w:val="auto"/>
                <w:sz w:val="24"/>
                <w:highlight w:val="none"/>
              </w:rPr>
              <w:t>（北京时间）前递交（上传）投标文件。</w:t>
            </w:r>
          </w:p>
        </w:tc>
      </w:tr>
    </w:tbl>
    <w:p w14:paraId="7D9EA11B">
      <w:pPr>
        <w:widowControl w:val="0"/>
        <w:adjustRightInd w:val="0"/>
        <w:snapToGrid w:val="0"/>
        <w:rPr>
          <w:color w:val="auto"/>
          <w:highlight w:val="none"/>
        </w:rPr>
      </w:pPr>
    </w:p>
    <w:p w14:paraId="499773F5">
      <w:pPr>
        <w:widowControl w:val="0"/>
        <w:adjustRightInd w:val="0"/>
        <w:snapToGrid w:val="0"/>
        <w:rPr>
          <w:color w:val="auto"/>
          <w:highlight w:val="none"/>
        </w:rPr>
      </w:pPr>
    </w:p>
    <w:p w14:paraId="52484E40">
      <w:pPr>
        <w:widowControl w:val="0"/>
        <w:adjustRightInd w:val="0"/>
        <w:snapToGrid w:val="0"/>
        <w:rPr>
          <w:color w:val="auto"/>
          <w:highlight w:val="none"/>
        </w:rPr>
      </w:pPr>
    </w:p>
    <w:p w14:paraId="3AEEDBB2">
      <w:pPr>
        <w:pStyle w:val="417"/>
        <w:rPr>
          <w:color w:val="auto"/>
          <w:highlight w:val="none"/>
        </w:rPr>
      </w:pPr>
      <w:bookmarkStart w:id="1" w:name="_Toc173761912"/>
      <w:r>
        <w:rPr>
          <w:rFonts w:hint="eastAsia"/>
          <w:color w:val="auto"/>
          <w:highlight w:val="none"/>
        </w:rPr>
        <w:t>一、项目基本情况</w:t>
      </w:r>
      <w:bookmarkEnd w:id="1"/>
    </w:p>
    <w:p w14:paraId="786F0B76">
      <w:pPr>
        <w:widowControl w:val="0"/>
        <w:adjustRightInd w:val="0"/>
        <w:snapToGrid w:val="0"/>
        <w:spacing w:line="300" w:lineRule="auto"/>
        <w:ind w:firstLine="482" w:firstLineChars="200"/>
        <w:rPr>
          <w:rFonts w:hint="eastAsia" w:hAnsi="宋体"/>
          <w:color w:val="auto"/>
          <w:sz w:val="24"/>
          <w:highlight w:val="none"/>
        </w:rPr>
      </w:pPr>
      <w:bookmarkStart w:id="2" w:name="_Toc296017322"/>
      <w:bookmarkStart w:id="3" w:name="_Toc299609448"/>
      <w:bookmarkStart w:id="4" w:name="_Toc301522261"/>
      <w:r>
        <w:rPr>
          <w:rFonts w:hint="eastAsia" w:hAnsi="宋体"/>
          <w:b/>
          <w:bCs/>
          <w:color w:val="auto"/>
          <w:sz w:val="24"/>
          <w:highlight w:val="none"/>
        </w:rPr>
        <w:t>项目编</w:t>
      </w:r>
      <w:r>
        <w:rPr>
          <w:rFonts w:hint="eastAsia" w:hAnsi="宋体"/>
          <w:b/>
          <w:bCs/>
          <w:color w:val="auto"/>
          <w:sz w:val="24"/>
          <w:highlight w:val="none"/>
        </w:rPr>
        <w:t>号：</w:t>
      </w:r>
      <w:r>
        <w:rPr>
          <w:rFonts w:hAnsi="宋体"/>
          <w:color w:val="auto"/>
          <w:sz w:val="24"/>
          <w:highlight w:val="none"/>
        </w:rPr>
        <w:t>2024-CGDL-05-001C</w:t>
      </w:r>
    </w:p>
    <w:p w14:paraId="571798DD">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项目名称：</w:t>
      </w:r>
      <w:r>
        <w:rPr>
          <w:rFonts w:hint="eastAsia" w:hAnsi="宋体"/>
          <w:color w:val="auto"/>
          <w:sz w:val="24"/>
          <w:highlight w:val="none"/>
        </w:rPr>
        <w:t>象山县爵溪街道小微企业集聚区建筑用石料（凝灰岩）矿开采加工、配套设施建设及矿产品销售代理一体化服务项目</w:t>
      </w:r>
    </w:p>
    <w:p w14:paraId="3F503ECF">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预算金额（元）：</w:t>
      </w:r>
      <w:r>
        <w:rPr>
          <w:rFonts w:hAnsi="宋体"/>
          <w:color w:val="auto"/>
          <w:sz w:val="24"/>
          <w:highlight w:val="none"/>
        </w:rPr>
        <w:t>543486400</w:t>
      </w:r>
    </w:p>
    <w:p w14:paraId="048673F4">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最高限价（元）：</w:t>
      </w:r>
      <w:r>
        <w:rPr>
          <w:rFonts w:hAnsi="宋体"/>
          <w:color w:val="auto"/>
          <w:sz w:val="24"/>
          <w:highlight w:val="none"/>
        </w:rPr>
        <w:t>508550538</w:t>
      </w:r>
    </w:p>
    <w:p w14:paraId="785DF2F3">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采购需</w:t>
      </w:r>
      <w:r>
        <w:rPr>
          <w:rFonts w:hint="eastAsia" w:hAnsi="宋体"/>
          <w:b/>
          <w:bCs/>
          <w:color w:val="auto"/>
          <w:sz w:val="24"/>
          <w:highlight w:val="none"/>
        </w:rPr>
        <w:t>求：</w:t>
      </w:r>
      <w:r>
        <w:rPr>
          <w:rFonts w:hint="eastAsia" w:hAnsi="宋体"/>
          <w:color w:val="auto"/>
          <w:sz w:val="24"/>
          <w:highlight w:val="none"/>
        </w:rPr>
        <w:t>象山县爵溪街道小微企业集聚区建筑用石料（凝灰岩）矿开采加工、配套设施建设及矿产品销售代理一体化服务项目，主要内容：（1）石料矿开采、加工基础设施的建设；（2）矿山开采、加工生产活动；（3）产品外运配套码头建设及运营维护；（4）矿产品销售代理；（5）智能化数字监管平台（包括矿山安全生产监管平台、矿产资源开发利用监管平台等）、省级绿色矿山建设、矿山地质环境保护与土地复垦、闭矿及后续拆除；（6）矿山开采、加工、外运配套码头建设及运营所需的各类审批、备案及合同履行期内应有的相关延伸服务等（合同有约定的除外）。具体以招标文件第三部分采购需求为准，供应商可点击本公告下方“浏览采购文件”查看采购需求。</w:t>
      </w:r>
    </w:p>
    <w:p w14:paraId="692493F7">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合同履约期限：</w:t>
      </w:r>
      <w:r>
        <w:rPr>
          <w:rFonts w:hint="eastAsia" w:hAnsi="宋体"/>
          <w:color w:val="auto"/>
          <w:sz w:val="24"/>
          <w:highlight w:val="none"/>
        </w:rPr>
        <w:t>自采矿许可证颁发之日起5年（含矿区及配套基础设施建设工期，开采截止时间延长的顺延）。</w:t>
      </w:r>
    </w:p>
    <w:p w14:paraId="3B4D5D26">
      <w:pPr>
        <w:widowControl w:val="0"/>
        <w:adjustRightInd w:val="0"/>
        <w:snapToGrid w:val="0"/>
        <w:spacing w:line="300" w:lineRule="auto"/>
        <w:ind w:firstLine="482" w:firstLineChars="200"/>
        <w:rPr>
          <w:rFonts w:hint="eastAsia" w:hAnsi="宋体"/>
          <w:color w:val="auto"/>
          <w:sz w:val="24"/>
          <w:highlight w:val="none"/>
        </w:rPr>
      </w:pPr>
      <w:r>
        <w:rPr>
          <w:rFonts w:hint="eastAsia" w:hAnsi="宋体"/>
          <w:b/>
          <w:bCs/>
          <w:color w:val="auto"/>
          <w:sz w:val="24"/>
          <w:highlight w:val="none"/>
        </w:rPr>
        <w:t>本项目是否接受联合体投标：</w:t>
      </w: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int="eastAsia" w:hAnsi="宋体"/>
          <w:color w:val="auto"/>
          <w:sz w:val="24"/>
          <w:highlight w:val="none"/>
        </w:rPr>
        <w:t>是；□否。</w:t>
      </w:r>
    </w:p>
    <w:bookmarkEnd w:id="2"/>
    <w:bookmarkEnd w:id="3"/>
    <w:bookmarkEnd w:id="4"/>
    <w:p w14:paraId="21FB3C4B">
      <w:pPr>
        <w:pStyle w:val="417"/>
        <w:rPr>
          <w:color w:val="auto"/>
          <w:highlight w:val="none"/>
          <w:lang w:val="en-US"/>
        </w:rPr>
      </w:pPr>
      <w:bookmarkStart w:id="5" w:name="_Toc173761913"/>
      <w:r>
        <w:rPr>
          <w:rFonts w:hint="eastAsia"/>
          <w:color w:val="auto"/>
          <w:highlight w:val="none"/>
        </w:rPr>
        <w:t>二、申请人的资格要求</w:t>
      </w:r>
      <w:bookmarkEnd w:id="5"/>
    </w:p>
    <w:p w14:paraId="3E44D9A5">
      <w:pPr>
        <w:widowControl w:val="0"/>
        <w:adjustRightInd w:val="0"/>
        <w:snapToGrid w:val="0"/>
        <w:spacing w:line="300" w:lineRule="auto"/>
        <w:ind w:firstLine="480" w:firstLineChars="200"/>
        <w:rPr>
          <w:color w:val="auto"/>
          <w:sz w:val="24"/>
          <w:highlight w:val="none"/>
        </w:rPr>
      </w:pPr>
      <w:bookmarkStart w:id="6" w:name="_Toc301522262"/>
      <w:bookmarkStart w:id="7" w:name="_Toc299609449"/>
      <w:bookmarkStart w:id="8" w:name="_Toc296017323"/>
      <w:bookmarkStart w:id="9" w:name="_Hlk89997264"/>
      <w:r>
        <w:rPr>
          <w:rFonts w:hint="eastAsia"/>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未被应急管理部（</w:t>
      </w:r>
      <w:r>
        <w:rPr>
          <w:color w:val="auto"/>
          <w:sz w:val="24"/>
          <w:highlight w:val="none"/>
        </w:rPr>
        <w:t>https://www.mem.gov.cn</w:t>
      </w:r>
      <w:r>
        <w:rPr>
          <w:rFonts w:hint="eastAsia"/>
          <w:color w:val="auto"/>
          <w:sz w:val="24"/>
          <w:highlight w:val="none"/>
        </w:rPr>
        <w:t>）列入安全生产严重失信主体名单。</w:t>
      </w:r>
    </w:p>
    <w:p w14:paraId="725E64F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2、以联合体形式投标的，提供联合协议（本项目不接受联合体投标或者投标人不以联合体形式投标的，则不需要提供）；联合体成员个数（含联合体牵头人）不得超过3家。</w:t>
      </w:r>
    </w:p>
    <w:p w14:paraId="2A53F8E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3、落实政府采购政策需满足的资格要求：</w:t>
      </w:r>
    </w:p>
    <w:p w14:paraId="7281618E">
      <w:pPr>
        <w:widowControl w:val="0"/>
        <w:adjustRightInd w:val="0"/>
        <w:snapToGrid w:val="0"/>
        <w:spacing w:line="300" w:lineRule="auto"/>
        <w:ind w:firstLine="480" w:firstLineChars="200"/>
        <w:rPr>
          <w:color w:val="auto"/>
          <w:sz w:val="24"/>
          <w:highlight w:val="none"/>
        </w:rPr>
      </w:pP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int="eastAsia"/>
          <w:color w:val="auto"/>
          <w:sz w:val="24"/>
          <w:highlight w:val="none"/>
        </w:rPr>
        <w:t>无（注：不得限制大中型企业与小微企业组成联合体参与投标）；</w:t>
      </w:r>
    </w:p>
    <w:p w14:paraId="68886D09">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专门面向中小企业</w:t>
      </w:r>
    </w:p>
    <w:p w14:paraId="54CBD433">
      <w:pPr>
        <w:widowControl w:val="0"/>
        <w:adjustRightInd w:val="0"/>
        <w:snapToGrid w:val="0"/>
        <w:spacing w:line="300" w:lineRule="auto"/>
        <w:ind w:firstLine="960" w:firstLineChars="400"/>
        <w:rPr>
          <w:color w:val="auto"/>
          <w:sz w:val="24"/>
          <w:highlight w:val="none"/>
        </w:rPr>
      </w:pPr>
      <w:r>
        <w:rPr>
          <w:rFonts w:hint="eastAsia" w:hAnsi="宋体"/>
          <w:color w:val="auto"/>
          <w:sz w:val="24"/>
          <w:highlight w:val="none"/>
        </w:rPr>
        <w:t>□</w:t>
      </w:r>
      <w:r>
        <w:rPr>
          <w:rFonts w:hint="eastAsia"/>
          <w:color w:val="auto"/>
          <w:sz w:val="24"/>
          <w:highlight w:val="none"/>
        </w:rPr>
        <w:t>服务全部由符合政策要求的中小企业承接，提供中小企业声明函；</w:t>
      </w:r>
    </w:p>
    <w:p w14:paraId="2A9891E1">
      <w:pPr>
        <w:widowControl w:val="0"/>
        <w:adjustRightInd w:val="0"/>
        <w:snapToGrid w:val="0"/>
        <w:spacing w:line="300" w:lineRule="auto"/>
        <w:ind w:firstLine="960" w:firstLineChars="400"/>
        <w:rPr>
          <w:color w:val="auto"/>
          <w:sz w:val="24"/>
          <w:highlight w:val="none"/>
        </w:rPr>
      </w:pPr>
      <w:r>
        <w:rPr>
          <w:rFonts w:hint="eastAsia" w:hAnsi="宋体"/>
          <w:color w:val="auto"/>
          <w:sz w:val="24"/>
          <w:highlight w:val="none"/>
        </w:rPr>
        <w:t>□</w:t>
      </w:r>
      <w:r>
        <w:rPr>
          <w:rFonts w:hint="eastAsia"/>
          <w:color w:val="auto"/>
          <w:sz w:val="24"/>
          <w:highlight w:val="none"/>
        </w:rPr>
        <w:t>服务全部由符合政策要求的小微企业承接，提供中小企业声明函；</w:t>
      </w:r>
    </w:p>
    <w:p w14:paraId="3A21270D">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要求以联合体形式参加，提供联合协议和中小企业声明函，联合协议中中小企业合同金额应当达到</w:t>
      </w:r>
      <w:r>
        <w:rPr>
          <w:color w:val="auto"/>
          <w:sz w:val="24"/>
          <w:highlight w:val="none"/>
          <w:u w:val="single"/>
        </w:rPr>
        <w:t xml:space="preserve">   </w:t>
      </w:r>
      <w:r>
        <w:rPr>
          <w:color w:val="auto"/>
          <w:sz w:val="24"/>
          <w:highlight w:val="none"/>
        </w:rPr>
        <w:t>%</w:t>
      </w:r>
      <w:r>
        <w:rPr>
          <w:rFonts w:hint="eastAsia"/>
          <w:color w:val="auto"/>
          <w:sz w:val="24"/>
          <w:highlight w:val="none"/>
        </w:rPr>
        <w:t>，其中小微企业合同金额应当达到</w:t>
      </w:r>
      <w:r>
        <w:rPr>
          <w:color w:val="auto"/>
          <w:sz w:val="24"/>
          <w:highlight w:val="none"/>
          <w:u w:val="single"/>
        </w:rPr>
        <w:t xml:space="preserve">   </w:t>
      </w:r>
      <w:r>
        <w:rPr>
          <w:color w:val="auto"/>
          <w:sz w:val="24"/>
          <w:highlight w:val="none"/>
        </w:rPr>
        <w:t>%</w:t>
      </w:r>
      <w:r>
        <w:rPr>
          <w:rFonts w:hint="eastAsia"/>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24E3EE0C">
      <w:pPr>
        <w:widowControl w:val="0"/>
        <w:adjustRightInd w:val="0"/>
        <w:snapToGrid w:val="0"/>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要求合同分包，提供分包意向协议和中小企业声明函，分包意向协议中中小企业合同金额应当达到达到</w:t>
      </w:r>
      <w:r>
        <w:rPr>
          <w:color w:val="auto"/>
          <w:sz w:val="24"/>
          <w:highlight w:val="none"/>
          <w:u w:val="single"/>
        </w:rPr>
        <w:t xml:space="preserve">   </w:t>
      </w:r>
      <w:r>
        <w:rPr>
          <w:color w:val="auto"/>
          <w:sz w:val="24"/>
          <w:highlight w:val="none"/>
        </w:rPr>
        <w:t>%</w:t>
      </w:r>
      <w:r>
        <w:rPr>
          <w:rFonts w:hint="eastAsia"/>
          <w:color w:val="auto"/>
          <w:sz w:val="24"/>
          <w:highlight w:val="none"/>
        </w:rPr>
        <w:t>，其中小微企业合同金额应当达到</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w:t>
      </w:r>
      <w:r>
        <w:rPr>
          <w:rFonts w:hint="eastAsia"/>
          <w:color w:val="auto"/>
          <w:sz w:val="24"/>
          <w:highlight w:val="none"/>
        </w:rPr>
        <w:t>；如果供应商本身提供所有标的均由中小企业制造、承建或承接，并相应达到了前述比例要求，视同符合了资格条件，无需再向中小企业分包，无需提供分包意向协议；</w:t>
      </w:r>
    </w:p>
    <w:p w14:paraId="57301168">
      <w:pPr>
        <w:widowControl w:val="0"/>
        <w:adjustRightInd w:val="0"/>
        <w:snapToGrid w:val="0"/>
        <w:spacing w:line="300" w:lineRule="auto"/>
        <w:ind w:firstLine="480" w:firstLineChars="200"/>
        <w:rPr>
          <w:color w:val="auto"/>
          <w:sz w:val="24"/>
          <w:highlight w:val="none"/>
        </w:rPr>
      </w:pPr>
      <w:r>
        <w:rPr>
          <w:color w:val="auto"/>
          <w:sz w:val="24"/>
          <w:highlight w:val="none"/>
        </w:rPr>
        <w:t>4</w:t>
      </w:r>
      <w:r>
        <w:rPr>
          <w:rFonts w:hint="eastAsia"/>
          <w:color w:val="auto"/>
          <w:sz w:val="24"/>
          <w:highlight w:val="none"/>
        </w:rPr>
        <w:t>、本项目的特定资格要求：</w:t>
      </w:r>
    </w:p>
    <w:p w14:paraId="6A18B4D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（1）供应商须同时具备以下资质或由以下①～</w:t>
      </w:r>
      <w:r>
        <w:rPr>
          <w:rFonts w:hint="eastAsia" w:ascii="宋体" w:hAnsi="宋体"/>
          <w:color w:val="auto"/>
          <w:sz w:val="24"/>
          <w:highlight w:val="none"/>
        </w:rPr>
        <w:t>③</w:t>
      </w:r>
      <w:r>
        <w:rPr>
          <w:rFonts w:hint="eastAsia"/>
          <w:color w:val="auto"/>
          <w:sz w:val="24"/>
          <w:highlight w:val="none"/>
        </w:rPr>
        <w:t>资质单位组成联合体：</w:t>
      </w:r>
    </w:p>
    <w:p w14:paraId="50DDC7A9">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①</w:t>
      </w:r>
      <w:r>
        <w:rPr>
          <w:rFonts w:hint="eastAsia"/>
          <w:color w:val="auto"/>
          <w:sz w:val="24"/>
          <w:highlight w:val="none"/>
        </w:rPr>
        <w:t>矿山工程施工总承包一级及以上资质，并具有住建部颁发的有效的《安全生产许可证》及应急管理监督部门颁发的有效的《非煤矿山安全生产许可证》；</w:t>
      </w:r>
    </w:p>
    <w:p w14:paraId="67418365">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②</w:t>
      </w:r>
      <w:r>
        <w:rPr>
          <w:rFonts w:hint="eastAsia"/>
          <w:color w:val="auto"/>
          <w:sz w:val="24"/>
          <w:highlight w:val="none"/>
        </w:rPr>
        <w:t>港口与航道工程施工总承包三级及以上资质，并具有住建部颁发的有效的《安全生产许可证》；</w:t>
      </w:r>
    </w:p>
    <w:p w14:paraId="575AB433">
      <w:pPr>
        <w:widowControl w:val="0"/>
        <w:adjustRightInd w:val="0"/>
        <w:snapToGrid w:val="0"/>
        <w:spacing w:line="300" w:lineRule="auto"/>
        <w:ind w:firstLine="480" w:firstLineChars="200"/>
        <w:rPr>
          <w:color w:val="auto"/>
          <w:sz w:val="24"/>
          <w:highlight w:val="none"/>
        </w:rPr>
      </w:pPr>
      <w:r>
        <w:rPr>
          <w:rFonts w:hint="eastAsia" w:ascii="宋体" w:hAnsi="宋体"/>
          <w:color w:val="auto"/>
          <w:sz w:val="24"/>
          <w:highlight w:val="none"/>
        </w:rPr>
        <w:t>③</w:t>
      </w:r>
      <w:r>
        <w:rPr>
          <w:rFonts w:hint="eastAsia"/>
          <w:color w:val="auto"/>
          <w:sz w:val="24"/>
          <w:highlight w:val="none"/>
        </w:rPr>
        <w:t>公安部门颁发的《爆破作业单位许可证》（营业性）一级，并具有有效的《安全生产许可证》；</w:t>
      </w:r>
    </w:p>
    <w:p w14:paraId="554222F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（2）项目主要负责人资格要求：</w:t>
      </w:r>
    </w:p>
    <w:p w14:paraId="679C1839">
      <w:pPr>
        <w:widowControl w:val="0"/>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①矿山工程施工负责人资格要求：具有注册建造师（矿业工程）一级和建设行政主管部门颁发的合格有效的安全生产考核合格证书（</w:t>
      </w:r>
      <w:r>
        <w:rPr>
          <w:color w:val="auto"/>
          <w:sz w:val="24"/>
          <w:highlight w:val="none"/>
        </w:rPr>
        <w:t>B证</w:t>
      </w:r>
      <w:r>
        <w:rPr>
          <w:rFonts w:hint="eastAsia" w:ascii="宋体" w:hAnsi="宋体"/>
          <w:color w:val="auto"/>
          <w:sz w:val="24"/>
          <w:highlight w:val="none"/>
        </w:rPr>
        <w:t>），无在建工程；</w:t>
      </w:r>
    </w:p>
    <w:p w14:paraId="5D285D1E">
      <w:pPr>
        <w:widowControl w:val="0"/>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②外运配套码头施工负责人资格要求：具有注册建造师（港口与航道工程）一级和交通运输行政主管部门颁发的合格有效的安全生产考核合格证书（</w:t>
      </w:r>
      <w:r>
        <w:rPr>
          <w:color w:val="auto"/>
          <w:sz w:val="24"/>
          <w:highlight w:val="none"/>
        </w:rPr>
        <w:t>B证</w:t>
      </w:r>
      <w:r>
        <w:rPr>
          <w:rFonts w:hint="eastAsia" w:ascii="宋体" w:hAnsi="宋体"/>
          <w:color w:val="auto"/>
          <w:sz w:val="24"/>
          <w:highlight w:val="none"/>
        </w:rPr>
        <w:t>），无在建工程；</w:t>
      </w:r>
    </w:p>
    <w:p w14:paraId="708933DE">
      <w:pPr>
        <w:widowControl w:val="0"/>
        <w:adjustRightInd w:val="0"/>
        <w:snapToGrid w:val="0"/>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③项目技术负责人资格：具有爆破工程技术人员（</w:t>
      </w:r>
      <w:r>
        <w:rPr>
          <w:color w:val="auto"/>
          <w:sz w:val="24"/>
          <w:highlight w:val="none"/>
        </w:rPr>
        <w:t>高级/B</w:t>
      </w:r>
      <w:r>
        <w:rPr>
          <w:rFonts w:hint="eastAsia" w:ascii="宋体" w:hAnsi="宋体"/>
          <w:color w:val="auto"/>
          <w:sz w:val="24"/>
          <w:highlight w:val="none"/>
        </w:rPr>
        <w:t>）及以上证书和采矿（或爆破）类相关专业高级工程师及以上职称。</w:t>
      </w:r>
    </w:p>
    <w:p w14:paraId="3F077C4C">
      <w:pPr>
        <w:widowControl w:val="0"/>
        <w:adjustRightInd w:val="0"/>
        <w:snapToGrid w:val="0"/>
        <w:spacing w:line="300" w:lineRule="auto"/>
        <w:ind w:firstLine="480" w:firstLineChars="200"/>
        <w:rPr>
          <w:i/>
          <w:iCs/>
          <w:color w:val="auto"/>
          <w:sz w:val="24"/>
          <w:highlight w:val="none"/>
        </w:rPr>
      </w:pPr>
      <w:r>
        <w:rPr>
          <w:color w:val="auto"/>
          <w:sz w:val="24"/>
          <w:highlight w:val="none"/>
        </w:rPr>
        <w:t>5</w:t>
      </w:r>
      <w:r>
        <w:rPr>
          <w:rFonts w:hint="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6"/>
    <w:bookmarkEnd w:id="7"/>
    <w:bookmarkEnd w:id="8"/>
    <w:p w14:paraId="1D383C6A">
      <w:pPr>
        <w:pStyle w:val="417"/>
        <w:rPr>
          <w:color w:val="auto"/>
          <w:highlight w:val="none"/>
        </w:rPr>
      </w:pPr>
      <w:bookmarkStart w:id="10" w:name="_Toc173761914"/>
      <w:r>
        <w:rPr>
          <w:rFonts w:hint="eastAsia"/>
          <w:color w:val="auto"/>
          <w:highlight w:val="none"/>
        </w:rPr>
        <w:t>三、获取招标文件</w:t>
      </w:r>
      <w:bookmarkEnd w:id="10"/>
    </w:p>
    <w:bookmarkEnd w:id="9"/>
    <w:p w14:paraId="117268F4">
      <w:pPr>
        <w:widowControl w:val="0"/>
        <w:adjustRightInd w:val="0"/>
        <w:snapToGrid w:val="0"/>
        <w:spacing w:line="300" w:lineRule="auto"/>
        <w:ind w:firstLine="482" w:firstLineChars="200"/>
        <w:rPr>
          <w:color w:val="auto"/>
          <w:sz w:val="24"/>
          <w:highlight w:val="none"/>
          <w:lang w:bidi="ar"/>
        </w:rPr>
      </w:pPr>
      <w:bookmarkStart w:id="11" w:name="_Toc301522263"/>
      <w:bookmarkStart w:id="12" w:name="_Toc287444411"/>
      <w:bookmarkStart w:id="13" w:name="_Toc299416711"/>
      <w:r>
        <w:rPr>
          <w:b/>
          <w:bCs/>
          <w:color w:val="auto"/>
          <w:sz w:val="24"/>
          <w:highlight w:val="none"/>
          <w:lang w:bidi="ar"/>
        </w:rPr>
        <w:t>时间：</w:t>
      </w:r>
      <w:r>
        <w:rPr>
          <w:color w:val="auto"/>
          <w:sz w:val="24"/>
          <w:highlight w:val="none"/>
          <w:u w:val="single"/>
          <w:lang w:bidi="ar"/>
        </w:rPr>
        <w:t xml:space="preserve">  /</w:t>
      </w:r>
      <w:r>
        <w:rPr>
          <w:rFonts w:hint="eastAsia"/>
          <w:color w:val="auto"/>
          <w:sz w:val="24"/>
          <w:highlight w:val="none"/>
          <w:u w:val="single"/>
          <w:lang w:bidi="ar"/>
        </w:rPr>
        <w:t>至2024年8月2</w:t>
      </w:r>
      <w:r>
        <w:rPr>
          <w:rFonts w:hint="eastAsia"/>
          <w:color w:val="auto"/>
          <w:sz w:val="24"/>
          <w:highlight w:val="none"/>
          <w:u w:val="single"/>
          <w:lang w:val="en-US" w:eastAsia="zh-CN" w:bidi="ar"/>
        </w:rPr>
        <w:t>6</w:t>
      </w:r>
      <w:r>
        <w:rPr>
          <w:rFonts w:hint="eastAsia"/>
          <w:color w:val="auto"/>
          <w:sz w:val="24"/>
          <w:highlight w:val="none"/>
          <w:u w:val="single"/>
          <w:lang w:bidi="ar"/>
        </w:rPr>
        <w:t xml:space="preserve">日  </w:t>
      </w:r>
      <w:r>
        <w:rPr>
          <w:rFonts w:hint="eastAsia"/>
          <w:color w:val="auto"/>
          <w:sz w:val="24"/>
          <w:highlight w:val="none"/>
          <w:lang w:bidi="ar"/>
        </w:rPr>
        <w:t>，每天上午00:00至12:00，下午12:00至23:59（北京时间，线上获取法定节假日均可，</w:t>
      </w:r>
      <w:bookmarkStart w:id="430" w:name="_GoBack"/>
      <w:bookmarkEnd w:id="430"/>
      <w:r>
        <w:rPr>
          <w:rFonts w:hint="eastAsia"/>
          <w:color w:val="auto"/>
          <w:sz w:val="24"/>
          <w:highlight w:val="none"/>
          <w:lang w:bidi="ar"/>
        </w:rPr>
        <w:t>线下获取文件法定节假日除外）</w:t>
      </w:r>
      <w:r>
        <w:rPr>
          <w:color w:val="auto"/>
          <w:sz w:val="24"/>
          <w:highlight w:val="none"/>
          <w:lang w:bidi="ar"/>
        </w:rPr>
        <w:t>。</w:t>
      </w:r>
    </w:p>
    <w:p w14:paraId="6D312630">
      <w:pPr>
        <w:widowControl w:val="0"/>
        <w:adjustRightInd w:val="0"/>
        <w:snapToGrid w:val="0"/>
        <w:spacing w:line="300" w:lineRule="auto"/>
        <w:ind w:firstLine="482" w:firstLineChars="200"/>
        <w:rPr>
          <w:color w:val="auto"/>
          <w:sz w:val="24"/>
          <w:highlight w:val="none"/>
        </w:rPr>
      </w:pPr>
      <w:r>
        <w:rPr>
          <w:b/>
          <w:bCs/>
          <w:color w:val="auto"/>
          <w:sz w:val="24"/>
          <w:highlight w:val="none"/>
          <w:lang w:bidi="ar"/>
        </w:rPr>
        <w:t>地点</w:t>
      </w:r>
      <w:r>
        <w:rPr>
          <w:rFonts w:hint="eastAsia"/>
          <w:b/>
          <w:bCs/>
          <w:color w:val="auto"/>
          <w:sz w:val="24"/>
          <w:highlight w:val="none"/>
          <w:lang w:bidi="ar"/>
        </w:rPr>
        <w:t>（网址）</w:t>
      </w:r>
      <w:r>
        <w:rPr>
          <w:b/>
          <w:bCs/>
          <w:color w:val="auto"/>
          <w:sz w:val="24"/>
          <w:highlight w:val="none"/>
          <w:lang w:bidi="ar"/>
        </w:rPr>
        <w:t>：</w:t>
      </w:r>
      <w:r>
        <w:rPr>
          <w:rFonts w:hint="eastAsia"/>
          <w:color w:val="auto"/>
          <w:sz w:val="24"/>
          <w:highlight w:val="none"/>
          <w:lang w:bidi="ar"/>
        </w:rPr>
        <w:t>乐采云平台（https://www.zcygov.cn）。</w:t>
      </w:r>
    </w:p>
    <w:p w14:paraId="1192FF91">
      <w:pPr>
        <w:widowControl w:val="0"/>
        <w:adjustRightInd w:val="0"/>
        <w:snapToGrid w:val="0"/>
        <w:spacing w:line="300" w:lineRule="auto"/>
        <w:ind w:firstLine="482" w:firstLineChars="200"/>
        <w:rPr>
          <w:color w:val="auto"/>
          <w:sz w:val="24"/>
          <w:highlight w:val="none"/>
          <w:lang w:bidi="ar"/>
        </w:rPr>
      </w:pPr>
      <w:r>
        <w:rPr>
          <w:b/>
          <w:bCs/>
          <w:color w:val="auto"/>
          <w:sz w:val="24"/>
          <w:highlight w:val="none"/>
          <w:lang w:bidi="ar"/>
        </w:rPr>
        <w:t>方式：</w:t>
      </w:r>
      <w:r>
        <w:rPr>
          <w:rFonts w:hint="eastAsia"/>
          <w:color w:val="auto"/>
          <w:sz w:val="24"/>
          <w:highlight w:val="none"/>
          <w:lang w:bidi="ar"/>
        </w:rPr>
        <w:t>供应商登录乐采云平台login-lcy.lecaiyun.com在线申请获取采购文件（进入“项目采购”应用，在获取采购文件菜单中选择项目，申请获取采购文件）。</w:t>
      </w:r>
    </w:p>
    <w:p w14:paraId="4F632887">
      <w:pPr>
        <w:widowControl w:val="0"/>
        <w:adjustRightInd w:val="0"/>
        <w:snapToGrid w:val="0"/>
        <w:spacing w:line="300" w:lineRule="auto"/>
        <w:ind w:firstLine="482" w:firstLineChars="200"/>
        <w:rPr>
          <w:color w:val="auto"/>
          <w:sz w:val="24"/>
          <w:highlight w:val="none"/>
        </w:rPr>
      </w:pPr>
      <w:r>
        <w:rPr>
          <w:b/>
          <w:bCs/>
          <w:color w:val="auto"/>
          <w:sz w:val="24"/>
          <w:highlight w:val="none"/>
          <w:lang w:bidi="ar"/>
        </w:rPr>
        <w:t>售价</w:t>
      </w:r>
      <w:r>
        <w:rPr>
          <w:rFonts w:hint="eastAsia"/>
          <w:b/>
          <w:bCs/>
          <w:color w:val="auto"/>
          <w:sz w:val="24"/>
          <w:highlight w:val="none"/>
          <w:lang w:bidi="ar"/>
        </w:rPr>
        <w:t>（元）</w:t>
      </w:r>
      <w:r>
        <w:rPr>
          <w:color w:val="auto"/>
          <w:sz w:val="24"/>
          <w:highlight w:val="none"/>
          <w:lang w:bidi="ar"/>
        </w:rPr>
        <w:t>：0。</w:t>
      </w:r>
    </w:p>
    <w:p w14:paraId="2A16AE7E">
      <w:pPr>
        <w:pStyle w:val="417"/>
        <w:rPr>
          <w:color w:val="auto"/>
          <w:highlight w:val="none"/>
        </w:rPr>
      </w:pPr>
      <w:bookmarkStart w:id="14" w:name="_Toc173761915"/>
      <w:r>
        <w:rPr>
          <w:rFonts w:hint="eastAsia"/>
          <w:color w:val="auto"/>
          <w:highlight w:val="none"/>
        </w:rPr>
        <w:t>四、提交投标文件截止时间、开标时间和地点</w:t>
      </w:r>
      <w:bookmarkEnd w:id="14"/>
    </w:p>
    <w:p w14:paraId="4330DD62">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提交投标文件截止时间：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2024年9月2日9点20分0</w:t>
      </w:r>
      <w:r>
        <w:rPr>
          <w:color w:val="auto"/>
          <w:sz w:val="24"/>
          <w:highlight w:val="none"/>
          <w:u w:val="single"/>
        </w:rPr>
        <w:t>0</w:t>
      </w:r>
      <w:r>
        <w:rPr>
          <w:rFonts w:hint="eastAsia"/>
          <w:color w:val="auto"/>
          <w:sz w:val="24"/>
          <w:highlight w:val="none"/>
          <w:u w:val="single"/>
        </w:rPr>
        <w:t xml:space="preserve">秒 </w:t>
      </w:r>
      <w:r>
        <w:rPr>
          <w:color w:val="auto"/>
          <w:sz w:val="24"/>
          <w:highlight w:val="none"/>
          <w:u w:val="single"/>
        </w:rPr>
        <w:t xml:space="preserve"> </w:t>
      </w:r>
      <w:r>
        <w:rPr>
          <w:rFonts w:hint="eastAsia"/>
          <w:color w:val="auto"/>
          <w:sz w:val="24"/>
          <w:highlight w:val="none"/>
        </w:rPr>
        <w:t>（北京时间）</w:t>
      </w:r>
    </w:p>
    <w:p w14:paraId="44A9C8A0">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投标地点（网址）：</w:t>
      </w:r>
      <w:r>
        <w:rPr>
          <w:rFonts w:hint="eastAsia"/>
          <w:color w:val="auto"/>
          <w:sz w:val="24"/>
          <w:highlight w:val="none"/>
        </w:rPr>
        <w:t>乐采云平台（login-lcy.lecaiyun.com）。</w:t>
      </w:r>
    </w:p>
    <w:p w14:paraId="40827BAA">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开标时间：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2024年9月2日9点20分0</w:t>
      </w:r>
      <w:r>
        <w:rPr>
          <w:color w:val="auto"/>
          <w:sz w:val="24"/>
          <w:highlight w:val="none"/>
          <w:u w:val="single"/>
        </w:rPr>
        <w:t>0</w:t>
      </w:r>
      <w:r>
        <w:rPr>
          <w:rFonts w:hint="eastAsia"/>
          <w:color w:val="auto"/>
          <w:sz w:val="24"/>
          <w:highlight w:val="none"/>
          <w:u w:val="single"/>
        </w:rPr>
        <w:t xml:space="preserve">秒 </w:t>
      </w:r>
      <w:r>
        <w:rPr>
          <w:color w:val="auto"/>
          <w:sz w:val="24"/>
          <w:highlight w:val="none"/>
          <w:u w:val="single"/>
        </w:rPr>
        <w:t xml:space="preserve"> </w:t>
      </w:r>
      <w:r>
        <w:rPr>
          <w:rFonts w:hint="eastAsia"/>
          <w:color w:val="auto"/>
          <w:sz w:val="24"/>
          <w:highlight w:val="none"/>
        </w:rPr>
        <w:t>（北京时间）</w:t>
      </w:r>
    </w:p>
    <w:p w14:paraId="68CF04EB">
      <w:pPr>
        <w:widowControl w:val="0"/>
        <w:adjustRightInd w:val="0"/>
        <w:snapToGrid w:val="0"/>
        <w:spacing w:line="300" w:lineRule="auto"/>
        <w:ind w:firstLine="482" w:firstLineChars="200"/>
        <w:jc w:val="left"/>
        <w:rPr>
          <w:color w:val="auto"/>
          <w:sz w:val="24"/>
          <w:highlight w:val="none"/>
        </w:rPr>
      </w:pPr>
      <w:r>
        <w:rPr>
          <w:rFonts w:hint="eastAsia"/>
          <w:b/>
          <w:bCs/>
          <w:color w:val="auto"/>
          <w:sz w:val="24"/>
          <w:highlight w:val="none"/>
        </w:rPr>
        <w:t>开标地点（网址）：</w:t>
      </w:r>
      <w:r>
        <w:rPr>
          <w:rFonts w:hint="eastAsia"/>
          <w:color w:val="auto"/>
          <w:sz w:val="24"/>
          <w:highlight w:val="none"/>
        </w:rPr>
        <w:t>乐采云平台（login-lcy.lecaiyun.com）。</w:t>
      </w:r>
    </w:p>
    <w:p w14:paraId="68FC953E">
      <w:pPr>
        <w:pStyle w:val="417"/>
        <w:rPr>
          <w:color w:val="auto"/>
          <w:highlight w:val="none"/>
        </w:rPr>
      </w:pPr>
      <w:bookmarkStart w:id="15" w:name="_Toc173761916"/>
      <w:r>
        <w:rPr>
          <w:rFonts w:hint="eastAsia"/>
          <w:color w:val="auto"/>
          <w:highlight w:val="none"/>
        </w:rPr>
        <w:t>五、公告期限</w:t>
      </w:r>
      <w:bookmarkEnd w:id="15"/>
    </w:p>
    <w:p w14:paraId="3CF65E9D">
      <w:pPr>
        <w:widowControl w:val="0"/>
        <w:adjustRightInd w:val="0"/>
        <w:snapToGrid w:val="0"/>
        <w:spacing w:line="300" w:lineRule="auto"/>
        <w:ind w:firstLine="480" w:firstLineChars="200"/>
        <w:jc w:val="left"/>
        <w:rPr>
          <w:color w:val="auto"/>
          <w:sz w:val="24"/>
          <w:highlight w:val="none"/>
        </w:rPr>
      </w:pPr>
      <w:r>
        <w:rPr>
          <w:rFonts w:hint="eastAsia"/>
          <w:color w:val="auto"/>
          <w:sz w:val="24"/>
          <w:highlight w:val="none"/>
        </w:rPr>
        <w:t>自本公告发布之日起5个工作日。</w:t>
      </w:r>
    </w:p>
    <w:p w14:paraId="529886E0">
      <w:pPr>
        <w:pStyle w:val="417"/>
        <w:rPr>
          <w:color w:val="auto"/>
          <w:highlight w:val="none"/>
        </w:rPr>
      </w:pPr>
      <w:bookmarkStart w:id="16" w:name="_Toc173761917"/>
      <w:r>
        <w:rPr>
          <w:rFonts w:hint="eastAsia"/>
          <w:color w:val="auto"/>
          <w:highlight w:val="none"/>
        </w:rPr>
        <w:t>六、其他补充事宜</w:t>
      </w:r>
      <w:bookmarkEnd w:id="16"/>
    </w:p>
    <w:p w14:paraId="407B110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C49D2C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6DDF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1E8B93">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4、其他事项：</w:t>
      </w:r>
      <w:r>
        <w:rPr>
          <w:b/>
          <w:bCs/>
          <w:color w:val="auto"/>
          <w:sz w:val="24"/>
          <w:szCs w:val="24"/>
          <w:highlight w:val="none"/>
        </w:rPr>
        <w:t>（1）需要落实的政府采购政策：</w:t>
      </w:r>
      <w:r>
        <w:rPr>
          <w:color w:val="auto"/>
          <w:sz w:val="24"/>
          <w:szCs w:val="24"/>
          <w:highlight w:val="none"/>
        </w:rPr>
        <w:t>包括节约资源、保护环境、支持创新、促进中小企业发展等。详见招标文件的第二部分总则。</w:t>
      </w:r>
      <w:r>
        <w:rPr>
          <w:b/>
          <w:bCs/>
          <w:color w:val="auto"/>
          <w:sz w:val="24"/>
          <w:szCs w:val="24"/>
          <w:highlight w:val="none"/>
        </w:rPr>
        <w:t>（2）电子招投标的说明：①电子招投标：</w:t>
      </w:r>
      <w:r>
        <w:rPr>
          <w:color w:val="auto"/>
          <w:sz w:val="24"/>
          <w:szCs w:val="24"/>
          <w:highlight w:val="none"/>
        </w:rPr>
        <w:t>本项目以数据电文形式，依托</w:t>
      </w:r>
      <w:r>
        <w:rPr>
          <w:rFonts w:ascii="宋体" w:hAnsi="宋体"/>
          <w:color w:val="auto"/>
          <w:sz w:val="24"/>
          <w:szCs w:val="24"/>
          <w:highlight w:val="none"/>
        </w:rPr>
        <w:t>“政府</w:t>
      </w:r>
      <w:r>
        <w:rPr>
          <w:color w:val="auto"/>
          <w:sz w:val="24"/>
          <w:szCs w:val="24"/>
          <w:highlight w:val="none"/>
        </w:rPr>
        <w:t>采购云平台（www.zcygov.cn）</w:t>
      </w:r>
      <w:r>
        <w:rPr>
          <w:rFonts w:ascii="宋体" w:hAnsi="宋体"/>
          <w:color w:val="auto"/>
          <w:sz w:val="24"/>
          <w:szCs w:val="24"/>
          <w:highlight w:val="none"/>
        </w:rPr>
        <w:t>”进行</w:t>
      </w:r>
      <w:r>
        <w:rPr>
          <w:color w:val="auto"/>
          <w:sz w:val="24"/>
          <w:szCs w:val="24"/>
          <w:highlight w:val="none"/>
        </w:rPr>
        <w:t>招投标活动，不接受纸质投标文件；</w:t>
      </w:r>
      <w:r>
        <w:rPr>
          <w:b/>
          <w:bCs/>
          <w:color w:val="auto"/>
          <w:sz w:val="24"/>
          <w:szCs w:val="24"/>
          <w:highlight w:val="none"/>
        </w:rPr>
        <w:t>②投标准备：</w:t>
      </w:r>
      <w:r>
        <w:rPr>
          <w:color w:val="auto"/>
          <w:sz w:val="24"/>
          <w:szCs w:val="24"/>
          <w:highlight w:val="none"/>
        </w:rPr>
        <w:t>注册账号—点击</w:t>
      </w:r>
      <w:r>
        <w:rPr>
          <w:rFonts w:ascii="宋体" w:hAnsi="宋体"/>
          <w:color w:val="auto"/>
          <w:sz w:val="24"/>
          <w:szCs w:val="24"/>
          <w:highlight w:val="none"/>
        </w:rPr>
        <w:t>“商家入驻”，进</w:t>
      </w:r>
      <w:r>
        <w:rPr>
          <w:color w:val="auto"/>
          <w:sz w:val="24"/>
          <w:szCs w:val="24"/>
          <w:highlight w:val="none"/>
        </w:rPr>
        <w:t>行政府采购供应商资料填写；申领CA数字证书—申领流程详见</w:t>
      </w:r>
      <w:r>
        <w:rPr>
          <w:rFonts w:ascii="宋体" w:hAnsi="宋体"/>
          <w:color w:val="auto"/>
          <w:sz w:val="24"/>
          <w:szCs w:val="24"/>
          <w:highlight w:val="none"/>
        </w:rPr>
        <w:t>“浙江政府采购网—下载专区—电子交易客户端—CA驱动和申领流程”；安装“政采云电子交易客户端”—前往“浙江政府采购网—下载专区—电子交易客户端”进行下载并安</w:t>
      </w:r>
      <w:r>
        <w:rPr>
          <w:color w:val="auto"/>
          <w:sz w:val="24"/>
          <w:szCs w:val="24"/>
          <w:highlight w:val="none"/>
        </w:rPr>
        <w:t>装；</w:t>
      </w:r>
      <w:r>
        <w:rPr>
          <w:b/>
          <w:bCs/>
          <w:color w:val="auto"/>
          <w:sz w:val="24"/>
          <w:szCs w:val="24"/>
          <w:highlight w:val="none"/>
        </w:rPr>
        <w:t>③招标文件的获取：</w:t>
      </w:r>
      <w:r>
        <w:rPr>
          <w:color w:val="auto"/>
          <w:sz w:val="24"/>
          <w:szCs w:val="24"/>
          <w:highlight w:val="none"/>
        </w:rPr>
        <w:t>使用账号登录或者使用CA登录乐采云平台；进</w:t>
      </w:r>
      <w:r>
        <w:rPr>
          <w:rFonts w:ascii="宋体" w:hAnsi="宋体"/>
          <w:color w:val="auto"/>
          <w:sz w:val="24"/>
          <w:szCs w:val="24"/>
          <w:highlight w:val="none"/>
        </w:rPr>
        <w:t>入“项目采购”应用，在获取</w:t>
      </w:r>
      <w:r>
        <w:rPr>
          <w:color w:val="auto"/>
          <w:sz w:val="24"/>
          <w:szCs w:val="24"/>
          <w:highlight w:val="none"/>
        </w:rPr>
        <w:t>采购文件菜单中选择项目，获取招标文件；</w:t>
      </w:r>
      <w:r>
        <w:rPr>
          <w:b/>
          <w:bCs/>
          <w:color w:val="auto"/>
          <w:sz w:val="24"/>
          <w:szCs w:val="24"/>
          <w:highlight w:val="none"/>
        </w:rPr>
        <w:t>④投标文件的制作：</w:t>
      </w:r>
      <w:r>
        <w:rPr>
          <w:color w:val="auto"/>
          <w:sz w:val="24"/>
          <w:szCs w:val="24"/>
          <w:highlight w:val="none"/>
        </w:rPr>
        <w:t>在</w:t>
      </w:r>
      <w:r>
        <w:rPr>
          <w:rFonts w:ascii="宋体" w:hAnsi="宋体"/>
          <w:color w:val="auto"/>
          <w:sz w:val="24"/>
          <w:szCs w:val="24"/>
          <w:highlight w:val="none"/>
        </w:rPr>
        <w:t>“政采云电子交易客户端”中完成“填写基本信息”、“导入投标文件”、“标书关联”、“标书检查”、“电子签名”、“生成电子标书”等</w:t>
      </w:r>
      <w:r>
        <w:rPr>
          <w:color w:val="auto"/>
          <w:sz w:val="24"/>
          <w:szCs w:val="24"/>
          <w:highlight w:val="none"/>
        </w:rPr>
        <w:t>操作；</w:t>
      </w:r>
      <w:r>
        <w:rPr>
          <w:b/>
          <w:bCs/>
          <w:color w:val="auto"/>
          <w:sz w:val="24"/>
          <w:szCs w:val="24"/>
          <w:highlight w:val="none"/>
        </w:rPr>
        <w:t>⑤</w:t>
      </w:r>
      <w:r>
        <w:rPr>
          <w:color w:val="auto"/>
          <w:sz w:val="24"/>
          <w:szCs w:val="24"/>
          <w:highlight w:val="none"/>
        </w:rPr>
        <w:t>采购人、采购代理机构将依托乐采云平台完成本项目的电子交易活动，平台不接受未按上述方式获取招标文件的供应商进行投标活动；</w:t>
      </w:r>
      <w:r>
        <w:rPr>
          <w:b/>
          <w:bCs/>
          <w:color w:val="auto"/>
          <w:sz w:val="24"/>
          <w:szCs w:val="24"/>
          <w:highlight w:val="none"/>
        </w:rPr>
        <w:t>⑥</w:t>
      </w:r>
      <w:r>
        <w:rPr>
          <w:color w:val="auto"/>
          <w:sz w:val="24"/>
          <w:szCs w:val="24"/>
          <w:highlight w:val="none"/>
        </w:rPr>
        <w:t>对未按上述方式获取招标文件的供应商对该文件提出的质疑，采购人或采购代理机构将不予处理；</w:t>
      </w:r>
      <w:r>
        <w:rPr>
          <w:b/>
          <w:bCs/>
          <w:color w:val="auto"/>
          <w:sz w:val="24"/>
          <w:szCs w:val="24"/>
          <w:highlight w:val="none"/>
        </w:rPr>
        <w:t>⑦</w:t>
      </w:r>
      <w:r>
        <w:rPr>
          <w:color w:val="auto"/>
          <w:sz w:val="24"/>
          <w:szCs w:val="24"/>
          <w:highlight w:val="none"/>
        </w:rPr>
        <w:t>不提供招标文件纸质版；</w:t>
      </w:r>
      <w:r>
        <w:rPr>
          <w:b/>
          <w:bCs/>
          <w:color w:val="auto"/>
          <w:sz w:val="24"/>
          <w:szCs w:val="24"/>
          <w:highlight w:val="none"/>
        </w:rPr>
        <w:t>⑧投标文件的传输递交：</w:t>
      </w:r>
      <w:r>
        <w:rPr>
          <w:color w:val="auto"/>
          <w:sz w:val="24"/>
          <w:szCs w:val="24"/>
          <w:highlight w:val="none"/>
        </w:rPr>
        <w:t>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b/>
          <w:bCs/>
          <w:color w:val="auto"/>
          <w:sz w:val="24"/>
          <w:szCs w:val="24"/>
          <w:highlight w:val="none"/>
        </w:rPr>
        <w:t>⑨投标文件的解密：</w:t>
      </w:r>
      <w:r>
        <w:rPr>
          <w:color w:val="auto"/>
          <w:sz w:val="24"/>
          <w:szCs w:val="24"/>
          <w:highlight w:val="none"/>
        </w:rPr>
        <w:t>投标人按照平台提示和招标文件的规定在半小时内完成在线解密。通</w:t>
      </w:r>
      <w:r>
        <w:rPr>
          <w:rFonts w:ascii="宋体" w:hAnsi="宋体"/>
          <w:color w:val="auto"/>
          <w:sz w:val="24"/>
          <w:szCs w:val="24"/>
          <w:highlight w:val="none"/>
        </w:rPr>
        <w:t>过“政府采购云平台”上</w:t>
      </w:r>
      <w:r>
        <w:rPr>
          <w:color w:val="auto"/>
          <w:sz w:val="24"/>
          <w:szCs w:val="24"/>
          <w:highlight w:val="none"/>
        </w:rPr>
        <w:t>传递交的投标文件无法按时解密，投标供应商递交了备份投标文件的，以备份投标文件为依据，否则视为投标文件撤回。通</w:t>
      </w:r>
      <w:r>
        <w:rPr>
          <w:rFonts w:ascii="宋体" w:hAnsi="宋体"/>
          <w:color w:val="auto"/>
          <w:sz w:val="24"/>
          <w:szCs w:val="24"/>
          <w:highlight w:val="none"/>
        </w:rPr>
        <w:t>过“政府采购云平台”上传递</w:t>
      </w:r>
      <w:r>
        <w:rPr>
          <w:color w:val="auto"/>
          <w:sz w:val="24"/>
          <w:szCs w:val="24"/>
          <w:highlight w:val="none"/>
        </w:rPr>
        <w:t>交的投标文件已按时解密的，备份投标文件自动失效。投标人仅提交备份投标文件，未在电子交易平台传输递交投标文件的，投标无效；</w:t>
      </w:r>
      <w:r>
        <w:rPr>
          <w:b/>
          <w:bCs/>
          <w:color w:val="auto"/>
          <w:sz w:val="24"/>
          <w:szCs w:val="24"/>
          <w:highlight w:val="none"/>
        </w:rPr>
        <w:t>⑩具体操作指南：</w:t>
      </w:r>
      <w:r>
        <w:rPr>
          <w:color w:val="auto"/>
          <w:sz w:val="24"/>
          <w:szCs w:val="24"/>
          <w:highlight w:val="none"/>
        </w:rPr>
        <w:t>详见乐采云平台</w:t>
      </w:r>
      <w:r>
        <w:rPr>
          <w:rFonts w:ascii="宋体" w:hAnsi="宋体"/>
          <w:color w:val="auto"/>
          <w:sz w:val="24"/>
          <w:szCs w:val="24"/>
          <w:highlight w:val="none"/>
        </w:rPr>
        <w:t>“服务中心—帮助文档—项目采购—操作流程—电子招投标—政府采购项目电子交易管理操作指南—供应商”</w:t>
      </w:r>
      <w:r>
        <w:rPr>
          <w:color w:val="auto"/>
          <w:sz w:val="24"/>
          <w:szCs w:val="24"/>
          <w:highlight w:val="none"/>
        </w:rPr>
        <w:t>。</w:t>
      </w:r>
      <w:r>
        <w:rPr>
          <w:b/>
          <w:bCs/>
          <w:color w:val="auto"/>
          <w:sz w:val="24"/>
          <w:szCs w:val="24"/>
          <w:highlight w:val="none"/>
        </w:rPr>
        <w:t>（3）</w:t>
      </w:r>
      <w:r>
        <w:rPr>
          <w:color w:val="auto"/>
          <w:sz w:val="24"/>
          <w:szCs w:val="24"/>
          <w:highlight w:val="none"/>
        </w:rPr>
        <w:t>招标文件公告期限与招标公告的公告期限一致。</w:t>
      </w:r>
    </w:p>
    <w:p w14:paraId="63DD5261">
      <w:pPr>
        <w:pStyle w:val="417"/>
        <w:rPr>
          <w:color w:val="auto"/>
          <w:highlight w:val="none"/>
        </w:rPr>
      </w:pPr>
      <w:bookmarkStart w:id="17" w:name="_Toc173761918"/>
      <w:r>
        <w:rPr>
          <w:rFonts w:hint="eastAsia"/>
          <w:color w:val="auto"/>
          <w:highlight w:val="none"/>
        </w:rPr>
        <w:t>七、对本次采购提出询问、质疑、投诉，请按以下方式联系</w:t>
      </w:r>
      <w:bookmarkEnd w:id="17"/>
    </w:p>
    <w:bookmarkEnd w:id="11"/>
    <w:bookmarkEnd w:id="12"/>
    <w:bookmarkEnd w:id="13"/>
    <w:p w14:paraId="3CAE341F">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1、采购人信息</w:t>
      </w:r>
    </w:p>
    <w:p w14:paraId="02125DC9">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名称：宁波交运资源开发有限公司</w:t>
      </w:r>
    </w:p>
    <w:p w14:paraId="15A4974D">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地址：宁波市象山县丹东街道象山港路1199号</w:t>
      </w:r>
    </w:p>
    <w:p w14:paraId="664D300D">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传真：</w:t>
      </w:r>
      <w:r>
        <w:rPr>
          <w:rFonts w:hint="eastAsia" w:ascii="宋体" w:hAnsi="宋体" w:cs="宋体"/>
          <w:color w:val="auto"/>
          <w:sz w:val="24"/>
          <w:highlight w:val="none"/>
        </w:rPr>
        <w:t>/</w:t>
      </w:r>
    </w:p>
    <w:p w14:paraId="3A3953B7">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项目联系人（询问）：欧成立</w:t>
      </w:r>
    </w:p>
    <w:p w14:paraId="444D6A06">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项目联系方式（询问）：</w:t>
      </w:r>
      <w:r>
        <w:rPr>
          <w:snapToGrid w:val="0"/>
          <w:color w:val="auto"/>
          <w:kern w:val="0"/>
          <w:sz w:val="24"/>
          <w:highlight w:val="none"/>
        </w:rPr>
        <w:t>0574-59007566</w:t>
      </w:r>
    </w:p>
    <w:p w14:paraId="68E93A26">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质疑联系人：</w:t>
      </w:r>
      <w:r>
        <w:rPr>
          <w:color w:val="auto"/>
          <w:sz w:val="24"/>
          <w:highlight w:val="none"/>
        </w:rPr>
        <w:t>闫素娟</w:t>
      </w:r>
    </w:p>
    <w:p w14:paraId="5668B911">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质疑联系方式：</w:t>
      </w:r>
      <w:r>
        <w:rPr>
          <w:snapToGrid w:val="0"/>
          <w:color w:val="auto"/>
          <w:kern w:val="0"/>
          <w:sz w:val="24"/>
          <w:highlight w:val="none"/>
        </w:rPr>
        <w:t>0574-59007576</w:t>
      </w:r>
    </w:p>
    <w:p w14:paraId="0A90A549">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2、采购代理机构信息</w:t>
      </w:r>
    </w:p>
    <w:p w14:paraId="6A218868">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采购代理机构：</w:t>
      </w:r>
      <w:r>
        <w:rPr>
          <w:color w:val="auto"/>
          <w:sz w:val="24"/>
          <w:szCs w:val="21"/>
          <w:highlight w:val="none"/>
        </w:rPr>
        <w:t>宁波建信工程造价咨询事务所有限公司</w:t>
      </w:r>
    </w:p>
    <w:p w14:paraId="237AE20A">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地址：</w:t>
      </w:r>
      <w:r>
        <w:rPr>
          <w:rFonts w:hint="eastAsia"/>
          <w:color w:val="auto"/>
          <w:sz w:val="24"/>
          <w:szCs w:val="21"/>
          <w:highlight w:val="none"/>
        </w:rPr>
        <w:t>象山滨海大道929号东楼24层</w:t>
      </w:r>
    </w:p>
    <w:p w14:paraId="3C3E4E75">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传真：0574-</w:t>
      </w:r>
      <w:r>
        <w:rPr>
          <w:snapToGrid w:val="0"/>
          <w:color w:val="auto"/>
          <w:kern w:val="0"/>
          <w:sz w:val="24"/>
          <w:highlight w:val="none"/>
        </w:rPr>
        <w:t>65763706</w:t>
      </w:r>
    </w:p>
    <w:p w14:paraId="3D54BA84">
      <w:pPr>
        <w:pStyle w:val="59"/>
        <w:adjustRightInd w:val="0"/>
        <w:snapToGrid w:val="0"/>
        <w:spacing w:after="0" w:line="300" w:lineRule="auto"/>
        <w:ind w:left="0" w:leftChars="0" w:firstLine="480"/>
        <w:rPr>
          <w:color w:val="auto"/>
          <w:sz w:val="24"/>
          <w:szCs w:val="21"/>
          <w:highlight w:val="none"/>
        </w:rPr>
      </w:pPr>
      <w:r>
        <w:rPr>
          <w:rFonts w:hint="eastAsia"/>
          <w:snapToGrid w:val="0"/>
          <w:color w:val="auto"/>
          <w:kern w:val="0"/>
          <w:sz w:val="24"/>
          <w:highlight w:val="none"/>
        </w:rPr>
        <w:t>项目联系人（询问）：</w:t>
      </w:r>
      <w:bookmarkStart w:id="18" w:name="_Hlk161497756"/>
      <w:r>
        <w:rPr>
          <w:color w:val="auto"/>
          <w:sz w:val="24"/>
          <w:szCs w:val="21"/>
          <w:highlight w:val="none"/>
        </w:rPr>
        <w:t>韩仁灿</w:t>
      </w:r>
      <w:r>
        <w:rPr>
          <w:rFonts w:hint="eastAsia"/>
          <w:color w:val="auto"/>
          <w:sz w:val="24"/>
          <w:szCs w:val="21"/>
          <w:highlight w:val="none"/>
        </w:rPr>
        <w:t>、黄卢、何政毅</w:t>
      </w:r>
      <w:bookmarkEnd w:id="18"/>
    </w:p>
    <w:p w14:paraId="768435E3">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项目联系方式（询问）：0574-</w:t>
      </w:r>
      <w:r>
        <w:rPr>
          <w:snapToGrid w:val="0"/>
          <w:color w:val="auto"/>
          <w:kern w:val="0"/>
          <w:sz w:val="24"/>
          <w:highlight w:val="none"/>
        </w:rPr>
        <w:t>65763707</w:t>
      </w:r>
    </w:p>
    <w:p w14:paraId="491440CC">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质疑联系人：</w:t>
      </w:r>
      <w:r>
        <w:rPr>
          <w:color w:val="auto"/>
          <w:sz w:val="24"/>
          <w:highlight w:val="none"/>
        </w:rPr>
        <w:t>赖欣妍</w:t>
      </w:r>
    </w:p>
    <w:p w14:paraId="2906AB5A">
      <w:pPr>
        <w:pStyle w:val="59"/>
        <w:adjustRightInd w:val="0"/>
        <w:snapToGrid w:val="0"/>
        <w:spacing w:after="0" w:line="300" w:lineRule="auto"/>
        <w:ind w:left="0" w:leftChars="0" w:firstLine="480"/>
        <w:rPr>
          <w:snapToGrid w:val="0"/>
          <w:color w:val="auto"/>
          <w:kern w:val="0"/>
          <w:sz w:val="24"/>
          <w:highlight w:val="none"/>
        </w:rPr>
      </w:pPr>
      <w:r>
        <w:rPr>
          <w:rFonts w:hint="eastAsia"/>
          <w:snapToGrid w:val="0"/>
          <w:color w:val="auto"/>
          <w:kern w:val="0"/>
          <w:sz w:val="24"/>
          <w:highlight w:val="none"/>
        </w:rPr>
        <w:t>质疑联系方式：0574-</w:t>
      </w:r>
      <w:r>
        <w:rPr>
          <w:snapToGrid w:val="0"/>
          <w:color w:val="auto"/>
          <w:kern w:val="0"/>
          <w:sz w:val="24"/>
          <w:highlight w:val="none"/>
        </w:rPr>
        <w:t>65726275</w:t>
      </w:r>
    </w:p>
    <w:p w14:paraId="7FE85BFB">
      <w:pPr>
        <w:widowControl w:val="0"/>
        <w:adjustRightInd w:val="0"/>
        <w:snapToGrid w:val="0"/>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、同级政府采购监督管理部门</w:t>
      </w:r>
    </w:p>
    <w:p w14:paraId="101DA68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名称：象山县财政局政府采购办公室</w:t>
      </w:r>
    </w:p>
    <w:p w14:paraId="5C8AEDC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地址：象山县丹西街道丹峰西路163号</w:t>
      </w:r>
    </w:p>
    <w:p w14:paraId="58D19A01">
      <w:pPr>
        <w:pStyle w:val="59"/>
        <w:adjustRightInd w:val="0"/>
        <w:snapToGrid w:val="0"/>
        <w:spacing w:after="0" w:line="300" w:lineRule="auto"/>
        <w:ind w:left="0" w:leftChars="0" w:firstLine="480"/>
        <w:rPr>
          <w:snapToGrid w:val="0"/>
          <w:color w:val="auto"/>
          <w:kern w:val="0"/>
          <w:sz w:val="24"/>
          <w:highlight w:val="none"/>
          <w:lang w:val="en-US"/>
        </w:rPr>
      </w:pPr>
      <w:r>
        <w:rPr>
          <w:rFonts w:hint="eastAsia"/>
          <w:snapToGrid w:val="0"/>
          <w:color w:val="auto"/>
          <w:kern w:val="0"/>
          <w:sz w:val="24"/>
          <w:highlight w:val="none"/>
        </w:rPr>
        <w:t>传真：</w:t>
      </w:r>
      <w:r>
        <w:rPr>
          <w:rFonts w:hint="eastAsia" w:ascii="宋体" w:hAnsi="宋体" w:cs="宋体"/>
          <w:color w:val="auto"/>
          <w:sz w:val="24"/>
          <w:highlight w:val="none"/>
        </w:rPr>
        <w:t>/</w:t>
      </w:r>
    </w:p>
    <w:p w14:paraId="7C0DEB9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联系人：林老师</w:t>
      </w:r>
    </w:p>
    <w:p w14:paraId="3D1491F2">
      <w:pPr>
        <w:widowControl w:val="0"/>
        <w:adjustRightInd w:val="0"/>
        <w:snapToGrid w:val="0"/>
        <w:spacing w:line="300" w:lineRule="auto"/>
        <w:ind w:firstLine="480" w:firstLineChars="200"/>
        <w:rPr>
          <w:color w:val="auto"/>
          <w:sz w:val="24"/>
          <w:highlight w:val="none"/>
        </w:rPr>
      </w:pPr>
      <w:r>
        <w:rPr>
          <w:rFonts w:hint="eastAsia" w:ascii="宋体" w:hAnsi="宋体" w:cs="宋体"/>
          <w:color w:val="auto"/>
          <w:sz w:val="24"/>
          <w:highlight w:val="none"/>
        </w:rPr>
        <w:t>监督投诉电话：</w:t>
      </w:r>
      <w:r>
        <w:rPr>
          <w:color w:val="auto"/>
          <w:sz w:val="24"/>
          <w:highlight w:val="none"/>
        </w:rPr>
        <w:t>0574-65753557</w:t>
      </w:r>
    </w:p>
    <w:p w14:paraId="592FB579">
      <w:pPr>
        <w:widowControl w:val="0"/>
        <w:adjustRightInd w:val="0"/>
        <w:snapToGrid w:val="0"/>
        <w:spacing w:line="300" w:lineRule="auto"/>
        <w:ind w:firstLine="480" w:firstLineChars="200"/>
        <w:rPr>
          <w:color w:val="auto"/>
          <w:highlight w:val="none"/>
        </w:rPr>
      </w:pPr>
      <w:r>
        <w:rPr>
          <w:rFonts w:hint="eastAsia" w:ascii="宋体" w:hAnsi="宋体" w:cs="宋体"/>
          <w:color w:val="auto"/>
          <w:sz w:val="24"/>
          <w:highlight w:val="none"/>
        </w:rPr>
        <w:t>政策咨询：/</w:t>
      </w:r>
    </w:p>
    <w:p w14:paraId="1651C484">
      <w:pPr>
        <w:widowControl w:val="0"/>
        <w:adjustRightInd w:val="0"/>
        <w:snapToGrid w:val="0"/>
        <w:rPr>
          <w:color w:val="auto"/>
          <w:highlight w:val="none"/>
        </w:rPr>
      </w:pPr>
    </w:p>
    <w:p w14:paraId="59ECC276">
      <w:pPr>
        <w:widowControl w:val="0"/>
        <w:adjustRightInd w:val="0"/>
        <w:snapToGrid w:val="0"/>
        <w:rPr>
          <w:color w:val="auto"/>
          <w:highlight w:val="none"/>
        </w:rPr>
      </w:pPr>
    </w:p>
    <w:p w14:paraId="6AECFFC8">
      <w:pPr>
        <w:widowControl w:val="0"/>
        <w:adjustRightInd w:val="0"/>
        <w:snapToGrid w:val="0"/>
        <w:rPr>
          <w:color w:val="auto"/>
          <w:highlight w:val="none"/>
        </w:rPr>
      </w:pPr>
    </w:p>
    <w:p w14:paraId="211D9079">
      <w:pPr>
        <w:widowControl w:val="0"/>
        <w:adjustRightInd w:val="0"/>
        <w:snapToGrid w:val="0"/>
        <w:ind w:firstLine="420" w:firstLineChars="200"/>
        <w:rPr>
          <w:color w:val="auto"/>
          <w:highlight w:val="none"/>
        </w:rPr>
      </w:pPr>
      <w:r>
        <w:rPr>
          <w:rFonts w:hint="eastAsia"/>
          <w:color w:val="auto"/>
          <w:highlight w:val="none"/>
        </w:rPr>
        <w:t>若对项目采购电子交易系统操作有疑问，可登录政采云（login-lcy.lecaiyun.com），点击右侧咨询小采，获取采小蜜智能服务管家帮助，或拨打政采云服务热线95763获取热线服务帮助。</w:t>
      </w:r>
    </w:p>
    <w:p w14:paraId="063C2C54">
      <w:pPr>
        <w:widowControl w:val="0"/>
        <w:adjustRightInd w:val="0"/>
        <w:snapToGrid w:val="0"/>
        <w:ind w:firstLine="420" w:firstLineChars="200"/>
        <w:rPr>
          <w:color w:val="auto"/>
          <w:highlight w:val="none"/>
        </w:rPr>
      </w:pPr>
      <w:r>
        <w:rPr>
          <w:rFonts w:hint="eastAsia"/>
          <w:color w:val="auto"/>
          <w:highlight w:val="none"/>
        </w:rPr>
        <w:t>CA问题联系电话（人工）：汇信CA</w:t>
      </w:r>
      <w:r>
        <w:rPr>
          <w:color w:val="auto"/>
          <w:highlight w:val="none"/>
        </w:rPr>
        <w:t xml:space="preserve">  </w:t>
      </w:r>
      <w:r>
        <w:rPr>
          <w:rFonts w:hint="eastAsia"/>
          <w:color w:val="auto"/>
          <w:highlight w:val="none"/>
        </w:rPr>
        <w:t>400-888-4636；天谷CA</w:t>
      </w:r>
      <w:r>
        <w:rPr>
          <w:color w:val="auto"/>
          <w:highlight w:val="none"/>
        </w:rPr>
        <w:t xml:space="preserve">  </w:t>
      </w:r>
      <w:r>
        <w:rPr>
          <w:rFonts w:hint="eastAsia"/>
          <w:color w:val="auto"/>
          <w:highlight w:val="none"/>
        </w:rPr>
        <w:t>400-087-8198。</w:t>
      </w:r>
    </w:p>
    <w:p w14:paraId="4D7D5919">
      <w:pPr>
        <w:widowControl w:val="0"/>
        <w:adjustRightInd w:val="0"/>
        <w:snapToGrid w:val="0"/>
        <w:rPr>
          <w:color w:val="auto"/>
          <w:highlight w:val="none"/>
        </w:rPr>
      </w:pPr>
    </w:p>
    <w:p w14:paraId="5CCFF1F7">
      <w:pPr>
        <w:widowControl w:val="0"/>
        <w:adjustRightInd w:val="0"/>
        <w:snapToGrid w:val="0"/>
        <w:rPr>
          <w:color w:val="auto"/>
          <w:highlight w:val="none"/>
        </w:rPr>
      </w:pPr>
    </w:p>
    <w:p w14:paraId="3082816D">
      <w:pPr>
        <w:widowControl w:val="0"/>
        <w:adjustRightInd w:val="0"/>
        <w:snapToGrid w:val="0"/>
        <w:rPr>
          <w:color w:val="auto"/>
          <w:highlight w:val="none"/>
        </w:rPr>
      </w:pPr>
    </w:p>
    <w:p w14:paraId="19ABED45">
      <w:pPr>
        <w:widowControl w:val="0"/>
        <w:adjustRightInd w:val="0"/>
        <w:snapToGrid w:val="0"/>
        <w:rPr>
          <w:color w:val="auto"/>
          <w:highlight w:val="none"/>
        </w:rPr>
      </w:pPr>
    </w:p>
    <w:p w14:paraId="0B1973CA">
      <w:pPr>
        <w:widowControl w:val="0"/>
        <w:adjustRightInd w:val="0"/>
        <w:snapToGrid w:val="0"/>
        <w:jc w:val="left"/>
        <w:rPr>
          <w:snapToGrid w:val="0"/>
          <w:color w:val="auto"/>
          <w:kern w:val="0"/>
          <w:highlight w:val="none"/>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720" w:num="1"/>
          <w:docGrid w:type="lines" w:linePitch="312" w:charSpace="0"/>
        </w:sectPr>
      </w:pPr>
    </w:p>
    <w:p w14:paraId="532F86F6">
      <w:pPr>
        <w:pStyle w:val="2"/>
        <w:keepNext w:val="0"/>
        <w:keepLines w:val="0"/>
        <w:adjustRightInd w:val="0"/>
        <w:snapToGrid w:val="0"/>
        <w:rPr>
          <w:color w:val="auto"/>
          <w:highlight w:val="none"/>
        </w:rPr>
      </w:pPr>
      <w:bookmarkStart w:id="19" w:name="_Toc173761919"/>
      <w:r>
        <w:rPr>
          <w:color w:val="auto"/>
          <w:highlight w:val="none"/>
        </w:rPr>
        <w:t>第二</w:t>
      </w:r>
      <w:r>
        <w:rPr>
          <w:rFonts w:hint="eastAsia"/>
          <w:color w:val="auto"/>
          <w:highlight w:val="none"/>
        </w:rPr>
        <w:t>部分</w:t>
      </w:r>
      <w:r>
        <w:rPr>
          <w:color w:val="auto"/>
          <w:highlight w:val="none"/>
        </w:rPr>
        <w:t xml:space="preserve"> 投标人须知</w:t>
      </w:r>
      <w:bookmarkEnd w:id="19"/>
    </w:p>
    <w:p w14:paraId="61595A91">
      <w:pPr>
        <w:pStyle w:val="417"/>
        <w:rPr>
          <w:color w:val="auto"/>
          <w:highlight w:val="none"/>
        </w:rPr>
      </w:pPr>
      <w:bookmarkStart w:id="20" w:name="_Toc173761920"/>
      <w:r>
        <w:rPr>
          <w:rFonts w:hint="eastAsia"/>
          <w:color w:val="auto"/>
          <w:highlight w:val="none"/>
        </w:rPr>
        <w:t>前附表</w:t>
      </w:r>
      <w:bookmarkEnd w:id="20"/>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14:paraId="1DF0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3BF4464A">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1985" w:type="dxa"/>
            <w:tcMar>
              <w:left w:w="108" w:type="dxa"/>
              <w:right w:w="108" w:type="dxa"/>
            </w:tcMar>
            <w:vAlign w:val="center"/>
          </w:tcPr>
          <w:p w14:paraId="25396804">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事项</w:t>
            </w:r>
          </w:p>
        </w:tc>
        <w:tc>
          <w:tcPr>
            <w:tcW w:w="6804" w:type="dxa"/>
            <w:tcMar>
              <w:left w:w="108" w:type="dxa"/>
              <w:right w:w="108" w:type="dxa"/>
            </w:tcMar>
            <w:vAlign w:val="center"/>
          </w:tcPr>
          <w:p w14:paraId="265820D8">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本项目的特别规定</w:t>
            </w:r>
          </w:p>
        </w:tc>
      </w:tr>
      <w:tr w14:paraId="2B8DA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9BE765B">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1985" w:type="dxa"/>
            <w:tcMar>
              <w:left w:w="108" w:type="dxa"/>
              <w:right w:w="108" w:type="dxa"/>
            </w:tcMar>
            <w:vAlign w:val="center"/>
          </w:tcPr>
          <w:p w14:paraId="5ACF647D">
            <w:pPr>
              <w:widowControl w:val="0"/>
              <w:adjustRightInd w:val="0"/>
              <w:snapToGrid w:val="0"/>
              <w:jc w:val="left"/>
              <w:rPr>
                <w:snapToGrid w:val="0"/>
                <w:color w:val="auto"/>
                <w:kern w:val="0"/>
                <w:highlight w:val="none"/>
              </w:rPr>
            </w:pPr>
            <w:r>
              <w:rPr>
                <w:rFonts w:hint="eastAsia"/>
                <w:snapToGrid w:val="0"/>
                <w:color w:val="auto"/>
                <w:kern w:val="0"/>
                <w:highlight w:val="none"/>
              </w:rPr>
              <w:t>项目属性</w:t>
            </w:r>
          </w:p>
        </w:tc>
        <w:tc>
          <w:tcPr>
            <w:tcW w:w="6804" w:type="dxa"/>
            <w:tcMar>
              <w:left w:w="108" w:type="dxa"/>
              <w:right w:w="108" w:type="dxa"/>
            </w:tcMar>
            <w:vAlign w:val="center"/>
          </w:tcPr>
          <w:p w14:paraId="614EEAAC">
            <w:pPr>
              <w:widowControl w:val="0"/>
              <w:adjustRightInd w:val="0"/>
              <w:snapToGrid w:val="0"/>
              <w:rPr>
                <w:snapToGrid w:val="0"/>
                <w:color w:val="auto"/>
                <w:kern w:val="0"/>
                <w:highlight w:val="none"/>
              </w:rPr>
            </w:pPr>
            <w:r>
              <w:rPr>
                <w:rFonts w:hint="eastAsia"/>
                <w:snapToGrid w:val="0"/>
                <w:color w:val="auto"/>
                <w:kern w:val="0"/>
                <w:highlight w:val="none"/>
              </w:rPr>
              <w:t>服务类。</w:t>
            </w:r>
          </w:p>
        </w:tc>
      </w:tr>
      <w:tr w14:paraId="0FCEB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4F7CC0B">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1985" w:type="dxa"/>
            <w:tcMar>
              <w:left w:w="108" w:type="dxa"/>
              <w:right w:w="108" w:type="dxa"/>
            </w:tcMar>
            <w:vAlign w:val="center"/>
          </w:tcPr>
          <w:p w14:paraId="615BBDB3">
            <w:pPr>
              <w:widowControl w:val="0"/>
              <w:adjustRightInd w:val="0"/>
              <w:snapToGrid w:val="0"/>
              <w:jc w:val="left"/>
              <w:rPr>
                <w:snapToGrid w:val="0"/>
                <w:color w:val="auto"/>
                <w:kern w:val="0"/>
                <w:highlight w:val="none"/>
              </w:rPr>
            </w:pPr>
            <w:r>
              <w:rPr>
                <w:rFonts w:hint="eastAsia"/>
                <w:snapToGrid w:val="0"/>
                <w:color w:val="auto"/>
                <w:kern w:val="0"/>
                <w:highlight w:val="none"/>
              </w:rPr>
              <w:t>采购标的及其对应的中小企业划分标准所属行业</w:t>
            </w:r>
          </w:p>
        </w:tc>
        <w:tc>
          <w:tcPr>
            <w:tcW w:w="6804" w:type="dxa"/>
            <w:tcMar>
              <w:left w:w="108" w:type="dxa"/>
              <w:right w:w="108" w:type="dxa"/>
            </w:tcMar>
            <w:vAlign w:val="center"/>
          </w:tcPr>
          <w:p w14:paraId="17897809">
            <w:pPr>
              <w:widowControl w:val="0"/>
              <w:adjustRightInd w:val="0"/>
              <w:snapToGrid w:val="0"/>
              <w:rPr>
                <w:snapToGrid w:val="0"/>
                <w:color w:val="auto"/>
                <w:kern w:val="0"/>
                <w:highlight w:val="none"/>
              </w:rPr>
            </w:pPr>
            <w:r>
              <w:rPr>
                <w:rFonts w:hint="eastAsia"/>
                <w:snapToGrid w:val="0"/>
                <w:color w:val="auto"/>
                <w:kern w:val="0"/>
                <w:highlight w:val="none"/>
              </w:rPr>
              <w:t>（1）标的：</w:t>
            </w:r>
            <w:r>
              <w:rPr>
                <w:rFonts w:hint="eastAsia"/>
                <w:snapToGrid w:val="0"/>
                <w:color w:val="auto"/>
                <w:kern w:val="0"/>
                <w:highlight w:val="none"/>
                <w:u w:val="single"/>
              </w:rPr>
              <w:t xml:space="preserve">  一体化服务  </w:t>
            </w:r>
            <w:r>
              <w:rPr>
                <w:rFonts w:hint="eastAsia"/>
                <w:snapToGrid w:val="0"/>
                <w:color w:val="auto"/>
                <w:kern w:val="0"/>
                <w:highlight w:val="none"/>
              </w:rPr>
              <w:t>，属于</w:t>
            </w:r>
            <w:r>
              <w:rPr>
                <w:rFonts w:hint="eastAsia"/>
                <w:snapToGrid w:val="0"/>
                <w:color w:val="auto"/>
                <w:kern w:val="0"/>
                <w:highlight w:val="none"/>
                <w:u w:val="single"/>
              </w:rPr>
              <w:t xml:space="preserve">   工业</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rPr>
              <w:t>行业；</w:t>
            </w:r>
          </w:p>
        </w:tc>
      </w:tr>
      <w:tr w14:paraId="4F4D1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91C7C53">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1985" w:type="dxa"/>
            <w:tcMar>
              <w:left w:w="108" w:type="dxa"/>
              <w:right w:w="108" w:type="dxa"/>
            </w:tcMar>
            <w:vAlign w:val="center"/>
          </w:tcPr>
          <w:p w14:paraId="24DA3566">
            <w:pPr>
              <w:widowControl w:val="0"/>
              <w:adjustRightInd w:val="0"/>
              <w:snapToGrid w:val="0"/>
              <w:jc w:val="left"/>
              <w:rPr>
                <w:snapToGrid w:val="0"/>
                <w:color w:val="auto"/>
                <w:kern w:val="0"/>
                <w:highlight w:val="none"/>
              </w:rPr>
            </w:pPr>
            <w:r>
              <w:rPr>
                <w:rFonts w:hint="eastAsia"/>
                <w:snapToGrid w:val="0"/>
                <w:color w:val="auto"/>
                <w:kern w:val="0"/>
                <w:highlight w:val="none"/>
              </w:rPr>
              <w:t>是否允许采购进口产品</w:t>
            </w:r>
          </w:p>
        </w:tc>
        <w:tc>
          <w:tcPr>
            <w:tcW w:w="6804" w:type="dxa"/>
            <w:tcMar>
              <w:left w:w="108" w:type="dxa"/>
              <w:right w:w="108" w:type="dxa"/>
            </w:tcMar>
            <w:vAlign w:val="center"/>
          </w:tcPr>
          <w:p w14:paraId="623F5B33">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hint="eastAsia" w:ascii="宋体" w:hAnsi="宋体"/>
                <w:snapToGrid w:val="0"/>
                <w:color w:val="auto"/>
                <w:kern w:val="0"/>
                <w:highlight w:val="none"/>
              </w:rPr>
              <w:t>本</w:t>
            </w:r>
            <w:r>
              <w:rPr>
                <w:rFonts w:hint="eastAsia"/>
                <w:snapToGrid w:val="0"/>
                <w:color w:val="auto"/>
                <w:kern w:val="0"/>
                <w:highlight w:val="none"/>
              </w:rPr>
              <w:t>项目不允许采购进口产品。</w:t>
            </w:r>
          </w:p>
          <w:p w14:paraId="339AA8DE">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可以就</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采购进口产品。</w:t>
            </w:r>
          </w:p>
        </w:tc>
      </w:tr>
      <w:tr w14:paraId="1FB6A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A9FBF8D">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1985" w:type="dxa"/>
            <w:tcMar>
              <w:left w:w="108" w:type="dxa"/>
              <w:right w:w="108" w:type="dxa"/>
            </w:tcMar>
            <w:vAlign w:val="center"/>
          </w:tcPr>
          <w:p w14:paraId="3D8468DA">
            <w:pPr>
              <w:widowControl w:val="0"/>
              <w:adjustRightInd w:val="0"/>
              <w:snapToGrid w:val="0"/>
              <w:jc w:val="left"/>
              <w:rPr>
                <w:snapToGrid w:val="0"/>
                <w:color w:val="auto"/>
                <w:kern w:val="0"/>
                <w:highlight w:val="none"/>
              </w:rPr>
            </w:pPr>
            <w:r>
              <w:rPr>
                <w:rFonts w:hint="eastAsia"/>
                <w:snapToGrid w:val="0"/>
                <w:color w:val="auto"/>
                <w:kern w:val="0"/>
                <w:highlight w:val="none"/>
              </w:rPr>
              <w:t>分包</w:t>
            </w:r>
          </w:p>
        </w:tc>
        <w:tc>
          <w:tcPr>
            <w:tcW w:w="6804" w:type="dxa"/>
            <w:tcMar>
              <w:left w:w="108" w:type="dxa"/>
              <w:right w:w="108" w:type="dxa"/>
            </w:tcMar>
            <w:vAlign w:val="center"/>
          </w:tcPr>
          <w:p w14:paraId="1BB74ADD">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同意将非主体、非关键性的工作分包，</w:t>
            </w:r>
            <w:r>
              <w:rPr>
                <w:rFonts w:hint="eastAsia"/>
                <w:snapToGrid w:val="0"/>
                <w:color w:val="auto"/>
                <w:kern w:val="0"/>
                <w:highlight w:val="none"/>
              </w:rPr>
              <w:t>但分包人须经采购人认可。</w:t>
            </w:r>
          </w:p>
          <w:p w14:paraId="61BFC7B1">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B不同意分包。</w:t>
            </w:r>
          </w:p>
          <w:p w14:paraId="155CAF1D">
            <w:pPr>
              <w:widowControl w:val="0"/>
              <w:adjustRightInd w:val="0"/>
              <w:snapToGrid w:val="0"/>
              <w:rPr>
                <w:snapToGrid w:val="0"/>
                <w:color w:val="auto"/>
                <w:kern w:val="0"/>
                <w:highlight w:val="none"/>
              </w:rPr>
            </w:pPr>
            <w:r>
              <w:rPr>
                <w:rFonts w:hint="eastAsia"/>
                <w:snapToGrid w:val="0"/>
                <w:color w:val="auto"/>
                <w:kern w:val="0"/>
                <w:highlight w:val="none"/>
              </w:rPr>
              <w:t>注：不得限制大中型企业向小微企业合理分包。</w:t>
            </w:r>
          </w:p>
        </w:tc>
      </w:tr>
      <w:tr w14:paraId="21ECC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E606C58">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1985" w:type="dxa"/>
            <w:tcMar>
              <w:left w:w="108" w:type="dxa"/>
              <w:right w:w="108" w:type="dxa"/>
            </w:tcMar>
            <w:vAlign w:val="center"/>
          </w:tcPr>
          <w:p w14:paraId="14294E0E">
            <w:pPr>
              <w:widowControl w:val="0"/>
              <w:adjustRightInd w:val="0"/>
              <w:snapToGrid w:val="0"/>
              <w:jc w:val="left"/>
              <w:rPr>
                <w:snapToGrid w:val="0"/>
                <w:color w:val="auto"/>
                <w:kern w:val="0"/>
                <w:highlight w:val="none"/>
              </w:rPr>
            </w:pPr>
            <w:r>
              <w:rPr>
                <w:rFonts w:hint="eastAsia"/>
                <w:snapToGrid w:val="0"/>
                <w:color w:val="auto"/>
                <w:kern w:val="0"/>
                <w:highlight w:val="none"/>
              </w:rPr>
              <w:t>开标前答疑会或现场考察</w:t>
            </w:r>
          </w:p>
        </w:tc>
        <w:tc>
          <w:tcPr>
            <w:tcW w:w="6804" w:type="dxa"/>
            <w:tcMar>
              <w:left w:w="108" w:type="dxa"/>
              <w:right w:w="108" w:type="dxa"/>
            </w:tcMar>
            <w:vAlign w:val="center"/>
          </w:tcPr>
          <w:p w14:paraId="0FA419A6">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不组织。</w:t>
            </w:r>
          </w:p>
          <w:p w14:paraId="2578AF60">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B组织，时间：</w:t>
            </w:r>
            <w:r>
              <w:rPr>
                <w:rFonts w:hint="eastAsia"/>
                <w:snapToGrid w:val="0"/>
                <w:color w:val="auto"/>
                <w:kern w:val="0"/>
                <w:highlight w:val="none"/>
                <w:u w:val="single"/>
              </w:rPr>
              <w:t xml:space="preserve">   </w:t>
            </w:r>
            <w:r>
              <w:rPr>
                <w:rFonts w:hint="eastAsia"/>
                <w:snapToGrid w:val="0"/>
                <w:color w:val="auto"/>
                <w:kern w:val="0"/>
                <w:highlight w:val="none"/>
              </w:rPr>
              <w:t>，地点：</w:t>
            </w:r>
            <w:r>
              <w:rPr>
                <w:rFonts w:hint="eastAsia"/>
                <w:snapToGrid w:val="0"/>
                <w:color w:val="auto"/>
                <w:kern w:val="0"/>
                <w:highlight w:val="none"/>
                <w:u w:val="single"/>
              </w:rPr>
              <w:t xml:space="preserve">   </w:t>
            </w:r>
            <w:r>
              <w:rPr>
                <w:rFonts w:hint="eastAsia"/>
                <w:snapToGrid w:val="0"/>
                <w:color w:val="auto"/>
                <w:kern w:val="0"/>
                <w:highlight w:val="none"/>
              </w:rPr>
              <w:t>，联系人：</w:t>
            </w:r>
            <w:r>
              <w:rPr>
                <w:rFonts w:hint="eastAsia"/>
                <w:snapToGrid w:val="0"/>
                <w:color w:val="auto"/>
                <w:kern w:val="0"/>
                <w:highlight w:val="none"/>
                <w:u w:val="single"/>
              </w:rPr>
              <w:t xml:space="preserve">   </w:t>
            </w:r>
            <w:r>
              <w:rPr>
                <w:rFonts w:hint="eastAsia"/>
                <w:snapToGrid w:val="0"/>
                <w:color w:val="auto"/>
                <w:kern w:val="0"/>
                <w:highlight w:val="none"/>
              </w:rPr>
              <w:t>，联系方式：</w:t>
            </w:r>
            <w:r>
              <w:rPr>
                <w:rFonts w:hint="eastAsia"/>
                <w:snapToGrid w:val="0"/>
                <w:color w:val="auto"/>
                <w:kern w:val="0"/>
                <w:highlight w:val="none"/>
                <w:u w:val="single"/>
              </w:rPr>
              <w:t xml:space="preserve">   </w:t>
            </w:r>
            <w:r>
              <w:rPr>
                <w:rFonts w:hint="eastAsia"/>
                <w:snapToGrid w:val="0"/>
                <w:color w:val="auto"/>
                <w:kern w:val="0"/>
                <w:highlight w:val="none"/>
              </w:rPr>
              <w:t>。</w:t>
            </w:r>
          </w:p>
        </w:tc>
      </w:tr>
      <w:tr w14:paraId="2F713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3992049">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1985" w:type="dxa"/>
            <w:tcMar>
              <w:left w:w="108" w:type="dxa"/>
              <w:right w:w="108" w:type="dxa"/>
            </w:tcMar>
            <w:vAlign w:val="center"/>
          </w:tcPr>
          <w:p w14:paraId="74785959">
            <w:pPr>
              <w:widowControl w:val="0"/>
              <w:adjustRightInd w:val="0"/>
              <w:snapToGrid w:val="0"/>
              <w:jc w:val="left"/>
              <w:rPr>
                <w:snapToGrid w:val="0"/>
                <w:color w:val="auto"/>
                <w:kern w:val="0"/>
                <w:highlight w:val="none"/>
              </w:rPr>
            </w:pPr>
            <w:r>
              <w:rPr>
                <w:rFonts w:hint="eastAsia"/>
                <w:snapToGrid w:val="0"/>
                <w:color w:val="auto"/>
                <w:kern w:val="0"/>
                <w:highlight w:val="none"/>
              </w:rPr>
              <w:t>样品提供</w:t>
            </w:r>
          </w:p>
        </w:tc>
        <w:tc>
          <w:tcPr>
            <w:tcW w:w="6804" w:type="dxa"/>
            <w:tcMar>
              <w:left w:w="108" w:type="dxa"/>
              <w:right w:w="108" w:type="dxa"/>
            </w:tcMar>
            <w:vAlign w:val="center"/>
          </w:tcPr>
          <w:p w14:paraId="48089A73">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不要求提供。</w:t>
            </w:r>
          </w:p>
          <w:p w14:paraId="0D1A1602">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B要求提供，</w:t>
            </w:r>
          </w:p>
          <w:p w14:paraId="3CCAF13D">
            <w:pPr>
              <w:widowControl w:val="0"/>
              <w:adjustRightInd w:val="0"/>
              <w:snapToGrid w:val="0"/>
              <w:rPr>
                <w:snapToGrid w:val="0"/>
                <w:color w:val="auto"/>
                <w:kern w:val="0"/>
                <w:highlight w:val="none"/>
              </w:rPr>
            </w:pPr>
            <w:r>
              <w:rPr>
                <w:rFonts w:hint="eastAsia"/>
                <w:snapToGrid w:val="0"/>
                <w:color w:val="auto"/>
                <w:kern w:val="0"/>
                <w:highlight w:val="none"/>
              </w:rPr>
              <w:t>（1）样品：</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rPr>
              <w:t>；</w:t>
            </w:r>
          </w:p>
          <w:p w14:paraId="509598EF">
            <w:pPr>
              <w:widowControl w:val="0"/>
              <w:adjustRightInd w:val="0"/>
              <w:snapToGrid w:val="0"/>
              <w:rPr>
                <w:snapToGrid w:val="0"/>
                <w:color w:val="auto"/>
                <w:kern w:val="0"/>
                <w:highlight w:val="none"/>
              </w:rPr>
            </w:pPr>
            <w:r>
              <w:rPr>
                <w:rFonts w:hint="eastAsia"/>
                <w:snapToGrid w:val="0"/>
                <w:color w:val="auto"/>
                <w:kern w:val="0"/>
                <w:highlight w:val="none"/>
              </w:rPr>
              <w:t>（2）样品制作的标准和要求：</w:t>
            </w:r>
            <w:r>
              <w:rPr>
                <w:rFonts w:hint="eastAsia"/>
                <w:snapToGrid w:val="0"/>
                <w:color w:val="auto"/>
                <w:kern w:val="0"/>
                <w:highlight w:val="none"/>
                <w:u w:val="single"/>
              </w:rPr>
              <w:t xml:space="preserve">    </w:t>
            </w:r>
            <w:r>
              <w:rPr>
                <w:rFonts w:hint="eastAsia"/>
                <w:snapToGrid w:val="0"/>
                <w:color w:val="auto"/>
                <w:kern w:val="0"/>
                <w:highlight w:val="none"/>
              </w:rPr>
              <w:t>；</w:t>
            </w:r>
          </w:p>
          <w:p w14:paraId="1618F89F">
            <w:pPr>
              <w:widowControl w:val="0"/>
              <w:adjustRightInd w:val="0"/>
              <w:snapToGrid w:val="0"/>
              <w:rPr>
                <w:snapToGrid w:val="0"/>
                <w:color w:val="auto"/>
                <w:kern w:val="0"/>
                <w:highlight w:val="none"/>
              </w:rPr>
            </w:pPr>
            <w:r>
              <w:rPr>
                <w:rFonts w:hint="eastAsia"/>
                <w:snapToGrid w:val="0"/>
                <w:color w:val="auto"/>
                <w:kern w:val="0"/>
                <w:highlight w:val="none"/>
              </w:rPr>
              <w:t>（3）样品的评审方法以及评审标准：</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详见评标办法 </w:t>
            </w:r>
            <w:r>
              <w:rPr>
                <w:snapToGrid w:val="0"/>
                <w:color w:val="auto"/>
                <w:kern w:val="0"/>
                <w:highlight w:val="none"/>
                <w:u w:val="single"/>
              </w:rPr>
              <w:t xml:space="preserve"> </w:t>
            </w:r>
            <w:r>
              <w:rPr>
                <w:rFonts w:hint="eastAsia"/>
                <w:snapToGrid w:val="0"/>
                <w:color w:val="auto"/>
                <w:kern w:val="0"/>
                <w:highlight w:val="none"/>
              </w:rPr>
              <w:t>；</w:t>
            </w:r>
          </w:p>
          <w:p w14:paraId="57069F89">
            <w:pPr>
              <w:widowControl w:val="0"/>
              <w:adjustRightInd w:val="0"/>
              <w:snapToGrid w:val="0"/>
              <w:rPr>
                <w:snapToGrid w:val="0"/>
                <w:color w:val="auto"/>
                <w:kern w:val="0"/>
                <w:highlight w:val="none"/>
              </w:rPr>
            </w:pPr>
            <w:r>
              <w:rPr>
                <w:rFonts w:hint="eastAsia"/>
                <w:snapToGrid w:val="0"/>
                <w:color w:val="auto"/>
                <w:kern w:val="0"/>
                <w:highlight w:val="none"/>
              </w:rPr>
              <w:t>（4）是否需要随样品提交检测报告：</w:t>
            </w:r>
            <w:sdt>
              <w:sdtPr>
                <w:rPr>
                  <w:rFonts w:hint="eastAsia"/>
                  <w:snapToGrid w:val="0"/>
                  <w:color w:val="auto"/>
                  <w:kern w:val="0"/>
                  <w:highlight w:val="none"/>
                </w:rPr>
                <w:id w:val="1303421454"/>
                <w14:checkbox>
                  <w14:checked w14:val="0"/>
                  <w14:checkedState w14:val="00FE" w14:font="Wingdings"/>
                  <w14:uncheckedState w14:val="2610" w14:font="MS Gothic"/>
                </w14:checkbox>
              </w:sdtPr>
              <w:sdtEndPr>
                <w:rPr>
                  <w:rFonts w:hint="eastAsia"/>
                  <w:snapToGrid w:val="0"/>
                  <w:color w:val="auto"/>
                  <w:kern w:val="0"/>
                  <w:highlight w:val="none"/>
                </w:rPr>
              </w:sdtEndPr>
              <w:sdtContent>
                <w:r>
                  <w:rPr>
                    <w:rFonts w:ascii="Segoe UI Symbol" w:hAnsi="Segoe UI Symbol" w:cs="Segoe UI Symbol"/>
                    <w:snapToGrid w:val="0"/>
                    <w:color w:val="auto"/>
                    <w:kern w:val="0"/>
                    <w:highlight w:val="none"/>
                  </w:rPr>
                  <w:t>☐</w:t>
                </w:r>
              </w:sdtContent>
            </w:sdt>
            <w:r>
              <w:rPr>
                <w:rFonts w:hint="eastAsia"/>
                <w:snapToGrid w:val="0"/>
                <w:color w:val="auto"/>
                <w:kern w:val="0"/>
                <w:highlight w:val="none"/>
              </w:rPr>
              <w:t>否；</w:t>
            </w:r>
            <w:sdt>
              <w:sdtPr>
                <w:rPr>
                  <w:rFonts w:hint="eastAsia"/>
                  <w:snapToGrid w:val="0"/>
                  <w:color w:val="auto"/>
                  <w:kern w:val="0"/>
                  <w:highlight w:val="none"/>
                </w:rPr>
                <w:id w:val="1621728433"/>
                <w14:checkbox>
                  <w14:checked w14:val="0"/>
                  <w14:checkedState w14:val="00FE" w14:font="Wingdings"/>
                  <w14:uncheckedState w14:val="2610" w14:font="MS Gothic"/>
                </w14:checkbox>
              </w:sdtPr>
              <w:sdtEndPr>
                <w:rPr>
                  <w:rFonts w:hint="eastAsia"/>
                  <w:snapToGrid w:val="0"/>
                  <w:color w:val="auto"/>
                  <w:kern w:val="0"/>
                  <w:highlight w:val="none"/>
                </w:rPr>
              </w:sdtEndPr>
              <w:sdtContent>
                <w:r>
                  <w:rPr>
                    <w:rFonts w:ascii="Segoe UI Symbol" w:hAnsi="Segoe UI Symbol" w:cs="Segoe UI Symbol"/>
                    <w:snapToGrid w:val="0"/>
                    <w:color w:val="auto"/>
                    <w:kern w:val="0"/>
                    <w:highlight w:val="none"/>
                  </w:rPr>
                  <w:t>☐</w:t>
                </w:r>
              </w:sdtContent>
            </w:sdt>
            <w:r>
              <w:rPr>
                <w:rFonts w:hint="eastAsia"/>
                <w:snapToGrid w:val="0"/>
                <w:color w:val="auto"/>
                <w:kern w:val="0"/>
                <w:highlight w:val="none"/>
              </w:rPr>
              <w:t>是，检测机构的要求：</w:t>
            </w:r>
            <w:r>
              <w:rPr>
                <w:rFonts w:hint="eastAsia"/>
                <w:snapToGrid w:val="0"/>
                <w:color w:val="auto"/>
                <w:kern w:val="0"/>
                <w:highlight w:val="none"/>
                <w:u w:val="single"/>
              </w:rPr>
              <w:t xml:space="preserve">    </w:t>
            </w:r>
            <w:r>
              <w:rPr>
                <w:rFonts w:hint="eastAsia"/>
                <w:snapToGrid w:val="0"/>
                <w:color w:val="auto"/>
                <w:kern w:val="0"/>
                <w:highlight w:val="none"/>
              </w:rPr>
              <w:t>；检测内容：</w:t>
            </w:r>
            <w:r>
              <w:rPr>
                <w:rFonts w:hint="eastAsia"/>
                <w:snapToGrid w:val="0"/>
                <w:color w:val="auto"/>
                <w:kern w:val="0"/>
                <w:highlight w:val="none"/>
                <w:u w:val="single"/>
              </w:rPr>
              <w:t xml:space="preserve">    </w:t>
            </w:r>
            <w:r>
              <w:rPr>
                <w:rFonts w:hint="eastAsia"/>
                <w:snapToGrid w:val="0"/>
                <w:color w:val="auto"/>
                <w:kern w:val="0"/>
                <w:highlight w:val="none"/>
              </w:rPr>
              <w:t>。</w:t>
            </w:r>
          </w:p>
          <w:p w14:paraId="34233851">
            <w:pPr>
              <w:widowControl w:val="0"/>
              <w:adjustRightInd w:val="0"/>
              <w:snapToGrid w:val="0"/>
              <w:rPr>
                <w:snapToGrid w:val="0"/>
                <w:color w:val="auto"/>
                <w:kern w:val="0"/>
                <w:highlight w:val="none"/>
              </w:rPr>
            </w:pPr>
            <w:r>
              <w:rPr>
                <w:rFonts w:hint="eastAsia"/>
                <w:snapToGrid w:val="0"/>
                <w:color w:val="auto"/>
                <w:kern w:val="0"/>
                <w:highlight w:val="none"/>
              </w:rPr>
              <w:t>（5）提供样品的时间：</w:t>
            </w:r>
            <w:r>
              <w:rPr>
                <w:rFonts w:hint="eastAsia"/>
                <w:snapToGrid w:val="0"/>
                <w:color w:val="auto"/>
                <w:kern w:val="0"/>
                <w:highlight w:val="none"/>
                <w:u w:val="single"/>
              </w:rPr>
              <w:t xml:space="preserve">    </w:t>
            </w:r>
            <w:r>
              <w:rPr>
                <w:rFonts w:hint="eastAsia"/>
                <w:snapToGrid w:val="0"/>
                <w:color w:val="auto"/>
                <w:kern w:val="0"/>
                <w:highlight w:val="none"/>
              </w:rPr>
              <w:t>；地点：</w:t>
            </w:r>
            <w:r>
              <w:rPr>
                <w:rFonts w:hint="eastAsia"/>
                <w:snapToGrid w:val="0"/>
                <w:color w:val="auto"/>
                <w:kern w:val="0"/>
                <w:highlight w:val="none"/>
                <w:u w:val="single"/>
              </w:rPr>
              <w:t xml:space="preserve">    </w:t>
            </w:r>
            <w:r>
              <w:rPr>
                <w:rFonts w:hint="eastAsia"/>
                <w:snapToGrid w:val="0"/>
                <w:color w:val="auto"/>
                <w:kern w:val="0"/>
                <w:highlight w:val="none"/>
              </w:rPr>
              <w:t>；联系人：</w:t>
            </w:r>
            <w:r>
              <w:rPr>
                <w:rFonts w:hint="eastAsia"/>
                <w:snapToGrid w:val="0"/>
                <w:color w:val="auto"/>
                <w:kern w:val="0"/>
                <w:highlight w:val="none"/>
                <w:u w:val="single"/>
              </w:rPr>
              <w:t xml:space="preserve">   </w:t>
            </w:r>
            <w:r>
              <w:rPr>
                <w:rFonts w:hint="eastAsia"/>
                <w:snapToGrid w:val="0"/>
                <w:color w:val="auto"/>
                <w:kern w:val="0"/>
                <w:highlight w:val="none"/>
              </w:rPr>
              <w:t>，联系电话：</w:t>
            </w:r>
            <w:r>
              <w:rPr>
                <w:rFonts w:hint="eastAsia"/>
                <w:snapToGrid w:val="0"/>
                <w:color w:val="auto"/>
                <w:kern w:val="0"/>
                <w:highlight w:val="none"/>
                <w:u w:val="single"/>
              </w:rPr>
              <w:t xml:space="preserve">    </w:t>
            </w:r>
            <w:r>
              <w:rPr>
                <w:rFonts w:hint="eastAsia"/>
                <w:snapToGrid w:val="0"/>
                <w:color w:val="auto"/>
                <w:kern w:val="0"/>
                <w:highlight w:val="none"/>
              </w:rPr>
              <w:t>。请投标人在上述时间内提供样品并按规定位置安装完毕。超过截止时间的，采购人或采购代理机构将不予接收，并将清场并封闭样品现场。</w:t>
            </w:r>
          </w:p>
          <w:p w14:paraId="46344455">
            <w:pPr>
              <w:widowControl w:val="0"/>
              <w:adjustRightInd w:val="0"/>
              <w:snapToGrid w:val="0"/>
              <w:rPr>
                <w:snapToGrid w:val="0"/>
                <w:color w:val="auto"/>
                <w:kern w:val="0"/>
                <w:highlight w:val="none"/>
              </w:rPr>
            </w:pPr>
            <w:r>
              <w:rPr>
                <w:rFonts w:hint="eastAsia"/>
                <w:snapToGrid w:val="0"/>
                <w:color w:val="auto"/>
                <w:kern w:val="0"/>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E2E409A">
            <w:pPr>
              <w:widowControl w:val="0"/>
              <w:adjustRightInd w:val="0"/>
              <w:snapToGrid w:val="0"/>
              <w:rPr>
                <w:snapToGrid w:val="0"/>
                <w:color w:val="auto"/>
                <w:kern w:val="0"/>
                <w:highlight w:val="none"/>
              </w:rPr>
            </w:pPr>
            <w:r>
              <w:rPr>
                <w:rFonts w:hint="eastAsia"/>
                <w:snapToGrid w:val="0"/>
                <w:color w:val="auto"/>
                <w:kern w:val="0"/>
                <w:highlight w:val="none"/>
              </w:rPr>
              <w:t>（7）制作、运输、安装和保管样品所发生的一切费用由投标人自理。</w:t>
            </w:r>
          </w:p>
        </w:tc>
      </w:tr>
      <w:tr w14:paraId="72242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57D381B">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1985" w:type="dxa"/>
            <w:tcMar>
              <w:left w:w="108" w:type="dxa"/>
              <w:right w:w="108" w:type="dxa"/>
            </w:tcMar>
            <w:vAlign w:val="center"/>
          </w:tcPr>
          <w:p w14:paraId="4FDE25D2">
            <w:pPr>
              <w:widowControl w:val="0"/>
              <w:adjustRightInd w:val="0"/>
              <w:snapToGrid w:val="0"/>
              <w:jc w:val="left"/>
              <w:rPr>
                <w:snapToGrid w:val="0"/>
                <w:color w:val="auto"/>
                <w:kern w:val="0"/>
                <w:highlight w:val="none"/>
              </w:rPr>
            </w:pPr>
            <w:r>
              <w:rPr>
                <w:rFonts w:hint="eastAsia"/>
                <w:snapToGrid w:val="0"/>
                <w:color w:val="auto"/>
                <w:kern w:val="0"/>
                <w:highlight w:val="none"/>
              </w:rPr>
              <w:t>方案讲解演示</w:t>
            </w:r>
          </w:p>
        </w:tc>
        <w:tc>
          <w:tcPr>
            <w:tcW w:w="6804" w:type="dxa"/>
            <w:tcMar>
              <w:left w:w="108" w:type="dxa"/>
              <w:right w:w="108" w:type="dxa"/>
            </w:tcMar>
            <w:vAlign w:val="center"/>
          </w:tcPr>
          <w:p w14:paraId="185DC41B">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eastAsiaTheme="minorEastAsia"/>
                <w:snapToGrid w:val="0"/>
                <w:color w:val="auto"/>
                <w:kern w:val="0"/>
                <w:highlight w:val="none"/>
              </w:rPr>
              <w:t>A</w:t>
            </w:r>
            <w:r>
              <w:rPr>
                <w:rFonts w:hint="eastAsia"/>
                <w:snapToGrid w:val="0"/>
                <w:color w:val="auto"/>
                <w:kern w:val="0"/>
                <w:highlight w:val="none"/>
              </w:rPr>
              <w:t>不组织。</w:t>
            </w:r>
          </w:p>
          <w:p w14:paraId="6038F8FA">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B组织。</w:t>
            </w:r>
          </w:p>
          <w:p w14:paraId="04B47F5E">
            <w:pPr>
              <w:widowControl w:val="0"/>
              <w:adjustRightInd w:val="0"/>
              <w:snapToGrid w:val="0"/>
              <w:rPr>
                <w:snapToGrid w:val="0"/>
                <w:color w:val="auto"/>
                <w:kern w:val="0"/>
                <w:highlight w:val="none"/>
              </w:rPr>
            </w:pPr>
            <w:r>
              <w:rPr>
                <w:rFonts w:hint="eastAsia"/>
                <w:snapToGrid w:val="0"/>
                <w:color w:val="auto"/>
                <w:kern w:val="0"/>
                <w:highlight w:val="none"/>
              </w:rPr>
              <w:t>（1）在评标时安排每个投标人进行方案讲解演示。每个投标人时间不超过</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分钟，讲解次序以投标文件解密时间先后次序为准，讲解演示人员不超过</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u w:val="single"/>
              </w:rPr>
              <w:t xml:space="preserve"> </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人。讲解演示结束后按要求解答评标委员会提问。</w:t>
            </w:r>
          </w:p>
          <w:p w14:paraId="1B86E5E2">
            <w:pPr>
              <w:widowControl w:val="0"/>
              <w:adjustRightInd w:val="0"/>
              <w:snapToGrid w:val="0"/>
              <w:rPr>
                <w:snapToGrid w:val="0"/>
                <w:color w:val="auto"/>
                <w:kern w:val="0"/>
                <w:highlight w:val="none"/>
              </w:rPr>
            </w:pPr>
            <w:r>
              <w:rPr>
                <w:rFonts w:hint="eastAsia"/>
                <w:snapToGrid w:val="0"/>
                <w:color w:val="auto"/>
                <w:kern w:val="0"/>
                <w:highlight w:val="none"/>
              </w:rPr>
              <w:t>（2）方案讲解演示可选择以下其中一种方式：</w:t>
            </w:r>
          </w:p>
          <w:p w14:paraId="212DD370">
            <w:pPr>
              <w:widowControl w:val="0"/>
              <w:adjustRightInd w:val="0"/>
              <w:snapToGrid w:val="0"/>
              <w:rPr>
                <w:snapToGrid w:val="0"/>
                <w:color w:val="auto"/>
                <w:kern w:val="0"/>
                <w:highlight w:val="none"/>
              </w:rPr>
            </w:pPr>
            <w:r>
              <w:rPr>
                <w:rFonts w:hint="eastAsia"/>
                <w:snapToGrid w:val="0"/>
                <w:color w:val="auto"/>
                <w:kern w:val="0"/>
                <w:highlight w:val="none"/>
              </w:rPr>
              <w:t>方式一：乐采云平台在线讲解演示。乐采云平台在线讲解需投标人根据乐采云平台操作要求做好准备工作，提前完善软硬件配置环境。</w:t>
            </w:r>
          </w:p>
          <w:p w14:paraId="76153C56">
            <w:pPr>
              <w:widowControl w:val="0"/>
              <w:adjustRightInd w:val="0"/>
              <w:snapToGrid w:val="0"/>
              <w:rPr>
                <w:snapToGrid w:val="0"/>
                <w:color w:val="auto"/>
                <w:kern w:val="0"/>
                <w:highlight w:val="none"/>
              </w:rPr>
            </w:pPr>
            <w:r>
              <w:rPr>
                <w:rFonts w:hint="eastAsia"/>
                <w:snapToGrid w:val="0"/>
                <w:color w:val="auto"/>
                <w:kern w:val="0"/>
                <w:highlight w:val="none"/>
              </w:rPr>
              <w:t>方式二：交易中心现场讲解演示。现场讲解地点为</w:t>
            </w:r>
            <w:r>
              <w:rPr>
                <w:rFonts w:hint="eastAsia"/>
                <w:snapToGrid w:val="0"/>
                <w:color w:val="auto"/>
                <w:kern w:val="0"/>
                <w:highlight w:val="none"/>
                <w:u w:val="single"/>
              </w:rPr>
              <w:t xml:space="preserve">       </w:t>
            </w:r>
            <w:r>
              <w:rPr>
                <w:rFonts w:hint="eastAsia"/>
                <w:snapToGrid w:val="0"/>
                <w:color w:val="auto"/>
                <w:kern w:val="0"/>
                <w:highlight w:val="none"/>
              </w:rPr>
              <w:t>，讲解演示所用电脑等设备由投标人自备。现场讲解演示人员进场时提供讲解人员名单（加盖公章或授权代表签名）及身份证明，否则不得讲解演示。</w:t>
            </w:r>
          </w:p>
          <w:p w14:paraId="27B8A87A">
            <w:pPr>
              <w:widowControl w:val="0"/>
              <w:adjustRightInd w:val="0"/>
              <w:snapToGrid w:val="0"/>
              <w:rPr>
                <w:snapToGrid w:val="0"/>
                <w:color w:val="auto"/>
                <w:kern w:val="0"/>
                <w:highlight w:val="none"/>
              </w:rPr>
            </w:pPr>
            <w:r>
              <w:rPr>
                <w:rFonts w:hint="eastAsia"/>
                <w:snapToGrid w:val="0"/>
                <w:color w:val="auto"/>
                <w:kern w:val="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8C4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6FDCBF4A">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1985" w:type="dxa"/>
            <w:vMerge w:val="restart"/>
            <w:tcMar>
              <w:left w:w="108" w:type="dxa"/>
              <w:right w:w="108" w:type="dxa"/>
            </w:tcMar>
            <w:vAlign w:val="center"/>
          </w:tcPr>
          <w:p w14:paraId="02A369E8">
            <w:pPr>
              <w:widowControl w:val="0"/>
              <w:adjustRightInd w:val="0"/>
              <w:snapToGrid w:val="0"/>
              <w:jc w:val="left"/>
              <w:rPr>
                <w:snapToGrid w:val="0"/>
                <w:color w:val="auto"/>
                <w:kern w:val="0"/>
                <w:highlight w:val="none"/>
              </w:rPr>
            </w:pPr>
            <w:r>
              <w:rPr>
                <w:rFonts w:hint="eastAsia"/>
                <w:snapToGrid w:val="0"/>
                <w:color w:val="auto"/>
                <w:kern w:val="0"/>
                <w:highlight w:val="none"/>
              </w:rPr>
              <w:t>投标人应当提供的资格、资信证明文件</w:t>
            </w:r>
          </w:p>
        </w:tc>
        <w:tc>
          <w:tcPr>
            <w:tcW w:w="6804" w:type="dxa"/>
            <w:tcMar>
              <w:left w:w="108" w:type="dxa"/>
              <w:right w:w="108" w:type="dxa"/>
            </w:tcMar>
            <w:vAlign w:val="center"/>
          </w:tcPr>
          <w:p w14:paraId="52228BAC">
            <w:pPr>
              <w:widowControl w:val="0"/>
              <w:adjustRightInd w:val="0"/>
              <w:snapToGrid w:val="0"/>
              <w:rPr>
                <w:snapToGrid w:val="0"/>
                <w:color w:val="auto"/>
                <w:kern w:val="0"/>
                <w:highlight w:val="none"/>
              </w:rPr>
            </w:pPr>
            <w:r>
              <w:rPr>
                <w:rFonts w:hint="eastAsia"/>
                <w:snapToGrid w:val="0"/>
                <w:color w:val="auto"/>
                <w:kern w:val="0"/>
                <w:highlight w:val="none"/>
              </w:rPr>
              <w:t>（1）资格证明文件：见招标文件第二部分11.1。</w:t>
            </w:r>
          </w:p>
          <w:p w14:paraId="12552DA4">
            <w:pPr>
              <w:widowControl w:val="0"/>
              <w:adjustRightInd w:val="0"/>
              <w:snapToGrid w:val="0"/>
              <w:rPr>
                <w:snapToGrid w:val="0"/>
                <w:color w:val="auto"/>
                <w:kern w:val="0"/>
                <w:highlight w:val="none"/>
              </w:rPr>
            </w:pPr>
            <w:r>
              <w:rPr>
                <w:rFonts w:hint="eastAsia"/>
                <w:snapToGrid w:val="0"/>
                <w:color w:val="auto"/>
                <w:kern w:val="0"/>
                <w:highlight w:val="none"/>
              </w:rPr>
              <w:t>投标人未提供有效的资格证明文件的，视为投标人不具备招标文件中规定的资格要求，投标无效。</w:t>
            </w:r>
          </w:p>
        </w:tc>
      </w:tr>
      <w:tr w14:paraId="2DC31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14:paraId="5AB2E574">
            <w:pPr>
              <w:widowControl w:val="0"/>
              <w:adjustRightInd w:val="0"/>
              <w:snapToGrid w:val="0"/>
              <w:jc w:val="center"/>
              <w:rPr>
                <w:snapToGrid w:val="0"/>
                <w:color w:val="auto"/>
                <w:kern w:val="0"/>
                <w:highlight w:val="none"/>
              </w:rPr>
            </w:pPr>
          </w:p>
        </w:tc>
        <w:tc>
          <w:tcPr>
            <w:tcW w:w="1985" w:type="dxa"/>
            <w:vMerge w:val="continue"/>
            <w:tcMar>
              <w:left w:w="108" w:type="dxa"/>
              <w:right w:w="108" w:type="dxa"/>
            </w:tcMar>
            <w:vAlign w:val="center"/>
          </w:tcPr>
          <w:p w14:paraId="1C198363">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14:paraId="19D22431">
            <w:pPr>
              <w:widowControl w:val="0"/>
              <w:adjustRightInd w:val="0"/>
              <w:snapToGrid w:val="0"/>
              <w:rPr>
                <w:snapToGrid w:val="0"/>
                <w:color w:val="auto"/>
                <w:kern w:val="0"/>
                <w:highlight w:val="none"/>
              </w:rPr>
            </w:pPr>
            <w:r>
              <w:rPr>
                <w:rFonts w:hint="eastAsia"/>
                <w:snapToGrid w:val="0"/>
                <w:color w:val="auto"/>
                <w:kern w:val="0"/>
                <w:highlight w:val="none"/>
              </w:rPr>
              <w:t>（2）资信证明文件：根据招标文件第四部分评标标准提供。</w:t>
            </w:r>
          </w:p>
        </w:tc>
      </w:tr>
      <w:tr w14:paraId="767E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0D32122">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1985" w:type="dxa"/>
            <w:tcMar>
              <w:left w:w="108" w:type="dxa"/>
              <w:right w:w="108" w:type="dxa"/>
            </w:tcMar>
            <w:vAlign w:val="center"/>
          </w:tcPr>
          <w:p w14:paraId="2EAACFF2">
            <w:pPr>
              <w:widowControl w:val="0"/>
              <w:adjustRightInd w:val="0"/>
              <w:snapToGrid w:val="0"/>
              <w:jc w:val="left"/>
              <w:rPr>
                <w:snapToGrid w:val="0"/>
                <w:color w:val="auto"/>
                <w:kern w:val="0"/>
                <w:highlight w:val="none"/>
              </w:rPr>
            </w:pPr>
            <w:r>
              <w:rPr>
                <w:rFonts w:hint="eastAsia"/>
                <w:snapToGrid w:val="0"/>
                <w:color w:val="auto"/>
                <w:kern w:val="0"/>
                <w:highlight w:val="none"/>
              </w:rPr>
              <w:t>节能产品、环境标志产品</w:t>
            </w:r>
          </w:p>
        </w:tc>
        <w:tc>
          <w:tcPr>
            <w:tcW w:w="6804" w:type="dxa"/>
            <w:tcMar>
              <w:left w:w="108" w:type="dxa"/>
              <w:right w:w="108" w:type="dxa"/>
            </w:tcMar>
            <w:vAlign w:val="center"/>
          </w:tcPr>
          <w:p w14:paraId="69F85266">
            <w:pPr>
              <w:widowControl w:val="0"/>
              <w:adjustRightInd w:val="0"/>
              <w:snapToGrid w:val="0"/>
              <w:rPr>
                <w:snapToGrid w:val="0"/>
                <w:color w:val="auto"/>
                <w:kern w:val="0"/>
                <w:highlight w:val="none"/>
              </w:rPr>
            </w:pPr>
            <w:r>
              <w:rPr>
                <w:rFonts w:hint="eastAsia"/>
                <w:snapToGrid w:val="0"/>
                <w:color w:val="auto"/>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76F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C768B01">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1985" w:type="dxa"/>
            <w:tcMar>
              <w:left w:w="108" w:type="dxa"/>
              <w:right w:w="108" w:type="dxa"/>
            </w:tcMar>
            <w:vAlign w:val="center"/>
          </w:tcPr>
          <w:p w14:paraId="4ABF7BE8">
            <w:pPr>
              <w:widowControl w:val="0"/>
              <w:adjustRightInd w:val="0"/>
              <w:snapToGrid w:val="0"/>
              <w:jc w:val="left"/>
              <w:rPr>
                <w:snapToGrid w:val="0"/>
                <w:color w:val="auto"/>
                <w:kern w:val="0"/>
                <w:highlight w:val="none"/>
              </w:rPr>
            </w:pPr>
            <w:r>
              <w:rPr>
                <w:rFonts w:hint="eastAsia"/>
                <w:snapToGrid w:val="0"/>
                <w:color w:val="auto"/>
                <w:kern w:val="0"/>
                <w:highlight w:val="none"/>
              </w:rPr>
              <w:t>报价要求</w:t>
            </w:r>
          </w:p>
        </w:tc>
        <w:tc>
          <w:tcPr>
            <w:tcW w:w="6804" w:type="dxa"/>
            <w:tcMar>
              <w:left w:w="108" w:type="dxa"/>
              <w:right w:w="108" w:type="dxa"/>
            </w:tcMar>
            <w:vAlign w:val="center"/>
          </w:tcPr>
          <w:p w14:paraId="2F014541">
            <w:pPr>
              <w:widowControl w:val="0"/>
              <w:adjustRightInd w:val="0"/>
              <w:snapToGrid w:val="0"/>
              <w:rPr>
                <w:snapToGrid w:val="0"/>
                <w:color w:val="auto"/>
                <w:kern w:val="0"/>
                <w:highlight w:val="none"/>
              </w:rPr>
            </w:pPr>
            <w:r>
              <w:rPr>
                <w:rFonts w:hint="eastAsia"/>
                <w:snapToGrid w:val="0"/>
                <w:color w:val="auto"/>
                <w:kern w:val="0"/>
                <w:highlight w:val="none"/>
              </w:rPr>
              <w:t>有关本项目实施所需的所有费用（含税费）均计入报价。</w:t>
            </w:r>
          </w:p>
          <w:p w14:paraId="5ECA9D83">
            <w:pPr>
              <w:widowControl w:val="0"/>
              <w:adjustRightInd w:val="0"/>
              <w:snapToGrid w:val="0"/>
              <w:rPr>
                <w:snapToGrid w:val="0"/>
                <w:color w:val="auto"/>
                <w:kern w:val="0"/>
                <w:highlight w:val="none"/>
              </w:rPr>
            </w:pPr>
            <w:r>
              <w:rPr>
                <w:rFonts w:hint="eastAsia"/>
                <w:b/>
                <w:bCs/>
                <w:snapToGrid w:val="0"/>
                <w:color w:val="auto"/>
                <w:kern w:val="0"/>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b/>
                <w:bCs/>
                <w:snapToGrid w:val="0"/>
                <w:color w:val="auto"/>
                <w:kern w:val="0"/>
                <w:highlight w:val="none"/>
              </w:rPr>
              <w:t>。</w:t>
            </w:r>
            <w:r>
              <w:rPr>
                <w:rFonts w:hint="eastAsia"/>
                <w:snapToGrid w:val="0"/>
                <w:color w:val="auto"/>
                <w:kern w:val="0"/>
                <w:highlight w:val="none"/>
              </w:rPr>
              <w:t>投标文件中价格全部采用人民币报价。招标文件未列明，而投标人认为必需的费用也需列入报价。</w:t>
            </w:r>
            <w:r>
              <w:rPr>
                <w:rFonts w:hint="eastAsia"/>
                <w:b/>
                <w:bCs/>
                <w:snapToGrid w:val="0"/>
                <w:color w:val="auto"/>
                <w:kern w:val="0"/>
                <w:highlight w:val="none"/>
              </w:rPr>
              <w:t>提醒：验收时检测费用由采购人承担，不包含在投标总价中。</w:t>
            </w:r>
          </w:p>
          <w:p w14:paraId="1E098EB2">
            <w:pPr>
              <w:widowControl w:val="0"/>
              <w:adjustRightInd w:val="0"/>
              <w:snapToGrid w:val="0"/>
              <w:rPr>
                <w:b/>
                <w:bCs/>
                <w:snapToGrid w:val="0"/>
                <w:color w:val="auto"/>
                <w:kern w:val="0"/>
                <w:highlight w:val="none"/>
              </w:rPr>
            </w:pPr>
            <w:r>
              <w:rPr>
                <w:rFonts w:hint="eastAsia"/>
                <w:b/>
                <w:bCs/>
                <w:snapToGrid w:val="0"/>
                <w:color w:val="auto"/>
                <w:kern w:val="0"/>
                <w:highlight w:val="none"/>
              </w:rPr>
              <w:t>投标报价出现下列情形的，投标无效：</w:t>
            </w:r>
          </w:p>
          <w:p w14:paraId="6FB40FEA">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投标文件出现不是唯一的、有选择性投标报价的；</w:t>
            </w:r>
          </w:p>
          <w:p w14:paraId="69D36842">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投标报价超过招标文件中规定的预算金额或者最高限价的；</w:t>
            </w:r>
          </w:p>
          <w:p w14:paraId="6E53ADAD">
            <w:pPr>
              <w:widowControl w:val="0"/>
              <w:adjustRightInd w:val="0"/>
              <w:snapToGrid w:val="0"/>
              <w:ind w:firstLine="422" w:firstLineChars="200"/>
              <w:rPr>
                <w:b/>
                <w:bCs/>
                <w:snapToGrid w:val="0"/>
                <w:color w:val="auto"/>
                <w:kern w:val="0"/>
                <w:highlight w:val="none"/>
              </w:rPr>
            </w:pPr>
            <w:r>
              <w:rPr>
                <w:rFonts w:hint="eastAsia"/>
                <w:b/>
                <w:bCs/>
                <w:snapToGrid w:val="0"/>
                <w:color w:val="auto"/>
                <w:kern w:val="0"/>
                <w:highlight w:val="none"/>
              </w:rPr>
              <w:t>报价明显低于其他通过符合性审查投标人的报价，有可能影响产品质量或者不能诚信履约的，未能按要求提供书面说明或者提交相关证明材料证明其报价合理性的；</w:t>
            </w:r>
          </w:p>
          <w:p w14:paraId="1B3AAFCD">
            <w:pPr>
              <w:widowControl w:val="0"/>
              <w:adjustRightInd w:val="0"/>
              <w:snapToGrid w:val="0"/>
              <w:ind w:firstLine="422" w:firstLineChars="200"/>
              <w:rPr>
                <w:snapToGrid w:val="0"/>
                <w:color w:val="auto"/>
                <w:kern w:val="0"/>
                <w:highlight w:val="none"/>
              </w:rPr>
            </w:pPr>
            <w:r>
              <w:rPr>
                <w:rFonts w:hint="eastAsia"/>
                <w:b/>
                <w:bCs/>
                <w:snapToGrid w:val="0"/>
                <w:color w:val="auto"/>
                <w:kern w:val="0"/>
                <w:highlight w:val="none"/>
              </w:rPr>
              <w:t>投标人对根据修正原则修正后的报价不确认的。</w:t>
            </w:r>
          </w:p>
        </w:tc>
      </w:tr>
      <w:tr w14:paraId="34AA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0398C4C">
            <w:pPr>
              <w:widowControl w:val="0"/>
              <w:adjustRightInd w:val="0"/>
              <w:snapToGrid w:val="0"/>
              <w:jc w:val="center"/>
              <w:rPr>
                <w:snapToGrid w:val="0"/>
                <w:color w:val="auto"/>
                <w:kern w:val="0"/>
                <w:highlight w:val="none"/>
              </w:rPr>
            </w:pPr>
            <w:r>
              <w:rPr>
                <w:rFonts w:hint="eastAsia"/>
                <w:snapToGrid w:val="0"/>
                <w:color w:val="auto"/>
                <w:kern w:val="0"/>
                <w:highlight w:val="none"/>
              </w:rPr>
              <w:t>11</w:t>
            </w:r>
          </w:p>
        </w:tc>
        <w:tc>
          <w:tcPr>
            <w:tcW w:w="1985" w:type="dxa"/>
            <w:tcMar>
              <w:left w:w="108" w:type="dxa"/>
              <w:right w:w="108" w:type="dxa"/>
            </w:tcMar>
            <w:vAlign w:val="center"/>
          </w:tcPr>
          <w:p w14:paraId="2AC8096A">
            <w:pPr>
              <w:widowControl w:val="0"/>
              <w:adjustRightInd w:val="0"/>
              <w:snapToGrid w:val="0"/>
              <w:jc w:val="left"/>
              <w:rPr>
                <w:snapToGrid w:val="0"/>
                <w:color w:val="auto"/>
                <w:kern w:val="0"/>
                <w:highlight w:val="none"/>
              </w:rPr>
            </w:pPr>
            <w:r>
              <w:rPr>
                <w:rFonts w:hint="eastAsia"/>
                <w:snapToGrid w:val="0"/>
                <w:color w:val="auto"/>
                <w:kern w:val="0"/>
                <w:highlight w:val="none"/>
              </w:rPr>
              <w:t>中小企业信用融资</w:t>
            </w:r>
          </w:p>
        </w:tc>
        <w:tc>
          <w:tcPr>
            <w:tcW w:w="6804" w:type="dxa"/>
            <w:tcMar>
              <w:left w:w="108" w:type="dxa"/>
              <w:right w:w="108" w:type="dxa"/>
            </w:tcMar>
            <w:vAlign w:val="center"/>
          </w:tcPr>
          <w:p w14:paraId="571DFE20">
            <w:pPr>
              <w:widowControl w:val="0"/>
              <w:adjustRightInd w:val="0"/>
              <w:snapToGrid w:val="0"/>
              <w:rPr>
                <w:snapToGrid w:val="0"/>
                <w:color w:val="auto"/>
                <w:kern w:val="0"/>
                <w:highlight w:val="none"/>
              </w:rPr>
            </w:pPr>
            <w:r>
              <w:rPr>
                <w:rFonts w:hint="eastAsia"/>
                <w:snapToGrid w:val="0"/>
                <w:color w:val="auto"/>
                <w:kern w:val="0"/>
                <w:highlight w:val="none"/>
              </w:rPr>
              <w:t>供应商中标后也可在“政采云”平台申请政采贷：操作路径：登录乐采云平台—金融服务中心—【融资服务】，可在热门申请中选择产品直接申请，也可点击云智贷匹配适合产品进行申请，或者在可申请项目中根据该项目进行申请。</w:t>
            </w:r>
          </w:p>
        </w:tc>
      </w:tr>
      <w:tr w14:paraId="67715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BF58775">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1985" w:type="dxa"/>
            <w:tcMar>
              <w:left w:w="108" w:type="dxa"/>
              <w:right w:w="108" w:type="dxa"/>
            </w:tcMar>
            <w:vAlign w:val="center"/>
          </w:tcPr>
          <w:p w14:paraId="355A519F">
            <w:pPr>
              <w:widowControl w:val="0"/>
              <w:adjustRightInd w:val="0"/>
              <w:snapToGrid w:val="0"/>
              <w:jc w:val="left"/>
              <w:rPr>
                <w:snapToGrid w:val="0"/>
                <w:color w:val="auto"/>
                <w:kern w:val="0"/>
                <w:highlight w:val="none"/>
              </w:rPr>
            </w:pPr>
            <w:r>
              <w:rPr>
                <w:rFonts w:hint="eastAsia"/>
                <w:snapToGrid w:val="0"/>
                <w:color w:val="auto"/>
                <w:kern w:val="0"/>
                <w:highlight w:val="none"/>
              </w:rPr>
              <w:t>备份投标文件送达地点和签收人员</w:t>
            </w:r>
          </w:p>
        </w:tc>
        <w:tc>
          <w:tcPr>
            <w:tcW w:w="6804" w:type="dxa"/>
            <w:tcMar>
              <w:left w:w="108" w:type="dxa"/>
              <w:right w:w="108" w:type="dxa"/>
            </w:tcMar>
            <w:vAlign w:val="center"/>
          </w:tcPr>
          <w:p w14:paraId="64FA0A7D">
            <w:pPr>
              <w:widowControl w:val="0"/>
              <w:adjustRightInd w:val="0"/>
              <w:snapToGrid w:val="0"/>
              <w:rPr>
                <w:snapToGrid w:val="0"/>
                <w:color w:val="auto"/>
                <w:kern w:val="0"/>
                <w:highlight w:val="none"/>
              </w:rPr>
            </w:pPr>
            <w:r>
              <w:rPr>
                <w:rFonts w:hint="eastAsia"/>
                <w:snapToGrid w:val="0"/>
                <w:color w:val="auto"/>
                <w:kern w:val="0"/>
                <w:highlight w:val="none"/>
              </w:rPr>
              <w:t>备份投标文件送达地点：</w:t>
            </w:r>
            <w:r>
              <w:rPr>
                <w:rFonts w:hint="eastAsia"/>
                <w:snapToGrid w:val="0"/>
                <w:color w:val="auto"/>
                <w:kern w:val="0"/>
                <w:highlight w:val="none"/>
                <w:u w:val="single"/>
              </w:rPr>
              <w:t xml:space="preserve"> 象山县公共资源交易中心四楼（象山港路300号） </w:t>
            </w:r>
            <w:r>
              <w:rPr>
                <w:rFonts w:hint="eastAsia"/>
                <w:snapToGrid w:val="0"/>
                <w:color w:val="auto"/>
                <w:kern w:val="0"/>
                <w:highlight w:val="none"/>
              </w:rPr>
              <w:t>；备份投标文件签收人员联系电话：</w:t>
            </w:r>
            <w:r>
              <w:rPr>
                <w:rFonts w:hint="eastAsia"/>
                <w:snapToGrid w:val="0"/>
                <w:color w:val="auto"/>
                <w:kern w:val="0"/>
                <w:highlight w:val="none"/>
                <w:u w:val="single"/>
              </w:rPr>
              <w:t xml:space="preserve"> 韩仁灿15088866464</w:t>
            </w:r>
            <w:r>
              <w:rPr>
                <w:snapToGrid w:val="0"/>
                <w:color w:val="auto"/>
                <w:kern w:val="0"/>
                <w:highlight w:val="none"/>
                <w:u w:val="single"/>
              </w:rPr>
              <w:t xml:space="preserve"> </w:t>
            </w:r>
            <w:r>
              <w:rPr>
                <w:rFonts w:hint="eastAsia"/>
                <w:snapToGrid w:val="0"/>
                <w:color w:val="auto"/>
                <w:kern w:val="0"/>
                <w:highlight w:val="none"/>
              </w:rPr>
              <w:t>。</w:t>
            </w:r>
            <w:r>
              <w:rPr>
                <w:rFonts w:hint="eastAsia"/>
                <w:b/>
                <w:bCs/>
                <w:snapToGrid w:val="0"/>
                <w:color w:val="auto"/>
                <w:kern w:val="0"/>
                <w:highlight w:val="none"/>
              </w:rPr>
              <w:t>采购人、采购代理机构不强制或变相强制投标人提交备份投标文件。</w:t>
            </w:r>
          </w:p>
        </w:tc>
      </w:tr>
      <w:tr w14:paraId="65398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019A334D">
            <w:pPr>
              <w:widowControl w:val="0"/>
              <w:adjustRightInd w:val="0"/>
              <w:snapToGrid w:val="0"/>
              <w:jc w:val="center"/>
              <w:rPr>
                <w:snapToGrid w:val="0"/>
                <w:color w:val="auto"/>
                <w:kern w:val="0"/>
                <w:highlight w:val="none"/>
              </w:rPr>
            </w:pPr>
            <w:r>
              <w:rPr>
                <w:rFonts w:hint="eastAsia"/>
                <w:snapToGrid w:val="0"/>
                <w:color w:val="auto"/>
                <w:kern w:val="0"/>
                <w:highlight w:val="none"/>
              </w:rPr>
              <w:t>13</w:t>
            </w:r>
          </w:p>
        </w:tc>
        <w:tc>
          <w:tcPr>
            <w:tcW w:w="1985" w:type="dxa"/>
            <w:vMerge w:val="restart"/>
            <w:tcMar>
              <w:left w:w="108" w:type="dxa"/>
              <w:right w:w="108" w:type="dxa"/>
            </w:tcMar>
            <w:vAlign w:val="center"/>
          </w:tcPr>
          <w:p w14:paraId="13AEB504">
            <w:pPr>
              <w:widowControl w:val="0"/>
              <w:adjustRightInd w:val="0"/>
              <w:snapToGrid w:val="0"/>
              <w:jc w:val="left"/>
              <w:rPr>
                <w:snapToGrid w:val="0"/>
                <w:color w:val="auto"/>
                <w:kern w:val="0"/>
                <w:highlight w:val="none"/>
              </w:rPr>
            </w:pPr>
            <w:r>
              <w:rPr>
                <w:rFonts w:hint="eastAsia"/>
                <w:snapToGrid w:val="0"/>
                <w:color w:val="auto"/>
                <w:kern w:val="0"/>
                <w:highlight w:val="none"/>
              </w:rPr>
              <w:t>特别说明</w:t>
            </w:r>
          </w:p>
        </w:tc>
        <w:tc>
          <w:tcPr>
            <w:tcW w:w="6804" w:type="dxa"/>
            <w:tcMar>
              <w:left w:w="108" w:type="dxa"/>
              <w:right w:w="108" w:type="dxa"/>
            </w:tcMar>
            <w:vAlign w:val="center"/>
          </w:tcPr>
          <w:p w14:paraId="30631C18">
            <w:pPr>
              <w:widowControl w:val="0"/>
              <w:adjustRightInd w:val="0"/>
              <w:snapToGrid w:val="0"/>
              <w:rPr>
                <w:snapToGrid w:val="0"/>
                <w:color w:val="auto"/>
                <w:kern w:val="0"/>
                <w:highlight w:val="none"/>
              </w:rPr>
            </w:pPr>
            <w:r>
              <w:rPr>
                <w:rFonts w:hint="eastAsia"/>
                <w:snapToGrid w:val="0"/>
                <w:color w:val="auto"/>
                <w:kern w:val="0"/>
                <w:highlight w:val="none"/>
              </w:rPr>
              <w:t>联合体投标的，联合体各方分别提供与联合体协议中规定的分工内容相应的业绩证明材料，业绩数量以提供材料较少的一方为准。</w:t>
            </w:r>
          </w:p>
        </w:tc>
      </w:tr>
      <w:tr w14:paraId="2800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continue"/>
            <w:tcMar>
              <w:left w:w="108" w:type="dxa"/>
              <w:right w:w="108" w:type="dxa"/>
            </w:tcMar>
            <w:vAlign w:val="center"/>
          </w:tcPr>
          <w:p w14:paraId="6B2A9C39">
            <w:pPr>
              <w:widowControl w:val="0"/>
              <w:adjustRightInd w:val="0"/>
              <w:snapToGrid w:val="0"/>
              <w:jc w:val="center"/>
              <w:rPr>
                <w:snapToGrid w:val="0"/>
                <w:color w:val="auto"/>
                <w:kern w:val="0"/>
                <w:highlight w:val="none"/>
              </w:rPr>
            </w:pPr>
          </w:p>
        </w:tc>
        <w:tc>
          <w:tcPr>
            <w:tcW w:w="1985" w:type="dxa"/>
            <w:vMerge w:val="continue"/>
            <w:tcMar>
              <w:left w:w="108" w:type="dxa"/>
              <w:right w:w="108" w:type="dxa"/>
            </w:tcMar>
            <w:vAlign w:val="center"/>
          </w:tcPr>
          <w:p w14:paraId="5CB825C0">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14:paraId="1F8D1816">
            <w:pPr>
              <w:widowControl w:val="0"/>
              <w:adjustRightInd w:val="0"/>
              <w:snapToGrid w:val="0"/>
              <w:rPr>
                <w:snapToGrid w:val="0"/>
                <w:color w:val="auto"/>
                <w:kern w:val="0"/>
                <w:highlight w:val="none"/>
              </w:rPr>
            </w:pPr>
            <w:r>
              <w:rPr>
                <w:rFonts w:hint="eastAsia" w:hAnsi="宋体"/>
                <w:color w:val="auto"/>
                <w:szCs w:val="21"/>
                <w:highlight w:val="none"/>
              </w:rPr>
              <w:t>□</w:t>
            </w:r>
            <w:r>
              <w:rPr>
                <w:rFonts w:hint="eastAsia"/>
                <w:snapToGrid w:val="0"/>
                <w:color w:val="auto"/>
                <w:kern w:val="0"/>
                <w:highlight w:val="none"/>
              </w:rPr>
              <w:t>联合体投标的，联合体各方均需按招标文件第四部分评标标准要求提供资信证明文件，否则视为不符合相关要求。</w:t>
            </w:r>
          </w:p>
          <w:p w14:paraId="02E1B599">
            <w:pPr>
              <w:widowControl w:val="0"/>
              <w:adjustRightInd w:val="0"/>
              <w:snapToGrid w:val="0"/>
              <w:rPr>
                <w:snapToGrid w:val="0"/>
                <w:color w:val="auto"/>
                <w:kern w:val="0"/>
                <w:highlight w:val="none"/>
              </w:rPr>
            </w:pPr>
            <w:r>
              <w:rPr>
                <w:rFonts w:ascii="宋体" w:hAnsi="宋体"/>
                <w:snapToGrid w:val="0"/>
                <w:color w:val="auto"/>
                <w:kern w:val="0"/>
                <w:szCs w:val="21"/>
                <w:highlight w:val="none"/>
              </w:rPr>
              <w:fldChar w:fldCharType="begin"/>
            </w:r>
            <w:r>
              <w:rPr>
                <w:rFonts w:ascii="宋体" w:hAnsi="宋体"/>
                <w:snapToGrid w:val="0"/>
                <w:color w:val="auto"/>
                <w:kern w:val="0"/>
                <w:szCs w:val="21"/>
                <w:highlight w:val="none"/>
              </w:rPr>
              <w:instrText xml:space="preserve"> eq \o\ac(□,√)</w:instrText>
            </w:r>
            <w:r>
              <w:rPr>
                <w:rFonts w:ascii="宋体" w:hAnsi="宋体"/>
                <w:snapToGrid w:val="0"/>
                <w:color w:val="auto"/>
                <w:kern w:val="0"/>
                <w:szCs w:val="21"/>
                <w:highlight w:val="none"/>
              </w:rPr>
              <w:fldChar w:fldCharType="end"/>
            </w:r>
            <w:r>
              <w:rPr>
                <w:rFonts w:hint="eastAsia"/>
                <w:snapToGrid w:val="0"/>
                <w:color w:val="auto"/>
                <w:kern w:val="0"/>
                <w:highlight w:val="none"/>
              </w:rPr>
              <w:t>联合体投标的，联合体中有一方或者联合体成员根据分工按招标文件第四部分评标标准要求提供资信证明文件的，视为符合了相关要求。</w:t>
            </w:r>
          </w:p>
        </w:tc>
      </w:tr>
      <w:tr w14:paraId="4B74E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328DAD4">
            <w:pPr>
              <w:widowControl w:val="0"/>
              <w:adjustRightInd w:val="0"/>
              <w:snapToGrid w:val="0"/>
              <w:jc w:val="center"/>
              <w:rPr>
                <w:snapToGrid w:val="0"/>
                <w:color w:val="auto"/>
                <w:kern w:val="0"/>
                <w:highlight w:val="none"/>
              </w:rPr>
            </w:pPr>
            <w:r>
              <w:rPr>
                <w:snapToGrid w:val="0"/>
                <w:color w:val="auto"/>
                <w:kern w:val="0"/>
                <w:szCs w:val="24"/>
                <w:highlight w:val="none"/>
              </w:rPr>
              <w:t>14</w:t>
            </w:r>
          </w:p>
        </w:tc>
        <w:tc>
          <w:tcPr>
            <w:tcW w:w="1985" w:type="dxa"/>
            <w:tcMar>
              <w:left w:w="108" w:type="dxa"/>
              <w:right w:w="108" w:type="dxa"/>
            </w:tcMar>
            <w:vAlign w:val="center"/>
          </w:tcPr>
          <w:p w14:paraId="415FD2E1">
            <w:pPr>
              <w:widowControl w:val="0"/>
              <w:adjustRightInd w:val="0"/>
              <w:snapToGrid w:val="0"/>
              <w:jc w:val="left"/>
              <w:rPr>
                <w:snapToGrid w:val="0"/>
                <w:color w:val="auto"/>
                <w:kern w:val="0"/>
                <w:highlight w:val="none"/>
              </w:rPr>
            </w:pPr>
            <w:r>
              <w:rPr>
                <w:rFonts w:hint="eastAsia"/>
                <w:snapToGrid w:val="0"/>
                <w:color w:val="auto"/>
                <w:kern w:val="0"/>
                <w:highlight w:val="none"/>
              </w:rPr>
              <w:t>其他说明</w:t>
            </w:r>
          </w:p>
        </w:tc>
        <w:tc>
          <w:tcPr>
            <w:tcW w:w="6804" w:type="dxa"/>
            <w:tcMar>
              <w:left w:w="108" w:type="dxa"/>
              <w:right w:w="108" w:type="dxa"/>
            </w:tcMar>
            <w:vAlign w:val="center"/>
          </w:tcPr>
          <w:p w14:paraId="1429CFBE">
            <w:pPr>
              <w:widowControl w:val="0"/>
              <w:adjustRightInd w:val="0"/>
              <w:snapToGrid w:val="0"/>
              <w:rPr>
                <w:rFonts w:hint="eastAsia" w:hAnsi="宋体"/>
                <w:color w:val="auto"/>
                <w:szCs w:val="21"/>
                <w:highlight w:val="none"/>
              </w:rPr>
            </w:pPr>
            <w:r>
              <w:rPr>
                <w:rFonts w:hint="eastAsia" w:hAnsi="宋体"/>
                <w:color w:val="auto"/>
                <w:szCs w:val="21"/>
                <w:highlight w:val="none"/>
              </w:rPr>
              <w:t>招标代理服务费的收取标准：采购代理机构按下表的收费标准（按差额定率累进法计算）下浮50%，根据预算金额向中标人收取招标代理服务费。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75"/>
              <w:gridCol w:w="1211"/>
              <w:gridCol w:w="1212"/>
              <w:gridCol w:w="1212"/>
            </w:tblGrid>
            <w:tr w14:paraId="3367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Borders>
                    <w:tl2br w:val="single" w:color="auto" w:sz="4" w:space="0"/>
                  </w:tcBorders>
                  <w:tcMar>
                    <w:top w:w="30" w:type="dxa"/>
                    <w:left w:w="150" w:type="dxa"/>
                    <w:bottom w:w="30" w:type="dxa"/>
                    <w:right w:w="150" w:type="dxa"/>
                  </w:tcMar>
                  <w:vAlign w:val="center"/>
                </w:tcPr>
                <w:p w14:paraId="231362DF">
                  <w:pPr>
                    <w:widowControl w:val="0"/>
                    <w:adjustRightInd w:val="0"/>
                    <w:snapToGrid w:val="0"/>
                    <w:jc w:val="right"/>
                    <w:rPr>
                      <w:color w:val="auto"/>
                      <w:sz w:val="18"/>
                      <w:szCs w:val="18"/>
                      <w:highlight w:val="none"/>
                    </w:rPr>
                  </w:pPr>
                  <w:r>
                    <w:rPr>
                      <w:b/>
                      <w:color w:val="auto"/>
                      <w:sz w:val="18"/>
                      <w:szCs w:val="18"/>
                      <w:highlight w:val="none"/>
                    </w:rPr>
                    <w:t>类型</w:t>
                  </w:r>
                </w:p>
                <w:p w14:paraId="39C4DD5A">
                  <w:pPr>
                    <w:widowControl w:val="0"/>
                    <w:adjustRightInd w:val="0"/>
                    <w:snapToGrid w:val="0"/>
                    <w:jc w:val="left"/>
                    <w:rPr>
                      <w:color w:val="auto"/>
                      <w:sz w:val="18"/>
                      <w:szCs w:val="18"/>
                      <w:highlight w:val="none"/>
                    </w:rPr>
                  </w:pPr>
                  <w:r>
                    <w:rPr>
                      <w:b/>
                      <w:color w:val="auto"/>
                      <w:sz w:val="18"/>
                      <w:szCs w:val="18"/>
                      <w:highlight w:val="none"/>
                    </w:rPr>
                    <w:t>预算金额（万元）</w:t>
                  </w:r>
                </w:p>
              </w:tc>
              <w:tc>
                <w:tcPr>
                  <w:tcW w:w="1211" w:type="dxa"/>
                  <w:tcMar>
                    <w:top w:w="30" w:type="dxa"/>
                    <w:left w:w="150" w:type="dxa"/>
                    <w:bottom w:w="30" w:type="dxa"/>
                    <w:right w:w="150" w:type="dxa"/>
                  </w:tcMar>
                  <w:vAlign w:val="center"/>
                </w:tcPr>
                <w:p w14:paraId="506CA574">
                  <w:pPr>
                    <w:widowControl w:val="0"/>
                    <w:adjustRightInd w:val="0"/>
                    <w:snapToGrid w:val="0"/>
                    <w:jc w:val="center"/>
                    <w:rPr>
                      <w:color w:val="auto"/>
                      <w:sz w:val="18"/>
                      <w:szCs w:val="18"/>
                      <w:highlight w:val="none"/>
                    </w:rPr>
                  </w:pPr>
                  <w:r>
                    <w:rPr>
                      <w:b/>
                      <w:color w:val="auto"/>
                      <w:sz w:val="18"/>
                      <w:szCs w:val="18"/>
                      <w:highlight w:val="none"/>
                    </w:rPr>
                    <w:t>货物招标</w:t>
                  </w:r>
                </w:p>
              </w:tc>
              <w:tc>
                <w:tcPr>
                  <w:tcW w:w="1212" w:type="dxa"/>
                  <w:tcMar>
                    <w:top w:w="30" w:type="dxa"/>
                    <w:left w:w="150" w:type="dxa"/>
                    <w:bottom w:w="30" w:type="dxa"/>
                    <w:right w:w="150" w:type="dxa"/>
                  </w:tcMar>
                  <w:vAlign w:val="center"/>
                </w:tcPr>
                <w:p w14:paraId="73143239">
                  <w:pPr>
                    <w:widowControl w:val="0"/>
                    <w:adjustRightInd w:val="0"/>
                    <w:snapToGrid w:val="0"/>
                    <w:jc w:val="center"/>
                    <w:rPr>
                      <w:color w:val="auto"/>
                      <w:sz w:val="18"/>
                      <w:szCs w:val="18"/>
                      <w:highlight w:val="none"/>
                    </w:rPr>
                  </w:pPr>
                  <w:r>
                    <w:rPr>
                      <w:b/>
                      <w:color w:val="auto"/>
                      <w:sz w:val="18"/>
                      <w:szCs w:val="18"/>
                      <w:highlight w:val="none"/>
                    </w:rPr>
                    <w:t>服务招标</w:t>
                  </w:r>
                </w:p>
              </w:tc>
              <w:tc>
                <w:tcPr>
                  <w:tcW w:w="1212" w:type="dxa"/>
                  <w:tcMar>
                    <w:top w:w="30" w:type="dxa"/>
                    <w:left w:w="150" w:type="dxa"/>
                    <w:bottom w:w="30" w:type="dxa"/>
                    <w:right w:w="150" w:type="dxa"/>
                  </w:tcMar>
                  <w:vAlign w:val="center"/>
                </w:tcPr>
                <w:p w14:paraId="68D7A1CD">
                  <w:pPr>
                    <w:widowControl w:val="0"/>
                    <w:adjustRightInd w:val="0"/>
                    <w:snapToGrid w:val="0"/>
                    <w:jc w:val="center"/>
                    <w:rPr>
                      <w:color w:val="auto"/>
                      <w:sz w:val="18"/>
                      <w:szCs w:val="18"/>
                      <w:highlight w:val="none"/>
                    </w:rPr>
                  </w:pPr>
                  <w:r>
                    <w:rPr>
                      <w:b/>
                      <w:color w:val="auto"/>
                      <w:sz w:val="18"/>
                      <w:szCs w:val="18"/>
                      <w:highlight w:val="none"/>
                    </w:rPr>
                    <w:t>工程招标</w:t>
                  </w:r>
                </w:p>
              </w:tc>
            </w:tr>
            <w:tr w14:paraId="3B4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167522B3">
                  <w:pPr>
                    <w:widowControl w:val="0"/>
                    <w:adjustRightInd w:val="0"/>
                    <w:snapToGrid w:val="0"/>
                    <w:jc w:val="center"/>
                    <w:rPr>
                      <w:color w:val="auto"/>
                      <w:sz w:val="18"/>
                      <w:szCs w:val="18"/>
                      <w:highlight w:val="none"/>
                    </w:rPr>
                  </w:pPr>
                  <w:r>
                    <w:rPr>
                      <w:color w:val="auto"/>
                      <w:sz w:val="18"/>
                      <w:szCs w:val="18"/>
                      <w:highlight w:val="none"/>
                    </w:rPr>
                    <w:t>100以下</w:t>
                  </w:r>
                </w:p>
              </w:tc>
              <w:tc>
                <w:tcPr>
                  <w:tcW w:w="1211" w:type="dxa"/>
                  <w:tcMar>
                    <w:top w:w="30" w:type="dxa"/>
                    <w:left w:w="150" w:type="dxa"/>
                    <w:bottom w:w="30" w:type="dxa"/>
                    <w:right w:w="150" w:type="dxa"/>
                  </w:tcMar>
                  <w:vAlign w:val="center"/>
                </w:tcPr>
                <w:p w14:paraId="26C0E873">
                  <w:pPr>
                    <w:widowControl w:val="0"/>
                    <w:adjustRightInd w:val="0"/>
                    <w:snapToGrid w:val="0"/>
                    <w:jc w:val="center"/>
                    <w:rPr>
                      <w:color w:val="auto"/>
                      <w:sz w:val="18"/>
                      <w:szCs w:val="18"/>
                      <w:highlight w:val="none"/>
                    </w:rPr>
                  </w:pPr>
                  <w:r>
                    <w:rPr>
                      <w:color w:val="auto"/>
                      <w:sz w:val="18"/>
                      <w:szCs w:val="18"/>
                      <w:highlight w:val="none"/>
                    </w:rPr>
                    <w:t>1.5%</w:t>
                  </w:r>
                </w:p>
              </w:tc>
              <w:tc>
                <w:tcPr>
                  <w:tcW w:w="1212" w:type="dxa"/>
                  <w:tcMar>
                    <w:top w:w="30" w:type="dxa"/>
                    <w:left w:w="150" w:type="dxa"/>
                    <w:bottom w:w="30" w:type="dxa"/>
                    <w:right w:w="150" w:type="dxa"/>
                  </w:tcMar>
                  <w:vAlign w:val="center"/>
                </w:tcPr>
                <w:p w14:paraId="51A238D3">
                  <w:pPr>
                    <w:widowControl w:val="0"/>
                    <w:adjustRightInd w:val="0"/>
                    <w:snapToGrid w:val="0"/>
                    <w:jc w:val="center"/>
                    <w:rPr>
                      <w:color w:val="auto"/>
                      <w:sz w:val="18"/>
                      <w:szCs w:val="18"/>
                      <w:highlight w:val="none"/>
                    </w:rPr>
                  </w:pPr>
                  <w:r>
                    <w:rPr>
                      <w:color w:val="auto"/>
                      <w:sz w:val="18"/>
                      <w:szCs w:val="18"/>
                      <w:highlight w:val="none"/>
                    </w:rPr>
                    <w:t>1.5%</w:t>
                  </w:r>
                </w:p>
              </w:tc>
              <w:tc>
                <w:tcPr>
                  <w:tcW w:w="1212" w:type="dxa"/>
                  <w:tcMar>
                    <w:top w:w="30" w:type="dxa"/>
                    <w:left w:w="150" w:type="dxa"/>
                    <w:bottom w:w="30" w:type="dxa"/>
                    <w:right w:w="150" w:type="dxa"/>
                  </w:tcMar>
                  <w:vAlign w:val="center"/>
                </w:tcPr>
                <w:p w14:paraId="576AE791">
                  <w:pPr>
                    <w:widowControl w:val="0"/>
                    <w:adjustRightInd w:val="0"/>
                    <w:snapToGrid w:val="0"/>
                    <w:jc w:val="center"/>
                    <w:rPr>
                      <w:color w:val="auto"/>
                      <w:sz w:val="18"/>
                      <w:szCs w:val="18"/>
                      <w:highlight w:val="none"/>
                    </w:rPr>
                  </w:pPr>
                  <w:r>
                    <w:rPr>
                      <w:color w:val="auto"/>
                      <w:sz w:val="18"/>
                      <w:szCs w:val="18"/>
                      <w:highlight w:val="none"/>
                    </w:rPr>
                    <w:t>1.0%</w:t>
                  </w:r>
                </w:p>
              </w:tc>
            </w:tr>
            <w:tr w14:paraId="4D14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0558AC22">
                  <w:pPr>
                    <w:widowControl w:val="0"/>
                    <w:adjustRightInd w:val="0"/>
                    <w:snapToGrid w:val="0"/>
                    <w:jc w:val="center"/>
                    <w:rPr>
                      <w:color w:val="auto"/>
                      <w:sz w:val="18"/>
                      <w:szCs w:val="18"/>
                      <w:highlight w:val="none"/>
                    </w:rPr>
                  </w:pPr>
                  <w:r>
                    <w:rPr>
                      <w:color w:val="auto"/>
                      <w:sz w:val="18"/>
                      <w:szCs w:val="18"/>
                      <w:highlight w:val="none"/>
                    </w:rPr>
                    <w:t>100-500</w:t>
                  </w:r>
                </w:p>
              </w:tc>
              <w:tc>
                <w:tcPr>
                  <w:tcW w:w="1211" w:type="dxa"/>
                  <w:tcMar>
                    <w:top w:w="30" w:type="dxa"/>
                    <w:left w:w="150" w:type="dxa"/>
                    <w:bottom w:w="30" w:type="dxa"/>
                    <w:right w:w="150" w:type="dxa"/>
                  </w:tcMar>
                  <w:vAlign w:val="center"/>
                </w:tcPr>
                <w:p w14:paraId="35D03C84">
                  <w:pPr>
                    <w:widowControl w:val="0"/>
                    <w:adjustRightInd w:val="0"/>
                    <w:snapToGrid w:val="0"/>
                    <w:jc w:val="center"/>
                    <w:rPr>
                      <w:color w:val="auto"/>
                      <w:sz w:val="18"/>
                      <w:szCs w:val="18"/>
                      <w:highlight w:val="none"/>
                    </w:rPr>
                  </w:pPr>
                  <w:r>
                    <w:rPr>
                      <w:color w:val="auto"/>
                      <w:sz w:val="18"/>
                      <w:szCs w:val="18"/>
                      <w:highlight w:val="none"/>
                    </w:rPr>
                    <w:t>1.1%</w:t>
                  </w:r>
                </w:p>
              </w:tc>
              <w:tc>
                <w:tcPr>
                  <w:tcW w:w="1212" w:type="dxa"/>
                  <w:tcMar>
                    <w:top w:w="30" w:type="dxa"/>
                    <w:left w:w="150" w:type="dxa"/>
                    <w:bottom w:w="30" w:type="dxa"/>
                    <w:right w:w="150" w:type="dxa"/>
                  </w:tcMar>
                  <w:vAlign w:val="center"/>
                </w:tcPr>
                <w:p w14:paraId="10AE5538">
                  <w:pPr>
                    <w:widowControl w:val="0"/>
                    <w:adjustRightInd w:val="0"/>
                    <w:snapToGrid w:val="0"/>
                    <w:jc w:val="center"/>
                    <w:rPr>
                      <w:color w:val="auto"/>
                      <w:sz w:val="18"/>
                      <w:szCs w:val="18"/>
                      <w:highlight w:val="none"/>
                    </w:rPr>
                  </w:pPr>
                  <w:r>
                    <w:rPr>
                      <w:color w:val="auto"/>
                      <w:sz w:val="18"/>
                      <w:szCs w:val="18"/>
                      <w:highlight w:val="none"/>
                    </w:rPr>
                    <w:t>0.8%</w:t>
                  </w:r>
                </w:p>
              </w:tc>
              <w:tc>
                <w:tcPr>
                  <w:tcW w:w="1212" w:type="dxa"/>
                  <w:tcMar>
                    <w:top w:w="30" w:type="dxa"/>
                    <w:left w:w="150" w:type="dxa"/>
                    <w:bottom w:w="30" w:type="dxa"/>
                    <w:right w:w="150" w:type="dxa"/>
                  </w:tcMar>
                  <w:vAlign w:val="center"/>
                </w:tcPr>
                <w:p w14:paraId="0B0800D7">
                  <w:pPr>
                    <w:widowControl w:val="0"/>
                    <w:adjustRightInd w:val="0"/>
                    <w:snapToGrid w:val="0"/>
                    <w:jc w:val="center"/>
                    <w:rPr>
                      <w:color w:val="auto"/>
                      <w:sz w:val="18"/>
                      <w:szCs w:val="18"/>
                      <w:highlight w:val="none"/>
                    </w:rPr>
                  </w:pPr>
                  <w:r>
                    <w:rPr>
                      <w:color w:val="auto"/>
                      <w:sz w:val="18"/>
                      <w:szCs w:val="18"/>
                      <w:highlight w:val="none"/>
                    </w:rPr>
                    <w:t>0.7%</w:t>
                  </w:r>
                </w:p>
              </w:tc>
            </w:tr>
            <w:tr w14:paraId="488B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37E6360F">
                  <w:pPr>
                    <w:widowControl w:val="0"/>
                    <w:adjustRightInd w:val="0"/>
                    <w:snapToGrid w:val="0"/>
                    <w:jc w:val="center"/>
                    <w:rPr>
                      <w:color w:val="auto"/>
                      <w:sz w:val="18"/>
                      <w:szCs w:val="18"/>
                      <w:highlight w:val="none"/>
                    </w:rPr>
                  </w:pPr>
                  <w:r>
                    <w:rPr>
                      <w:color w:val="auto"/>
                      <w:sz w:val="18"/>
                      <w:szCs w:val="18"/>
                      <w:highlight w:val="none"/>
                    </w:rPr>
                    <w:t>500-1000</w:t>
                  </w:r>
                </w:p>
              </w:tc>
              <w:tc>
                <w:tcPr>
                  <w:tcW w:w="1211" w:type="dxa"/>
                  <w:tcMar>
                    <w:top w:w="30" w:type="dxa"/>
                    <w:left w:w="150" w:type="dxa"/>
                    <w:bottom w:w="30" w:type="dxa"/>
                    <w:right w:w="150" w:type="dxa"/>
                  </w:tcMar>
                  <w:vAlign w:val="center"/>
                </w:tcPr>
                <w:p w14:paraId="15B4AD67">
                  <w:pPr>
                    <w:widowControl w:val="0"/>
                    <w:adjustRightInd w:val="0"/>
                    <w:snapToGrid w:val="0"/>
                    <w:jc w:val="center"/>
                    <w:rPr>
                      <w:color w:val="auto"/>
                      <w:sz w:val="18"/>
                      <w:szCs w:val="18"/>
                      <w:highlight w:val="none"/>
                    </w:rPr>
                  </w:pPr>
                  <w:r>
                    <w:rPr>
                      <w:color w:val="auto"/>
                      <w:sz w:val="18"/>
                      <w:szCs w:val="18"/>
                      <w:highlight w:val="none"/>
                    </w:rPr>
                    <w:t>0.8%</w:t>
                  </w:r>
                </w:p>
              </w:tc>
              <w:tc>
                <w:tcPr>
                  <w:tcW w:w="1212" w:type="dxa"/>
                  <w:tcMar>
                    <w:top w:w="30" w:type="dxa"/>
                    <w:left w:w="150" w:type="dxa"/>
                    <w:bottom w:w="30" w:type="dxa"/>
                    <w:right w:w="150" w:type="dxa"/>
                  </w:tcMar>
                  <w:vAlign w:val="center"/>
                </w:tcPr>
                <w:p w14:paraId="4F6CF4A0">
                  <w:pPr>
                    <w:widowControl w:val="0"/>
                    <w:adjustRightInd w:val="0"/>
                    <w:snapToGrid w:val="0"/>
                    <w:jc w:val="center"/>
                    <w:rPr>
                      <w:color w:val="auto"/>
                      <w:sz w:val="18"/>
                      <w:szCs w:val="18"/>
                      <w:highlight w:val="none"/>
                    </w:rPr>
                  </w:pPr>
                  <w:r>
                    <w:rPr>
                      <w:color w:val="auto"/>
                      <w:sz w:val="18"/>
                      <w:szCs w:val="18"/>
                      <w:highlight w:val="none"/>
                    </w:rPr>
                    <w:t>0.45%</w:t>
                  </w:r>
                </w:p>
              </w:tc>
              <w:tc>
                <w:tcPr>
                  <w:tcW w:w="1212" w:type="dxa"/>
                  <w:tcMar>
                    <w:top w:w="30" w:type="dxa"/>
                    <w:left w:w="150" w:type="dxa"/>
                    <w:bottom w:w="30" w:type="dxa"/>
                    <w:right w:w="150" w:type="dxa"/>
                  </w:tcMar>
                  <w:vAlign w:val="center"/>
                </w:tcPr>
                <w:p w14:paraId="21F17E69">
                  <w:pPr>
                    <w:widowControl w:val="0"/>
                    <w:adjustRightInd w:val="0"/>
                    <w:snapToGrid w:val="0"/>
                    <w:jc w:val="center"/>
                    <w:rPr>
                      <w:color w:val="auto"/>
                      <w:sz w:val="18"/>
                      <w:szCs w:val="18"/>
                      <w:highlight w:val="none"/>
                    </w:rPr>
                  </w:pPr>
                  <w:r>
                    <w:rPr>
                      <w:color w:val="auto"/>
                      <w:sz w:val="18"/>
                      <w:szCs w:val="18"/>
                      <w:highlight w:val="none"/>
                    </w:rPr>
                    <w:t>0.55%</w:t>
                  </w:r>
                </w:p>
              </w:tc>
            </w:tr>
            <w:tr w14:paraId="2E2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21EDAB68">
                  <w:pPr>
                    <w:widowControl w:val="0"/>
                    <w:adjustRightInd w:val="0"/>
                    <w:snapToGrid w:val="0"/>
                    <w:jc w:val="center"/>
                    <w:rPr>
                      <w:color w:val="auto"/>
                      <w:sz w:val="18"/>
                      <w:szCs w:val="18"/>
                      <w:highlight w:val="none"/>
                    </w:rPr>
                  </w:pPr>
                  <w:r>
                    <w:rPr>
                      <w:color w:val="auto"/>
                      <w:sz w:val="18"/>
                      <w:szCs w:val="18"/>
                      <w:highlight w:val="none"/>
                    </w:rPr>
                    <w:t>1000-5000</w:t>
                  </w:r>
                </w:p>
              </w:tc>
              <w:tc>
                <w:tcPr>
                  <w:tcW w:w="1211" w:type="dxa"/>
                  <w:tcMar>
                    <w:top w:w="30" w:type="dxa"/>
                    <w:left w:w="150" w:type="dxa"/>
                    <w:bottom w:w="30" w:type="dxa"/>
                    <w:right w:w="150" w:type="dxa"/>
                  </w:tcMar>
                  <w:vAlign w:val="center"/>
                </w:tcPr>
                <w:p w14:paraId="35D57CDD">
                  <w:pPr>
                    <w:widowControl w:val="0"/>
                    <w:adjustRightInd w:val="0"/>
                    <w:snapToGrid w:val="0"/>
                    <w:jc w:val="center"/>
                    <w:rPr>
                      <w:color w:val="auto"/>
                      <w:sz w:val="18"/>
                      <w:szCs w:val="18"/>
                      <w:highlight w:val="none"/>
                    </w:rPr>
                  </w:pPr>
                  <w:r>
                    <w:rPr>
                      <w:color w:val="auto"/>
                      <w:sz w:val="18"/>
                      <w:szCs w:val="18"/>
                      <w:highlight w:val="none"/>
                    </w:rPr>
                    <w:t>0.5%</w:t>
                  </w:r>
                </w:p>
              </w:tc>
              <w:tc>
                <w:tcPr>
                  <w:tcW w:w="1212" w:type="dxa"/>
                  <w:tcMar>
                    <w:top w:w="30" w:type="dxa"/>
                    <w:left w:w="150" w:type="dxa"/>
                    <w:bottom w:w="30" w:type="dxa"/>
                    <w:right w:w="150" w:type="dxa"/>
                  </w:tcMar>
                  <w:vAlign w:val="center"/>
                </w:tcPr>
                <w:p w14:paraId="5A23FA15">
                  <w:pPr>
                    <w:widowControl w:val="0"/>
                    <w:adjustRightInd w:val="0"/>
                    <w:snapToGrid w:val="0"/>
                    <w:jc w:val="center"/>
                    <w:rPr>
                      <w:color w:val="auto"/>
                      <w:sz w:val="18"/>
                      <w:szCs w:val="18"/>
                      <w:highlight w:val="none"/>
                    </w:rPr>
                  </w:pPr>
                  <w:r>
                    <w:rPr>
                      <w:color w:val="auto"/>
                      <w:sz w:val="18"/>
                      <w:szCs w:val="18"/>
                      <w:highlight w:val="none"/>
                    </w:rPr>
                    <w:t>0.25%</w:t>
                  </w:r>
                </w:p>
              </w:tc>
              <w:tc>
                <w:tcPr>
                  <w:tcW w:w="1212" w:type="dxa"/>
                  <w:tcMar>
                    <w:top w:w="30" w:type="dxa"/>
                    <w:left w:w="150" w:type="dxa"/>
                    <w:bottom w:w="30" w:type="dxa"/>
                    <w:right w:w="150" w:type="dxa"/>
                  </w:tcMar>
                  <w:vAlign w:val="center"/>
                </w:tcPr>
                <w:p w14:paraId="313DE2A1">
                  <w:pPr>
                    <w:widowControl w:val="0"/>
                    <w:adjustRightInd w:val="0"/>
                    <w:snapToGrid w:val="0"/>
                    <w:jc w:val="center"/>
                    <w:rPr>
                      <w:color w:val="auto"/>
                      <w:sz w:val="18"/>
                      <w:szCs w:val="18"/>
                      <w:highlight w:val="none"/>
                    </w:rPr>
                  </w:pPr>
                  <w:r>
                    <w:rPr>
                      <w:color w:val="auto"/>
                      <w:sz w:val="18"/>
                      <w:szCs w:val="18"/>
                      <w:highlight w:val="none"/>
                    </w:rPr>
                    <w:t>0.35%</w:t>
                  </w:r>
                </w:p>
              </w:tc>
            </w:tr>
            <w:tr w14:paraId="41F5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6888550D">
                  <w:pPr>
                    <w:widowControl w:val="0"/>
                    <w:adjustRightInd w:val="0"/>
                    <w:snapToGrid w:val="0"/>
                    <w:jc w:val="center"/>
                    <w:rPr>
                      <w:color w:val="auto"/>
                      <w:sz w:val="18"/>
                      <w:szCs w:val="18"/>
                      <w:highlight w:val="none"/>
                    </w:rPr>
                  </w:pPr>
                  <w:r>
                    <w:rPr>
                      <w:color w:val="auto"/>
                      <w:sz w:val="18"/>
                      <w:szCs w:val="18"/>
                      <w:highlight w:val="none"/>
                    </w:rPr>
                    <w:t>5000-10000</w:t>
                  </w:r>
                </w:p>
              </w:tc>
              <w:tc>
                <w:tcPr>
                  <w:tcW w:w="1211" w:type="dxa"/>
                  <w:tcMar>
                    <w:top w:w="30" w:type="dxa"/>
                    <w:left w:w="150" w:type="dxa"/>
                    <w:bottom w:w="30" w:type="dxa"/>
                    <w:right w:w="150" w:type="dxa"/>
                  </w:tcMar>
                  <w:vAlign w:val="center"/>
                </w:tcPr>
                <w:p w14:paraId="5133D160">
                  <w:pPr>
                    <w:widowControl w:val="0"/>
                    <w:adjustRightInd w:val="0"/>
                    <w:snapToGrid w:val="0"/>
                    <w:jc w:val="center"/>
                    <w:rPr>
                      <w:color w:val="auto"/>
                      <w:sz w:val="18"/>
                      <w:szCs w:val="18"/>
                      <w:highlight w:val="none"/>
                    </w:rPr>
                  </w:pPr>
                  <w:r>
                    <w:rPr>
                      <w:color w:val="auto"/>
                      <w:sz w:val="18"/>
                      <w:szCs w:val="18"/>
                      <w:highlight w:val="none"/>
                    </w:rPr>
                    <w:t>0.25%</w:t>
                  </w:r>
                </w:p>
              </w:tc>
              <w:tc>
                <w:tcPr>
                  <w:tcW w:w="1212" w:type="dxa"/>
                  <w:tcMar>
                    <w:top w:w="30" w:type="dxa"/>
                    <w:left w:w="150" w:type="dxa"/>
                    <w:bottom w:w="30" w:type="dxa"/>
                    <w:right w:w="150" w:type="dxa"/>
                  </w:tcMar>
                  <w:vAlign w:val="center"/>
                </w:tcPr>
                <w:p w14:paraId="4BF4412B">
                  <w:pPr>
                    <w:widowControl w:val="0"/>
                    <w:adjustRightInd w:val="0"/>
                    <w:snapToGrid w:val="0"/>
                    <w:jc w:val="center"/>
                    <w:rPr>
                      <w:color w:val="auto"/>
                      <w:sz w:val="18"/>
                      <w:szCs w:val="18"/>
                      <w:highlight w:val="none"/>
                    </w:rPr>
                  </w:pPr>
                  <w:r>
                    <w:rPr>
                      <w:color w:val="auto"/>
                      <w:sz w:val="18"/>
                      <w:szCs w:val="18"/>
                      <w:highlight w:val="none"/>
                    </w:rPr>
                    <w:t>0.1%</w:t>
                  </w:r>
                </w:p>
              </w:tc>
              <w:tc>
                <w:tcPr>
                  <w:tcW w:w="1212" w:type="dxa"/>
                  <w:tcMar>
                    <w:top w:w="30" w:type="dxa"/>
                    <w:left w:w="150" w:type="dxa"/>
                    <w:bottom w:w="30" w:type="dxa"/>
                    <w:right w:w="150" w:type="dxa"/>
                  </w:tcMar>
                  <w:vAlign w:val="center"/>
                </w:tcPr>
                <w:p w14:paraId="7474DAAC">
                  <w:pPr>
                    <w:widowControl w:val="0"/>
                    <w:adjustRightInd w:val="0"/>
                    <w:snapToGrid w:val="0"/>
                    <w:jc w:val="center"/>
                    <w:rPr>
                      <w:color w:val="auto"/>
                      <w:sz w:val="18"/>
                      <w:szCs w:val="18"/>
                      <w:highlight w:val="none"/>
                    </w:rPr>
                  </w:pPr>
                  <w:r>
                    <w:rPr>
                      <w:color w:val="auto"/>
                      <w:sz w:val="18"/>
                      <w:szCs w:val="18"/>
                      <w:highlight w:val="none"/>
                    </w:rPr>
                    <w:t>0.2%</w:t>
                  </w:r>
                </w:p>
              </w:tc>
            </w:tr>
            <w:tr w14:paraId="6BC3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10AC13CB">
                  <w:pPr>
                    <w:widowControl w:val="0"/>
                    <w:adjustRightInd w:val="0"/>
                    <w:snapToGrid w:val="0"/>
                    <w:jc w:val="center"/>
                    <w:rPr>
                      <w:color w:val="auto"/>
                      <w:sz w:val="18"/>
                      <w:szCs w:val="18"/>
                      <w:highlight w:val="none"/>
                    </w:rPr>
                  </w:pPr>
                  <w:r>
                    <w:rPr>
                      <w:color w:val="auto"/>
                      <w:sz w:val="18"/>
                      <w:szCs w:val="18"/>
                      <w:highlight w:val="none"/>
                    </w:rPr>
                    <w:t>1亿～5亿</w:t>
                  </w:r>
                </w:p>
              </w:tc>
              <w:tc>
                <w:tcPr>
                  <w:tcW w:w="1211" w:type="dxa"/>
                  <w:tcMar>
                    <w:top w:w="30" w:type="dxa"/>
                    <w:left w:w="150" w:type="dxa"/>
                    <w:bottom w:w="30" w:type="dxa"/>
                    <w:right w:w="150" w:type="dxa"/>
                  </w:tcMar>
                  <w:vAlign w:val="center"/>
                </w:tcPr>
                <w:p w14:paraId="34801057">
                  <w:pPr>
                    <w:widowControl w:val="0"/>
                    <w:adjustRightInd w:val="0"/>
                    <w:snapToGrid w:val="0"/>
                    <w:jc w:val="center"/>
                    <w:rPr>
                      <w:color w:val="auto"/>
                      <w:sz w:val="18"/>
                      <w:szCs w:val="18"/>
                      <w:highlight w:val="none"/>
                    </w:rPr>
                  </w:pPr>
                  <w:r>
                    <w:rPr>
                      <w:color w:val="auto"/>
                      <w:sz w:val="18"/>
                      <w:szCs w:val="18"/>
                      <w:highlight w:val="none"/>
                    </w:rPr>
                    <w:t>0.05%</w:t>
                  </w:r>
                </w:p>
              </w:tc>
              <w:tc>
                <w:tcPr>
                  <w:tcW w:w="1212" w:type="dxa"/>
                  <w:tcMar>
                    <w:top w:w="30" w:type="dxa"/>
                    <w:left w:w="150" w:type="dxa"/>
                    <w:bottom w:w="30" w:type="dxa"/>
                    <w:right w:w="150" w:type="dxa"/>
                  </w:tcMar>
                  <w:vAlign w:val="center"/>
                </w:tcPr>
                <w:p w14:paraId="2FFF98EC">
                  <w:pPr>
                    <w:widowControl w:val="0"/>
                    <w:adjustRightInd w:val="0"/>
                    <w:snapToGrid w:val="0"/>
                    <w:jc w:val="center"/>
                    <w:rPr>
                      <w:color w:val="auto"/>
                      <w:sz w:val="18"/>
                      <w:szCs w:val="18"/>
                      <w:highlight w:val="none"/>
                    </w:rPr>
                  </w:pPr>
                  <w:r>
                    <w:rPr>
                      <w:color w:val="auto"/>
                      <w:sz w:val="18"/>
                      <w:szCs w:val="18"/>
                      <w:highlight w:val="none"/>
                    </w:rPr>
                    <w:t>0.05%</w:t>
                  </w:r>
                </w:p>
              </w:tc>
              <w:tc>
                <w:tcPr>
                  <w:tcW w:w="1212" w:type="dxa"/>
                  <w:tcMar>
                    <w:top w:w="30" w:type="dxa"/>
                    <w:left w:w="150" w:type="dxa"/>
                    <w:bottom w:w="30" w:type="dxa"/>
                    <w:right w:w="150" w:type="dxa"/>
                  </w:tcMar>
                  <w:vAlign w:val="center"/>
                </w:tcPr>
                <w:p w14:paraId="7B9A5BDD">
                  <w:pPr>
                    <w:widowControl w:val="0"/>
                    <w:adjustRightInd w:val="0"/>
                    <w:snapToGrid w:val="0"/>
                    <w:jc w:val="center"/>
                    <w:rPr>
                      <w:color w:val="auto"/>
                      <w:sz w:val="18"/>
                      <w:szCs w:val="18"/>
                      <w:highlight w:val="none"/>
                    </w:rPr>
                  </w:pPr>
                  <w:r>
                    <w:rPr>
                      <w:color w:val="auto"/>
                      <w:sz w:val="18"/>
                      <w:szCs w:val="18"/>
                      <w:highlight w:val="none"/>
                    </w:rPr>
                    <w:t>0.05%</w:t>
                  </w:r>
                </w:p>
              </w:tc>
            </w:tr>
            <w:tr w14:paraId="022B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875" w:type="dxa"/>
                  <w:tcMar>
                    <w:top w:w="30" w:type="dxa"/>
                    <w:left w:w="150" w:type="dxa"/>
                    <w:bottom w:w="30" w:type="dxa"/>
                    <w:right w:w="150" w:type="dxa"/>
                  </w:tcMar>
                  <w:vAlign w:val="center"/>
                </w:tcPr>
                <w:p w14:paraId="7D3087AF">
                  <w:pPr>
                    <w:widowControl w:val="0"/>
                    <w:adjustRightInd w:val="0"/>
                    <w:snapToGrid w:val="0"/>
                    <w:jc w:val="center"/>
                    <w:rPr>
                      <w:color w:val="auto"/>
                      <w:sz w:val="18"/>
                      <w:szCs w:val="18"/>
                      <w:highlight w:val="none"/>
                    </w:rPr>
                  </w:pPr>
                  <w:r>
                    <w:rPr>
                      <w:rFonts w:hint="eastAsia"/>
                      <w:color w:val="auto"/>
                      <w:sz w:val="18"/>
                      <w:szCs w:val="18"/>
                      <w:highlight w:val="none"/>
                    </w:rPr>
                    <w:t>5</w:t>
                  </w:r>
                  <w:r>
                    <w:rPr>
                      <w:color w:val="auto"/>
                      <w:sz w:val="18"/>
                      <w:szCs w:val="18"/>
                      <w:highlight w:val="none"/>
                    </w:rPr>
                    <w:t>亿～</w:t>
                  </w:r>
                  <w:r>
                    <w:rPr>
                      <w:rFonts w:hint="eastAsia"/>
                      <w:color w:val="auto"/>
                      <w:sz w:val="18"/>
                      <w:szCs w:val="18"/>
                      <w:highlight w:val="none"/>
                    </w:rPr>
                    <w:t>10</w:t>
                  </w:r>
                  <w:r>
                    <w:rPr>
                      <w:color w:val="auto"/>
                      <w:sz w:val="18"/>
                      <w:szCs w:val="18"/>
                      <w:highlight w:val="none"/>
                    </w:rPr>
                    <w:t>亿</w:t>
                  </w:r>
                </w:p>
              </w:tc>
              <w:tc>
                <w:tcPr>
                  <w:tcW w:w="1211" w:type="dxa"/>
                  <w:tcMar>
                    <w:top w:w="30" w:type="dxa"/>
                    <w:left w:w="150" w:type="dxa"/>
                    <w:bottom w:w="30" w:type="dxa"/>
                    <w:right w:w="150" w:type="dxa"/>
                  </w:tcMar>
                  <w:vAlign w:val="center"/>
                </w:tcPr>
                <w:p w14:paraId="49D2399D">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c>
                <w:tcPr>
                  <w:tcW w:w="1212" w:type="dxa"/>
                  <w:tcMar>
                    <w:top w:w="30" w:type="dxa"/>
                    <w:left w:w="150" w:type="dxa"/>
                    <w:bottom w:w="30" w:type="dxa"/>
                    <w:right w:w="150" w:type="dxa"/>
                  </w:tcMar>
                  <w:vAlign w:val="center"/>
                </w:tcPr>
                <w:p w14:paraId="20F90B63">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c>
                <w:tcPr>
                  <w:tcW w:w="1212" w:type="dxa"/>
                  <w:tcMar>
                    <w:top w:w="30" w:type="dxa"/>
                    <w:left w:w="150" w:type="dxa"/>
                    <w:bottom w:w="30" w:type="dxa"/>
                    <w:right w:w="150" w:type="dxa"/>
                  </w:tcMar>
                  <w:vAlign w:val="center"/>
                </w:tcPr>
                <w:p w14:paraId="0D369628">
                  <w:pPr>
                    <w:widowControl w:val="0"/>
                    <w:adjustRightInd w:val="0"/>
                    <w:snapToGrid w:val="0"/>
                    <w:jc w:val="center"/>
                    <w:rPr>
                      <w:color w:val="auto"/>
                      <w:sz w:val="18"/>
                      <w:szCs w:val="18"/>
                      <w:highlight w:val="none"/>
                    </w:rPr>
                  </w:pPr>
                  <w:r>
                    <w:rPr>
                      <w:color w:val="auto"/>
                      <w:sz w:val="18"/>
                      <w:szCs w:val="18"/>
                      <w:highlight w:val="none"/>
                    </w:rPr>
                    <w:t>0.0</w:t>
                  </w:r>
                  <w:r>
                    <w:rPr>
                      <w:rFonts w:hint="eastAsia"/>
                      <w:color w:val="auto"/>
                      <w:sz w:val="18"/>
                      <w:szCs w:val="18"/>
                      <w:highlight w:val="none"/>
                    </w:rPr>
                    <w:t>3</w:t>
                  </w:r>
                  <w:r>
                    <w:rPr>
                      <w:color w:val="auto"/>
                      <w:sz w:val="18"/>
                      <w:szCs w:val="18"/>
                      <w:highlight w:val="none"/>
                    </w:rPr>
                    <w:t>5%</w:t>
                  </w:r>
                </w:p>
              </w:tc>
            </w:tr>
          </w:tbl>
          <w:p w14:paraId="39CBE51F">
            <w:pPr>
              <w:widowControl w:val="0"/>
              <w:adjustRightInd w:val="0"/>
              <w:snapToGrid w:val="0"/>
              <w:rPr>
                <w:snapToGrid w:val="0"/>
                <w:color w:val="auto"/>
                <w:kern w:val="0"/>
                <w:highlight w:val="none"/>
              </w:rPr>
            </w:pPr>
            <w:r>
              <w:rPr>
                <w:rFonts w:hint="eastAsia"/>
                <w:snapToGrid w:val="0"/>
                <w:color w:val="auto"/>
                <w:kern w:val="0"/>
                <w:highlight w:val="none"/>
              </w:rPr>
              <w:t>招标代理服务费只收现金、银行票汇款、电汇款。</w:t>
            </w:r>
          </w:p>
          <w:p w14:paraId="5E21BC16">
            <w:pPr>
              <w:widowControl w:val="0"/>
              <w:adjustRightInd w:val="0"/>
              <w:snapToGrid w:val="0"/>
              <w:rPr>
                <w:snapToGrid w:val="0"/>
                <w:color w:val="auto"/>
                <w:kern w:val="0"/>
                <w:highlight w:val="none"/>
              </w:rPr>
            </w:pPr>
            <w:r>
              <w:rPr>
                <w:rFonts w:hint="eastAsia"/>
                <w:snapToGrid w:val="0"/>
                <w:color w:val="auto"/>
                <w:kern w:val="0"/>
                <w:highlight w:val="none"/>
              </w:rPr>
              <w:t>关于本次采购的服务费汇入以下账户：</w:t>
            </w:r>
          </w:p>
          <w:p w14:paraId="4F39926D">
            <w:pPr>
              <w:widowControl w:val="0"/>
              <w:adjustRightInd w:val="0"/>
              <w:snapToGrid w:val="0"/>
              <w:rPr>
                <w:snapToGrid w:val="0"/>
                <w:color w:val="auto"/>
                <w:kern w:val="0"/>
                <w:highlight w:val="none"/>
              </w:rPr>
            </w:pPr>
            <w:r>
              <w:rPr>
                <w:rFonts w:hint="eastAsia"/>
                <w:snapToGrid w:val="0"/>
                <w:color w:val="auto"/>
                <w:kern w:val="0"/>
                <w:highlight w:val="none"/>
              </w:rPr>
              <w:t>开户银行：中国工商银行象山支行</w:t>
            </w:r>
          </w:p>
          <w:p w14:paraId="6EB331CB">
            <w:pPr>
              <w:widowControl w:val="0"/>
              <w:adjustRightInd w:val="0"/>
              <w:snapToGrid w:val="0"/>
              <w:rPr>
                <w:snapToGrid w:val="0"/>
                <w:color w:val="auto"/>
                <w:kern w:val="0"/>
                <w:highlight w:val="none"/>
              </w:rPr>
            </w:pPr>
            <w:r>
              <w:rPr>
                <w:rFonts w:hint="eastAsia"/>
                <w:snapToGrid w:val="0"/>
                <w:color w:val="auto"/>
                <w:kern w:val="0"/>
                <w:highlight w:val="none"/>
              </w:rPr>
              <w:t>账号：</w:t>
            </w:r>
            <w:r>
              <w:rPr>
                <w:snapToGrid w:val="0"/>
                <w:color w:val="auto"/>
                <w:kern w:val="0"/>
                <w:highlight w:val="none"/>
              </w:rPr>
              <w:t>3901340009000130339</w:t>
            </w:r>
          </w:p>
          <w:p w14:paraId="6B8A1C8C">
            <w:pPr>
              <w:widowControl w:val="0"/>
              <w:adjustRightInd w:val="0"/>
              <w:snapToGrid w:val="0"/>
              <w:rPr>
                <w:snapToGrid w:val="0"/>
                <w:color w:val="auto"/>
                <w:kern w:val="0"/>
                <w:highlight w:val="none"/>
              </w:rPr>
            </w:pPr>
            <w:r>
              <w:rPr>
                <w:rFonts w:hint="eastAsia"/>
                <w:snapToGrid w:val="0"/>
                <w:color w:val="auto"/>
                <w:kern w:val="0"/>
                <w:highlight w:val="none"/>
              </w:rPr>
              <w:t>户名：宁波建信工程造价咨询事务所有限公司</w:t>
            </w:r>
          </w:p>
          <w:p w14:paraId="2C7624F7">
            <w:pPr>
              <w:widowControl w:val="0"/>
              <w:adjustRightInd w:val="0"/>
              <w:snapToGrid w:val="0"/>
              <w:rPr>
                <w:color w:val="auto"/>
                <w:highlight w:val="none"/>
              </w:rPr>
            </w:pPr>
            <w:r>
              <w:rPr>
                <w:rFonts w:hint="eastAsia"/>
                <w:snapToGrid w:val="0"/>
                <w:color w:val="auto"/>
                <w:kern w:val="0"/>
                <w:highlight w:val="none"/>
              </w:rPr>
              <w:t>注：成交人接到本公司通知后5个工作日内向本采购代理机构领取成交通知书（根据成交人需求可采用邮寄或到采购代理机构现场领取）。</w:t>
            </w:r>
          </w:p>
        </w:tc>
      </w:tr>
      <w:tr w14:paraId="03BF6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EAF535E">
            <w:pPr>
              <w:widowControl w:val="0"/>
              <w:adjustRightInd w:val="0"/>
              <w:snapToGrid w:val="0"/>
              <w:jc w:val="center"/>
              <w:rPr>
                <w:snapToGrid w:val="0"/>
                <w:color w:val="auto"/>
                <w:kern w:val="0"/>
                <w:highlight w:val="none"/>
              </w:rPr>
            </w:pPr>
          </w:p>
        </w:tc>
        <w:tc>
          <w:tcPr>
            <w:tcW w:w="1985" w:type="dxa"/>
            <w:tcMar>
              <w:left w:w="108" w:type="dxa"/>
              <w:right w:w="108" w:type="dxa"/>
            </w:tcMar>
            <w:vAlign w:val="center"/>
          </w:tcPr>
          <w:p w14:paraId="071E2321">
            <w:pPr>
              <w:widowControl w:val="0"/>
              <w:adjustRightInd w:val="0"/>
              <w:snapToGrid w:val="0"/>
              <w:jc w:val="left"/>
              <w:rPr>
                <w:snapToGrid w:val="0"/>
                <w:color w:val="auto"/>
                <w:kern w:val="0"/>
                <w:highlight w:val="none"/>
              </w:rPr>
            </w:pPr>
          </w:p>
        </w:tc>
        <w:tc>
          <w:tcPr>
            <w:tcW w:w="6804" w:type="dxa"/>
            <w:tcMar>
              <w:left w:w="108" w:type="dxa"/>
              <w:right w:w="108" w:type="dxa"/>
            </w:tcMar>
            <w:vAlign w:val="center"/>
          </w:tcPr>
          <w:p w14:paraId="2A3664A2">
            <w:pPr>
              <w:widowControl w:val="0"/>
              <w:adjustRightInd w:val="0"/>
              <w:snapToGrid w:val="0"/>
              <w:rPr>
                <w:rFonts w:hint="eastAsia" w:hAnsi="宋体"/>
                <w:color w:val="auto"/>
                <w:szCs w:val="21"/>
                <w:highlight w:val="none"/>
              </w:rPr>
            </w:pPr>
          </w:p>
        </w:tc>
      </w:tr>
    </w:tbl>
    <w:p w14:paraId="608B1763">
      <w:pPr>
        <w:widowControl w:val="0"/>
        <w:adjustRightInd w:val="0"/>
        <w:snapToGrid w:val="0"/>
        <w:rPr>
          <w:color w:val="auto"/>
          <w:highlight w:val="none"/>
        </w:rPr>
      </w:pPr>
    </w:p>
    <w:p w14:paraId="530D2806">
      <w:pPr>
        <w:widowControl w:val="0"/>
        <w:adjustRightInd w:val="0"/>
        <w:snapToGrid w:val="0"/>
        <w:rPr>
          <w:color w:val="auto"/>
          <w:highlight w:val="none"/>
        </w:rPr>
      </w:pPr>
    </w:p>
    <w:p w14:paraId="3AC56012">
      <w:pPr>
        <w:widowControl w:val="0"/>
        <w:adjustRightInd w:val="0"/>
        <w:snapToGrid w:val="0"/>
        <w:rPr>
          <w:color w:val="auto"/>
          <w:highlight w:val="none"/>
        </w:rPr>
      </w:pPr>
    </w:p>
    <w:p w14:paraId="41036FFA">
      <w:pPr>
        <w:widowControl w:val="0"/>
        <w:adjustRightInd w:val="0"/>
        <w:snapToGrid w:val="0"/>
        <w:rPr>
          <w:color w:val="auto"/>
          <w:highlight w:val="none"/>
        </w:rPr>
      </w:pPr>
    </w:p>
    <w:p w14:paraId="3BEB90B4">
      <w:pPr>
        <w:widowControl w:val="0"/>
        <w:adjustRightInd w:val="0"/>
        <w:snapToGrid w:val="0"/>
        <w:rPr>
          <w:color w:val="auto"/>
          <w:highlight w:val="none"/>
        </w:rPr>
      </w:pPr>
    </w:p>
    <w:p w14:paraId="571B1CC9">
      <w:pPr>
        <w:widowControl w:val="0"/>
        <w:adjustRightInd w:val="0"/>
        <w:snapToGrid w:val="0"/>
        <w:rPr>
          <w:color w:val="auto"/>
          <w:highlight w:val="none"/>
        </w:rPr>
      </w:pPr>
    </w:p>
    <w:p w14:paraId="227696E7">
      <w:pPr>
        <w:widowControl w:val="0"/>
        <w:adjustRightInd w:val="0"/>
        <w:snapToGrid w:val="0"/>
        <w:rPr>
          <w:color w:val="auto"/>
          <w:highlight w:val="none"/>
        </w:rPr>
        <w:sectPr>
          <w:headerReference r:id="rId13" w:type="even"/>
          <w:type w:val="oddPage"/>
          <w:pgSz w:w="11906" w:h="16838"/>
          <w:pgMar w:top="1440" w:right="1304" w:bottom="1440" w:left="1134" w:header="851" w:footer="992" w:gutter="0"/>
          <w:cols w:space="720" w:num="1"/>
          <w:docGrid w:type="lines" w:linePitch="312" w:charSpace="0"/>
        </w:sectPr>
      </w:pPr>
    </w:p>
    <w:p w14:paraId="7B807521">
      <w:pPr>
        <w:adjustRightInd w:val="0"/>
        <w:snapToGrid w:val="0"/>
        <w:spacing w:before="312" w:beforeLines="100" w:after="312" w:afterLines="100" w:line="300" w:lineRule="auto"/>
        <w:jc w:val="center"/>
        <w:rPr>
          <w:rFonts w:hint="eastAsia" w:ascii="华文中宋" w:hAnsi="华文中宋" w:eastAsia="华文中宋"/>
          <w:b/>
          <w:bCs/>
          <w:snapToGrid w:val="0"/>
          <w:color w:val="auto"/>
          <w:kern w:val="0"/>
          <w:sz w:val="30"/>
          <w:szCs w:val="30"/>
          <w:highlight w:val="none"/>
        </w:rPr>
      </w:pPr>
      <w:r>
        <w:rPr>
          <w:rFonts w:hint="eastAsia" w:ascii="华文中宋" w:hAnsi="华文中宋" w:eastAsia="华文中宋"/>
          <w:b/>
          <w:bCs/>
          <w:snapToGrid w:val="0"/>
          <w:color w:val="auto"/>
          <w:kern w:val="0"/>
          <w:sz w:val="30"/>
          <w:szCs w:val="30"/>
          <w:highlight w:val="none"/>
        </w:rPr>
        <w:t>投标人须知</w:t>
      </w:r>
    </w:p>
    <w:p w14:paraId="0A1A6CC0">
      <w:pPr>
        <w:pStyle w:val="417"/>
        <w:rPr>
          <w:color w:val="auto"/>
          <w:highlight w:val="none"/>
        </w:rPr>
      </w:pPr>
      <w:bookmarkStart w:id="21" w:name="_Toc173761921"/>
      <w:r>
        <w:rPr>
          <w:rFonts w:hint="eastAsia"/>
          <w:color w:val="auto"/>
          <w:highlight w:val="none"/>
        </w:rPr>
        <w:t>一、总则</w:t>
      </w:r>
      <w:bookmarkEnd w:id="21"/>
    </w:p>
    <w:p w14:paraId="32CABBAC">
      <w:pPr>
        <w:pStyle w:val="437"/>
        <w:keepNext w:val="0"/>
        <w:keepLines w:val="0"/>
        <w:adjustRightInd w:val="0"/>
        <w:snapToGrid w:val="0"/>
        <w:ind w:firstLine="480"/>
        <w:jc w:val="both"/>
        <w:rPr>
          <w:color w:val="auto"/>
          <w:sz w:val="24"/>
          <w:szCs w:val="24"/>
          <w:highlight w:val="none"/>
          <w:lang w:val="en-US"/>
        </w:rPr>
      </w:pPr>
      <w:bookmarkStart w:id="22" w:name="_Toc173761922"/>
      <w:r>
        <w:rPr>
          <w:rFonts w:hint="eastAsia"/>
          <w:color w:val="auto"/>
          <w:sz w:val="24"/>
          <w:szCs w:val="24"/>
          <w:highlight w:val="none"/>
          <w:lang w:val="en-US"/>
        </w:rPr>
        <w:t>1.适用范围</w:t>
      </w:r>
      <w:bookmarkEnd w:id="22"/>
    </w:p>
    <w:p w14:paraId="268E789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本招标文件适用于该项目的招标、投标、开标、资格审查及信用信息查询、评标、定标、合同、验收等行为（法律、法规另有规定的，从其规定）。</w:t>
      </w:r>
    </w:p>
    <w:p w14:paraId="42B63C03">
      <w:pPr>
        <w:pStyle w:val="437"/>
        <w:keepNext w:val="0"/>
        <w:keepLines w:val="0"/>
        <w:adjustRightInd w:val="0"/>
        <w:snapToGrid w:val="0"/>
        <w:ind w:firstLine="480"/>
        <w:jc w:val="both"/>
        <w:rPr>
          <w:color w:val="auto"/>
          <w:sz w:val="24"/>
          <w:szCs w:val="24"/>
          <w:highlight w:val="none"/>
          <w:lang w:val="en-US"/>
        </w:rPr>
      </w:pPr>
      <w:bookmarkStart w:id="23" w:name="_Toc173761923"/>
      <w:r>
        <w:rPr>
          <w:rFonts w:hint="eastAsia"/>
          <w:color w:val="auto"/>
          <w:sz w:val="24"/>
          <w:szCs w:val="24"/>
          <w:highlight w:val="none"/>
          <w:lang w:val="en-US"/>
        </w:rPr>
        <w:t>2.定义</w:t>
      </w:r>
      <w:bookmarkEnd w:id="23"/>
    </w:p>
    <w:p w14:paraId="6429072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2.1</w:t>
      </w:r>
      <w:r>
        <w:rPr>
          <w:rFonts w:hint="eastAsia" w:hAnsi="宋体"/>
          <w:snapToGrid w:val="0"/>
          <w:color w:val="auto"/>
          <w:kern w:val="0"/>
          <w:sz w:val="24"/>
          <w:highlight w:val="none"/>
        </w:rPr>
        <w:t>“采购人”系指招标公告中载明的本项目的采购人。</w:t>
      </w:r>
    </w:p>
    <w:p w14:paraId="1504F2C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2.2</w:t>
      </w:r>
      <w:r>
        <w:rPr>
          <w:rFonts w:hint="eastAsia" w:hAnsi="宋体"/>
          <w:snapToGrid w:val="0"/>
          <w:color w:val="auto"/>
          <w:kern w:val="0"/>
          <w:sz w:val="24"/>
          <w:highlight w:val="none"/>
        </w:rPr>
        <w:t>“采购代理机构”系指招标公告中载明的本项目的采购代理机构。</w:t>
      </w:r>
    </w:p>
    <w:p w14:paraId="79E2CDA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w:t>
      </w:r>
      <w:r>
        <w:rPr>
          <w:rFonts w:hint="eastAsia" w:hAnsi="宋体"/>
          <w:snapToGrid w:val="0"/>
          <w:color w:val="auto"/>
          <w:kern w:val="0"/>
          <w:sz w:val="24"/>
          <w:highlight w:val="none"/>
        </w:rPr>
        <w:t>“投标人”系指是指响应招标、参加投标竞争的法人、其他组织或者自然人。</w:t>
      </w:r>
    </w:p>
    <w:p w14:paraId="0CF8683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2.4</w:t>
      </w:r>
      <w:r>
        <w:rPr>
          <w:rFonts w:hint="eastAsia" w:hAnsi="宋体"/>
          <w:snapToGrid w:val="0"/>
          <w:color w:val="auto"/>
          <w:kern w:val="0"/>
          <w:sz w:val="24"/>
          <w:highlight w:val="none"/>
        </w:rPr>
        <w:t>“负责人”系指法人企业的法定负责人，或其他组织为法律、行政法规规定代表单位行使职权的主要负责人，或自然人本人。</w:t>
      </w:r>
    </w:p>
    <w:p w14:paraId="30C208A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w:t>
      </w:r>
      <w:r>
        <w:rPr>
          <w:rFonts w:hint="eastAsia" w:hAnsi="宋体"/>
          <w:snapToGrid w:val="0"/>
          <w:color w:val="auto"/>
          <w:kern w:val="0"/>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D1C06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2.6</w:t>
      </w:r>
      <w:r>
        <w:rPr>
          <w:rFonts w:hint="eastAsia" w:hAnsi="宋体"/>
          <w:snapToGrid w:val="0"/>
          <w:color w:val="auto"/>
          <w:kern w:val="0"/>
          <w:sz w:val="24"/>
          <w:highlight w:val="none"/>
        </w:rPr>
        <w:t>“电子交易平台”系指本项目政府采购活动所依托的政府采购云平台（login-lcy.lecaiyun.com）。</w:t>
      </w:r>
    </w:p>
    <w:p w14:paraId="6FCE5CC5">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Ansi="宋体"/>
          <w:b/>
          <w:bCs/>
          <w:snapToGrid w:val="0"/>
          <w:color w:val="auto"/>
          <w:kern w:val="0"/>
          <w:sz w:val="24"/>
          <w:highlight w:val="none"/>
        </w:rPr>
        <w:t>2.7</w:t>
      </w:r>
      <w:r>
        <w:rPr>
          <w:rFonts w:hAnsi="宋体"/>
          <w:snapToGrid w:val="0"/>
          <w:color w:val="auto"/>
          <w:kern w:val="0"/>
          <w:sz w:val="24"/>
          <w:highlight w:val="none"/>
        </w:rPr>
        <w:t>“</w:t>
      </w:r>
      <w:r>
        <w:rPr>
          <w:rFonts w:hint="eastAsia" w:hAnsi="宋体"/>
          <w:snapToGrid w:val="0"/>
          <w:color w:val="auto"/>
          <w:kern w:val="0"/>
          <w:sz w:val="24"/>
          <w:highlight w:val="none"/>
        </w:rPr>
        <w:t>▲”系指实质性要求条款，“</w:t>
      </w:r>
      <w:r>
        <w:rPr>
          <w:rFonts w:ascii="宋体" w:hAnsi="宋体"/>
          <w:snapToGrid w:val="0"/>
          <w:color w:val="auto"/>
          <w:kern w:val="0"/>
          <w:sz w:val="24"/>
          <w:szCs w:val="24"/>
          <w:highlight w:val="none"/>
        </w:rPr>
        <w:fldChar w:fldCharType="begin"/>
      </w:r>
      <w:r>
        <w:rPr>
          <w:rFonts w:ascii="宋体" w:hAnsi="宋体"/>
          <w:snapToGrid w:val="0"/>
          <w:color w:val="auto"/>
          <w:kern w:val="0"/>
          <w:sz w:val="24"/>
          <w:szCs w:val="24"/>
          <w:highlight w:val="none"/>
        </w:rPr>
        <w:instrText xml:space="preserve"> eq \o\ac(□,√)</w:instrText>
      </w:r>
      <w:r>
        <w:rPr>
          <w:rFonts w:ascii="宋体" w:hAnsi="宋体"/>
          <w:snapToGrid w:val="0"/>
          <w:color w:val="auto"/>
          <w:kern w:val="0"/>
          <w:sz w:val="24"/>
          <w:szCs w:val="24"/>
          <w:highlight w:val="none"/>
        </w:rPr>
        <w:fldChar w:fldCharType="end"/>
      </w:r>
      <w:r>
        <w:rPr>
          <w:rFonts w:hAnsi="宋体"/>
          <w:snapToGrid w:val="0"/>
          <w:color w:val="auto"/>
          <w:kern w:val="0"/>
          <w:sz w:val="24"/>
          <w:highlight w:val="none"/>
        </w:rPr>
        <w:t>”</w:t>
      </w:r>
      <w:r>
        <w:rPr>
          <w:rFonts w:hint="eastAsia" w:hAnsi="宋体"/>
          <w:snapToGrid w:val="0"/>
          <w:color w:val="auto"/>
          <w:kern w:val="0"/>
          <w:sz w:val="24"/>
          <w:highlight w:val="none"/>
        </w:rPr>
        <w:t>系指适用本项目的要求，“</w:t>
      </w:r>
      <w:r>
        <w:rPr>
          <w:rFonts w:hint="eastAsia" w:hAnsi="宋体"/>
          <w:color w:val="auto"/>
          <w:sz w:val="24"/>
          <w:highlight w:val="none"/>
        </w:rPr>
        <w:t>□</w:t>
      </w:r>
      <w:r>
        <w:rPr>
          <w:rFonts w:hint="eastAsia" w:ascii="宋体" w:hAnsi="宋体" w:cs="宋体"/>
          <w:snapToGrid w:val="0"/>
          <w:color w:val="auto"/>
          <w:kern w:val="0"/>
          <w:sz w:val="24"/>
          <w:highlight w:val="none"/>
        </w:rPr>
        <w:t>”</w:t>
      </w:r>
      <w:r>
        <w:rPr>
          <w:rFonts w:hint="eastAsia" w:hAnsi="宋体"/>
          <w:snapToGrid w:val="0"/>
          <w:color w:val="auto"/>
          <w:kern w:val="0"/>
          <w:sz w:val="24"/>
          <w:highlight w:val="none"/>
        </w:rPr>
        <w:t>系指不适用本项目的要求。</w:t>
      </w:r>
    </w:p>
    <w:p w14:paraId="5AC9E45B">
      <w:pPr>
        <w:pStyle w:val="437"/>
        <w:keepNext w:val="0"/>
        <w:keepLines w:val="0"/>
        <w:adjustRightInd w:val="0"/>
        <w:snapToGrid w:val="0"/>
        <w:ind w:firstLine="480"/>
        <w:jc w:val="both"/>
        <w:rPr>
          <w:color w:val="auto"/>
          <w:sz w:val="24"/>
          <w:szCs w:val="24"/>
          <w:highlight w:val="none"/>
          <w:lang w:val="en-US"/>
        </w:rPr>
      </w:pPr>
      <w:bookmarkStart w:id="24" w:name="_Toc173761924"/>
      <w:r>
        <w:rPr>
          <w:rFonts w:hint="eastAsia"/>
          <w:color w:val="auto"/>
          <w:sz w:val="24"/>
          <w:szCs w:val="24"/>
          <w:highlight w:val="none"/>
          <w:lang w:val="en-US"/>
        </w:rPr>
        <w:t>3.采购项目需要落实的政府采购政策</w:t>
      </w:r>
      <w:bookmarkEnd w:id="24"/>
    </w:p>
    <w:p w14:paraId="0E4A5B6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3.1</w:t>
      </w:r>
      <w:r>
        <w:rPr>
          <w:rFonts w:hint="eastAsia" w:hAnsi="宋体"/>
          <w:snapToGrid w:val="0"/>
          <w:color w:val="auto"/>
          <w:kern w:val="0"/>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5A0C71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3.2支持绿色发展</w:t>
      </w:r>
    </w:p>
    <w:p w14:paraId="1403C82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
          <w:bCs/>
          <w:snapToGrid w:val="0"/>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0225C7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3.2.2修缮、装修类项目采购建材的，采购人应将绿色建筑和绿色建材性能、指标等作为实质性条件纳入招标文件和合同。</w:t>
      </w:r>
    </w:p>
    <w:p w14:paraId="7142AC2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D258E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1A9C447">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3.3支持中小企业发展</w:t>
      </w:r>
    </w:p>
    <w:p w14:paraId="38DBA54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601AD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符合中小企业划分标准的个体工商户，在政府采购活动中视同中小企业。</w:t>
      </w:r>
    </w:p>
    <w:p w14:paraId="4AF35F1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594924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以联合体形式参加政府采购活动，联合体各方均为中小企业的，联合体视同中小企业。其中，联合体各方均为小微企业的，联合体视同小微企业。</w:t>
      </w:r>
    </w:p>
    <w:p w14:paraId="5FBDB21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B65409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3.3.4符合《关于促进残疾人就业政府采购政策的通知》（财库〔2017〕141号）规定的条件并提供《残疾人福利性单位声明函》（附件1）的残疾人福利性单位视同小型、微型企业；</w:t>
      </w:r>
    </w:p>
    <w:p w14:paraId="466AE75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3.3.5符合《关于政府采购支持监狱企业发展有关问题的通知》（财库〔201</w:t>
      </w:r>
      <w:r>
        <w:rPr>
          <w:rFonts w:hAnsi="宋体"/>
          <w:snapToGrid w:val="0"/>
          <w:color w:val="auto"/>
          <w:kern w:val="0"/>
          <w:sz w:val="24"/>
          <w:highlight w:val="none"/>
        </w:rPr>
        <w:t>4</w:t>
      </w:r>
      <w:r>
        <w:rPr>
          <w:rFonts w:hint="eastAsia" w:hAnsi="宋体"/>
          <w:snapToGrid w:val="0"/>
          <w:color w:val="auto"/>
          <w:kern w:val="0"/>
          <w:sz w:val="24"/>
          <w:highlight w:val="none"/>
        </w:rPr>
        <w:t>〕68号）规定的监狱企业并提供由省级以上监狱管理局、戒毒管理局（含新疆生产建设兵团）出具的属于监狱企业证明文件的，视同为小型、微型企业。</w:t>
      </w:r>
    </w:p>
    <w:p w14:paraId="0E391D2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020AF1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3.3.7中小企业享受扶持政策获得政府采购合同的，小微企业不得将合同分包给大中型企业，中型企业不得将合同分包给大型企业。</w:t>
      </w:r>
    </w:p>
    <w:p w14:paraId="40E9251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3.4支持创新发展</w:t>
      </w:r>
    </w:p>
    <w:p w14:paraId="4B40141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3.4.1采购人优先采购被认定为首台套产品和“制造精品”的自主创新产品。</w:t>
      </w:r>
    </w:p>
    <w:p w14:paraId="744F3CB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ED96FE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3.4.3采购人应当贯彻落实知识产权保护相关法律法规，应当采购使用正版软件。</w:t>
      </w:r>
    </w:p>
    <w:p w14:paraId="16A6E3F0">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3.5平等对待内外资企业和符合条件的破产重整企业</w:t>
      </w:r>
    </w:p>
    <w:p w14:paraId="1B831AB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平等对待内外资企业和符合条件的破产重整企业，切实保障企业公平竞争，平等维护企业的合法利益。</w:t>
      </w:r>
    </w:p>
    <w:p w14:paraId="0FA3F476">
      <w:pPr>
        <w:pStyle w:val="437"/>
        <w:keepNext w:val="0"/>
        <w:keepLines w:val="0"/>
        <w:adjustRightInd w:val="0"/>
        <w:snapToGrid w:val="0"/>
        <w:ind w:firstLine="480"/>
        <w:jc w:val="both"/>
        <w:rPr>
          <w:color w:val="auto"/>
          <w:sz w:val="24"/>
          <w:szCs w:val="24"/>
          <w:highlight w:val="none"/>
          <w:lang w:val="en-US"/>
        </w:rPr>
      </w:pPr>
      <w:bookmarkStart w:id="25" w:name="_Toc173761925"/>
      <w:r>
        <w:rPr>
          <w:rFonts w:hint="eastAsia"/>
          <w:color w:val="auto"/>
          <w:sz w:val="24"/>
          <w:szCs w:val="24"/>
          <w:highlight w:val="none"/>
          <w:lang w:val="en-US"/>
        </w:rPr>
        <w:t>4.询问、质疑、投诉、补偿救济</w:t>
      </w:r>
      <w:bookmarkEnd w:id="25"/>
    </w:p>
    <w:p w14:paraId="1FE60585">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4.1在线询问、质疑、投诉</w:t>
      </w:r>
    </w:p>
    <w:p w14:paraId="566E911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根据《浙江省财政厅关于进一步促进政府采购公平竞争打造最优营商环境的通知》（浙财采监〔20</w:t>
      </w:r>
      <w:r>
        <w:rPr>
          <w:rFonts w:hAnsi="宋体"/>
          <w:snapToGrid w:val="0"/>
          <w:color w:val="auto"/>
          <w:kern w:val="0"/>
          <w:sz w:val="24"/>
          <w:highlight w:val="none"/>
        </w:rPr>
        <w:t>21</w:t>
      </w:r>
      <w:r>
        <w:rPr>
          <w:rFonts w:hint="eastAsia" w:hAnsi="宋体"/>
          <w:snapToGrid w:val="0"/>
          <w:color w:val="auto"/>
          <w:kern w:val="0"/>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BFF32B">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4.2供应商询问</w:t>
      </w:r>
    </w:p>
    <w:p w14:paraId="60E0A91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C3A37C">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4.3供应商质疑</w:t>
      </w:r>
    </w:p>
    <w:p w14:paraId="5D63948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4.3.1提出质疑的供应商应当是参与所质疑项目采购活动的供应商。潜在供应商已依法获取其可质疑的招标文件的，可以对该文件提出质疑。</w:t>
      </w:r>
    </w:p>
    <w:p w14:paraId="5044E52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176C7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4.3.2.1对招标文件提出质疑的，质疑期限为供应商获得招标文件之日或者招标文件公告期限届满之日起计算。</w:t>
      </w:r>
    </w:p>
    <w:p w14:paraId="63A921F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4.3.2.2对采购过程提出质疑的，质疑期限为各采购程序环节结束之日起计算。</w:t>
      </w:r>
    </w:p>
    <w:p w14:paraId="6A89E46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4.3.2.3对采购结果提出质疑的，质疑期限自采购结果公告期限届满之日起计算。</w:t>
      </w:r>
    </w:p>
    <w:p w14:paraId="470C99D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4.3.3供应商提出质疑应当提交质疑函和必要的证明材料。质疑函应当包括下列内容：</w:t>
      </w:r>
    </w:p>
    <w:p w14:paraId="4977879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4.3.3.1供应商的姓名或者名称、地址、邮编、联系人及联系电话；</w:t>
      </w:r>
    </w:p>
    <w:p w14:paraId="09991FD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4.3.3.2质疑项目的名称、编号；</w:t>
      </w:r>
    </w:p>
    <w:p w14:paraId="52685F1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4.3.3.3具体、明确的质疑事项和与质疑事项相关的请求；</w:t>
      </w:r>
    </w:p>
    <w:p w14:paraId="0914CE3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4.3.3.4事实依据；</w:t>
      </w:r>
    </w:p>
    <w:p w14:paraId="7E38248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4.3.3.5必要的法律依据；</w:t>
      </w:r>
    </w:p>
    <w:p w14:paraId="4ADDC48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4.3.3.6提出质疑的日期。</w:t>
      </w:r>
    </w:p>
    <w:p w14:paraId="38CA44F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2C3A4B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质疑函范本及制作说明详见附件2。</w:t>
      </w:r>
    </w:p>
    <w:p w14:paraId="6693188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4.3.4对同一采购程序环节的质疑，供应商须在法定质疑期内一次性提出。</w:t>
      </w:r>
    </w:p>
    <w:p w14:paraId="3420221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相关规定要求，采购人或者采购代理机构在质疑回复后5个工作日内，在浙江政府采购网的“其他公告”栏目公开质疑答复，答复内容应当完整。质疑函作为附件上传。</w:t>
      </w:r>
    </w:p>
    <w:p w14:paraId="4FC9D28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4.3.6询问或者质疑事项可能影响采购结果的，采购人应当暂停签订合同，已经签订合同的，应当中止履行合同。</w:t>
      </w:r>
    </w:p>
    <w:p w14:paraId="0C9D9780">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4.4供应商投诉</w:t>
      </w:r>
    </w:p>
    <w:p w14:paraId="14C9CDE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CED374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4.4.2供应商投诉的事项不得超出已质疑事项的范围，基于质疑答复内容提出的投诉事项除外。</w:t>
      </w:r>
    </w:p>
    <w:p w14:paraId="536DFA7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4.4.3供应商投诉应当有明确的请求和必要的证明材料。</w:t>
      </w:r>
    </w:p>
    <w:p w14:paraId="3D2E0A4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4.4.4以联合体形式参加政府采购活动的，其投诉应当由组成联合体的所有供应商共同提出。</w:t>
      </w:r>
    </w:p>
    <w:p w14:paraId="2A4E4E3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4.4.5投诉材料可寄送至同级政府采购监督管理部门。</w:t>
      </w:r>
    </w:p>
    <w:p w14:paraId="191A914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4.5补偿救济</w:t>
      </w:r>
    </w:p>
    <w:p w14:paraId="2B453F9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采购人（行政机关）因政策变化、规划调整而不履行政府采购合同的，供应商可依据相关规定向采购人（行政机关）提起补偿申请。</w:t>
      </w:r>
    </w:p>
    <w:p w14:paraId="1AA47C8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投诉书范本及制作说明详见附件3。</w:t>
      </w:r>
    </w:p>
    <w:p w14:paraId="334A6BF6">
      <w:pPr>
        <w:pStyle w:val="417"/>
        <w:rPr>
          <w:color w:val="auto"/>
          <w:highlight w:val="none"/>
        </w:rPr>
      </w:pPr>
      <w:bookmarkStart w:id="26" w:name="_Toc173761926"/>
      <w:r>
        <w:rPr>
          <w:rFonts w:hint="eastAsia"/>
          <w:color w:val="auto"/>
          <w:highlight w:val="none"/>
        </w:rPr>
        <w:t>二、招标文件的构成、澄清、修改</w:t>
      </w:r>
      <w:bookmarkEnd w:id="26"/>
    </w:p>
    <w:p w14:paraId="491C8E30">
      <w:pPr>
        <w:pStyle w:val="437"/>
        <w:keepNext w:val="0"/>
        <w:keepLines w:val="0"/>
        <w:adjustRightInd w:val="0"/>
        <w:snapToGrid w:val="0"/>
        <w:ind w:firstLine="480"/>
        <w:jc w:val="both"/>
        <w:rPr>
          <w:color w:val="auto"/>
          <w:sz w:val="24"/>
          <w:szCs w:val="24"/>
          <w:highlight w:val="none"/>
          <w:lang w:val="en-US"/>
        </w:rPr>
      </w:pPr>
      <w:bookmarkStart w:id="27" w:name="_Toc173761927"/>
      <w:r>
        <w:rPr>
          <w:rFonts w:hint="eastAsia"/>
          <w:color w:val="auto"/>
          <w:sz w:val="24"/>
          <w:szCs w:val="24"/>
          <w:highlight w:val="none"/>
          <w:lang w:val="en-US"/>
        </w:rPr>
        <w:t>5.招标文件的构成</w:t>
      </w:r>
      <w:bookmarkEnd w:id="27"/>
    </w:p>
    <w:p w14:paraId="6787AEC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5.1招标文件包括下列文件及附件：</w:t>
      </w:r>
    </w:p>
    <w:p w14:paraId="5B485B2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5.1.1招标公告；</w:t>
      </w:r>
    </w:p>
    <w:p w14:paraId="01DF0CF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5.1.2投标人须知；</w:t>
      </w:r>
    </w:p>
    <w:p w14:paraId="65003E7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5.1.3采购需求；</w:t>
      </w:r>
    </w:p>
    <w:p w14:paraId="5569F91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5.1.4评标办法；</w:t>
      </w:r>
    </w:p>
    <w:p w14:paraId="5D8589E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5.1.5拟签订的合同文本；</w:t>
      </w:r>
    </w:p>
    <w:p w14:paraId="67080C4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5.1.6应提交的有关格式范例。</w:t>
      </w:r>
    </w:p>
    <w:p w14:paraId="3ACBE3D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5.2与本项目有关的澄清或者修改的内容为招标文件的组成部分。</w:t>
      </w:r>
    </w:p>
    <w:p w14:paraId="3AEFDBF0">
      <w:pPr>
        <w:pStyle w:val="437"/>
        <w:keepNext w:val="0"/>
        <w:keepLines w:val="0"/>
        <w:adjustRightInd w:val="0"/>
        <w:snapToGrid w:val="0"/>
        <w:ind w:firstLine="480"/>
        <w:jc w:val="both"/>
        <w:rPr>
          <w:color w:val="auto"/>
          <w:sz w:val="24"/>
          <w:szCs w:val="24"/>
          <w:highlight w:val="none"/>
          <w:lang w:val="en-US"/>
        </w:rPr>
      </w:pPr>
      <w:bookmarkStart w:id="28" w:name="_Toc173761928"/>
      <w:r>
        <w:rPr>
          <w:rFonts w:hint="eastAsia"/>
          <w:color w:val="auto"/>
          <w:sz w:val="24"/>
          <w:szCs w:val="24"/>
          <w:highlight w:val="none"/>
          <w:lang w:val="en-US"/>
        </w:rPr>
        <w:t>6.招标文件的澄清、修改</w:t>
      </w:r>
      <w:bookmarkEnd w:id="28"/>
    </w:p>
    <w:p w14:paraId="1ED5483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6.1</w:t>
      </w:r>
      <w:r>
        <w:rPr>
          <w:rFonts w:hint="eastAsia" w:hAnsi="宋体"/>
          <w:snapToGrid w:val="0"/>
          <w:color w:val="auto"/>
          <w:kern w:val="0"/>
          <w:sz w:val="24"/>
          <w:highlight w:val="none"/>
        </w:rPr>
        <w:t>已获取招标文件的潜在投标人，若有问题需要澄清，应于投标截止时间前，以书面形式向采购代理机构提出。</w:t>
      </w:r>
    </w:p>
    <w:p w14:paraId="773FA756">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6.2</w:t>
      </w:r>
      <w:r>
        <w:rPr>
          <w:rFonts w:hint="eastAsia" w:hAnsi="宋体"/>
          <w:snapToGrid w:val="0"/>
          <w:color w:val="auto"/>
          <w:kern w:val="0"/>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039423">
      <w:pPr>
        <w:pStyle w:val="417"/>
        <w:rPr>
          <w:color w:val="auto"/>
          <w:highlight w:val="none"/>
        </w:rPr>
      </w:pPr>
      <w:bookmarkStart w:id="29" w:name="_Toc173761929"/>
      <w:r>
        <w:rPr>
          <w:rFonts w:hint="eastAsia"/>
          <w:color w:val="auto"/>
          <w:highlight w:val="none"/>
        </w:rPr>
        <w:t>三、投标</w:t>
      </w:r>
      <w:bookmarkEnd w:id="29"/>
    </w:p>
    <w:p w14:paraId="0456F356">
      <w:pPr>
        <w:pStyle w:val="437"/>
        <w:keepNext w:val="0"/>
        <w:keepLines w:val="0"/>
        <w:adjustRightInd w:val="0"/>
        <w:snapToGrid w:val="0"/>
        <w:ind w:firstLine="480"/>
        <w:jc w:val="both"/>
        <w:rPr>
          <w:color w:val="auto"/>
          <w:sz w:val="24"/>
          <w:szCs w:val="24"/>
          <w:highlight w:val="none"/>
          <w:lang w:val="en-US"/>
        </w:rPr>
      </w:pPr>
      <w:bookmarkStart w:id="30" w:name="_Toc173761930"/>
      <w:r>
        <w:rPr>
          <w:rFonts w:hint="eastAsia"/>
          <w:color w:val="auto"/>
          <w:sz w:val="24"/>
          <w:szCs w:val="24"/>
          <w:highlight w:val="none"/>
          <w:lang w:val="en-US"/>
        </w:rPr>
        <w:t>7.招标文件的获取</w:t>
      </w:r>
      <w:bookmarkEnd w:id="30"/>
    </w:p>
    <w:p w14:paraId="16C1DDF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详见招标公告中获取招标文件的时间期限、地点、方式及招标文件售价。</w:t>
      </w:r>
    </w:p>
    <w:p w14:paraId="266C4D21">
      <w:pPr>
        <w:pStyle w:val="437"/>
        <w:keepNext w:val="0"/>
        <w:keepLines w:val="0"/>
        <w:adjustRightInd w:val="0"/>
        <w:snapToGrid w:val="0"/>
        <w:ind w:firstLine="480"/>
        <w:jc w:val="both"/>
        <w:rPr>
          <w:color w:val="auto"/>
          <w:sz w:val="24"/>
          <w:szCs w:val="24"/>
          <w:highlight w:val="none"/>
          <w:lang w:val="en-US"/>
        </w:rPr>
      </w:pPr>
      <w:bookmarkStart w:id="31" w:name="_Toc173761931"/>
      <w:r>
        <w:rPr>
          <w:rFonts w:hint="eastAsia"/>
          <w:color w:val="auto"/>
          <w:sz w:val="24"/>
          <w:szCs w:val="24"/>
          <w:highlight w:val="none"/>
          <w:lang w:val="en-US"/>
        </w:rPr>
        <w:t>8.开标前答疑会或现场考察</w:t>
      </w:r>
      <w:bookmarkEnd w:id="31"/>
    </w:p>
    <w:p w14:paraId="23D7B80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采购人组织潜在投标人现场考察或者召开开标前答疑会的，潜在投标人按第二部分投标人须知前附表的规定参加现场考察或者开标前答疑会。</w:t>
      </w:r>
    </w:p>
    <w:p w14:paraId="25BB40CE">
      <w:pPr>
        <w:pStyle w:val="437"/>
        <w:keepNext w:val="0"/>
        <w:keepLines w:val="0"/>
        <w:adjustRightInd w:val="0"/>
        <w:snapToGrid w:val="0"/>
        <w:ind w:firstLine="480"/>
        <w:jc w:val="both"/>
        <w:rPr>
          <w:color w:val="auto"/>
          <w:sz w:val="24"/>
          <w:szCs w:val="24"/>
          <w:highlight w:val="none"/>
          <w:lang w:val="en-US"/>
        </w:rPr>
      </w:pPr>
      <w:bookmarkStart w:id="32" w:name="_Toc173761932"/>
      <w:r>
        <w:rPr>
          <w:rFonts w:hint="eastAsia"/>
          <w:color w:val="auto"/>
          <w:sz w:val="24"/>
          <w:szCs w:val="24"/>
          <w:highlight w:val="none"/>
          <w:lang w:val="en-US"/>
        </w:rPr>
        <w:t>9.投标保证金</w:t>
      </w:r>
      <w:bookmarkEnd w:id="32"/>
    </w:p>
    <w:p w14:paraId="1BB1E00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本项目不需缴纳投标保证金。</w:t>
      </w:r>
    </w:p>
    <w:p w14:paraId="11EC2112">
      <w:pPr>
        <w:pStyle w:val="437"/>
        <w:keepNext w:val="0"/>
        <w:keepLines w:val="0"/>
        <w:adjustRightInd w:val="0"/>
        <w:snapToGrid w:val="0"/>
        <w:ind w:firstLine="480"/>
        <w:jc w:val="both"/>
        <w:rPr>
          <w:color w:val="auto"/>
          <w:sz w:val="24"/>
          <w:szCs w:val="24"/>
          <w:highlight w:val="none"/>
          <w:lang w:val="en-US"/>
        </w:rPr>
      </w:pPr>
      <w:bookmarkStart w:id="33" w:name="_Toc173761933"/>
      <w:r>
        <w:rPr>
          <w:rFonts w:hint="eastAsia"/>
          <w:color w:val="auto"/>
          <w:sz w:val="24"/>
          <w:szCs w:val="24"/>
          <w:highlight w:val="none"/>
          <w:lang w:val="en-US"/>
        </w:rPr>
        <w:t>10.投标文件的语言</w:t>
      </w:r>
      <w:bookmarkEnd w:id="33"/>
    </w:p>
    <w:p w14:paraId="2ABD6FA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投标文件及投标人与采购有关的来往通知、函件和文件均应使用中文。</w:t>
      </w:r>
    </w:p>
    <w:p w14:paraId="40722C45">
      <w:pPr>
        <w:pStyle w:val="437"/>
        <w:keepNext w:val="0"/>
        <w:keepLines w:val="0"/>
        <w:adjustRightInd w:val="0"/>
        <w:snapToGrid w:val="0"/>
        <w:ind w:firstLine="480"/>
        <w:jc w:val="both"/>
        <w:rPr>
          <w:color w:val="auto"/>
          <w:sz w:val="24"/>
          <w:szCs w:val="24"/>
          <w:highlight w:val="none"/>
          <w:lang w:val="en-US"/>
        </w:rPr>
      </w:pPr>
      <w:bookmarkStart w:id="34" w:name="_Toc173761934"/>
      <w:r>
        <w:rPr>
          <w:rFonts w:hint="eastAsia"/>
          <w:color w:val="auto"/>
          <w:sz w:val="24"/>
          <w:szCs w:val="24"/>
          <w:highlight w:val="none"/>
          <w:lang w:val="en-US"/>
        </w:rPr>
        <w:t>11.投标文件的组成</w:t>
      </w:r>
      <w:bookmarkEnd w:id="34"/>
    </w:p>
    <w:p w14:paraId="77192689">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11.1资格文件：</w:t>
      </w:r>
    </w:p>
    <w:p w14:paraId="1AE83CF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11.1.1符合参加政府采购活动应当具备的一般条件的承诺函；</w:t>
      </w:r>
    </w:p>
    <w:p w14:paraId="5A76EE6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11.1.2联合协议</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14:paraId="1FA49AC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11.1.3落实政府采购政策需满足的资格要求</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14:paraId="08D237A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11.1.4本项目的特定资格要求</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14:paraId="03AD00F2">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11.2商务技术文件：</w:t>
      </w:r>
    </w:p>
    <w:p w14:paraId="1F09F52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11.2.1投标函；</w:t>
      </w:r>
    </w:p>
    <w:p w14:paraId="5C0E4CE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11.2.2授权委托书或法定代表人（单位负责人、自然人本人）身份证明；</w:t>
      </w:r>
    </w:p>
    <w:p w14:paraId="2BA835A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11.2.3分包意向协议</w:t>
      </w:r>
      <w:r>
        <w:rPr>
          <w:rFonts w:hint="eastAsia" w:hAnsi="宋体"/>
          <w:snapToGrid w:val="0"/>
          <w:color w:val="auto"/>
          <w:kern w:val="0"/>
          <w:sz w:val="24"/>
          <w:highlight w:val="none"/>
        </w:rPr>
        <w:t>（如果有）</w:t>
      </w:r>
      <w:r>
        <w:rPr>
          <w:rFonts w:hint="eastAsia" w:hAnsi="宋体"/>
          <w:snapToGrid w:val="0"/>
          <w:color w:val="auto"/>
          <w:kern w:val="0"/>
          <w:sz w:val="24"/>
          <w:highlight w:val="none"/>
        </w:rPr>
        <w:t>；</w:t>
      </w:r>
    </w:p>
    <w:p w14:paraId="6F1FCA78">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11.2.4符合性审查资料；</w:t>
      </w:r>
    </w:p>
    <w:p w14:paraId="31A7464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11.2.5评标标准相应的商务技术资料；</w:t>
      </w:r>
    </w:p>
    <w:p w14:paraId="793F957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11.2.6投标标的清单；</w:t>
      </w:r>
    </w:p>
    <w:p w14:paraId="1755CC4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11.2.7商务技术偏离表；</w:t>
      </w:r>
    </w:p>
    <w:p w14:paraId="51897AC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11.2.8政府采购供应商廉洁自律承诺书；</w:t>
      </w:r>
    </w:p>
    <w:p w14:paraId="22391C96">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11.3报价文件：</w:t>
      </w:r>
    </w:p>
    <w:p w14:paraId="040A619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11.3.1开标一览表（报价表）；</w:t>
      </w:r>
    </w:p>
    <w:p w14:paraId="1D4F839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11.3.2</w:t>
      </w:r>
      <w:r>
        <w:rPr>
          <w:rFonts w:hint="eastAsia" w:hAnsi="宋体"/>
          <w:snapToGrid w:val="0"/>
          <w:color w:val="auto"/>
          <w:kern w:val="0"/>
          <w:sz w:val="24"/>
          <w:highlight w:val="none"/>
        </w:rPr>
        <w:t>报价情况说明（如供应商报价低于项目预算50%的，应当提交本文档，详细阐述不影响产品质量或者诚信履约的具体原因）</w:t>
      </w:r>
      <w:r>
        <w:rPr>
          <w:rFonts w:hint="eastAsia" w:hAnsi="宋体"/>
          <w:snapToGrid w:val="0"/>
          <w:color w:val="auto"/>
          <w:kern w:val="0"/>
          <w:sz w:val="24"/>
          <w:highlight w:val="none"/>
        </w:rPr>
        <w:t>；</w:t>
      </w:r>
    </w:p>
    <w:p w14:paraId="0E77797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11.3.3</w:t>
      </w:r>
      <w:r>
        <w:rPr>
          <w:rFonts w:hint="eastAsia" w:hAnsi="宋体"/>
          <w:snapToGrid w:val="0"/>
          <w:color w:val="auto"/>
          <w:kern w:val="0"/>
          <w:sz w:val="24"/>
          <w:highlight w:val="none"/>
        </w:rPr>
        <w:t>中小企业声明函</w:t>
      </w:r>
      <w:r>
        <w:rPr>
          <w:rFonts w:hint="eastAsia" w:hAnsi="宋体"/>
          <w:snapToGrid w:val="0"/>
          <w:color w:val="auto"/>
          <w:kern w:val="0"/>
          <w:sz w:val="24"/>
          <w:highlight w:val="none"/>
        </w:rPr>
        <w:t>。</w:t>
      </w:r>
    </w:p>
    <w:p w14:paraId="187AB221">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投标文件含有采购人不能接受的附加条件的，投标无效；</w:t>
      </w:r>
    </w:p>
    <w:p w14:paraId="361059CE">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投标人提供虚假材料投标的，投标无效。</w:t>
      </w:r>
    </w:p>
    <w:p w14:paraId="2C52080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投标人应对投标文件中材料的真实性、合法性负责。</w:t>
      </w:r>
    </w:p>
    <w:p w14:paraId="620BE138">
      <w:pPr>
        <w:pStyle w:val="437"/>
        <w:keepNext w:val="0"/>
        <w:keepLines w:val="0"/>
        <w:adjustRightInd w:val="0"/>
        <w:snapToGrid w:val="0"/>
        <w:ind w:firstLine="480"/>
        <w:jc w:val="both"/>
        <w:rPr>
          <w:color w:val="auto"/>
          <w:sz w:val="24"/>
          <w:szCs w:val="24"/>
          <w:highlight w:val="none"/>
          <w:lang w:val="en-US"/>
        </w:rPr>
      </w:pPr>
      <w:bookmarkStart w:id="35" w:name="_Toc173761935"/>
      <w:r>
        <w:rPr>
          <w:rFonts w:hint="eastAsia"/>
          <w:color w:val="auto"/>
          <w:sz w:val="24"/>
          <w:szCs w:val="24"/>
          <w:highlight w:val="none"/>
          <w:lang w:val="en-US"/>
        </w:rPr>
        <w:t>12.投标文件的编制</w:t>
      </w:r>
      <w:bookmarkEnd w:id="35"/>
    </w:p>
    <w:p w14:paraId="7CCBFCE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12.1</w:t>
      </w:r>
      <w:r>
        <w:rPr>
          <w:rFonts w:hint="eastAsia" w:hAnsi="宋体"/>
          <w:snapToGrid w:val="0"/>
          <w:color w:val="auto"/>
          <w:kern w:val="0"/>
          <w:sz w:val="24"/>
          <w:highlight w:val="none"/>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B228C6">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12.2</w:t>
      </w:r>
      <w:r>
        <w:rPr>
          <w:rFonts w:hint="eastAsia" w:hAnsi="宋体"/>
          <w:snapToGrid w:val="0"/>
          <w:color w:val="auto"/>
          <w:kern w:val="0"/>
          <w:sz w:val="24"/>
          <w:highlight w:val="none"/>
        </w:rPr>
        <w:t>投标人进行电子投标应安装客户端软件—“政采云电子交易客户端”，并按照招标文件和电子交易平台的要求编制并加密投标文件。投标人未按规定加密的投标文件，电子交易平台将拒收并提示。</w:t>
      </w:r>
    </w:p>
    <w:p w14:paraId="25D2FB5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12.3</w:t>
      </w:r>
      <w:r>
        <w:rPr>
          <w:rFonts w:hint="eastAsia" w:hAnsi="宋体"/>
          <w:snapToGrid w:val="0"/>
          <w:color w:val="auto"/>
          <w:kern w:val="0"/>
          <w:sz w:val="24"/>
          <w:highlight w:val="none"/>
        </w:rPr>
        <w:t>使用“政采云电子交易客户端”需要提前申领CA数字证书，申领流程请自行前往“浙江政府采购网—下载专区—电子交易客户端—CA驱动和申领流程”进行查阅。</w:t>
      </w:r>
    </w:p>
    <w:p w14:paraId="2A00F00E">
      <w:pPr>
        <w:pStyle w:val="437"/>
        <w:keepNext w:val="0"/>
        <w:keepLines w:val="0"/>
        <w:adjustRightInd w:val="0"/>
        <w:snapToGrid w:val="0"/>
        <w:ind w:firstLine="480"/>
        <w:jc w:val="both"/>
        <w:rPr>
          <w:color w:val="auto"/>
          <w:sz w:val="24"/>
          <w:szCs w:val="24"/>
          <w:highlight w:val="none"/>
          <w:lang w:val="en-US"/>
        </w:rPr>
      </w:pPr>
      <w:bookmarkStart w:id="36" w:name="_Toc173761936"/>
      <w:r>
        <w:rPr>
          <w:rFonts w:hint="eastAsia"/>
          <w:color w:val="auto"/>
          <w:sz w:val="24"/>
          <w:szCs w:val="24"/>
          <w:highlight w:val="none"/>
          <w:lang w:val="en-US"/>
        </w:rPr>
        <w:t>13.投标文件的签署、盖章</w:t>
      </w:r>
      <w:bookmarkEnd w:id="36"/>
    </w:p>
    <w:p w14:paraId="01060C7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13.1</w:t>
      </w:r>
      <w:r>
        <w:rPr>
          <w:rFonts w:hint="eastAsia" w:hAnsi="宋体"/>
          <w:snapToGrid w:val="0"/>
          <w:color w:val="auto"/>
          <w:kern w:val="0"/>
          <w:sz w:val="24"/>
          <w:highlight w:val="none"/>
        </w:rPr>
        <w:t>投标文件按照招标文件第六部分格式要求进行签署、盖章。▲</w:t>
      </w:r>
      <w:r>
        <w:rPr>
          <w:rFonts w:hint="eastAsia" w:hAnsi="宋体"/>
          <w:b/>
          <w:bCs/>
          <w:snapToGrid w:val="0"/>
          <w:color w:val="auto"/>
          <w:kern w:val="0"/>
          <w:sz w:val="24"/>
          <w:highlight w:val="none"/>
        </w:rPr>
        <w:t>投标人的投标文件未按照招标文件要求签署、盖章的，其投标无效。</w:t>
      </w:r>
    </w:p>
    <w:p w14:paraId="6018569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13.2</w:t>
      </w:r>
      <w:r>
        <w:rPr>
          <w:rFonts w:hint="eastAsia" w:hAnsi="宋体"/>
          <w:snapToGrid w:val="0"/>
          <w:color w:val="auto"/>
          <w:kern w:val="0"/>
          <w:sz w:val="24"/>
          <w:highlight w:val="none"/>
        </w:rPr>
        <w:t>为确保网上操作合法、有效和安全，投标人应当在投标截止时间前完成在“政府采购云平台”的身份认证，确保在电子投标过程中能够对相关数据电文进行加密和使用电子签名。</w:t>
      </w:r>
    </w:p>
    <w:p w14:paraId="20BDDAC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13.3</w:t>
      </w:r>
      <w:r>
        <w:rPr>
          <w:rFonts w:hint="eastAsia" w:hAnsi="宋体"/>
          <w:snapToGrid w:val="0"/>
          <w:color w:val="auto"/>
          <w:kern w:val="0"/>
          <w:sz w:val="24"/>
          <w:highlight w:val="none"/>
        </w:rPr>
        <w:t>招标文件对投标文件签署、盖章的要求适用于电子签名。</w:t>
      </w:r>
    </w:p>
    <w:p w14:paraId="2E7E20DD">
      <w:pPr>
        <w:pStyle w:val="437"/>
        <w:keepNext w:val="0"/>
        <w:keepLines w:val="0"/>
        <w:adjustRightInd w:val="0"/>
        <w:snapToGrid w:val="0"/>
        <w:ind w:firstLine="480"/>
        <w:jc w:val="both"/>
        <w:rPr>
          <w:color w:val="auto"/>
          <w:sz w:val="24"/>
          <w:szCs w:val="24"/>
          <w:highlight w:val="none"/>
          <w:lang w:val="en-US"/>
        </w:rPr>
      </w:pPr>
      <w:bookmarkStart w:id="37" w:name="_Toc173761937"/>
      <w:r>
        <w:rPr>
          <w:rFonts w:hint="eastAsia"/>
          <w:color w:val="auto"/>
          <w:sz w:val="24"/>
          <w:szCs w:val="24"/>
          <w:highlight w:val="none"/>
          <w:lang w:val="en-US"/>
        </w:rPr>
        <w:t>14.投标文件的提交、补充、修改、撤回</w:t>
      </w:r>
      <w:bookmarkEnd w:id="37"/>
    </w:p>
    <w:p w14:paraId="37BF96B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14.1</w:t>
      </w:r>
      <w:r>
        <w:rPr>
          <w:rFonts w:hint="eastAsia" w:hAnsi="宋体"/>
          <w:snapToGrid w:val="0"/>
          <w:color w:val="auto"/>
          <w:kern w:val="0"/>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0537C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14.2</w:t>
      </w:r>
      <w:r>
        <w:rPr>
          <w:rFonts w:hint="eastAsia" w:hAnsi="宋体"/>
          <w:snapToGrid w:val="0"/>
          <w:color w:val="auto"/>
          <w:kern w:val="0"/>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7F38C21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14.3</w:t>
      </w:r>
      <w:r>
        <w:rPr>
          <w:rFonts w:hint="eastAsia" w:hAnsi="宋体"/>
          <w:snapToGrid w:val="0"/>
          <w:color w:val="auto"/>
          <w:kern w:val="0"/>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3F7A405F">
      <w:pPr>
        <w:pStyle w:val="437"/>
        <w:keepNext w:val="0"/>
        <w:keepLines w:val="0"/>
        <w:adjustRightInd w:val="0"/>
        <w:snapToGrid w:val="0"/>
        <w:ind w:firstLine="480"/>
        <w:jc w:val="both"/>
        <w:rPr>
          <w:color w:val="auto"/>
          <w:sz w:val="24"/>
          <w:szCs w:val="24"/>
          <w:highlight w:val="none"/>
          <w:lang w:val="en-US"/>
        </w:rPr>
      </w:pPr>
      <w:bookmarkStart w:id="38" w:name="_Toc173761938"/>
      <w:r>
        <w:rPr>
          <w:rFonts w:hint="eastAsia"/>
          <w:color w:val="auto"/>
          <w:sz w:val="24"/>
          <w:szCs w:val="24"/>
          <w:highlight w:val="none"/>
          <w:lang w:val="en-US"/>
        </w:rPr>
        <w:t>15.备份投标文件</w:t>
      </w:r>
      <w:bookmarkEnd w:id="38"/>
    </w:p>
    <w:p w14:paraId="500464E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15.1</w:t>
      </w:r>
      <w:r>
        <w:rPr>
          <w:rFonts w:hint="eastAsia" w:hAnsi="宋体"/>
          <w:snapToGrid w:val="0"/>
          <w:color w:val="auto"/>
          <w:kern w:val="0"/>
          <w:sz w:val="24"/>
          <w:highlight w:val="none"/>
        </w:rPr>
        <w:t>投标人在电子交易平台传输递交投标文件后，还可以在投标截止时间前直接提交或者以邮政快递方式递交备份投标文件1份，</w:t>
      </w:r>
      <w:r>
        <w:rPr>
          <w:rFonts w:hint="eastAsia" w:hAnsi="宋体"/>
          <w:b/>
          <w:bCs/>
          <w:snapToGrid w:val="0"/>
          <w:color w:val="auto"/>
          <w:kern w:val="0"/>
          <w:sz w:val="24"/>
          <w:highlight w:val="none"/>
        </w:rPr>
        <w:t>但采购人、采购代理机构不强制或变相强制投标人提交备份投标文件。</w:t>
      </w:r>
    </w:p>
    <w:p w14:paraId="539F3347">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15.2</w:t>
      </w:r>
      <w:r>
        <w:rPr>
          <w:rFonts w:hint="eastAsia" w:hAnsi="宋体"/>
          <w:snapToGrid w:val="0"/>
          <w:color w:val="auto"/>
          <w:kern w:val="0"/>
          <w:sz w:val="24"/>
          <w:highlight w:val="none"/>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napToGrid w:val="0"/>
          <w:color w:val="auto"/>
          <w:kern w:val="0"/>
          <w:sz w:val="24"/>
          <w:highlight w:val="none"/>
        </w:rPr>
        <w:t>不符合上述制作、存储、密封规定的备份投标文件将被视为无效或者被拒绝接收。</w:t>
      </w:r>
    </w:p>
    <w:p w14:paraId="1D7F0A5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15.3</w:t>
      </w:r>
      <w:r>
        <w:rPr>
          <w:rFonts w:hint="eastAsia" w:hAnsi="宋体"/>
          <w:snapToGrid w:val="0"/>
          <w:color w:val="auto"/>
          <w:kern w:val="0"/>
          <w:sz w:val="24"/>
          <w:highlight w:val="none"/>
        </w:rPr>
        <w:t>直接提交备份投标文件的，投标人应于投标截止时间前在招标公告中载明的开标地点将备份投标文件提交给采购代理机构，采购代理机构将拒绝接受逾期送达的备份投标文件。</w:t>
      </w:r>
    </w:p>
    <w:p w14:paraId="2DBC02B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15.4</w:t>
      </w:r>
      <w:r>
        <w:rPr>
          <w:rFonts w:hint="eastAsia" w:hAnsi="宋体"/>
          <w:snapToGrid w:val="0"/>
          <w:color w:val="auto"/>
          <w:kern w:val="0"/>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0C039C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15.5投标人仅提交备份投标文件，未在电子交易平台传输递交投标文件的，投标无效。</w:t>
      </w:r>
    </w:p>
    <w:p w14:paraId="0974B22E">
      <w:pPr>
        <w:pStyle w:val="437"/>
        <w:keepNext w:val="0"/>
        <w:keepLines w:val="0"/>
        <w:adjustRightInd w:val="0"/>
        <w:snapToGrid w:val="0"/>
        <w:ind w:firstLine="480"/>
        <w:jc w:val="both"/>
        <w:rPr>
          <w:color w:val="auto"/>
          <w:sz w:val="24"/>
          <w:szCs w:val="24"/>
          <w:highlight w:val="none"/>
          <w:lang w:val="en-US"/>
        </w:rPr>
      </w:pPr>
      <w:bookmarkStart w:id="39" w:name="_Toc173761939"/>
      <w:r>
        <w:rPr>
          <w:rFonts w:hint="eastAsia"/>
          <w:color w:val="auto"/>
          <w:sz w:val="24"/>
          <w:szCs w:val="24"/>
          <w:highlight w:val="none"/>
          <w:lang w:val="en-US"/>
        </w:rPr>
        <w:t>16.投标文件的无效处理</w:t>
      </w:r>
      <w:bookmarkEnd w:id="39"/>
    </w:p>
    <w:p w14:paraId="5CE434F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有招标文件第四部分4.2规定的情形之一的，投标无效。</w:t>
      </w:r>
    </w:p>
    <w:p w14:paraId="39D213DF">
      <w:pPr>
        <w:pStyle w:val="437"/>
        <w:keepNext w:val="0"/>
        <w:keepLines w:val="0"/>
        <w:adjustRightInd w:val="0"/>
        <w:snapToGrid w:val="0"/>
        <w:ind w:firstLine="480"/>
        <w:jc w:val="both"/>
        <w:rPr>
          <w:color w:val="auto"/>
          <w:sz w:val="24"/>
          <w:szCs w:val="24"/>
          <w:highlight w:val="none"/>
          <w:lang w:val="en-US"/>
        </w:rPr>
      </w:pPr>
      <w:bookmarkStart w:id="40" w:name="_Toc173761940"/>
      <w:r>
        <w:rPr>
          <w:rFonts w:hint="eastAsia"/>
          <w:color w:val="auto"/>
          <w:sz w:val="24"/>
          <w:szCs w:val="24"/>
          <w:highlight w:val="none"/>
          <w:lang w:val="en-US"/>
        </w:rPr>
        <w:t>17.投标有效期</w:t>
      </w:r>
      <w:bookmarkEnd w:id="40"/>
    </w:p>
    <w:p w14:paraId="4B5127CE">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17.1</w:t>
      </w:r>
      <w:r>
        <w:rPr>
          <w:rFonts w:hint="eastAsia" w:hAnsi="宋体"/>
          <w:snapToGrid w:val="0"/>
          <w:color w:val="auto"/>
          <w:kern w:val="0"/>
          <w:sz w:val="24"/>
          <w:highlight w:val="none"/>
        </w:rPr>
        <w:t>投标有效期为从提交投标文件的截止之日起90天。▲</w:t>
      </w:r>
      <w:r>
        <w:rPr>
          <w:rFonts w:hint="eastAsia" w:hAnsi="宋体"/>
          <w:b/>
          <w:bCs/>
          <w:snapToGrid w:val="0"/>
          <w:color w:val="auto"/>
          <w:kern w:val="0"/>
          <w:sz w:val="24"/>
          <w:highlight w:val="none"/>
        </w:rPr>
        <w:t>投标人的投标文件中承诺的投标有效期少于招标文件中载明的投标有效期的，投标无效。</w:t>
      </w:r>
    </w:p>
    <w:p w14:paraId="0370E2D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17.2</w:t>
      </w:r>
      <w:r>
        <w:rPr>
          <w:rFonts w:hint="eastAsia" w:hAnsi="宋体"/>
          <w:snapToGrid w:val="0"/>
          <w:color w:val="auto"/>
          <w:kern w:val="0"/>
          <w:sz w:val="24"/>
          <w:highlight w:val="none"/>
        </w:rPr>
        <w:t>投标文件合格投递后，自投标截止日期起，在投标有效期内有效。</w:t>
      </w:r>
    </w:p>
    <w:p w14:paraId="1CBB96F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17.3</w:t>
      </w:r>
      <w:r>
        <w:rPr>
          <w:rFonts w:hint="eastAsia" w:hAnsi="宋体"/>
          <w:snapToGrid w:val="0"/>
          <w:color w:val="auto"/>
          <w:kern w:val="0"/>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639A7BE8">
      <w:pPr>
        <w:pStyle w:val="417"/>
        <w:rPr>
          <w:color w:val="auto"/>
          <w:highlight w:val="none"/>
        </w:rPr>
      </w:pPr>
      <w:bookmarkStart w:id="41" w:name="_Toc173761941"/>
      <w:r>
        <w:rPr>
          <w:rFonts w:hint="eastAsia"/>
          <w:color w:val="auto"/>
          <w:highlight w:val="none"/>
        </w:rPr>
        <w:t>四、开标、资格审查与信用信息查询</w:t>
      </w:r>
      <w:bookmarkEnd w:id="41"/>
    </w:p>
    <w:p w14:paraId="389063C0">
      <w:pPr>
        <w:pStyle w:val="437"/>
        <w:keepNext w:val="0"/>
        <w:keepLines w:val="0"/>
        <w:adjustRightInd w:val="0"/>
        <w:snapToGrid w:val="0"/>
        <w:ind w:firstLine="480"/>
        <w:jc w:val="both"/>
        <w:rPr>
          <w:color w:val="auto"/>
          <w:sz w:val="24"/>
          <w:szCs w:val="24"/>
          <w:highlight w:val="none"/>
          <w:lang w:val="en-US"/>
        </w:rPr>
      </w:pPr>
      <w:bookmarkStart w:id="42" w:name="_Toc173761942"/>
      <w:r>
        <w:rPr>
          <w:rFonts w:hint="eastAsia"/>
          <w:color w:val="auto"/>
          <w:sz w:val="24"/>
          <w:szCs w:val="24"/>
          <w:highlight w:val="none"/>
          <w:lang w:val="en-US"/>
        </w:rPr>
        <w:t>18.开标</w:t>
      </w:r>
      <w:bookmarkEnd w:id="42"/>
    </w:p>
    <w:p w14:paraId="164F88E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18.1</w:t>
      </w:r>
      <w:r>
        <w:rPr>
          <w:rFonts w:hint="eastAsia" w:hAnsi="宋体"/>
          <w:snapToGrid w:val="0"/>
          <w:color w:val="auto"/>
          <w:kern w:val="0"/>
          <w:sz w:val="24"/>
          <w:highlight w:val="none"/>
        </w:rPr>
        <w:t>采购代理机构按照招标文件规定的时间通过电子交易平台组织开标，所有投标人均应当准时在线参加。投标人不足3家的，不得开标。</w:t>
      </w:r>
    </w:p>
    <w:p w14:paraId="0442E83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18.2</w:t>
      </w:r>
      <w:r>
        <w:rPr>
          <w:rFonts w:hint="eastAsia" w:hAnsi="宋体"/>
          <w:snapToGrid w:val="0"/>
          <w:color w:val="auto"/>
          <w:kern w:val="0"/>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15D29272">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18.3投标文件未按时解密，投标人提供了备份投标文件的，以备份投标文件作为依据，否则视为投标文件撤回。投标文件已按时解密的，备份投标文件自动失效。</w:t>
      </w:r>
    </w:p>
    <w:p w14:paraId="4A48CF71">
      <w:pPr>
        <w:pStyle w:val="437"/>
        <w:keepNext w:val="0"/>
        <w:keepLines w:val="0"/>
        <w:adjustRightInd w:val="0"/>
        <w:snapToGrid w:val="0"/>
        <w:ind w:firstLine="480"/>
        <w:jc w:val="both"/>
        <w:rPr>
          <w:color w:val="auto"/>
          <w:sz w:val="24"/>
          <w:szCs w:val="24"/>
          <w:highlight w:val="none"/>
          <w:lang w:val="en-US"/>
        </w:rPr>
      </w:pPr>
      <w:bookmarkStart w:id="43" w:name="_Toc173761943"/>
      <w:r>
        <w:rPr>
          <w:rFonts w:hint="eastAsia"/>
          <w:color w:val="auto"/>
          <w:sz w:val="24"/>
          <w:szCs w:val="24"/>
          <w:highlight w:val="none"/>
          <w:lang w:val="en-US"/>
        </w:rPr>
        <w:t>19.资格审查</w:t>
      </w:r>
      <w:bookmarkEnd w:id="43"/>
    </w:p>
    <w:p w14:paraId="664B0C7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19.1</w:t>
      </w:r>
      <w:r>
        <w:rPr>
          <w:rFonts w:hint="eastAsia" w:hAnsi="宋体"/>
          <w:snapToGrid w:val="0"/>
          <w:color w:val="auto"/>
          <w:kern w:val="0"/>
          <w:sz w:val="24"/>
          <w:highlight w:val="none"/>
        </w:rPr>
        <w:t>采购人或采购代理机构依据法律法规和招标文件的规定，对投标人的资格进行审查。</w:t>
      </w:r>
    </w:p>
    <w:p w14:paraId="68296EE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19.2</w:t>
      </w:r>
      <w:r>
        <w:rPr>
          <w:rFonts w:hint="eastAsia" w:hAnsi="宋体"/>
          <w:snapToGrid w:val="0"/>
          <w:color w:val="auto"/>
          <w:kern w:val="0"/>
          <w:sz w:val="24"/>
          <w:highlight w:val="none"/>
        </w:rPr>
        <w:t>投标人未按照招标文件要求提供与资格条件相应的有效资格证明材料的，视为投标人不具备招标文件中规定的资格要求，其投标无效。</w:t>
      </w:r>
    </w:p>
    <w:p w14:paraId="189110B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19.3</w:t>
      </w:r>
      <w:r>
        <w:rPr>
          <w:rFonts w:hint="eastAsia" w:hAnsi="宋体"/>
          <w:snapToGrid w:val="0"/>
          <w:color w:val="auto"/>
          <w:kern w:val="0"/>
          <w:sz w:val="24"/>
          <w:highlight w:val="none"/>
        </w:rPr>
        <w:t>对未通过资格审查的投标人，采购人或采购代理机构告知其未通过的原因。</w:t>
      </w:r>
    </w:p>
    <w:p w14:paraId="103B83DE">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19.4</w:t>
      </w:r>
      <w:r>
        <w:rPr>
          <w:rFonts w:hint="eastAsia" w:hAnsi="宋体"/>
          <w:snapToGrid w:val="0"/>
          <w:color w:val="auto"/>
          <w:kern w:val="0"/>
          <w:sz w:val="24"/>
          <w:highlight w:val="none"/>
        </w:rPr>
        <w:t>合格投标人不足3家的，不再评标。</w:t>
      </w:r>
    </w:p>
    <w:p w14:paraId="563E9C6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19.5</w:t>
      </w:r>
      <w:r>
        <w:rPr>
          <w:rFonts w:hint="eastAsia" w:hAnsi="宋体"/>
          <w:snapToGrid w:val="0"/>
          <w:color w:val="auto"/>
          <w:kern w:val="0"/>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B025968">
      <w:pPr>
        <w:pStyle w:val="437"/>
        <w:keepNext w:val="0"/>
        <w:keepLines w:val="0"/>
        <w:adjustRightInd w:val="0"/>
        <w:snapToGrid w:val="0"/>
        <w:ind w:firstLine="480"/>
        <w:jc w:val="both"/>
        <w:rPr>
          <w:color w:val="auto"/>
          <w:sz w:val="24"/>
          <w:szCs w:val="24"/>
          <w:highlight w:val="none"/>
          <w:lang w:val="en-US"/>
        </w:rPr>
      </w:pPr>
      <w:bookmarkStart w:id="44" w:name="_Toc173761944"/>
      <w:r>
        <w:rPr>
          <w:rFonts w:hint="eastAsia"/>
          <w:color w:val="auto"/>
          <w:sz w:val="24"/>
          <w:szCs w:val="24"/>
          <w:highlight w:val="none"/>
          <w:lang w:val="en-US"/>
        </w:rPr>
        <w:t>20.信用信息查询</w:t>
      </w:r>
      <w:bookmarkEnd w:id="44"/>
    </w:p>
    <w:p w14:paraId="642CC3A5">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20.1</w:t>
      </w:r>
      <w:r>
        <w:rPr>
          <w:rFonts w:hint="eastAsia" w:hAnsi="宋体"/>
          <w:snapToGrid w:val="0"/>
          <w:color w:val="auto"/>
          <w:kern w:val="0"/>
          <w:sz w:val="24"/>
          <w:highlight w:val="none"/>
        </w:rPr>
        <w:t>信用信息查询渠道及截止时间：采购代理机构将在资格审查时通过“信用中国”网站（www.creditchina.gov.cn）、中国政府采购网（www.ccgp.gov.cn）渠道查询投标人接受资格时的信用记录。</w:t>
      </w:r>
    </w:p>
    <w:p w14:paraId="245A7B1E">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20.2</w:t>
      </w:r>
      <w:r>
        <w:rPr>
          <w:rFonts w:hint="eastAsia" w:hAnsi="宋体"/>
          <w:snapToGrid w:val="0"/>
          <w:color w:val="auto"/>
          <w:kern w:val="0"/>
          <w:sz w:val="24"/>
          <w:highlight w:val="none"/>
        </w:rPr>
        <w:t>信用信息查询记录和证据留存的具体方式：现场查询的投标人的信用记录、查询结果经确认后将与采购文件一起存档。</w:t>
      </w:r>
    </w:p>
    <w:p w14:paraId="3E31F02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20.3</w:t>
      </w:r>
      <w:r>
        <w:rPr>
          <w:rFonts w:hint="eastAsia" w:hAnsi="宋体"/>
          <w:snapToGrid w:val="0"/>
          <w:color w:val="auto"/>
          <w:kern w:val="0"/>
          <w:sz w:val="24"/>
          <w:highlight w:val="none"/>
        </w:rPr>
        <w:t>信用信息的使用规则：经查询列入失信被执行人名单、重大税收违法案件当事人名单、政府采购严重违法失信行为记录名单的投标人将被拒绝参与政府采购活动。</w:t>
      </w:r>
    </w:p>
    <w:p w14:paraId="1CD6381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20.4</w:t>
      </w:r>
      <w:r>
        <w:rPr>
          <w:rFonts w:hint="eastAsia" w:hAnsi="宋体"/>
          <w:snapToGrid w:val="0"/>
          <w:color w:val="auto"/>
          <w:kern w:val="0"/>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31DDB5">
      <w:pPr>
        <w:pStyle w:val="417"/>
        <w:rPr>
          <w:color w:val="auto"/>
          <w:highlight w:val="none"/>
        </w:rPr>
      </w:pPr>
      <w:bookmarkStart w:id="45" w:name="_Toc173761945"/>
      <w:r>
        <w:rPr>
          <w:rFonts w:hint="eastAsia"/>
          <w:color w:val="auto"/>
          <w:highlight w:val="none"/>
        </w:rPr>
        <w:t>五、评标</w:t>
      </w:r>
      <w:bookmarkEnd w:id="45"/>
    </w:p>
    <w:p w14:paraId="51135A6B">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21.</w:t>
      </w:r>
      <w:r>
        <w:rPr>
          <w:rFonts w:hint="eastAsia" w:hAnsi="宋体"/>
          <w:snapToGrid w:val="0"/>
          <w:color w:val="auto"/>
          <w:kern w:val="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hAnsi="宋体"/>
          <w:b/>
          <w:bCs/>
          <w:snapToGrid w:val="0"/>
          <w:color w:val="auto"/>
          <w:kern w:val="0"/>
          <w:sz w:val="24"/>
          <w:highlight w:val="none"/>
        </w:rPr>
        <w:t>详见招标文件第四部分评标办法。</w:t>
      </w:r>
    </w:p>
    <w:p w14:paraId="6E80A9C3">
      <w:pPr>
        <w:pStyle w:val="417"/>
        <w:rPr>
          <w:color w:val="auto"/>
          <w:highlight w:val="none"/>
        </w:rPr>
      </w:pPr>
      <w:bookmarkStart w:id="46" w:name="_Toc173761946"/>
      <w:r>
        <w:rPr>
          <w:rFonts w:hint="eastAsia"/>
          <w:color w:val="auto"/>
          <w:highlight w:val="none"/>
        </w:rPr>
        <w:t>六、定标</w:t>
      </w:r>
      <w:bookmarkEnd w:id="46"/>
    </w:p>
    <w:p w14:paraId="58FD9773">
      <w:pPr>
        <w:pStyle w:val="437"/>
        <w:keepNext w:val="0"/>
        <w:keepLines w:val="0"/>
        <w:adjustRightInd w:val="0"/>
        <w:snapToGrid w:val="0"/>
        <w:ind w:firstLine="480"/>
        <w:jc w:val="both"/>
        <w:rPr>
          <w:color w:val="auto"/>
          <w:sz w:val="24"/>
          <w:szCs w:val="24"/>
          <w:highlight w:val="none"/>
          <w:lang w:val="en-US"/>
        </w:rPr>
      </w:pPr>
      <w:bookmarkStart w:id="47" w:name="_Toc173761947"/>
      <w:r>
        <w:rPr>
          <w:rFonts w:hint="eastAsia"/>
          <w:color w:val="auto"/>
          <w:sz w:val="24"/>
          <w:szCs w:val="24"/>
          <w:highlight w:val="none"/>
          <w:lang w:val="en-US"/>
        </w:rPr>
        <w:t>22.确定中标供应商</w:t>
      </w:r>
      <w:bookmarkEnd w:id="47"/>
    </w:p>
    <w:p w14:paraId="13A7E920">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BA73C01">
      <w:pPr>
        <w:pStyle w:val="437"/>
        <w:keepNext w:val="0"/>
        <w:keepLines w:val="0"/>
        <w:adjustRightInd w:val="0"/>
        <w:snapToGrid w:val="0"/>
        <w:ind w:firstLine="480"/>
        <w:jc w:val="both"/>
        <w:rPr>
          <w:color w:val="auto"/>
          <w:sz w:val="24"/>
          <w:szCs w:val="24"/>
          <w:highlight w:val="none"/>
          <w:lang w:val="en-US"/>
        </w:rPr>
      </w:pPr>
      <w:bookmarkStart w:id="48" w:name="_Toc173761948"/>
      <w:r>
        <w:rPr>
          <w:rFonts w:hint="eastAsia"/>
          <w:color w:val="auto"/>
          <w:sz w:val="24"/>
          <w:szCs w:val="24"/>
          <w:highlight w:val="none"/>
          <w:lang w:val="en-US"/>
        </w:rPr>
        <w:t>23.中标通知与中标结果公告</w:t>
      </w:r>
      <w:bookmarkEnd w:id="48"/>
    </w:p>
    <w:p w14:paraId="49B5C1D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23.1</w:t>
      </w:r>
      <w:r>
        <w:rPr>
          <w:rFonts w:hint="eastAsia" w:hAnsi="宋体"/>
          <w:snapToGrid w:val="0"/>
          <w:color w:val="auto"/>
          <w:kern w:val="0"/>
          <w:sz w:val="24"/>
          <w:highlight w:val="none"/>
        </w:rPr>
        <w:t>自中标人确定之日起2个工作日内，采购代理机构通过电子交易平台向中标人发出中标通知书，同时编制发布采购结果公告。采购代理机构也可以以纸质形式进行中标通知。</w:t>
      </w:r>
    </w:p>
    <w:p w14:paraId="5CDB0A6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23.2</w:t>
      </w:r>
      <w:r>
        <w:rPr>
          <w:rFonts w:hint="eastAsia" w:hAnsi="宋体"/>
          <w:snapToGrid w:val="0"/>
          <w:color w:val="auto"/>
          <w:kern w:val="0"/>
          <w:sz w:val="24"/>
          <w:highlight w:val="none"/>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2B30CA">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23.3</w:t>
      </w:r>
      <w:r>
        <w:rPr>
          <w:rFonts w:hint="eastAsia" w:hAnsi="宋体"/>
          <w:snapToGrid w:val="0"/>
          <w:color w:val="auto"/>
          <w:kern w:val="0"/>
          <w:sz w:val="24"/>
          <w:highlight w:val="none"/>
        </w:rPr>
        <w:t>公告期限为1个工作日。</w:t>
      </w:r>
    </w:p>
    <w:p w14:paraId="45FB9CA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23.4</w:t>
      </w:r>
      <w:r>
        <w:rPr>
          <w:rFonts w:hint="eastAsia" w:hAnsi="宋体"/>
          <w:snapToGrid w:val="0"/>
          <w:color w:val="auto"/>
          <w:kern w:val="0"/>
          <w:sz w:val="24"/>
          <w:highlight w:val="none"/>
        </w:rPr>
        <w:t>由于中标、成交供应商原因导致重新采购的，应当承担支付代理费和专家评审费等费用在内的赔偿责任。</w:t>
      </w:r>
    </w:p>
    <w:p w14:paraId="60B4D83A">
      <w:pPr>
        <w:pStyle w:val="417"/>
        <w:rPr>
          <w:color w:val="auto"/>
          <w:highlight w:val="none"/>
        </w:rPr>
      </w:pPr>
      <w:bookmarkStart w:id="49" w:name="_Toc173761949"/>
      <w:r>
        <w:rPr>
          <w:rFonts w:hint="eastAsia"/>
          <w:color w:val="auto"/>
          <w:highlight w:val="none"/>
        </w:rPr>
        <w:t>七、合同授予</w:t>
      </w:r>
      <w:bookmarkEnd w:id="49"/>
    </w:p>
    <w:p w14:paraId="14D8200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24.</w:t>
      </w:r>
      <w:r>
        <w:rPr>
          <w:rFonts w:hint="eastAsia" w:hAnsi="宋体"/>
          <w:snapToGrid w:val="0"/>
          <w:color w:val="auto"/>
          <w:kern w:val="0"/>
          <w:sz w:val="24"/>
          <w:highlight w:val="none"/>
        </w:rPr>
        <w:t>合同主要条款详见第五部分拟签订的合同文本。</w:t>
      </w:r>
    </w:p>
    <w:p w14:paraId="4252A402">
      <w:pPr>
        <w:pStyle w:val="437"/>
        <w:keepNext w:val="0"/>
        <w:keepLines w:val="0"/>
        <w:adjustRightInd w:val="0"/>
        <w:snapToGrid w:val="0"/>
        <w:ind w:firstLine="480"/>
        <w:jc w:val="both"/>
        <w:rPr>
          <w:color w:val="auto"/>
          <w:sz w:val="24"/>
          <w:szCs w:val="24"/>
          <w:highlight w:val="none"/>
          <w:lang w:val="en-US"/>
        </w:rPr>
      </w:pPr>
      <w:bookmarkStart w:id="50" w:name="_Toc173761950"/>
      <w:r>
        <w:rPr>
          <w:rFonts w:hint="eastAsia"/>
          <w:color w:val="auto"/>
          <w:sz w:val="24"/>
          <w:szCs w:val="24"/>
          <w:highlight w:val="none"/>
          <w:lang w:val="en-US"/>
        </w:rPr>
        <w:t>25.合同的签订</w:t>
      </w:r>
      <w:bookmarkEnd w:id="50"/>
    </w:p>
    <w:p w14:paraId="776AC24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25.1</w:t>
      </w:r>
      <w:r>
        <w:rPr>
          <w:rFonts w:hint="eastAsia" w:hAnsi="宋体"/>
          <w:snapToGrid w:val="0"/>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ascii="宋体" w:hAnsi="宋体"/>
          <w:snapToGrid w:val="0"/>
          <w:color w:val="auto"/>
          <w:kern w:val="0"/>
          <w:sz w:val="24"/>
          <w:highlight w:val="none"/>
        </w:rPr>
        <w:t>“冷、硬、横、推”等不</w:t>
      </w:r>
      <w:r>
        <w:rPr>
          <w:rFonts w:hint="eastAsia" w:hAnsi="宋体"/>
          <w:snapToGrid w:val="0"/>
          <w:color w:val="auto"/>
          <w:kern w:val="0"/>
          <w:sz w:val="24"/>
          <w:highlight w:val="none"/>
        </w:rPr>
        <w:t>当行为。除不可抗力等特殊情况外，原则上应当在中标通知书发出之日起10个工作日内，与中标供应商按照采购文件确定的事项签订政府采购合同。</w:t>
      </w:r>
    </w:p>
    <w:p w14:paraId="55AC3107">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25.2</w:t>
      </w:r>
      <w:r>
        <w:rPr>
          <w:rFonts w:hint="eastAsia" w:hAnsi="宋体"/>
          <w:snapToGrid w:val="0"/>
          <w:color w:val="auto"/>
          <w:kern w:val="0"/>
          <w:sz w:val="24"/>
          <w:highlight w:val="none"/>
        </w:rPr>
        <w:t>中标人按规定的日期、时间、地点，由法定代表人或其授权代表与采购人代表签订合同。如中标人为联合体的，由联合体成员各方法定代表人或其授权代表与采购人代表签订合同。</w:t>
      </w:r>
    </w:p>
    <w:p w14:paraId="49E1B08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25.3</w:t>
      </w:r>
      <w:r>
        <w:rPr>
          <w:rFonts w:hint="eastAsia" w:hAnsi="宋体"/>
          <w:snapToGrid w:val="0"/>
          <w:color w:val="auto"/>
          <w:kern w:val="0"/>
          <w:sz w:val="24"/>
          <w:highlight w:val="none"/>
        </w:rPr>
        <w:t>如签订合同并生效后，供应商无故拒绝或延期，除按照合同条款处理外，列入不良行为记录一次，并给予通报。</w:t>
      </w:r>
    </w:p>
    <w:p w14:paraId="723E4D2F">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25.4</w:t>
      </w:r>
      <w:r>
        <w:rPr>
          <w:rFonts w:hint="eastAsia" w:hAnsi="宋体"/>
          <w:snapToGrid w:val="0"/>
          <w:color w:val="auto"/>
          <w:kern w:val="0"/>
          <w:sz w:val="24"/>
          <w:highlight w:val="none"/>
        </w:rPr>
        <w:t>中标供应商拒绝与采购人签订合同的，采购人可以按照评审报告推荐的中标或者成交候选人名单排序，确定下一候选人为中标供应商，也可以重新开展政府采购活动。</w:t>
      </w:r>
    </w:p>
    <w:p w14:paraId="5B2406F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25.5</w:t>
      </w:r>
      <w:r>
        <w:rPr>
          <w:rFonts w:hint="eastAsia" w:hAnsi="宋体"/>
          <w:snapToGrid w:val="0"/>
          <w:color w:val="auto"/>
          <w:kern w:val="0"/>
          <w:sz w:val="24"/>
          <w:highlight w:val="none"/>
        </w:rPr>
        <w:t>采购合同由采购人与中标供应商根据招标文件、投标文件等内容通过政府采购电子交易平台在线签订，自动备案。</w:t>
      </w:r>
    </w:p>
    <w:p w14:paraId="102C64E3">
      <w:pPr>
        <w:pStyle w:val="437"/>
        <w:keepNext w:val="0"/>
        <w:keepLines w:val="0"/>
        <w:adjustRightInd w:val="0"/>
        <w:snapToGrid w:val="0"/>
        <w:ind w:firstLine="480"/>
        <w:jc w:val="both"/>
        <w:rPr>
          <w:color w:val="auto"/>
          <w:sz w:val="24"/>
          <w:szCs w:val="24"/>
          <w:highlight w:val="none"/>
          <w:lang w:val="en-US"/>
        </w:rPr>
      </w:pPr>
      <w:bookmarkStart w:id="51" w:name="_Toc173761951"/>
      <w:r>
        <w:rPr>
          <w:rFonts w:hint="eastAsia"/>
          <w:color w:val="auto"/>
          <w:sz w:val="24"/>
          <w:szCs w:val="24"/>
          <w:highlight w:val="none"/>
          <w:lang w:val="en-US"/>
        </w:rPr>
        <w:t>26.履约保证金</w:t>
      </w:r>
      <w:bookmarkEnd w:id="51"/>
    </w:p>
    <w:p w14:paraId="1227178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0BF7A2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BEF726">
      <w:pPr>
        <w:pStyle w:val="437"/>
        <w:keepNext w:val="0"/>
        <w:keepLines w:val="0"/>
        <w:adjustRightInd w:val="0"/>
        <w:snapToGrid w:val="0"/>
        <w:ind w:firstLine="480"/>
        <w:jc w:val="both"/>
        <w:rPr>
          <w:color w:val="auto"/>
          <w:sz w:val="24"/>
          <w:szCs w:val="24"/>
          <w:highlight w:val="none"/>
          <w:lang w:val="en-US"/>
        </w:rPr>
      </w:pPr>
      <w:bookmarkStart w:id="52" w:name="_Toc173761952"/>
      <w:r>
        <w:rPr>
          <w:rFonts w:hint="eastAsia"/>
          <w:color w:val="auto"/>
          <w:sz w:val="24"/>
          <w:szCs w:val="24"/>
          <w:highlight w:val="none"/>
          <w:lang w:val="en-US"/>
        </w:rPr>
        <w:t>27.预付款</w:t>
      </w:r>
      <w:bookmarkEnd w:id="52"/>
    </w:p>
    <w:p w14:paraId="551C4EBC">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3A05771C">
      <w:pPr>
        <w:pStyle w:val="417"/>
        <w:rPr>
          <w:color w:val="auto"/>
          <w:highlight w:val="none"/>
        </w:rPr>
      </w:pPr>
      <w:bookmarkStart w:id="53" w:name="_Toc173761953"/>
      <w:r>
        <w:rPr>
          <w:rFonts w:hint="eastAsia"/>
          <w:color w:val="auto"/>
          <w:highlight w:val="none"/>
        </w:rPr>
        <w:t>八、电子交易活动的中止</w:t>
      </w:r>
      <w:bookmarkEnd w:id="53"/>
    </w:p>
    <w:p w14:paraId="7EB74DD3">
      <w:pPr>
        <w:pStyle w:val="437"/>
        <w:keepNext w:val="0"/>
        <w:keepLines w:val="0"/>
        <w:adjustRightInd w:val="0"/>
        <w:snapToGrid w:val="0"/>
        <w:ind w:firstLine="480"/>
        <w:jc w:val="both"/>
        <w:rPr>
          <w:color w:val="auto"/>
          <w:sz w:val="24"/>
          <w:szCs w:val="24"/>
          <w:highlight w:val="none"/>
          <w:lang w:val="en-US"/>
        </w:rPr>
      </w:pPr>
      <w:bookmarkStart w:id="54" w:name="_Toc173761954"/>
      <w:r>
        <w:rPr>
          <w:rFonts w:hint="eastAsia"/>
          <w:color w:val="auto"/>
          <w:sz w:val="24"/>
          <w:szCs w:val="24"/>
          <w:highlight w:val="none"/>
          <w:lang w:val="en-US"/>
        </w:rPr>
        <w:t>28.电子交易活动的中止</w:t>
      </w:r>
      <w:bookmarkEnd w:id="54"/>
    </w:p>
    <w:p w14:paraId="5931A3F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采购过程中出现以下情形，导致电子交易平台无法正常运行，或者无法保证电子交易的公平、公正和安全时，采购代理机构可中止电子交易活动：</w:t>
      </w:r>
    </w:p>
    <w:p w14:paraId="606D295A">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28.1</w:t>
      </w:r>
      <w:r>
        <w:rPr>
          <w:rFonts w:hint="eastAsia" w:hAnsi="宋体"/>
          <w:snapToGrid w:val="0"/>
          <w:color w:val="auto"/>
          <w:kern w:val="0"/>
          <w:sz w:val="24"/>
          <w:highlight w:val="none"/>
        </w:rPr>
        <w:t>电子交易平台发生故障而无法登录访问的；</w:t>
      </w:r>
    </w:p>
    <w:p w14:paraId="56D858F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28.2</w:t>
      </w:r>
      <w:r>
        <w:rPr>
          <w:rFonts w:hint="eastAsia" w:hAnsi="宋体"/>
          <w:snapToGrid w:val="0"/>
          <w:color w:val="auto"/>
          <w:kern w:val="0"/>
          <w:sz w:val="24"/>
          <w:highlight w:val="none"/>
        </w:rPr>
        <w:t>电子交易平台应用或数据库出现错误，不能进行正常操作的；</w:t>
      </w:r>
    </w:p>
    <w:p w14:paraId="44DA759E">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28.3</w:t>
      </w:r>
      <w:r>
        <w:rPr>
          <w:rFonts w:hint="eastAsia" w:hAnsi="宋体"/>
          <w:snapToGrid w:val="0"/>
          <w:color w:val="auto"/>
          <w:kern w:val="0"/>
          <w:sz w:val="24"/>
          <w:highlight w:val="none"/>
        </w:rPr>
        <w:t>电子交易平台发现严重安全漏洞，有潜在泄密危险的；</w:t>
      </w:r>
    </w:p>
    <w:p w14:paraId="0BDEFF7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28.4</w:t>
      </w:r>
      <w:r>
        <w:rPr>
          <w:rFonts w:hint="eastAsia" w:hAnsi="宋体"/>
          <w:snapToGrid w:val="0"/>
          <w:color w:val="auto"/>
          <w:kern w:val="0"/>
          <w:sz w:val="24"/>
          <w:highlight w:val="none"/>
        </w:rPr>
        <w:t>病毒发作导致不能进行正常操作的；</w:t>
      </w:r>
    </w:p>
    <w:p w14:paraId="04FB8CF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28.5</w:t>
      </w:r>
      <w:r>
        <w:rPr>
          <w:rFonts w:hint="eastAsia" w:hAnsi="宋体"/>
          <w:snapToGrid w:val="0"/>
          <w:color w:val="auto"/>
          <w:kern w:val="0"/>
          <w:sz w:val="24"/>
          <w:highlight w:val="none"/>
        </w:rPr>
        <w:t>其他无法保证电子交易的公平、公正和安全的情况。</w:t>
      </w:r>
    </w:p>
    <w:p w14:paraId="415BA89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29.</w:t>
      </w:r>
      <w:r>
        <w:rPr>
          <w:rFonts w:hint="eastAsia" w:hAnsi="宋体"/>
          <w:snapToGrid w:val="0"/>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45E6511">
      <w:pPr>
        <w:pStyle w:val="417"/>
        <w:rPr>
          <w:color w:val="auto"/>
          <w:highlight w:val="none"/>
        </w:rPr>
      </w:pPr>
      <w:bookmarkStart w:id="55" w:name="_Toc173761955"/>
      <w:r>
        <w:rPr>
          <w:rFonts w:hint="eastAsia"/>
          <w:color w:val="auto"/>
          <w:highlight w:val="none"/>
        </w:rPr>
        <w:t>九、验收</w:t>
      </w:r>
      <w:bookmarkEnd w:id="55"/>
    </w:p>
    <w:p w14:paraId="64582553">
      <w:pPr>
        <w:pStyle w:val="437"/>
        <w:keepNext w:val="0"/>
        <w:keepLines w:val="0"/>
        <w:adjustRightInd w:val="0"/>
        <w:snapToGrid w:val="0"/>
        <w:ind w:firstLine="480"/>
        <w:jc w:val="both"/>
        <w:rPr>
          <w:color w:val="auto"/>
          <w:sz w:val="24"/>
          <w:szCs w:val="24"/>
          <w:highlight w:val="none"/>
          <w:lang w:val="en-US"/>
        </w:rPr>
      </w:pPr>
      <w:bookmarkStart w:id="56" w:name="_Toc173761956"/>
      <w:r>
        <w:rPr>
          <w:rFonts w:hint="eastAsia"/>
          <w:color w:val="auto"/>
          <w:sz w:val="24"/>
          <w:szCs w:val="24"/>
          <w:highlight w:val="none"/>
          <w:lang w:val="en-US"/>
        </w:rPr>
        <w:t>30.验收</w:t>
      </w:r>
      <w:bookmarkEnd w:id="56"/>
    </w:p>
    <w:p w14:paraId="249CCD93">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30.1</w:t>
      </w:r>
      <w:r>
        <w:rPr>
          <w:rFonts w:hint="eastAsia" w:hAnsi="宋体"/>
          <w:snapToGrid w:val="0"/>
          <w:color w:val="auto"/>
          <w:kern w:val="0"/>
          <w:sz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8753E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30.2</w:t>
      </w:r>
      <w:r>
        <w:rPr>
          <w:rFonts w:hint="eastAsia" w:hAnsi="宋体"/>
          <w:snapToGrid w:val="0"/>
          <w:color w:val="auto"/>
          <w:kern w:val="0"/>
          <w:sz w:val="24"/>
          <w:highlight w:val="none"/>
        </w:rPr>
        <w:t>采购人可以邀请参加本项目的其他投标人或者第三方机构参与验收。参与验收的投标人或者第三方机构的意见作为验收书的参考资料一并存档。</w:t>
      </w:r>
    </w:p>
    <w:p w14:paraId="18A9793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30.3</w:t>
      </w:r>
      <w:r>
        <w:rPr>
          <w:rFonts w:hint="eastAsia" w:hAnsi="宋体"/>
          <w:snapToGrid w:val="0"/>
          <w:color w:val="auto"/>
          <w:kern w:val="0"/>
          <w:sz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9B04D9">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30.4</w:t>
      </w:r>
      <w:r>
        <w:rPr>
          <w:rFonts w:hint="eastAsia" w:hAnsi="宋体"/>
          <w:snapToGrid w:val="0"/>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15CD94">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30.5</w:t>
      </w:r>
      <w:r>
        <w:rPr>
          <w:rFonts w:hint="eastAsia" w:hAnsi="宋体"/>
          <w:snapToGrid w:val="0"/>
          <w:color w:val="auto"/>
          <w:kern w:val="0"/>
          <w:sz w:val="24"/>
          <w:highlight w:val="none"/>
        </w:rPr>
        <w:t>对于满足合同约定的采购资金支付条件的，供应商可通过乐采云平台提起在线支付申请、查询支付结果，路径为政采云—我的工作台—合同管理—支付管理。对于供应商提起在线支付申请的，采购人应当按规定做好审核并完成支付。</w:t>
      </w:r>
    </w:p>
    <w:p w14:paraId="157C6AF4">
      <w:pPr>
        <w:widowControl w:val="0"/>
        <w:adjustRightInd w:val="0"/>
        <w:snapToGrid w:val="0"/>
        <w:rPr>
          <w:color w:val="auto"/>
          <w:highlight w:val="none"/>
        </w:rPr>
      </w:pPr>
    </w:p>
    <w:p w14:paraId="611FD15B">
      <w:pPr>
        <w:widowControl w:val="0"/>
        <w:adjustRightInd w:val="0"/>
        <w:snapToGrid w:val="0"/>
        <w:rPr>
          <w:color w:val="auto"/>
          <w:highlight w:val="none"/>
        </w:rPr>
      </w:pPr>
    </w:p>
    <w:p w14:paraId="1CAF6B2D">
      <w:pPr>
        <w:widowControl w:val="0"/>
        <w:adjustRightInd w:val="0"/>
        <w:snapToGrid w:val="0"/>
        <w:rPr>
          <w:color w:val="auto"/>
          <w:highlight w:val="none"/>
        </w:rPr>
      </w:pPr>
    </w:p>
    <w:p w14:paraId="10AF4C08">
      <w:pPr>
        <w:widowControl w:val="0"/>
        <w:adjustRightInd w:val="0"/>
        <w:snapToGrid w:val="0"/>
        <w:rPr>
          <w:color w:val="auto"/>
          <w:highlight w:val="none"/>
        </w:rPr>
      </w:pPr>
    </w:p>
    <w:p w14:paraId="49810397">
      <w:pPr>
        <w:widowControl w:val="0"/>
        <w:adjustRightInd w:val="0"/>
        <w:snapToGrid w:val="0"/>
        <w:jc w:val="left"/>
        <w:rPr>
          <w:snapToGrid w:val="0"/>
          <w:color w:val="auto"/>
          <w:kern w:val="0"/>
          <w:highlight w:val="none"/>
        </w:rPr>
        <w:sectPr>
          <w:type w:val="oddPage"/>
          <w:pgSz w:w="11906" w:h="16838"/>
          <w:pgMar w:top="1440" w:right="1304" w:bottom="1440" w:left="1134" w:header="851" w:footer="992" w:gutter="0"/>
          <w:cols w:space="720" w:num="1"/>
          <w:docGrid w:type="lines" w:linePitch="312" w:charSpace="0"/>
        </w:sectPr>
      </w:pPr>
    </w:p>
    <w:p w14:paraId="38F9508A">
      <w:pPr>
        <w:pStyle w:val="2"/>
        <w:keepNext w:val="0"/>
        <w:keepLines w:val="0"/>
        <w:adjustRightInd w:val="0"/>
        <w:snapToGrid w:val="0"/>
        <w:rPr>
          <w:color w:val="auto"/>
          <w:highlight w:val="none"/>
        </w:rPr>
      </w:pPr>
      <w:bookmarkStart w:id="57" w:name="_Toc173761957"/>
      <w:bookmarkStart w:id="58" w:name="_Toc3343"/>
      <w:bookmarkStart w:id="59" w:name="_Toc30750"/>
      <w:bookmarkStart w:id="60" w:name="_Toc22475"/>
      <w:bookmarkStart w:id="61" w:name="_Toc19967"/>
      <w:bookmarkStart w:id="62" w:name="_Toc2903"/>
      <w:bookmarkStart w:id="63" w:name="_Toc20230"/>
      <w:bookmarkStart w:id="64" w:name="_Toc15776"/>
      <w:bookmarkStart w:id="65" w:name="_Toc7594"/>
      <w:bookmarkStart w:id="66" w:name="_Toc462184047"/>
      <w:bookmarkStart w:id="67" w:name="_Toc8911"/>
      <w:bookmarkStart w:id="68" w:name="_Toc31079"/>
      <w:bookmarkStart w:id="69" w:name="_Toc20982"/>
      <w:r>
        <w:rPr>
          <w:color w:val="auto"/>
          <w:highlight w:val="none"/>
        </w:rPr>
        <w:t>第三</w:t>
      </w:r>
      <w:r>
        <w:rPr>
          <w:rFonts w:hint="eastAsia"/>
          <w:color w:val="auto"/>
          <w:highlight w:val="none"/>
        </w:rPr>
        <w:t>部分 采购需求</w:t>
      </w:r>
      <w:bookmarkEnd w:id="57"/>
    </w:p>
    <w:p w14:paraId="4F939ABE">
      <w:pPr>
        <w:widowControl w:val="0"/>
        <w:adjustRightInd w:val="0"/>
        <w:snapToGrid w:val="0"/>
        <w:rPr>
          <w:color w:val="auto"/>
          <w:highlight w:val="none"/>
        </w:rPr>
      </w:pPr>
    </w:p>
    <w:p w14:paraId="6CA45857">
      <w:pPr>
        <w:widowControl w:val="0"/>
        <w:adjustRightInd w:val="0"/>
        <w:snapToGrid w:val="0"/>
        <w:rPr>
          <w:color w:val="auto"/>
          <w:highlight w:val="none"/>
        </w:rPr>
      </w:pPr>
    </w:p>
    <w:p w14:paraId="77DE0254">
      <w:pPr>
        <w:widowControl w:val="0"/>
        <w:adjustRightInd w:val="0"/>
        <w:snapToGrid w:val="0"/>
        <w:rPr>
          <w:color w:val="auto"/>
          <w:highlight w:val="none"/>
        </w:rPr>
      </w:pPr>
    </w:p>
    <w:p w14:paraId="1B0C531E">
      <w:pPr>
        <w:pStyle w:val="417"/>
        <w:rPr>
          <w:color w:val="auto"/>
          <w:highlight w:val="none"/>
        </w:rPr>
      </w:pPr>
      <w:bookmarkStart w:id="70" w:name="_Toc173761958"/>
      <w:r>
        <w:rPr>
          <w:rFonts w:hint="eastAsia"/>
          <w:color w:val="auto"/>
          <w:highlight w:val="none"/>
        </w:rPr>
        <w:t>一、项目基本概况</w:t>
      </w:r>
      <w:bookmarkEnd w:id="70"/>
    </w:p>
    <w:p w14:paraId="42DD7074">
      <w:pPr>
        <w:pStyle w:val="437"/>
        <w:keepNext w:val="0"/>
        <w:keepLines w:val="0"/>
        <w:adjustRightInd w:val="0"/>
        <w:snapToGrid w:val="0"/>
        <w:ind w:firstLine="480"/>
        <w:jc w:val="both"/>
        <w:rPr>
          <w:color w:val="auto"/>
          <w:sz w:val="24"/>
          <w:szCs w:val="24"/>
          <w:highlight w:val="none"/>
          <w:lang w:val="en-US"/>
        </w:rPr>
      </w:pPr>
      <w:bookmarkStart w:id="71" w:name="_Toc173761959"/>
      <w:r>
        <w:rPr>
          <w:rFonts w:hint="eastAsia"/>
          <w:color w:val="auto"/>
          <w:sz w:val="24"/>
          <w:szCs w:val="24"/>
          <w:highlight w:val="none"/>
          <w:lang w:val="en-US"/>
        </w:rPr>
        <w:t>（一）项目名称</w:t>
      </w:r>
      <w:bookmarkEnd w:id="71"/>
    </w:p>
    <w:p w14:paraId="442FE1B7">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象山县爵溪街道小微企业集聚区建筑用石料（凝灰岩）矿开采加工、配套设施建设及矿产品销售代理一体化服务项目。</w:t>
      </w:r>
    </w:p>
    <w:p w14:paraId="7BF2FF92">
      <w:pPr>
        <w:widowControl w:val="0"/>
        <w:adjustRightInd w:val="0"/>
        <w:snapToGrid w:val="0"/>
        <w:rPr>
          <w:color w:val="auto"/>
          <w:highlight w:val="none"/>
        </w:rPr>
      </w:pPr>
    </w:p>
    <w:p w14:paraId="344378EE">
      <w:pPr>
        <w:pStyle w:val="437"/>
        <w:keepNext w:val="0"/>
        <w:keepLines w:val="0"/>
        <w:adjustRightInd w:val="0"/>
        <w:snapToGrid w:val="0"/>
        <w:ind w:firstLine="480"/>
        <w:jc w:val="both"/>
        <w:rPr>
          <w:color w:val="auto"/>
          <w:sz w:val="24"/>
          <w:szCs w:val="24"/>
          <w:highlight w:val="none"/>
          <w:lang w:val="en-US"/>
        </w:rPr>
      </w:pPr>
      <w:bookmarkStart w:id="72" w:name="_Toc173761960"/>
      <w:r>
        <w:rPr>
          <w:rFonts w:hint="eastAsia"/>
          <w:color w:val="auto"/>
          <w:sz w:val="24"/>
          <w:szCs w:val="24"/>
          <w:highlight w:val="none"/>
          <w:lang w:val="en-US"/>
        </w:rPr>
        <w:t>（二）矿区位置</w:t>
      </w:r>
      <w:bookmarkEnd w:id="72"/>
    </w:p>
    <w:p w14:paraId="1B8303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象山县爵溪街道田嘴头山。</w:t>
      </w:r>
    </w:p>
    <w:p w14:paraId="0C32B211">
      <w:pPr>
        <w:widowControl w:val="0"/>
        <w:adjustRightInd w:val="0"/>
        <w:snapToGrid w:val="0"/>
        <w:rPr>
          <w:color w:val="auto"/>
          <w:highlight w:val="none"/>
        </w:rPr>
      </w:pPr>
    </w:p>
    <w:p w14:paraId="0FE5F232">
      <w:pPr>
        <w:pStyle w:val="437"/>
        <w:keepNext w:val="0"/>
        <w:keepLines w:val="0"/>
        <w:adjustRightInd w:val="0"/>
        <w:snapToGrid w:val="0"/>
        <w:ind w:firstLine="480"/>
        <w:jc w:val="both"/>
        <w:rPr>
          <w:color w:val="auto"/>
          <w:sz w:val="24"/>
          <w:szCs w:val="24"/>
          <w:highlight w:val="none"/>
          <w:lang w:val="en-US"/>
        </w:rPr>
      </w:pPr>
      <w:bookmarkStart w:id="73" w:name="_Toc173761961"/>
      <w:r>
        <w:rPr>
          <w:rFonts w:hint="eastAsia"/>
          <w:color w:val="auto"/>
          <w:sz w:val="24"/>
          <w:szCs w:val="24"/>
          <w:highlight w:val="none"/>
          <w:lang w:val="en-US"/>
        </w:rPr>
        <w:t>（三）矿区范围</w:t>
      </w:r>
      <w:bookmarkEnd w:id="73"/>
    </w:p>
    <w:p w14:paraId="03892E9A">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由154个拐点圈定，矿区面积约0.4912平方千米，划分为3个区块。其中：北区面积0.1189平方千米，标高+8.40米至+3.90米，最终边坡角0°，不开采；中区面积0.3190平方千米，开采标高自+95.40米至+3.50米，最终边坡角45°；南区面积0.0533平方千米，标高+8.50米至+3.00米，最终边坡角0°，不开采。具体范围拐点坐标见下表：</w:t>
      </w:r>
    </w:p>
    <w:p w14:paraId="289A9688">
      <w:pPr>
        <w:widowControl w:val="0"/>
        <w:adjustRightInd w:val="0"/>
        <w:snapToGrid w:val="0"/>
        <w:rPr>
          <w:color w:val="auto"/>
          <w:highlight w:val="none"/>
        </w:rPr>
      </w:pPr>
    </w:p>
    <w:p w14:paraId="24D5FAFB">
      <w:pPr>
        <w:widowControl w:val="0"/>
        <w:adjustRightInd w:val="0"/>
        <w:snapToGrid w:val="0"/>
        <w:jc w:val="center"/>
        <w:rPr>
          <w:color w:val="auto"/>
          <w:highlight w:val="none"/>
        </w:rPr>
      </w:pPr>
      <w:r>
        <w:rPr>
          <w:rFonts w:hint="eastAsia"/>
          <w:b/>
          <w:bCs/>
          <w:snapToGrid w:val="0"/>
          <w:color w:val="auto"/>
          <w:kern w:val="0"/>
          <w:sz w:val="24"/>
          <w:szCs w:val="21"/>
          <w:highlight w:val="none"/>
          <w:shd w:val="clear" w:color="auto" w:fill="FFFFFF"/>
        </w:rPr>
        <w:t>表1-1 北区范围坐标表（2000国家大地坐标系）</w:t>
      </w:r>
    </w:p>
    <w:p w14:paraId="400A291A">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71"/>
        <w:gridCol w:w="1729"/>
        <w:gridCol w:w="1729"/>
        <w:gridCol w:w="903"/>
        <w:gridCol w:w="1609"/>
        <w:gridCol w:w="1675"/>
      </w:tblGrid>
      <w:tr w14:paraId="583B4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60D7B3F1">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29" w:type="dxa"/>
            <w:tcMar>
              <w:top w:w="0" w:type="dxa"/>
              <w:left w:w="108" w:type="dxa"/>
              <w:bottom w:w="0" w:type="dxa"/>
              <w:right w:w="108" w:type="dxa"/>
            </w:tcMar>
            <w:vAlign w:val="center"/>
          </w:tcPr>
          <w:p w14:paraId="4E1F1B29">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29" w:type="dxa"/>
            <w:tcMar>
              <w:top w:w="0" w:type="dxa"/>
              <w:left w:w="108" w:type="dxa"/>
              <w:bottom w:w="0" w:type="dxa"/>
              <w:right w:w="108" w:type="dxa"/>
            </w:tcMar>
            <w:vAlign w:val="center"/>
          </w:tcPr>
          <w:p w14:paraId="1A61E257">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903" w:type="dxa"/>
            <w:tcMar>
              <w:top w:w="0" w:type="dxa"/>
              <w:left w:w="108" w:type="dxa"/>
              <w:bottom w:w="0" w:type="dxa"/>
              <w:right w:w="108" w:type="dxa"/>
            </w:tcMar>
            <w:vAlign w:val="center"/>
          </w:tcPr>
          <w:p w14:paraId="3834F368">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609" w:type="dxa"/>
            <w:tcMar>
              <w:top w:w="0" w:type="dxa"/>
              <w:left w:w="108" w:type="dxa"/>
              <w:bottom w:w="0" w:type="dxa"/>
              <w:right w:w="108" w:type="dxa"/>
            </w:tcMar>
            <w:vAlign w:val="center"/>
          </w:tcPr>
          <w:p w14:paraId="626AA16A">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75" w:type="dxa"/>
            <w:tcMar>
              <w:top w:w="0" w:type="dxa"/>
              <w:left w:w="108" w:type="dxa"/>
              <w:bottom w:w="0" w:type="dxa"/>
              <w:right w:w="108" w:type="dxa"/>
            </w:tcMar>
            <w:vAlign w:val="center"/>
          </w:tcPr>
          <w:p w14:paraId="2FBF4809">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14:paraId="2BC1E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749F5B52">
            <w:pPr>
              <w:widowControl w:val="0"/>
              <w:adjustRightInd w:val="0"/>
              <w:snapToGrid w:val="0"/>
              <w:jc w:val="center"/>
              <w:rPr>
                <w:snapToGrid w:val="0"/>
                <w:color w:val="auto"/>
                <w:kern w:val="0"/>
                <w:highlight w:val="none"/>
              </w:rPr>
            </w:pPr>
            <w:r>
              <w:rPr>
                <w:rFonts w:hint="eastAsia"/>
                <w:snapToGrid w:val="0"/>
                <w:color w:val="auto"/>
                <w:kern w:val="0"/>
                <w:highlight w:val="none"/>
              </w:rPr>
              <w:t>J122</w:t>
            </w:r>
          </w:p>
        </w:tc>
        <w:tc>
          <w:tcPr>
            <w:tcW w:w="1729" w:type="dxa"/>
            <w:tcMar>
              <w:top w:w="0" w:type="dxa"/>
              <w:left w:w="108" w:type="dxa"/>
              <w:bottom w:w="0" w:type="dxa"/>
              <w:right w:w="108" w:type="dxa"/>
            </w:tcMar>
            <w:vAlign w:val="center"/>
          </w:tcPr>
          <w:p w14:paraId="207F4A15">
            <w:pPr>
              <w:widowControl w:val="0"/>
              <w:adjustRightInd w:val="0"/>
              <w:snapToGrid w:val="0"/>
              <w:jc w:val="center"/>
              <w:rPr>
                <w:snapToGrid w:val="0"/>
                <w:color w:val="auto"/>
                <w:kern w:val="0"/>
                <w:highlight w:val="none"/>
              </w:rPr>
            </w:pPr>
            <w:r>
              <w:rPr>
                <w:rFonts w:hint="eastAsia"/>
                <w:snapToGrid w:val="0"/>
                <w:color w:val="auto"/>
                <w:kern w:val="0"/>
                <w:highlight w:val="none"/>
              </w:rPr>
              <w:t>3266323.36</w:t>
            </w:r>
          </w:p>
        </w:tc>
        <w:tc>
          <w:tcPr>
            <w:tcW w:w="1729" w:type="dxa"/>
            <w:tcMar>
              <w:top w:w="0" w:type="dxa"/>
              <w:left w:w="108" w:type="dxa"/>
              <w:bottom w:w="0" w:type="dxa"/>
              <w:right w:w="108" w:type="dxa"/>
            </w:tcMar>
            <w:vAlign w:val="center"/>
          </w:tcPr>
          <w:p w14:paraId="4E49D3AE">
            <w:pPr>
              <w:widowControl w:val="0"/>
              <w:adjustRightInd w:val="0"/>
              <w:snapToGrid w:val="0"/>
              <w:jc w:val="center"/>
              <w:rPr>
                <w:snapToGrid w:val="0"/>
                <w:color w:val="auto"/>
                <w:kern w:val="0"/>
                <w:highlight w:val="none"/>
              </w:rPr>
            </w:pPr>
            <w:r>
              <w:rPr>
                <w:rFonts w:hint="eastAsia"/>
                <w:snapToGrid w:val="0"/>
                <w:color w:val="auto"/>
                <w:kern w:val="0"/>
                <w:highlight w:val="none"/>
              </w:rPr>
              <w:t>41398053.78</w:t>
            </w:r>
          </w:p>
        </w:tc>
        <w:tc>
          <w:tcPr>
            <w:tcW w:w="903" w:type="dxa"/>
            <w:tcMar>
              <w:top w:w="0" w:type="dxa"/>
              <w:left w:w="108" w:type="dxa"/>
              <w:bottom w:w="0" w:type="dxa"/>
              <w:right w:w="108" w:type="dxa"/>
            </w:tcMar>
            <w:vAlign w:val="center"/>
          </w:tcPr>
          <w:p w14:paraId="014AA211">
            <w:pPr>
              <w:widowControl w:val="0"/>
              <w:adjustRightInd w:val="0"/>
              <w:snapToGrid w:val="0"/>
              <w:jc w:val="center"/>
              <w:rPr>
                <w:snapToGrid w:val="0"/>
                <w:color w:val="auto"/>
                <w:kern w:val="0"/>
                <w:highlight w:val="none"/>
              </w:rPr>
            </w:pPr>
            <w:r>
              <w:rPr>
                <w:rFonts w:hint="eastAsia"/>
                <w:snapToGrid w:val="0"/>
                <w:color w:val="auto"/>
                <w:kern w:val="0"/>
                <w:highlight w:val="none"/>
              </w:rPr>
              <w:t>J136</w:t>
            </w:r>
          </w:p>
        </w:tc>
        <w:tc>
          <w:tcPr>
            <w:tcW w:w="1609" w:type="dxa"/>
            <w:tcMar>
              <w:top w:w="0" w:type="dxa"/>
              <w:left w:w="108" w:type="dxa"/>
              <w:bottom w:w="0" w:type="dxa"/>
              <w:right w:w="108" w:type="dxa"/>
            </w:tcMar>
            <w:vAlign w:val="center"/>
          </w:tcPr>
          <w:p w14:paraId="27381036">
            <w:pPr>
              <w:widowControl w:val="0"/>
              <w:adjustRightInd w:val="0"/>
              <w:snapToGrid w:val="0"/>
              <w:jc w:val="center"/>
              <w:rPr>
                <w:snapToGrid w:val="0"/>
                <w:color w:val="auto"/>
                <w:kern w:val="0"/>
                <w:highlight w:val="none"/>
              </w:rPr>
            </w:pPr>
            <w:r>
              <w:rPr>
                <w:rFonts w:hint="eastAsia"/>
                <w:snapToGrid w:val="0"/>
                <w:color w:val="auto"/>
                <w:kern w:val="0"/>
                <w:highlight w:val="none"/>
              </w:rPr>
              <w:t>3266411.20</w:t>
            </w:r>
          </w:p>
        </w:tc>
        <w:tc>
          <w:tcPr>
            <w:tcW w:w="1675" w:type="dxa"/>
            <w:tcMar>
              <w:top w:w="0" w:type="dxa"/>
              <w:left w:w="108" w:type="dxa"/>
              <w:bottom w:w="0" w:type="dxa"/>
              <w:right w:w="108" w:type="dxa"/>
            </w:tcMar>
            <w:vAlign w:val="center"/>
          </w:tcPr>
          <w:p w14:paraId="2CD2BDA3">
            <w:pPr>
              <w:widowControl w:val="0"/>
              <w:adjustRightInd w:val="0"/>
              <w:snapToGrid w:val="0"/>
              <w:jc w:val="center"/>
              <w:rPr>
                <w:snapToGrid w:val="0"/>
                <w:color w:val="auto"/>
                <w:kern w:val="0"/>
                <w:highlight w:val="none"/>
              </w:rPr>
            </w:pPr>
            <w:r>
              <w:rPr>
                <w:rFonts w:hint="eastAsia"/>
                <w:snapToGrid w:val="0"/>
                <w:color w:val="auto"/>
                <w:kern w:val="0"/>
                <w:highlight w:val="none"/>
              </w:rPr>
              <w:t>41398540.67</w:t>
            </w:r>
          </w:p>
        </w:tc>
      </w:tr>
      <w:tr w14:paraId="4932F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91EF676">
            <w:pPr>
              <w:widowControl w:val="0"/>
              <w:adjustRightInd w:val="0"/>
              <w:snapToGrid w:val="0"/>
              <w:jc w:val="center"/>
              <w:rPr>
                <w:snapToGrid w:val="0"/>
                <w:color w:val="auto"/>
                <w:kern w:val="0"/>
                <w:highlight w:val="none"/>
              </w:rPr>
            </w:pPr>
            <w:r>
              <w:rPr>
                <w:rFonts w:hint="eastAsia"/>
                <w:snapToGrid w:val="0"/>
                <w:color w:val="auto"/>
                <w:kern w:val="0"/>
                <w:highlight w:val="none"/>
              </w:rPr>
              <w:t>J123</w:t>
            </w:r>
          </w:p>
        </w:tc>
        <w:tc>
          <w:tcPr>
            <w:tcW w:w="1729" w:type="dxa"/>
            <w:tcMar>
              <w:top w:w="0" w:type="dxa"/>
              <w:left w:w="108" w:type="dxa"/>
              <w:bottom w:w="0" w:type="dxa"/>
              <w:right w:w="108" w:type="dxa"/>
            </w:tcMar>
            <w:vAlign w:val="center"/>
          </w:tcPr>
          <w:p w14:paraId="43E1EEC3">
            <w:pPr>
              <w:widowControl w:val="0"/>
              <w:adjustRightInd w:val="0"/>
              <w:snapToGrid w:val="0"/>
              <w:jc w:val="center"/>
              <w:rPr>
                <w:snapToGrid w:val="0"/>
                <w:color w:val="auto"/>
                <w:kern w:val="0"/>
                <w:highlight w:val="none"/>
              </w:rPr>
            </w:pPr>
            <w:r>
              <w:rPr>
                <w:rFonts w:hint="eastAsia"/>
                <w:snapToGrid w:val="0"/>
                <w:color w:val="auto"/>
                <w:kern w:val="0"/>
                <w:highlight w:val="none"/>
              </w:rPr>
              <w:t>3266405.22</w:t>
            </w:r>
          </w:p>
        </w:tc>
        <w:tc>
          <w:tcPr>
            <w:tcW w:w="1729" w:type="dxa"/>
            <w:tcMar>
              <w:top w:w="0" w:type="dxa"/>
              <w:left w:w="108" w:type="dxa"/>
              <w:bottom w:w="0" w:type="dxa"/>
              <w:right w:w="108" w:type="dxa"/>
            </w:tcMar>
            <w:vAlign w:val="center"/>
          </w:tcPr>
          <w:p w14:paraId="4D91818F">
            <w:pPr>
              <w:widowControl w:val="0"/>
              <w:adjustRightInd w:val="0"/>
              <w:snapToGrid w:val="0"/>
              <w:jc w:val="center"/>
              <w:rPr>
                <w:snapToGrid w:val="0"/>
                <w:color w:val="auto"/>
                <w:kern w:val="0"/>
                <w:highlight w:val="none"/>
              </w:rPr>
            </w:pPr>
            <w:r>
              <w:rPr>
                <w:rFonts w:hint="eastAsia"/>
                <w:snapToGrid w:val="0"/>
                <w:color w:val="auto"/>
                <w:kern w:val="0"/>
                <w:highlight w:val="none"/>
              </w:rPr>
              <w:t>41398267.11</w:t>
            </w:r>
          </w:p>
        </w:tc>
        <w:tc>
          <w:tcPr>
            <w:tcW w:w="903" w:type="dxa"/>
            <w:tcMar>
              <w:top w:w="0" w:type="dxa"/>
              <w:left w:w="108" w:type="dxa"/>
              <w:bottom w:w="0" w:type="dxa"/>
              <w:right w:w="108" w:type="dxa"/>
            </w:tcMar>
            <w:vAlign w:val="center"/>
          </w:tcPr>
          <w:p w14:paraId="6224392B">
            <w:pPr>
              <w:widowControl w:val="0"/>
              <w:adjustRightInd w:val="0"/>
              <w:snapToGrid w:val="0"/>
              <w:jc w:val="center"/>
              <w:rPr>
                <w:snapToGrid w:val="0"/>
                <w:color w:val="auto"/>
                <w:kern w:val="0"/>
                <w:highlight w:val="none"/>
              </w:rPr>
            </w:pPr>
            <w:r>
              <w:rPr>
                <w:rFonts w:hint="eastAsia"/>
                <w:snapToGrid w:val="0"/>
                <w:color w:val="auto"/>
                <w:kern w:val="0"/>
                <w:highlight w:val="none"/>
              </w:rPr>
              <w:t>J137</w:t>
            </w:r>
          </w:p>
        </w:tc>
        <w:tc>
          <w:tcPr>
            <w:tcW w:w="1609" w:type="dxa"/>
            <w:tcMar>
              <w:top w:w="0" w:type="dxa"/>
              <w:left w:w="108" w:type="dxa"/>
              <w:bottom w:w="0" w:type="dxa"/>
              <w:right w:w="108" w:type="dxa"/>
            </w:tcMar>
            <w:vAlign w:val="center"/>
          </w:tcPr>
          <w:p w14:paraId="22B207E1">
            <w:pPr>
              <w:widowControl w:val="0"/>
              <w:adjustRightInd w:val="0"/>
              <w:snapToGrid w:val="0"/>
              <w:jc w:val="center"/>
              <w:rPr>
                <w:snapToGrid w:val="0"/>
                <w:color w:val="auto"/>
                <w:kern w:val="0"/>
                <w:highlight w:val="none"/>
              </w:rPr>
            </w:pPr>
            <w:r>
              <w:rPr>
                <w:rFonts w:hint="eastAsia"/>
                <w:snapToGrid w:val="0"/>
                <w:color w:val="auto"/>
                <w:kern w:val="0"/>
                <w:highlight w:val="none"/>
              </w:rPr>
              <w:t>3266332.77</w:t>
            </w:r>
          </w:p>
        </w:tc>
        <w:tc>
          <w:tcPr>
            <w:tcW w:w="1675" w:type="dxa"/>
            <w:tcMar>
              <w:top w:w="0" w:type="dxa"/>
              <w:left w:w="108" w:type="dxa"/>
              <w:bottom w:w="0" w:type="dxa"/>
              <w:right w:w="108" w:type="dxa"/>
            </w:tcMar>
            <w:vAlign w:val="center"/>
          </w:tcPr>
          <w:p w14:paraId="22E513BD">
            <w:pPr>
              <w:widowControl w:val="0"/>
              <w:adjustRightInd w:val="0"/>
              <w:snapToGrid w:val="0"/>
              <w:jc w:val="center"/>
              <w:rPr>
                <w:snapToGrid w:val="0"/>
                <w:color w:val="auto"/>
                <w:kern w:val="0"/>
                <w:highlight w:val="none"/>
              </w:rPr>
            </w:pPr>
            <w:r>
              <w:rPr>
                <w:rFonts w:hint="eastAsia"/>
                <w:snapToGrid w:val="0"/>
                <w:color w:val="auto"/>
                <w:kern w:val="0"/>
                <w:highlight w:val="none"/>
              </w:rPr>
              <w:t>41398637.32</w:t>
            </w:r>
          </w:p>
        </w:tc>
      </w:tr>
      <w:tr w14:paraId="4273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3C871FB">
            <w:pPr>
              <w:widowControl w:val="0"/>
              <w:adjustRightInd w:val="0"/>
              <w:snapToGrid w:val="0"/>
              <w:jc w:val="center"/>
              <w:rPr>
                <w:snapToGrid w:val="0"/>
                <w:color w:val="auto"/>
                <w:kern w:val="0"/>
                <w:highlight w:val="none"/>
              </w:rPr>
            </w:pPr>
            <w:r>
              <w:rPr>
                <w:rFonts w:hint="eastAsia"/>
                <w:snapToGrid w:val="0"/>
                <w:color w:val="auto"/>
                <w:kern w:val="0"/>
                <w:highlight w:val="none"/>
              </w:rPr>
              <w:t>J124</w:t>
            </w:r>
          </w:p>
        </w:tc>
        <w:tc>
          <w:tcPr>
            <w:tcW w:w="1729" w:type="dxa"/>
            <w:tcMar>
              <w:top w:w="0" w:type="dxa"/>
              <w:left w:w="108" w:type="dxa"/>
              <w:bottom w:w="0" w:type="dxa"/>
              <w:right w:w="108" w:type="dxa"/>
            </w:tcMar>
            <w:vAlign w:val="center"/>
          </w:tcPr>
          <w:p w14:paraId="7BC97290">
            <w:pPr>
              <w:widowControl w:val="0"/>
              <w:adjustRightInd w:val="0"/>
              <w:snapToGrid w:val="0"/>
              <w:jc w:val="center"/>
              <w:rPr>
                <w:snapToGrid w:val="0"/>
                <w:color w:val="auto"/>
                <w:kern w:val="0"/>
                <w:highlight w:val="none"/>
              </w:rPr>
            </w:pPr>
            <w:r>
              <w:rPr>
                <w:rFonts w:hint="eastAsia"/>
                <w:snapToGrid w:val="0"/>
                <w:color w:val="auto"/>
                <w:kern w:val="0"/>
                <w:highlight w:val="none"/>
              </w:rPr>
              <w:t>3266487.00</w:t>
            </w:r>
          </w:p>
        </w:tc>
        <w:tc>
          <w:tcPr>
            <w:tcW w:w="1729" w:type="dxa"/>
            <w:tcMar>
              <w:top w:w="0" w:type="dxa"/>
              <w:left w:w="108" w:type="dxa"/>
              <w:bottom w:w="0" w:type="dxa"/>
              <w:right w:w="108" w:type="dxa"/>
            </w:tcMar>
            <w:vAlign w:val="center"/>
          </w:tcPr>
          <w:p w14:paraId="7A3CE9FB">
            <w:pPr>
              <w:widowControl w:val="0"/>
              <w:adjustRightInd w:val="0"/>
              <w:snapToGrid w:val="0"/>
              <w:jc w:val="center"/>
              <w:rPr>
                <w:snapToGrid w:val="0"/>
                <w:color w:val="auto"/>
                <w:kern w:val="0"/>
                <w:highlight w:val="none"/>
              </w:rPr>
            </w:pPr>
            <w:r>
              <w:rPr>
                <w:rFonts w:hint="eastAsia"/>
                <w:snapToGrid w:val="0"/>
                <w:color w:val="auto"/>
                <w:kern w:val="0"/>
                <w:highlight w:val="none"/>
              </w:rPr>
              <w:t>41398224.37</w:t>
            </w:r>
          </w:p>
        </w:tc>
        <w:tc>
          <w:tcPr>
            <w:tcW w:w="903" w:type="dxa"/>
            <w:tcMar>
              <w:top w:w="0" w:type="dxa"/>
              <w:left w:w="108" w:type="dxa"/>
              <w:bottom w:w="0" w:type="dxa"/>
              <w:right w:w="108" w:type="dxa"/>
            </w:tcMar>
            <w:vAlign w:val="center"/>
          </w:tcPr>
          <w:p w14:paraId="0DE94323">
            <w:pPr>
              <w:widowControl w:val="0"/>
              <w:adjustRightInd w:val="0"/>
              <w:snapToGrid w:val="0"/>
              <w:jc w:val="center"/>
              <w:rPr>
                <w:snapToGrid w:val="0"/>
                <w:color w:val="auto"/>
                <w:kern w:val="0"/>
                <w:highlight w:val="none"/>
              </w:rPr>
            </w:pPr>
            <w:r>
              <w:rPr>
                <w:rFonts w:hint="eastAsia"/>
                <w:snapToGrid w:val="0"/>
                <w:color w:val="auto"/>
                <w:kern w:val="0"/>
                <w:highlight w:val="none"/>
              </w:rPr>
              <w:t>J138</w:t>
            </w:r>
          </w:p>
        </w:tc>
        <w:tc>
          <w:tcPr>
            <w:tcW w:w="1609" w:type="dxa"/>
            <w:tcMar>
              <w:top w:w="0" w:type="dxa"/>
              <w:left w:w="108" w:type="dxa"/>
              <w:bottom w:w="0" w:type="dxa"/>
              <w:right w:w="108" w:type="dxa"/>
            </w:tcMar>
            <w:vAlign w:val="center"/>
          </w:tcPr>
          <w:p w14:paraId="48C1606B">
            <w:pPr>
              <w:widowControl w:val="0"/>
              <w:adjustRightInd w:val="0"/>
              <w:snapToGrid w:val="0"/>
              <w:jc w:val="center"/>
              <w:rPr>
                <w:snapToGrid w:val="0"/>
                <w:color w:val="auto"/>
                <w:kern w:val="0"/>
                <w:highlight w:val="none"/>
              </w:rPr>
            </w:pPr>
            <w:r>
              <w:rPr>
                <w:rFonts w:hint="eastAsia"/>
                <w:snapToGrid w:val="0"/>
                <w:color w:val="auto"/>
                <w:kern w:val="0"/>
                <w:highlight w:val="none"/>
              </w:rPr>
              <w:t>3266304.75</w:t>
            </w:r>
          </w:p>
        </w:tc>
        <w:tc>
          <w:tcPr>
            <w:tcW w:w="1675" w:type="dxa"/>
            <w:tcMar>
              <w:top w:w="0" w:type="dxa"/>
              <w:left w:w="108" w:type="dxa"/>
              <w:bottom w:w="0" w:type="dxa"/>
              <w:right w:w="108" w:type="dxa"/>
            </w:tcMar>
            <w:vAlign w:val="center"/>
          </w:tcPr>
          <w:p w14:paraId="3D9CC662">
            <w:pPr>
              <w:widowControl w:val="0"/>
              <w:adjustRightInd w:val="0"/>
              <w:snapToGrid w:val="0"/>
              <w:jc w:val="center"/>
              <w:rPr>
                <w:snapToGrid w:val="0"/>
                <w:color w:val="auto"/>
                <w:kern w:val="0"/>
                <w:highlight w:val="none"/>
              </w:rPr>
            </w:pPr>
            <w:r>
              <w:rPr>
                <w:rFonts w:hint="eastAsia"/>
                <w:snapToGrid w:val="0"/>
                <w:color w:val="auto"/>
                <w:kern w:val="0"/>
                <w:highlight w:val="none"/>
              </w:rPr>
              <w:t>41398667.39</w:t>
            </w:r>
          </w:p>
        </w:tc>
      </w:tr>
      <w:tr w14:paraId="56FE8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60EE106A">
            <w:pPr>
              <w:widowControl w:val="0"/>
              <w:adjustRightInd w:val="0"/>
              <w:snapToGrid w:val="0"/>
              <w:jc w:val="center"/>
              <w:rPr>
                <w:snapToGrid w:val="0"/>
                <w:color w:val="auto"/>
                <w:kern w:val="0"/>
                <w:highlight w:val="none"/>
              </w:rPr>
            </w:pPr>
            <w:r>
              <w:rPr>
                <w:rFonts w:hint="eastAsia"/>
                <w:snapToGrid w:val="0"/>
                <w:color w:val="auto"/>
                <w:kern w:val="0"/>
                <w:highlight w:val="none"/>
              </w:rPr>
              <w:t>J125</w:t>
            </w:r>
          </w:p>
        </w:tc>
        <w:tc>
          <w:tcPr>
            <w:tcW w:w="1729" w:type="dxa"/>
            <w:tcMar>
              <w:top w:w="0" w:type="dxa"/>
              <w:left w:w="108" w:type="dxa"/>
              <w:bottom w:w="0" w:type="dxa"/>
              <w:right w:w="108" w:type="dxa"/>
            </w:tcMar>
            <w:vAlign w:val="center"/>
          </w:tcPr>
          <w:p w14:paraId="27F89318">
            <w:pPr>
              <w:widowControl w:val="0"/>
              <w:adjustRightInd w:val="0"/>
              <w:snapToGrid w:val="0"/>
              <w:jc w:val="center"/>
              <w:rPr>
                <w:snapToGrid w:val="0"/>
                <w:color w:val="auto"/>
                <w:kern w:val="0"/>
                <w:highlight w:val="none"/>
              </w:rPr>
            </w:pPr>
            <w:r>
              <w:rPr>
                <w:rFonts w:hint="eastAsia"/>
                <w:snapToGrid w:val="0"/>
                <w:color w:val="auto"/>
                <w:kern w:val="0"/>
                <w:highlight w:val="none"/>
              </w:rPr>
              <w:t>3266506.85</w:t>
            </w:r>
          </w:p>
        </w:tc>
        <w:tc>
          <w:tcPr>
            <w:tcW w:w="1729" w:type="dxa"/>
            <w:tcMar>
              <w:top w:w="0" w:type="dxa"/>
              <w:left w:w="108" w:type="dxa"/>
              <w:bottom w:w="0" w:type="dxa"/>
              <w:right w:w="108" w:type="dxa"/>
            </w:tcMar>
            <w:vAlign w:val="center"/>
          </w:tcPr>
          <w:p w14:paraId="062FB85E">
            <w:pPr>
              <w:widowControl w:val="0"/>
              <w:adjustRightInd w:val="0"/>
              <w:snapToGrid w:val="0"/>
              <w:jc w:val="center"/>
              <w:rPr>
                <w:snapToGrid w:val="0"/>
                <w:color w:val="auto"/>
                <w:kern w:val="0"/>
                <w:highlight w:val="none"/>
              </w:rPr>
            </w:pPr>
            <w:r>
              <w:rPr>
                <w:rFonts w:hint="eastAsia"/>
                <w:snapToGrid w:val="0"/>
                <w:color w:val="auto"/>
                <w:kern w:val="0"/>
                <w:highlight w:val="none"/>
              </w:rPr>
              <w:t>41398226.40</w:t>
            </w:r>
          </w:p>
        </w:tc>
        <w:tc>
          <w:tcPr>
            <w:tcW w:w="903" w:type="dxa"/>
            <w:tcMar>
              <w:top w:w="0" w:type="dxa"/>
              <w:left w:w="108" w:type="dxa"/>
              <w:bottom w:w="0" w:type="dxa"/>
              <w:right w:w="108" w:type="dxa"/>
            </w:tcMar>
            <w:vAlign w:val="center"/>
          </w:tcPr>
          <w:p w14:paraId="6FC0ADE9">
            <w:pPr>
              <w:widowControl w:val="0"/>
              <w:adjustRightInd w:val="0"/>
              <w:snapToGrid w:val="0"/>
              <w:jc w:val="center"/>
              <w:rPr>
                <w:snapToGrid w:val="0"/>
                <w:color w:val="auto"/>
                <w:kern w:val="0"/>
                <w:highlight w:val="none"/>
              </w:rPr>
            </w:pPr>
            <w:r>
              <w:rPr>
                <w:rFonts w:hint="eastAsia"/>
                <w:snapToGrid w:val="0"/>
                <w:color w:val="auto"/>
                <w:kern w:val="0"/>
                <w:highlight w:val="none"/>
              </w:rPr>
              <w:t>J139</w:t>
            </w:r>
          </w:p>
        </w:tc>
        <w:tc>
          <w:tcPr>
            <w:tcW w:w="1609" w:type="dxa"/>
            <w:tcMar>
              <w:top w:w="0" w:type="dxa"/>
              <w:left w:w="108" w:type="dxa"/>
              <w:bottom w:w="0" w:type="dxa"/>
              <w:right w:w="108" w:type="dxa"/>
            </w:tcMar>
            <w:vAlign w:val="center"/>
          </w:tcPr>
          <w:p w14:paraId="4DDCB396">
            <w:pPr>
              <w:widowControl w:val="0"/>
              <w:adjustRightInd w:val="0"/>
              <w:snapToGrid w:val="0"/>
              <w:jc w:val="center"/>
              <w:rPr>
                <w:snapToGrid w:val="0"/>
                <w:color w:val="auto"/>
                <w:kern w:val="0"/>
                <w:highlight w:val="none"/>
              </w:rPr>
            </w:pPr>
            <w:r>
              <w:rPr>
                <w:rFonts w:hint="eastAsia"/>
                <w:snapToGrid w:val="0"/>
                <w:color w:val="auto"/>
                <w:kern w:val="0"/>
                <w:highlight w:val="none"/>
              </w:rPr>
              <w:t>3266247.86</w:t>
            </w:r>
          </w:p>
        </w:tc>
        <w:tc>
          <w:tcPr>
            <w:tcW w:w="1675" w:type="dxa"/>
            <w:tcMar>
              <w:top w:w="0" w:type="dxa"/>
              <w:left w:w="108" w:type="dxa"/>
              <w:bottom w:w="0" w:type="dxa"/>
              <w:right w:w="108" w:type="dxa"/>
            </w:tcMar>
            <w:vAlign w:val="center"/>
          </w:tcPr>
          <w:p w14:paraId="26E269B8">
            <w:pPr>
              <w:widowControl w:val="0"/>
              <w:adjustRightInd w:val="0"/>
              <w:snapToGrid w:val="0"/>
              <w:jc w:val="center"/>
              <w:rPr>
                <w:snapToGrid w:val="0"/>
                <w:color w:val="auto"/>
                <w:kern w:val="0"/>
                <w:highlight w:val="none"/>
              </w:rPr>
            </w:pPr>
            <w:r>
              <w:rPr>
                <w:rFonts w:hint="eastAsia"/>
                <w:snapToGrid w:val="0"/>
                <w:color w:val="auto"/>
                <w:kern w:val="0"/>
                <w:highlight w:val="none"/>
              </w:rPr>
              <w:t>41398686.64</w:t>
            </w:r>
          </w:p>
        </w:tc>
      </w:tr>
      <w:tr w14:paraId="0D3C1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7D366E9E">
            <w:pPr>
              <w:widowControl w:val="0"/>
              <w:adjustRightInd w:val="0"/>
              <w:snapToGrid w:val="0"/>
              <w:jc w:val="center"/>
              <w:rPr>
                <w:snapToGrid w:val="0"/>
                <w:color w:val="auto"/>
                <w:kern w:val="0"/>
                <w:highlight w:val="none"/>
              </w:rPr>
            </w:pPr>
            <w:r>
              <w:rPr>
                <w:rFonts w:hint="eastAsia"/>
                <w:snapToGrid w:val="0"/>
                <w:color w:val="auto"/>
                <w:kern w:val="0"/>
                <w:highlight w:val="none"/>
              </w:rPr>
              <w:t>J126</w:t>
            </w:r>
          </w:p>
        </w:tc>
        <w:tc>
          <w:tcPr>
            <w:tcW w:w="1729" w:type="dxa"/>
            <w:tcMar>
              <w:top w:w="0" w:type="dxa"/>
              <w:left w:w="108" w:type="dxa"/>
              <w:bottom w:w="0" w:type="dxa"/>
              <w:right w:w="108" w:type="dxa"/>
            </w:tcMar>
            <w:vAlign w:val="center"/>
          </w:tcPr>
          <w:p w14:paraId="2C3E9331">
            <w:pPr>
              <w:widowControl w:val="0"/>
              <w:adjustRightInd w:val="0"/>
              <w:snapToGrid w:val="0"/>
              <w:jc w:val="center"/>
              <w:rPr>
                <w:snapToGrid w:val="0"/>
                <w:color w:val="auto"/>
                <w:kern w:val="0"/>
                <w:highlight w:val="none"/>
              </w:rPr>
            </w:pPr>
            <w:r>
              <w:rPr>
                <w:rFonts w:hint="eastAsia"/>
                <w:snapToGrid w:val="0"/>
                <w:color w:val="auto"/>
                <w:kern w:val="0"/>
                <w:highlight w:val="none"/>
              </w:rPr>
              <w:t>3266519.46</w:t>
            </w:r>
          </w:p>
        </w:tc>
        <w:tc>
          <w:tcPr>
            <w:tcW w:w="1729" w:type="dxa"/>
            <w:tcMar>
              <w:top w:w="0" w:type="dxa"/>
              <w:left w:w="108" w:type="dxa"/>
              <w:bottom w:w="0" w:type="dxa"/>
              <w:right w:w="108" w:type="dxa"/>
            </w:tcMar>
            <w:vAlign w:val="center"/>
          </w:tcPr>
          <w:p w14:paraId="77A198F0">
            <w:pPr>
              <w:widowControl w:val="0"/>
              <w:adjustRightInd w:val="0"/>
              <w:snapToGrid w:val="0"/>
              <w:jc w:val="center"/>
              <w:rPr>
                <w:snapToGrid w:val="0"/>
                <w:color w:val="auto"/>
                <w:kern w:val="0"/>
                <w:highlight w:val="none"/>
              </w:rPr>
            </w:pPr>
            <w:r>
              <w:rPr>
                <w:rFonts w:hint="eastAsia"/>
                <w:snapToGrid w:val="0"/>
                <w:color w:val="auto"/>
                <w:kern w:val="0"/>
                <w:highlight w:val="none"/>
              </w:rPr>
              <w:t>41398242.06</w:t>
            </w:r>
          </w:p>
        </w:tc>
        <w:tc>
          <w:tcPr>
            <w:tcW w:w="903" w:type="dxa"/>
            <w:tcMar>
              <w:top w:w="0" w:type="dxa"/>
              <w:left w:w="108" w:type="dxa"/>
              <w:bottom w:w="0" w:type="dxa"/>
              <w:right w:w="108" w:type="dxa"/>
            </w:tcMar>
            <w:vAlign w:val="center"/>
          </w:tcPr>
          <w:p w14:paraId="0D751CBC">
            <w:pPr>
              <w:widowControl w:val="0"/>
              <w:adjustRightInd w:val="0"/>
              <w:snapToGrid w:val="0"/>
              <w:jc w:val="center"/>
              <w:rPr>
                <w:snapToGrid w:val="0"/>
                <w:color w:val="auto"/>
                <w:kern w:val="0"/>
                <w:highlight w:val="none"/>
              </w:rPr>
            </w:pPr>
            <w:r>
              <w:rPr>
                <w:rFonts w:hint="eastAsia"/>
                <w:snapToGrid w:val="0"/>
                <w:color w:val="auto"/>
                <w:kern w:val="0"/>
                <w:highlight w:val="none"/>
              </w:rPr>
              <w:t>J140</w:t>
            </w:r>
          </w:p>
        </w:tc>
        <w:tc>
          <w:tcPr>
            <w:tcW w:w="1609" w:type="dxa"/>
            <w:tcMar>
              <w:top w:w="0" w:type="dxa"/>
              <w:left w:w="108" w:type="dxa"/>
              <w:bottom w:w="0" w:type="dxa"/>
              <w:right w:w="108" w:type="dxa"/>
            </w:tcMar>
            <w:vAlign w:val="center"/>
          </w:tcPr>
          <w:p w14:paraId="60DC215A">
            <w:pPr>
              <w:widowControl w:val="0"/>
              <w:adjustRightInd w:val="0"/>
              <w:snapToGrid w:val="0"/>
              <w:jc w:val="center"/>
              <w:rPr>
                <w:snapToGrid w:val="0"/>
                <w:color w:val="auto"/>
                <w:kern w:val="0"/>
                <w:highlight w:val="none"/>
              </w:rPr>
            </w:pPr>
            <w:r>
              <w:rPr>
                <w:rFonts w:hint="eastAsia"/>
                <w:snapToGrid w:val="0"/>
                <w:color w:val="auto"/>
                <w:kern w:val="0"/>
                <w:highlight w:val="none"/>
              </w:rPr>
              <w:t>3266238.46</w:t>
            </w:r>
          </w:p>
        </w:tc>
        <w:tc>
          <w:tcPr>
            <w:tcW w:w="1675" w:type="dxa"/>
            <w:tcMar>
              <w:top w:w="0" w:type="dxa"/>
              <w:left w:w="108" w:type="dxa"/>
              <w:bottom w:w="0" w:type="dxa"/>
              <w:right w:w="108" w:type="dxa"/>
            </w:tcMar>
            <w:vAlign w:val="center"/>
          </w:tcPr>
          <w:p w14:paraId="77F8575A">
            <w:pPr>
              <w:widowControl w:val="0"/>
              <w:adjustRightInd w:val="0"/>
              <w:snapToGrid w:val="0"/>
              <w:jc w:val="center"/>
              <w:rPr>
                <w:snapToGrid w:val="0"/>
                <w:color w:val="auto"/>
                <w:kern w:val="0"/>
                <w:highlight w:val="none"/>
              </w:rPr>
            </w:pPr>
            <w:r>
              <w:rPr>
                <w:rFonts w:hint="eastAsia"/>
                <w:snapToGrid w:val="0"/>
                <w:color w:val="auto"/>
                <w:kern w:val="0"/>
                <w:highlight w:val="none"/>
              </w:rPr>
              <w:t>41398671.18</w:t>
            </w:r>
          </w:p>
        </w:tc>
      </w:tr>
      <w:tr w14:paraId="5EEA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55B860F0">
            <w:pPr>
              <w:widowControl w:val="0"/>
              <w:adjustRightInd w:val="0"/>
              <w:snapToGrid w:val="0"/>
              <w:jc w:val="center"/>
              <w:rPr>
                <w:snapToGrid w:val="0"/>
                <w:color w:val="auto"/>
                <w:kern w:val="0"/>
                <w:highlight w:val="none"/>
              </w:rPr>
            </w:pPr>
            <w:r>
              <w:rPr>
                <w:rFonts w:hint="eastAsia"/>
                <w:snapToGrid w:val="0"/>
                <w:color w:val="auto"/>
                <w:kern w:val="0"/>
                <w:highlight w:val="none"/>
              </w:rPr>
              <w:t>J127</w:t>
            </w:r>
          </w:p>
        </w:tc>
        <w:tc>
          <w:tcPr>
            <w:tcW w:w="1729" w:type="dxa"/>
            <w:tcMar>
              <w:top w:w="0" w:type="dxa"/>
              <w:left w:w="108" w:type="dxa"/>
              <w:bottom w:w="0" w:type="dxa"/>
              <w:right w:w="108" w:type="dxa"/>
            </w:tcMar>
            <w:vAlign w:val="center"/>
          </w:tcPr>
          <w:p w14:paraId="1D6BBF7D">
            <w:pPr>
              <w:widowControl w:val="0"/>
              <w:adjustRightInd w:val="0"/>
              <w:snapToGrid w:val="0"/>
              <w:jc w:val="center"/>
              <w:rPr>
                <w:snapToGrid w:val="0"/>
                <w:color w:val="auto"/>
                <w:kern w:val="0"/>
                <w:highlight w:val="none"/>
              </w:rPr>
            </w:pPr>
            <w:r>
              <w:rPr>
                <w:rFonts w:hint="eastAsia"/>
                <w:snapToGrid w:val="0"/>
                <w:color w:val="auto"/>
                <w:kern w:val="0"/>
                <w:highlight w:val="none"/>
              </w:rPr>
              <w:t>3266529.21</w:t>
            </w:r>
          </w:p>
        </w:tc>
        <w:tc>
          <w:tcPr>
            <w:tcW w:w="1729" w:type="dxa"/>
            <w:tcMar>
              <w:top w:w="0" w:type="dxa"/>
              <w:left w:w="108" w:type="dxa"/>
              <w:bottom w:w="0" w:type="dxa"/>
              <w:right w:w="108" w:type="dxa"/>
            </w:tcMar>
            <w:vAlign w:val="center"/>
          </w:tcPr>
          <w:p w14:paraId="499DF241">
            <w:pPr>
              <w:widowControl w:val="0"/>
              <w:adjustRightInd w:val="0"/>
              <w:snapToGrid w:val="0"/>
              <w:jc w:val="center"/>
              <w:rPr>
                <w:snapToGrid w:val="0"/>
                <w:color w:val="auto"/>
                <w:kern w:val="0"/>
                <w:highlight w:val="none"/>
              </w:rPr>
            </w:pPr>
            <w:r>
              <w:rPr>
                <w:rFonts w:hint="eastAsia"/>
                <w:snapToGrid w:val="0"/>
                <w:color w:val="auto"/>
                <w:kern w:val="0"/>
                <w:highlight w:val="none"/>
              </w:rPr>
              <w:t>41398325.64</w:t>
            </w:r>
          </w:p>
        </w:tc>
        <w:tc>
          <w:tcPr>
            <w:tcW w:w="903" w:type="dxa"/>
            <w:tcMar>
              <w:top w:w="0" w:type="dxa"/>
              <w:left w:w="108" w:type="dxa"/>
              <w:bottom w:w="0" w:type="dxa"/>
              <w:right w:w="108" w:type="dxa"/>
            </w:tcMar>
            <w:vAlign w:val="center"/>
          </w:tcPr>
          <w:p w14:paraId="4B638B44">
            <w:pPr>
              <w:widowControl w:val="0"/>
              <w:adjustRightInd w:val="0"/>
              <w:snapToGrid w:val="0"/>
              <w:jc w:val="center"/>
              <w:rPr>
                <w:snapToGrid w:val="0"/>
                <w:color w:val="auto"/>
                <w:kern w:val="0"/>
                <w:highlight w:val="none"/>
              </w:rPr>
            </w:pPr>
            <w:r>
              <w:rPr>
                <w:rFonts w:hint="eastAsia"/>
                <w:snapToGrid w:val="0"/>
                <w:color w:val="auto"/>
                <w:kern w:val="0"/>
                <w:highlight w:val="none"/>
              </w:rPr>
              <w:t>J141</w:t>
            </w:r>
          </w:p>
        </w:tc>
        <w:tc>
          <w:tcPr>
            <w:tcW w:w="1609" w:type="dxa"/>
            <w:tcMar>
              <w:top w:w="0" w:type="dxa"/>
              <w:left w:w="108" w:type="dxa"/>
              <w:bottom w:w="0" w:type="dxa"/>
              <w:right w:w="108" w:type="dxa"/>
            </w:tcMar>
            <w:vAlign w:val="center"/>
          </w:tcPr>
          <w:p w14:paraId="44E29FDF">
            <w:pPr>
              <w:widowControl w:val="0"/>
              <w:adjustRightInd w:val="0"/>
              <w:snapToGrid w:val="0"/>
              <w:jc w:val="center"/>
              <w:rPr>
                <w:snapToGrid w:val="0"/>
                <w:color w:val="auto"/>
                <w:kern w:val="0"/>
                <w:highlight w:val="none"/>
              </w:rPr>
            </w:pPr>
            <w:r>
              <w:rPr>
                <w:rFonts w:hint="eastAsia"/>
                <w:snapToGrid w:val="0"/>
                <w:color w:val="auto"/>
                <w:kern w:val="0"/>
                <w:highlight w:val="none"/>
              </w:rPr>
              <w:t>3266221.15</w:t>
            </w:r>
          </w:p>
        </w:tc>
        <w:tc>
          <w:tcPr>
            <w:tcW w:w="1675" w:type="dxa"/>
            <w:tcMar>
              <w:top w:w="0" w:type="dxa"/>
              <w:left w:w="108" w:type="dxa"/>
              <w:bottom w:w="0" w:type="dxa"/>
              <w:right w:w="108" w:type="dxa"/>
            </w:tcMar>
            <w:vAlign w:val="center"/>
          </w:tcPr>
          <w:p w14:paraId="451C04A1">
            <w:pPr>
              <w:widowControl w:val="0"/>
              <w:adjustRightInd w:val="0"/>
              <w:snapToGrid w:val="0"/>
              <w:jc w:val="center"/>
              <w:rPr>
                <w:snapToGrid w:val="0"/>
                <w:color w:val="auto"/>
                <w:kern w:val="0"/>
                <w:highlight w:val="none"/>
              </w:rPr>
            </w:pPr>
            <w:r>
              <w:rPr>
                <w:rFonts w:hint="eastAsia"/>
                <w:snapToGrid w:val="0"/>
                <w:color w:val="auto"/>
                <w:kern w:val="0"/>
                <w:highlight w:val="none"/>
              </w:rPr>
              <w:t>41398668.64</w:t>
            </w:r>
          </w:p>
        </w:tc>
      </w:tr>
      <w:tr w14:paraId="1480C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6274DFBD">
            <w:pPr>
              <w:widowControl w:val="0"/>
              <w:adjustRightInd w:val="0"/>
              <w:snapToGrid w:val="0"/>
              <w:jc w:val="center"/>
              <w:rPr>
                <w:snapToGrid w:val="0"/>
                <w:color w:val="auto"/>
                <w:kern w:val="0"/>
                <w:highlight w:val="none"/>
              </w:rPr>
            </w:pPr>
            <w:r>
              <w:rPr>
                <w:rFonts w:hint="eastAsia"/>
                <w:snapToGrid w:val="0"/>
                <w:color w:val="auto"/>
                <w:kern w:val="0"/>
                <w:highlight w:val="none"/>
              </w:rPr>
              <w:t>J128</w:t>
            </w:r>
          </w:p>
        </w:tc>
        <w:tc>
          <w:tcPr>
            <w:tcW w:w="1729" w:type="dxa"/>
            <w:tcMar>
              <w:top w:w="0" w:type="dxa"/>
              <w:left w:w="108" w:type="dxa"/>
              <w:bottom w:w="0" w:type="dxa"/>
              <w:right w:w="108" w:type="dxa"/>
            </w:tcMar>
            <w:vAlign w:val="center"/>
          </w:tcPr>
          <w:p w14:paraId="38B83A24">
            <w:pPr>
              <w:widowControl w:val="0"/>
              <w:adjustRightInd w:val="0"/>
              <w:snapToGrid w:val="0"/>
              <w:jc w:val="center"/>
              <w:rPr>
                <w:snapToGrid w:val="0"/>
                <w:color w:val="auto"/>
                <w:kern w:val="0"/>
                <w:highlight w:val="none"/>
              </w:rPr>
            </w:pPr>
            <w:r>
              <w:rPr>
                <w:rFonts w:hint="eastAsia"/>
                <w:snapToGrid w:val="0"/>
                <w:color w:val="auto"/>
                <w:kern w:val="0"/>
                <w:highlight w:val="none"/>
              </w:rPr>
              <w:t>3266516.09</w:t>
            </w:r>
          </w:p>
        </w:tc>
        <w:tc>
          <w:tcPr>
            <w:tcW w:w="1729" w:type="dxa"/>
            <w:tcMar>
              <w:top w:w="0" w:type="dxa"/>
              <w:left w:w="108" w:type="dxa"/>
              <w:bottom w:w="0" w:type="dxa"/>
              <w:right w:w="108" w:type="dxa"/>
            </w:tcMar>
            <w:vAlign w:val="center"/>
          </w:tcPr>
          <w:p w14:paraId="0E9B40D0">
            <w:pPr>
              <w:widowControl w:val="0"/>
              <w:adjustRightInd w:val="0"/>
              <w:snapToGrid w:val="0"/>
              <w:jc w:val="center"/>
              <w:rPr>
                <w:snapToGrid w:val="0"/>
                <w:color w:val="auto"/>
                <w:kern w:val="0"/>
                <w:highlight w:val="none"/>
              </w:rPr>
            </w:pPr>
            <w:r>
              <w:rPr>
                <w:rFonts w:hint="eastAsia"/>
                <w:snapToGrid w:val="0"/>
                <w:color w:val="auto"/>
                <w:kern w:val="0"/>
                <w:highlight w:val="none"/>
              </w:rPr>
              <w:t>41398379.55</w:t>
            </w:r>
          </w:p>
        </w:tc>
        <w:tc>
          <w:tcPr>
            <w:tcW w:w="903" w:type="dxa"/>
            <w:tcMar>
              <w:top w:w="0" w:type="dxa"/>
              <w:left w:w="108" w:type="dxa"/>
              <w:bottom w:w="0" w:type="dxa"/>
              <w:right w:w="108" w:type="dxa"/>
            </w:tcMar>
            <w:vAlign w:val="center"/>
          </w:tcPr>
          <w:p w14:paraId="751214D8">
            <w:pPr>
              <w:widowControl w:val="0"/>
              <w:adjustRightInd w:val="0"/>
              <w:snapToGrid w:val="0"/>
              <w:jc w:val="center"/>
              <w:rPr>
                <w:snapToGrid w:val="0"/>
                <w:color w:val="auto"/>
                <w:kern w:val="0"/>
                <w:highlight w:val="none"/>
              </w:rPr>
            </w:pPr>
            <w:r>
              <w:rPr>
                <w:rFonts w:hint="eastAsia"/>
                <w:snapToGrid w:val="0"/>
                <w:color w:val="auto"/>
                <w:kern w:val="0"/>
                <w:highlight w:val="none"/>
              </w:rPr>
              <w:t>J142</w:t>
            </w:r>
          </w:p>
        </w:tc>
        <w:tc>
          <w:tcPr>
            <w:tcW w:w="1609" w:type="dxa"/>
            <w:tcMar>
              <w:top w:w="0" w:type="dxa"/>
              <w:left w:w="108" w:type="dxa"/>
              <w:bottom w:w="0" w:type="dxa"/>
              <w:right w:w="108" w:type="dxa"/>
            </w:tcMar>
            <w:vAlign w:val="center"/>
          </w:tcPr>
          <w:p w14:paraId="51B6A5E4">
            <w:pPr>
              <w:widowControl w:val="0"/>
              <w:adjustRightInd w:val="0"/>
              <w:snapToGrid w:val="0"/>
              <w:jc w:val="center"/>
              <w:rPr>
                <w:snapToGrid w:val="0"/>
                <w:color w:val="auto"/>
                <w:kern w:val="0"/>
                <w:highlight w:val="none"/>
              </w:rPr>
            </w:pPr>
            <w:r>
              <w:rPr>
                <w:rFonts w:hint="eastAsia"/>
                <w:snapToGrid w:val="0"/>
                <w:color w:val="auto"/>
                <w:kern w:val="0"/>
                <w:highlight w:val="none"/>
              </w:rPr>
              <w:t>3266195.14</w:t>
            </w:r>
          </w:p>
        </w:tc>
        <w:tc>
          <w:tcPr>
            <w:tcW w:w="1675" w:type="dxa"/>
            <w:tcMar>
              <w:top w:w="0" w:type="dxa"/>
              <w:left w:w="108" w:type="dxa"/>
              <w:bottom w:w="0" w:type="dxa"/>
              <w:right w:w="108" w:type="dxa"/>
            </w:tcMar>
            <w:vAlign w:val="center"/>
          </w:tcPr>
          <w:p w14:paraId="67070CBE">
            <w:pPr>
              <w:widowControl w:val="0"/>
              <w:adjustRightInd w:val="0"/>
              <w:snapToGrid w:val="0"/>
              <w:jc w:val="center"/>
              <w:rPr>
                <w:snapToGrid w:val="0"/>
                <w:color w:val="auto"/>
                <w:kern w:val="0"/>
                <w:highlight w:val="none"/>
              </w:rPr>
            </w:pPr>
            <w:r>
              <w:rPr>
                <w:rFonts w:hint="eastAsia"/>
                <w:snapToGrid w:val="0"/>
                <w:color w:val="auto"/>
                <w:kern w:val="0"/>
                <w:highlight w:val="none"/>
              </w:rPr>
              <w:t>41398687.19</w:t>
            </w:r>
          </w:p>
        </w:tc>
      </w:tr>
      <w:tr w14:paraId="05EB0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2BF71576">
            <w:pPr>
              <w:widowControl w:val="0"/>
              <w:adjustRightInd w:val="0"/>
              <w:snapToGrid w:val="0"/>
              <w:jc w:val="center"/>
              <w:rPr>
                <w:snapToGrid w:val="0"/>
                <w:color w:val="auto"/>
                <w:kern w:val="0"/>
                <w:highlight w:val="none"/>
              </w:rPr>
            </w:pPr>
            <w:r>
              <w:rPr>
                <w:rFonts w:hint="eastAsia"/>
                <w:snapToGrid w:val="0"/>
                <w:color w:val="auto"/>
                <w:kern w:val="0"/>
                <w:highlight w:val="none"/>
              </w:rPr>
              <w:t>J129</w:t>
            </w:r>
          </w:p>
        </w:tc>
        <w:tc>
          <w:tcPr>
            <w:tcW w:w="1729" w:type="dxa"/>
            <w:tcMar>
              <w:top w:w="0" w:type="dxa"/>
              <w:left w:w="108" w:type="dxa"/>
              <w:bottom w:w="0" w:type="dxa"/>
              <w:right w:w="108" w:type="dxa"/>
            </w:tcMar>
            <w:vAlign w:val="center"/>
          </w:tcPr>
          <w:p w14:paraId="40FF1E64">
            <w:pPr>
              <w:widowControl w:val="0"/>
              <w:adjustRightInd w:val="0"/>
              <w:snapToGrid w:val="0"/>
              <w:jc w:val="center"/>
              <w:rPr>
                <w:snapToGrid w:val="0"/>
                <w:color w:val="auto"/>
                <w:kern w:val="0"/>
                <w:highlight w:val="none"/>
              </w:rPr>
            </w:pPr>
            <w:r>
              <w:rPr>
                <w:rFonts w:hint="eastAsia"/>
                <w:snapToGrid w:val="0"/>
                <w:color w:val="auto"/>
                <w:kern w:val="0"/>
                <w:highlight w:val="none"/>
              </w:rPr>
              <w:t>3266474.15</w:t>
            </w:r>
          </w:p>
        </w:tc>
        <w:tc>
          <w:tcPr>
            <w:tcW w:w="1729" w:type="dxa"/>
            <w:tcMar>
              <w:top w:w="0" w:type="dxa"/>
              <w:left w:w="108" w:type="dxa"/>
              <w:bottom w:w="0" w:type="dxa"/>
              <w:right w:w="108" w:type="dxa"/>
            </w:tcMar>
            <w:vAlign w:val="center"/>
          </w:tcPr>
          <w:p w14:paraId="163DC9F5">
            <w:pPr>
              <w:widowControl w:val="0"/>
              <w:adjustRightInd w:val="0"/>
              <w:snapToGrid w:val="0"/>
              <w:jc w:val="center"/>
              <w:rPr>
                <w:snapToGrid w:val="0"/>
                <w:color w:val="auto"/>
                <w:kern w:val="0"/>
                <w:highlight w:val="none"/>
              </w:rPr>
            </w:pPr>
            <w:r>
              <w:rPr>
                <w:rFonts w:hint="eastAsia"/>
                <w:snapToGrid w:val="0"/>
                <w:color w:val="auto"/>
                <w:kern w:val="0"/>
                <w:highlight w:val="none"/>
              </w:rPr>
              <w:t>41398348.84</w:t>
            </w:r>
          </w:p>
        </w:tc>
        <w:tc>
          <w:tcPr>
            <w:tcW w:w="903" w:type="dxa"/>
            <w:tcMar>
              <w:top w:w="0" w:type="dxa"/>
              <w:left w:w="108" w:type="dxa"/>
              <w:bottom w:w="0" w:type="dxa"/>
              <w:right w:w="108" w:type="dxa"/>
            </w:tcMar>
            <w:vAlign w:val="center"/>
          </w:tcPr>
          <w:p w14:paraId="5B79777F">
            <w:pPr>
              <w:widowControl w:val="0"/>
              <w:adjustRightInd w:val="0"/>
              <w:snapToGrid w:val="0"/>
              <w:jc w:val="center"/>
              <w:rPr>
                <w:snapToGrid w:val="0"/>
                <w:color w:val="auto"/>
                <w:kern w:val="0"/>
                <w:highlight w:val="none"/>
              </w:rPr>
            </w:pPr>
            <w:r>
              <w:rPr>
                <w:rFonts w:hint="eastAsia"/>
                <w:snapToGrid w:val="0"/>
                <w:color w:val="auto"/>
                <w:kern w:val="0"/>
                <w:highlight w:val="none"/>
              </w:rPr>
              <w:t>J7</w:t>
            </w:r>
          </w:p>
        </w:tc>
        <w:tc>
          <w:tcPr>
            <w:tcW w:w="1609" w:type="dxa"/>
            <w:tcMar>
              <w:top w:w="0" w:type="dxa"/>
              <w:left w:w="108" w:type="dxa"/>
              <w:bottom w:w="0" w:type="dxa"/>
              <w:right w:w="108" w:type="dxa"/>
            </w:tcMar>
            <w:vAlign w:val="center"/>
          </w:tcPr>
          <w:p w14:paraId="5DEA2584">
            <w:pPr>
              <w:widowControl w:val="0"/>
              <w:adjustRightInd w:val="0"/>
              <w:snapToGrid w:val="0"/>
              <w:jc w:val="center"/>
              <w:rPr>
                <w:snapToGrid w:val="0"/>
                <w:color w:val="auto"/>
                <w:kern w:val="0"/>
                <w:highlight w:val="none"/>
              </w:rPr>
            </w:pPr>
            <w:r>
              <w:rPr>
                <w:rFonts w:hint="eastAsia"/>
                <w:snapToGrid w:val="0"/>
                <w:color w:val="auto"/>
                <w:kern w:val="0"/>
                <w:highlight w:val="none"/>
              </w:rPr>
              <w:t>3266183.53</w:t>
            </w:r>
          </w:p>
        </w:tc>
        <w:tc>
          <w:tcPr>
            <w:tcW w:w="1675" w:type="dxa"/>
            <w:tcMar>
              <w:top w:w="0" w:type="dxa"/>
              <w:left w:w="108" w:type="dxa"/>
              <w:bottom w:w="0" w:type="dxa"/>
              <w:right w:w="108" w:type="dxa"/>
            </w:tcMar>
            <w:vAlign w:val="center"/>
          </w:tcPr>
          <w:p w14:paraId="7AAE25BF">
            <w:pPr>
              <w:widowControl w:val="0"/>
              <w:adjustRightInd w:val="0"/>
              <w:snapToGrid w:val="0"/>
              <w:jc w:val="center"/>
              <w:rPr>
                <w:snapToGrid w:val="0"/>
                <w:color w:val="auto"/>
                <w:kern w:val="0"/>
                <w:highlight w:val="none"/>
              </w:rPr>
            </w:pPr>
            <w:r>
              <w:rPr>
                <w:rFonts w:hint="eastAsia"/>
                <w:snapToGrid w:val="0"/>
                <w:color w:val="auto"/>
                <w:kern w:val="0"/>
                <w:highlight w:val="none"/>
              </w:rPr>
              <w:t>41398924.54</w:t>
            </w:r>
          </w:p>
        </w:tc>
      </w:tr>
      <w:tr w14:paraId="2523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246CD3AD">
            <w:pPr>
              <w:widowControl w:val="0"/>
              <w:adjustRightInd w:val="0"/>
              <w:snapToGrid w:val="0"/>
              <w:jc w:val="center"/>
              <w:rPr>
                <w:snapToGrid w:val="0"/>
                <w:color w:val="auto"/>
                <w:kern w:val="0"/>
                <w:highlight w:val="none"/>
              </w:rPr>
            </w:pPr>
            <w:r>
              <w:rPr>
                <w:rFonts w:hint="eastAsia"/>
                <w:snapToGrid w:val="0"/>
                <w:color w:val="auto"/>
                <w:kern w:val="0"/>
                <w:highlight w:val="none"/>
              </w:rPr>
              <w:t>J130</w:t>
            </w:r>
          </w:p>
        </w:tc>
        <w:tc>
          <w:tcPr>
            <w:tcW w:w="1729" w:type="dxa"/>
            <w:tcMar>
              <w:top w:w="0" w:type="dxa"/>
              <w:left w:w="108" w:type="dxa"/>
              <w:bottom w:w="0" w:type="dxa"/>
              <w:right w:w="108" w:type="dxa"/>
            </w:tcMar>
            <w:vAlign w:val="center"/>
          </w:tcPr>
          <w:p w14:paraId="7E0154BB">
            <w:pPr>
              <w:widowControl w:val="0"/>
              <w:adjustRightInd w:val="0"/>
              <w:snapToGrid w:val="0"/>
              <w:jc w:val="center"/>
              <w:rPr>
                <w:snapToGrid w:val="0"/>
                <w:color w:val="auto"/>
                <w:kern w:val="0"/>
                <w:highlight w:val="none"/>
              </w:rPr>
            </w:pPr>
            <w:r>
              <w:rPr>
                <w:rFonts w:hint="eastAsia"/>
                <w:snapToGrid w:val="0"/>
                <w:color w:val="auto"/>
                <w:kern w:val="0"/>
                <w:highlight w:val="none"/>
              </w:rPr>
              <w:t>3266462.06</w:t>
            </w:r>
          </w:p>
        </w:tc>
        <w:tc>
          <w:tcPr>
            <w:tcW w:w="1729" w:type="dxa"/>
            <w:tcMar>
              <w:top w:w="0" w:type="dxa"/>
              <w:left w:w="108" w:type="dxa"/>
              <w:bottom w:w="0" w:type="dxa"/>
              <w:right w:w="108" w:type="dxa"/>
            </w:tcMar>
            <w:vAlign w:val="center"/>
          </w:tcPr>
          <w:p w14:paraId="141C95AE">
            <w:pPr>
              <w:widowControl w:val="0"/>
              <w:adjustRightInd w:val="0"/>
              <w:snapToGrid w:val="0"/>
              <w:jc w:val="center"/>
              <w:rPr>
                <w:snapToGrid w:val="0"/>
                <w:color w:val="auto"/>
                <w:kern w:val="0"/>
                <w:highlight w:val="none"/>
              </w:rPr>
            </w:pPr>
            <w:r>
              <w:rPr>
                <w:rFonts w:hint="eastAsia"/>
                <w:snapToGrid w:val="0"/>
                <w:color w:val="auto"/>
                <w:kern w:val="0"/>
                <w:highlight w:val="none"/>
              </w:rPr>
              <w:t>41398348.53</w:t>
            </w:r>
          </w:p>
        </w:tc>
        <w:tc>
          <w:tcPr>
            <w:tcW w:w="903" w:type="dxa"/>
            <w:tcMar>
              <w:top w:w="0" w:type="dxa"/>
              <w:left w:w="108" w:type="dxa"/>
              <w:bottom w:w="0" w:type="dxa"/>
              <w:right w:w="108" w:type="dxa"/>
            </w:tcMar>
            <w:vAlign w:val="center"/>
          </w:tcPr>
          <w:p w14:paraId="27A6DE8C">
            <w:pPr>
              <w:widowControl w:val="0"/>
              <w:adjustRightInd w:val="0"/>
              <w:snapToGrid w:val="0"/>
              <w:jc w:val="center"/>
              <w:rPr>
                <w:snapToGrid w:val="0"/>
                <w:color w:val="auto"/>
                <w:kern w:val="0"/>
                <w:highlight w:val="none"/>
              </w:rPr>
            </w:pPr>
            <w:r>
              <w:rPr>
                <w:rFonts w:hint="eastAsia"/>
                <w:snapToGrid w:val="0"/>
                <w:color w:val="auto"/>
                <w:kern w:val="0"/>
                <w:highlight w:val="none"/>
              </w:rPr>
              <w:t>J6</w:t>
            </w:r>
          </w:p>
        </w:tc>
        <w:tc>
          <w:tcPr>
            <w:tcW w:w="1609" w:type="dxa"/>
            <w:tcMar>
              <w:top w:w="0" w:type="dxa"/>
              <w:left w:w="108" w:type="dxa"/>
              <w:bottom w:w="0" w:type="dxa"/>
              <w:right w:w="108" w:type="dxa"/>
            </w:tcMar>
            <w:vAlign w:val="center"/>
          </w:tcPr>
          <w:p w14:paraId="47B46C63">
            <w:pPr>
              <w:widowControl w:val="0"/>
              <w:adjustRightInd w:val="0"/>
              <w:snapToGrid w:val="0"/>
              <w:jc w:val="center"/>
              <w:rPr>
                <w:snapToGrid w:val="0"/>
                <w:color w:val="auto"/>
                <w:kern w:val="0"/>
                <w:highlight w:val="none"/>
              </w:rPr>
            </w:pPr>
            <w:r>
              <w:rPr>
                <w:rFonts w:hint="eastAsia"/>
                <w:snapToGrid w:val="0"/>
                <w:color w:val="auto"/>
                <w:kern w:val="0"/>
                <w:highlight w:val="none"/>
              </w:rPr>
              <w:t>3266183.93</w:t>
            </w:r>
          </w:p>
        </w:tc>
        <w:tc>
          <w:tcPr>
            <w:tcW w:w="1675" w:type="dxa"/>
            <w:tcMar>
              <w:top w:w="0" w:type="dxa"/>
              <w:left w:w="108" w:type="dxa"/>
              <w:bottom w:w="0" w:type="dxa"/>
              <w:right w:w="108" w:type="dxa"/>
            </w:tcMar>
            <w:vAlign w:val="center"/>
          </w:tcPr>
          <w:p w14:paraId="6FAEEF66">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r>
      <w:tr w14:paraId="3635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C28A284">
            <w:pPr>
              <w:widowControl w:val="0"/>
              <w:adjustRightInd w:val="0"/>
              <w:snapToGrid w:val="0"/>
              <w:jc w:val="center"/>
              <w:rPr>
                <w:snapToGrid w:val="0"/>
                <w:color w:val="auto"/>
                <w:kern w:val="0"/>
                <w:highlight w:val="none"/>
              </w:rPr>
            </w:pPr>
            <w:r>
              <w:rPr>
                <w:rFonts w:hint="eastAsia"/>
                <w:snapToGrid w:val="0"/>
                <w:color w:val="auto"/>
                <w:kern w:val="0"/>
                <w:highlight w:val="none"/>
              </w:rPr>
              <w:t>J131</w:t>
            </w:r>
          </w:p>
        </w:tc>
        <w:tc>
          <w:tcPr>
            <w:tcW w:w="1729" w:type="dxa"/>
            <w:tcMar>
              <w:top w:w="0" w:type="dxa"/>
              <w:left w:w="108" w:type="dxa"/>
              <w:bottom w:w="0" w:type="dxa"/>
              <w:right w:w="108" w:type="dxa"/>
            </w:tcMar>
            <w:vAlign w:val="center"/>
          </w:tcPr>
          <w:p w14:paraId="4DEF9019">
            <w:pPr>
              <w:widowControl w:val="0"/>
              <w:adjustRightInd w:val="0"/>
              <w:snapToGrid w:val="0"/>
              <w:jc w:val="center"/>
              <w:rPr>
                <w:snapToGrid w:val="0"/>
                <w:color w:val="auto"/>
                <w:kern w:val="0"/>
                <w:highlight w:val="none"/>
              </w:rPr>
            </w:pPr>
            <w:r>
              <w:rPr>
                <w:rFonts w:hint="eastAsia"/>
                <w:snapToGrid w:val="0"/>
                <w:color w:val="auto"/>
                <w:kern w:val="0"/>
                <w:highlight w:val="none"/>
              </w:rPr>
              <w:t>3266456.07</w:t>
            </w:r>
          </w:p>
        </w:tc>
        <w:tc>
          <w:tcPr>
            <w:tcW w:w="1729" w:type="dxa"/>
            <w:tcMar>
              <w:top w:w="0" w:type="dxa"/>
              <w:left w:w="108" w:type="dxa"/>
              <w:bottom w:w="0" w:type="dxa"/>
              <w:right w:w="108" w:type="dxa"/>
            </w:tcMar>
            <w:vAlign w:val="center"/>
          </w:tcPr>
          <w:p w14:paraId="7A77E95E">
            <w:pPr>
              <w:widowControl w:val="0"/>
              <w:adjustRightInd w:val="0"/>
              <w:snapToGrid w:val="0"/>
              <w:jc w:val="center"/>
              <w:rPr>
                <w:snapToGrid w:val="0"/>
                <w:color w:val="auto"/>
                <w:kern w:val="0"/>
                <w:highlight w:val="none"/>
              </w:rPr>
            </w:pPr>
            <w:r>
              <w:rPr>
                <w:rFonts w:hint="eastAsia"/>
                <w:snapToGrid w:val="0"/>
                <w:color w:val="auto"/>
                <w:kern w:val="0"/>
                <w:highlight w:val="none"/>
              </w:rPr>
              <w:t>41398370.63</w:t>
            </w:r>
          </w:p>
        </w:tc>
        <w:tc>
          <w:tcPr>
            <w:tcW w:w="903" w:type="dxa"/>
            <w:tcMar>
              <w:top w:w="0" w:type="dxa"/>
              <w:left w:w="108" w:type="dxa"/>
              <w:bottom w:w="0" w:type="dxa"/>
              <w:right w:w="108" w:type="dxa"/>
            </w:tcMar>
            <w:vAlign w:val="center"/>
          </w:tcPr>
          <w:p w14:paraId="6540B6A1">
            <w:pPr>
              <w:widowControl w:val="0"/>
              <w:adjustRightInd w:val="0"/>
              <w:snapToGrid w:val="0"/>
              <w:jc w:val="center"/>
              <w:rPr>
                <w:snapToGrid w:val="0"/>
                <w:color w:val="auto"/>
                <w:kern w:val="0"/>
                <w:highlight w:val="none"/>
              </w:rPr>
            </w:pPr>
            <w:r>
              <w:rPr>
                <w:rFonts w:hint="eastAsia"/>
                <w:snapToGrid w:val="0"/>
                <w:color w:val="auto"/>
                <w:kern w:val="0"/>
                <w:highlight w:val="none"/>
              </w:rPr>
              <w:t>J5</w:t>
            </w:r>
          </w:p>
        </w:tc>
        <w:tc>
          <w:tcPr>
            <w:tcW w:w="1609" w:type="dxa"/>
            <w:tcMar>
              <w:top w:w="0" w:type="dxa"/>
              <w:left w:w="108" w:type="dxa"/>
              <w:bottom w:w="0" w:type="dxa"/>
              <w:right w:w="108" w:type="dxa"/>
            </w:tcMar>
            <w:vAlign w:val="center"/>
          </w:tcPr>
          <w:p w14:paraId="7EAB2583">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675" w:type="dxa"/>
            <w:tcMar>
              <w:top w:w="0" w:type="dxa"/>
              <w:left w:w="108" w:type="dxa"/>
              <w:bottom w:w="0" w:type="dxa"/>
              <w:right w:w="108" w:type="dxa"/>
            </w:tcMar>
            <w:vAlign w:val="center"/>
          </w:tcPr>
          <w:p w14:paraId="06CB096E">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r>
      <w:tr w14:paraId="4839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3C3F38AB">
            <w:pPr>
              <w:widowControl w:val="0"/>
              <w:adjustRightInd w:val="0"/>
              <w:snapToGrid w:val="0"/>
              <w:jc w:val="center"/>
              <w:rPr>
                <w:snapToGrid w:val="0"/>
                <w:color w:val="auto"/>
                <w:kern w:val="0"/>
                <w:highlight w:val="none"/>
              </w:rPr>
            </w:pPr>
            <w:r>
              <w:rPr>
                <w:rFonts w:hint="eastAsia"/>
                <w:snapToGrid w:val="0"/>
                <w:color w:val="auto"/>
                <w:kern w:val="0"/>
                <w:highlight w:val="none"/>
              </w:rPr>
              <w:t>J132</w:t>
            </w:r>
          </w:p>
        </w:tc>
        <w:tc>
          <w:tcPr>
            <w:tcW w:w="1729" w:type="dxa"/>
            <w:tcMar>
              <w:top w:w="0" w:type="dxa"/>
              <w:left w:w="108" w:type="dxa"/>
              <w:bottom w:w="0" w:type="dxa"/>
              <w:right w:w="108" w:type="dxa"/>
            </w:tcMar>
            <w:vAlign w:val="center"/>
          </w:tcPr>
          <w:p w14:paraId="606DDC00">
            <w:pPr>
              <w:widowControl w:val="0"/>
              <w:adjustRightInd w:val="0"/>
              <w:snapToGrid w:val="0"/>
              <w:jc w:val="center"/>
              <w:rPr>
                <w:snapToGrid w:val="0"/>
                <w:color w:val="auto"/>
                <w:kern w:val="0"/>
                <w:highlight w:val="none"/>
              </w:rPr>
            </w:pPr>
            <w:r>
              <w:rPr>
                <w:rFonts w:hint="eastAsia"/>
                <w:snapToGrid w:val="0"/>
                <w:color w:val="auto"/>
                <w:kern w:val="0"/>
                <w:highlight w:val="none"/>
              </w:rPr>
              <w:t>3266449.01</w:t>
            </w:r>
          </w:p>
        </w:tc>
        <w:tc>
          <w:tcPr>
            <w:tcW w:w="1729" w:type="dxa"/>
            <w:tcMar>
              <w:top w:w="0" w:type="dxa"/>
              <w:left w:w="108" w:type="dxa"/>
              <w:bottom w:w="0" w:type="dxa"/>
              <w:right w:w="108" w:type="dxa"/>
            </w:tcMar>
            <w:vAlign w:val="center"/>
          </w:tcPr>
          <w:p w14:paraId="719DCAB5">
            <w:pPr>
              <w:widowControl w:val="0"/>
              <w:adjustRightInd w:val="0"/>
              <w:snapToGrid w:val="0"/>
              <w:jc w:val="center"/>
              <w:rPr>
                <w:snapToGrid w:val="0"/>
                <w:color w:val="auto"/>
                <w:kern w:val="0"/>
                <w:highlight w:val="none"/>
              </w:rPr>
            </w:pPr>
            <w:r>
              <w:rPr>
                <w:rFonts w:hint="eastAsia"/>
                <w:snapToGrid w:val="0"/>
                <w:color w:val="auto"/>
                <w:kern w:val="0"/>
                <w:highlight w:val="none"/>
              </w:rPr>
              <w:t>41398372.11</w:t>
            </w:r>
          </w:p>
        </w:tc>
        <w:tc>
          <w:tcPr>
            <w:tcW w:w="903" w:type="dxa"/>
            <w:tcMar>
              <w:top w:w="0" w:type="dxa"/>
              <w:left w:w="108" w:type="dxa"/>
              <w:bottom w:w="0" w:type="dxa"/>
              <w:right w:w="108" w:type="dxa"/>
            </w:tcMar>
            <w:vAlign w:val="center"/>
          </w:tcPr>
          <w:p w14:paraId="4D76725F">
            <w:pPr>
              <w:widowControl w:val="0"/>
              <w:adjustRightInd w:val="0"/>
              <w:snapToGrid w:val="0"/>
              <w:jc w:val="center"/>
              <w:rPr>
                <w:snapToGrid w:val="0"/>
                <w:color w:val="auto"/>
                <w:kern w:val="0"/>
                <w:highlight w:val="none"/>
              </w:rPr>
            </w:pPr>
            <w:r>
              <w:rPr>
                <w:rFonts w:hint="eastAsia"/>
                <w:snapToGrid w:val="0"/>
                <w:color w:val="auto"/>
                <w:kern w:val="0"/>
                <w:highlight w:val="none"/>
              </w:rPr>
              <w:t>J4</w:t>
            </w:r>
          </w:p>
        </w:tc>
        <w:tc>
          <w:tcPr>
            <w:tcW w:w="1609" w:type="dxa"/>
            <w:tcMar>
              <w:top w:w="0" w:type="dxa"/>
              <w:left w:w="108" w:type="dxa"/>
              <w:bottom w:w="0" w:type="dxa"/>
              <w:right w:w="108" w:type="dxa"/>
            </w:tcMar>
            <w:vAlign w:val="center"/>
          </w:tcPr>
          <w:p w14:paraId="540E80A6">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675" w:type="dxa"/>
            <w:tcMar>
              <w:top w:w="0" w:type="dxa"/>
              <w:left w:w="108" w:type="dxa"/>
              <w:bottom w:w="0" w:type="dxa"/>
              <w:right w:w="108" w:type="dxa"/>
            </w:tcMar>
            <w:vAlign w:val="center"/>
          </w:tcPr>
          <w:p w14:paraId="4B6A4DD9">
            <w:pPr>
              <w:widowControl w:val="0"/>
              <w:adjustRightInd w:val="0"/>
              <w:snapToGrid w:val="0"/>
              <w:jc w:val="center"/>
              <w:rPr>
                <w:snapToGrid w:val="0"/>
                <w:color w:val="auto"/>
                <w:kern w:val="0"/>
                <w:highlight w:val="none"/>
              </w:rPr>
            </w:pPr>
            <w:r>
              <w:rPr>
                <w:rFonts w:hint="eastAsia"/>
                <w:snapToGrid w:val="0"/>
                <w:color w:val="auto"/>
                <w:kern w:val="0"/>
                <w:highlight w:val="none"/>
              </w:rPr>
              <w:t>41398107.36</w:t>
            </w:r>
          </w:p>
        </w:tc>
      </w:tr>
      <w:tr w14:paraId="3635A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5E1B4E2B">
            <w:pPr>
              <w:widowControl w:val="0"/>
              <w:adjustRightInd w:val="0"/>
              <w:snapToGrid w:val="0"/>
              <w:jc w:val="center"/>
              <w:rPr>
                <w:snapToGrid w:val="0"/>
                <w:color w:val="auto"/>
                <w:kern w:val="0"/>
                <w:highlight w:val="none"/>
              </w:rPr>
            </w:pPr>
            <w:r>
              <w:rPr>
                <w:rFonts w:hint="eastAsia"/>
                <w:snapToGrid w:val="0"/>
                <w:color w:val="auto"/>
                <w:kern w:val="0"/>
                <w:highlight w:val="none"/>
              </w:rPr>
              <w:t>J133</w:t>
            </w:r>
          </w:p>
        </w:tc>
        <w:tc>
          <w:tcPr>
            <w:tcW w:w="1729" w:type="dxa"/>
            <w:tcMar>
              <w:top w:w="0" w:type="dxa"/>
              <w:left w:w="108" w:type="dxa"/>
              <w:bottom w:w="0" w:type="dxa"/>
              <w:right w:w="108" w:type="dxa"/>
            </w:tcMar>
            <w:vAlign w:val="center"/>
          </w:tcPr>
          <w:p w14:paraId="5892ABA6">
            <w:pPr>
              <w:widowControl w:val="0"/>
              <w:adjustRightInd w:val="0"/>
              <w:snapToGrid w:val="0"/>
              <w:jc w:val="center"/>
              <w:rPr>
                <w:snapToGrid w:val="0"/>
                <w:color w:val="auto"/>
                <w:kern w:val="0"/>
                <w:highlight w:val="none"/>
              </w:rPr>
            </w:pPr>
            <w:r>
              <w:rPr>
                <w:rFonts w:hint="eastAsia"/>
                <w:snapToGrid w:val="0"/>
                <w:color w:val="auto"/>
                <w:kern w:val="0"/>
                <w:highlight w:val="none"/>
              </w:rPr>
              <w:t>3266422.24</w:t>
            </w:r>
          </w:p>
        </w:tc>
        <w:tc>
          <w:tcPr>
            <w:tcW w:w="1729" w:type="dxa"/>
            <w:tcMar>
              <w:top w:w="0" w:type="dxa"/>
              <w:left w:w="108" w:type="dxa"/>
              <w:bottom w:w="0" w:type="dxa"/>
              <w:right w:w="108" w:type="dxa"/>
            </w:tcMar>
            <w:vAlign w:val="center"/>
          </w:tcPr>
          <w:p w14:paraId="0DCFEBF4">
            <w:pPr>
              <w:widowControl w:val="0"/>
              <w:adjustRightInd w:val="0"/>
              <w:snapToGrid w:val="0"/>
              <w:jc w:val="center"/>
              <w:rPr>
                <w:snapToGrid w:val="0"/>
                <w:color w:val="auto"/>
                <w:kern w:val="0"/>
                <w:highlight w:val="none"/>
              </w:rPr>
            </w:pPr>
            <w:r>
              <w:rPr>
                <w:rFonts w:hint="eastAsia"/>
                <w:snapToGrid w:val="0"/>
                <w:color w:val="auto"/>
                <w:kern w:val="0"/>
                <w:highlight w:val="none"/>
              </w:rPr>
              <w:t>41398363.19</w:t>
            </w:r>
          </w:p>
        </w:tc>
        <w:tc>
          <w:tcPr>
            <w:tcW w:w="903" w:type="dxa"/>
            <w:tcMar>
              <w:top w:w="0" w:type="dxa"/>
              <w:left w:w="108" w:type="dxa"/>
              <w:bottom w:w="0" w:type="dxa"/>
              <w:right w:w="108" w:type="dxa"/>
            </w:tcMar>
            <w:vAlign w:val="center"/>
          </w:tcPr>
          <w:p w14:paraId="7C9BB1A6">
            <w:pPr>
              <w:widowControl w:val="0"/>
              <w:adjustRightInd w:val="0"/>
              <w:snapToGrid w:val="0"/>
              <w:jc w:val="center"/>
              <w:rPr>
                <w:snapToGrid w:val="0"/>
                <w:color w:val="auto"/>
                <w:kern w:val="0"/>
                <w:highlight w:val="none"/>
              </w:rPr>
            </w:pPr>
            <w:r>
              <w:rPr>
                <w:rFonts w:hint="eastAsia"/>
                <w:snapToGrid w:val="0"/>
                <w:color w:val="auto"/>
                <w:kern w:val="0"/>
                <w:highlight w:val="none"/>
              </w:rPr>
              <w:t>J3</w:t>
            </w:r>
          </w:p>
        </w:tc>
        <w:tc>
          <w:tcPr>
            <w:tcW w:w="1609" w:type="dxa"/>
            <w:tcMar>
              <w:top w:w="0" w:type="dxa"/>
              <w:left w:w="108" w:type="dxa"/>
              <w:bottom w:w="0" w:type="dxa"/>
              <w:right w:w="108" w:type="dxa"/>
            </w:tcMar>
            <w:vAlign w:val="center"/>
          </w:tcPr>
          <w:p w14:paraId="7BFB2E7A">
            <w:pPr>
              <w:widowControl w:val="0"/>
              <w:adjustRightInd w:val="0"/>
              <w:snapToGrid w:val="0"/>
              <w:jc w:val="center"/>
              <w:rPr>
                <w:snapToGrid w:val="0"/>
                <w:color w:val="auto"/>
                <w:kern w:val="0"/>
                <w:highlight w:val="none"/>
              </w:rPr>
            </w:pPr>
            <w:r>
              <w:rPr>
                <w:rFonts w:hint="eastAsia"/>
                <w:snapToGrid w:val="0"/>
                <w:color w:val="auto"/>
                <w:kern w:val="0"/>
                <w:highlight w:val="none"/>
              </w:rPr>
              <w:t>3266226.27</w:t>
            </w:r>
          </w:p>
        </w:tc>
        <w:tc>
          <w:tcPr>
            <w:tcW w:w="1675" w:type="dxa"/>
            <w:tcMar>
              <w:top w:w="0" w:type="dxa"/>
              <w:left w:w="108" w:type="dxa"/>
              <w:bottom w:w="0" w:type="dxa"/>
              <w:right w:w="108" w:type="dxa"/>
            </w:tcMar>
            <w:vAlign w:val="center"/>
          </w:tcPr>
          <w:p w14:paraId="6E330437">
            <w:pPr>
              <w:widowControl w:val="0"/>
              <w:adjustRightInd w:val="0"/>
              <w:snapToGrid w:val="0"/>
              <w:jc w:val="center"/>
              <w:rPr>
                <w:snapToGrid w:val="0"/>
                <w:color w:val="auto"/>
                <w:kern w:val="0"/>
                <w:highlight w:val="none"/>
              </w:rPr>
            </w:pPr>
            <w:r>
              <w:rPr>
                <w:rFonts w:hint="eastAsia"/>
                <w:snapToGrid w:val="0"/>
                <w:color w:val="auto"/>
                <w:kern w:val="0"/>
                <w:highlight w:val="none"/>
              </w:rPr>
              <w:t>41398078.17</w:t>
            </w:r>
          </w:p>
        </w:tc>
      </w:tr>
      <w:tr w14:paraId="7B2C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42ABA1B9">
            <w:pPr>
              <w:widowControl w:val="0"/>
              <w:adjustRightInd w:val="0"/>
              <w:snapToGrid w:val="0"/>
              <w:jc w:val="center"/>
              <w:rPr>
                <w:snapToGrid w:val="0"/>
                <w:color w:val="auto"/>
                <w:kern w:val="0"/>
                <w:highlight w:val="none"/>
              </w:rPr>
            </w:pPr>
            <w:r>
              <w:rPr>
                <w:rFonts w:hint="eastAsia"/>
                <w:snapToGrid w:val="0"/>
                <w:color w:val="auto"/>
                <w:kern w:val="0"/>
                <w:highlight w:val="none"/>
              </w:rPr>
              <w:t>J134</w:t>
            </w:r>
          </w:p>
        </w:tc>
        <w:tc>
          <w:tcPr>
            <w:tcW w:w="1729" w:type="dxa"/>
            <w:tcMar>
              <w:top w:w="0" w:type="dxa"/>
              <w:left w:w="108" w:type="dxa"/>
              <w:bottom w:w="0" w:type="dxa"/>
              <w:right w:w="108" w:type="dxa"/>
            </w:tcMar>
            <w:vAlign w:val="center"/>
          </w:tcPr>
          <w:p w14:paraId="4D67FD63">
            <w:pPr>
              <w:widowControl w:val="0"/>
              <w:adjustRightInd w:val="0"/>
              <w:snapToGrid w:val="0"/>
              <w:jc w:val="center"/>
              <w:rPr>
                <w:snapToGrid w:val="0"/>
                <w:color w:val="auto"/>
                <w:kern w:val="0"/>
                <w:highlight w:val="none"/>
              </w:rPr>
            </w:pPr>
            <w:r>
              <w:rPr>
                <w:rFonts w:hint="eastAsia"/>
                <w:snapToGrid w:val="0"/>
                <w:color w:val="auto"/>
                <w:kern w:val="0"/>
                <w:highlight w:val="none"/>
              </w:rPr>
              <w:t>3266413.45</w:t>
            </w:r>
          </w:p>
        </w:tc>
        <w:tc>
          <w:tcPr>
            <w:tcW w:w="1729" w:type="dxa"/>
            <w:tcMar>
              <w:top w:w="0" w:type="dxa"/>
              <w:left w:w="108" w:type="dxa"/>
              <w:bottom w:w="0" w:type="dxa"/>
              <w:right w:w="108" w:type="dxa"/>
            </w:tcMar>
            <w:vAlign w:val="center"/>
          </w:tcPr>
          <w:p w14:paraId="2970AE3C">
            <w:pPr>
              <w:widowControl w:val="0"/>
              <w:adjustRightInd w:val="0"/>
              <w:snapToGrid w:val="0"/>
              <w:jc w:val="center"/>
              <w:rPr>
                <w:snapToGrid w:val="0"/>
                <w:color w:val="auto"/>
                <w:kern w:val="0"/>
                <w:highlight w:val="none"/>
              </w:rPr>
            </w:pPr>
            <w:r>
              <w:rPr>
                <w:rFonts w:hint="eastAsia"/>
                <w:snapToGrid w:val="0"/>
                <w:color w:val="auto"/>
                <w:kern w:val="0"/>
                <w:highlight w:val="none"/>
              </w:rPr>
              <w:t>41398366.74</w:t>
            </w:r>
          </w:p>
        </w:tc>
        <w:tc>
          <w:tcPr>
            <w:tcW w:w="903" w:type="dxa"/>
            <w:tcMar>
              <w:top w:w="0" w:type="dxa"/>
              <w:left w:w="108" w:type="dxa"/>
              <w:bottom w:w="0" w:type="dxa"/>
              <w:right w:w="108" w:type="dxa"/>
            </w:tcMar>
            <w:vAlign w:val="center"/>
          </w:tcPr>
          <w:p w14:paraId="62D90385">
            <w:pPr>
              <w:widowControl w:val="0"/>
              <w:adjustRightInd w:val="0"/>
              <w:snapToGrid w:val="0"/>
              <w:jc w:val="center"/>
              <w:rPr>
                <w:snapToGrid w:val="0"/>
                <w:color w:val="auto"/>
                <w:kern w:val="0"/>
                <w:highlight w:val="none"/>
              </w:rPr>
            </w:pPr>
            <w:r>
              <w:rPr>
                <w:rFonts w:hint="eastAsia"/>
                <w:snapToGrid w:val="0"/>
                <w:color w:val="auto"/>
                <w:kern w:val="0"/>
                <w:highlight w:val="none"/>
              </w:rPr>
              <w:t>J2</w:t>
            </w:r>
          </w:p>
        </w:tc>
        <w:tc>
          <w:tcPr>
            <w:tcW w:w="1609" w:type="dxa"/>
            <w:tcMar>
              <w:top w:w="0" w:type="dxa"/>
              <w:left w:w="108" w:type="dxa"/>
              <w:bottom w:w="0" w:type="dxa"/>
              <w:right w:w="108" w:type="dxa"/>
            </w:tcMar>
            <w:vAlign w:val="center"/>
          </w:tcPr>
          <w:p w14:paraId="3A68E959">
            <w:pPr>
              <w:widowControl w:val="0"/>
              <w:adjustRightInd w:val="0"/>
              <w:snapToGrid w:val="0"/>
              <w:jc w:val="center"/>
              <w:rPr>
                <w:snapToGrid w:val="0"/>
                <w:color w:val="auto"/>
                <w:kern w:val="0"/>
                <w:highlight w:val="none"/>
              </w:rPr>
            </w:pPr>
            <w:r>
              <w:rPr>
                <w:rFonts w:hint="eastAsia"/>
                <w:snapToGrid w:val="0"/>
                <w:color w:val="auto"/>
                <w:kern w:val="0"/>
                <w:highlight w:val="none"/>
              </w:rPr>
              <w:t>3266230.29</w:t>
            </w:r>
          </w:p>
        </w:tc>
        <w:tc>
          <w:tcPr>
            <w:tcW w:w="1675" w:type="dxa"/>
            <w:tcMar>
              <w:top w:w="0" w:type="dxa"/>
              <w:left w:w="108" w:type="dxa"/>
              <w:bottom w:w="0" w:type="dxa"/>
              <w:right w:w="108" w:type="dxa"/>
            </w:tcMar>
            <w:vAlign w:val="center"/>
          </w:tcPr>
          <w:p w14:paraId="65CCC19D">
            <w:pPr>
              <w:widowControl w:val="0"/>
              <w:adjustRightInd w:val="0"/>
              <w:snapToGrid w:val="0"/>
              <w:jc w:val="center"/>
              <w:rPr>
                <w:snapToGrid w:val="0"/>
                <w:color w:val="auto"/>
                <w:kern w:val="0"/>
                <w:highlight w:val="none"/>
              </w:rPr>
            </w:pPr>
            <w:r>
              <w:rPr>
                <w:rFonts w:hint="eastAsia"/>
                <w:snapToGrid w:val="0"/>
                <w:color w:val="auto"/>
                <w:kern w:val="0"/>
                <w:highlight w:val="none"/>
              </w:rPr>
              <w:t>41398068.80</w:t>
            </w:r>
          </w:p>
        </w:tc>
      </w:tr>
      <w:tr w14:paraId="67F08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1071" w:type="dxa"/>
            <w:tcMar>
              <w:top w:w="0" w:type="dxa"/>
              <w:left w:w="108" w:type="dxa"/>
              <w:bottom w:w="0" w:type="dxa"/>
              <w:right w:w="108" w:type="dxa"/>
            </w:tcMar>
            <w:vAlign w:val="center"/>
          </w:tcPr>
          <w:p w14:paraId="771372F4">
            <w:pPr>
              <w:widowControl w:val="0"/>
              <w:adjustRightInd w:val="0"/>
              <w:snapToGrid w:val="0"/>
              <w:jc w:val="center"/>
              <w:rPr>
                <w:snapToGrid w:val="0"/>
                <w:color w:val="auto"/>
                <w:kern w:val="0"/>
                <w:highlight w:val="none"/>
              </w:rPr>
            </w:pPr>
            <w:r>
              <w:rPr>
                <w:rFonts w:hint="eastAsia"/>
                <w:snapToGrid w:val="0"/>
                <w:color w:val="auto"/>
                <w:kern w:val="0"/>
                <w:highlight w:val="none"/>
              </w:rPr>
              <w:t>J135</w:t>
            </w:r>
          </w:p>
        </w:tc>
        <w:tc>
          <w:tcPr>
            <w:tcW w:w="1729" w:type="dxa"/>
            <w:tcMar>
              <w:top w:w="0" w:type="dxa"/>
              <w:left w:w="108" w:type="dxa"/>
              <w:bottom w:w="0" w:type="dxa"/>
              <w:right w:w="108" w:type="dxa"/>
            </w:tcMar>
            <w:vAlign w:val="center"/>
          </w:tcPr>
          <w:p w14:paraId="402E008A">
            <w:pPr>
              <w:widowControl w:val="0"/>
              <w:adjustRightInd w:val="0"/>
              <w:snapToGrid w:val="0"/>
              <w:jc w:val="center"/>
              <w:rPr>
                <w:snapToGrid w:val="0"/>
                <w:color w:val="auto"/>
                <w:kern w:val="0"/>
                <w:highlight w:val="none"/>
              </w:rPr>
            </w:pPr>
            <w:r>
              <w:rPr>
                <w:rFonts w:hint="eastAsia"/>
                <w:snapToGrid w:val="0"/>
                <w:color w:val="auto"/>
                <w:kern w:val="0"/>
                <w:highlight w:val="none"/>
              </w:rPr>
              <w:t>3266417.91</w:t>
            </w:r>
          </w:p>
        </w:tc>
        <w:tc>
          <w:tcPr>
            <w:tcW w:w="1729" w:type="dxa"/>
            <w:tcMar>
              <w:top w:w="0" w:type="dxa"/>
              <w:left w:w="108" w:type="dxa"/>
              <w:bottom w:w="0" w:type="dxa"/>
              <w:right w:w="108" w:type="dxa"/>
            </w:tcMar>
            <w:vAlign w:val="center"/>
          </w:tcPr>
          <w:p w14:paraId="3FD77863">
            <w:pPr>
              <w:widowControl w:val="0"/>
              <w:adjustRightInd w:val="0"/>
              <w:snapToGrid w:val="0"/>
              <w:jc w:val="center"/>
              <w:rPr>
                <w:snapToGrid w:val="0"/>
                <w:color w:val="auto"/>
                <w:kern w:val="0"/>
                <w:highlight w:val="none"/>
              </w:rPr>
            </w:pPr>
            <w:r>
              <w:rPr>
                <w:rFonts w:hint="eastAsia"/>
                <w:snapToGrid w:val="0"/>
                <w:color w:val="auto"/>
                <w:kern w:val="0"/>
                <w:highlight w:val="none"/>
              </w:rPr>
              <w:t>41398516.86</w:t>
            </w:r>
          </w:p>
        </w:tc>
        <w:tc>
          <w:tcPr>
            <w:tcW w:w="903" w:type="dxa"/>
            <w:tcMar>
              <w:top w:w="0" w:type="dxa"/>
              <w:left w:w="108" w:type="dxa"/>
              <w:bottom w:w="0" w:type="dxa"/>
              <w:right w:w="108" w:type="dxa"/>
            </w:tcMar>
            <w:vAlign w:val="center"/>
          </w:tcPr>
          <w:p w14:paraId="48324807">
            <w:pPr>
              <w:widowControl w:val="0"/>
              <w:adjustRightInd w:val="0"/>
              <w:snapToGrid w:val="0"/>
              <w:jc w:val="center"/>
              <w:rPr>
                <w:snapToGrid w:val="0"/>
                <w:color w:val="auto"/>
                <w:kern w:val="0"/>
                <w:highlight w:val="none"/>
              </w:rPr>
            </w:pPr>
            <w:r>
              <w:rPr>
                <w:rFonts w:hint="eastAsia"/>
                <w:snapToGrid w:val="0"/>
                <w:color w:val="auto"/>
                <w:kern w:val="0"/>
                <w:highlight w:val="none"/>
              </w:rPr>
              <w:t>J1</w:t>
            </w:r>
          </w:p>
        </w:tc>
        <w:tc>
          <w:tcPr>
            <w:tcW w:w="1609" w:type="dxa"/>
            <w:tcMar>
              <w:top w:w="0" w:type="dxa"/>
              <w:left w:w="108" w:type="dxa"/>
              <w:bottom w:w="0" w:type="dxa"/>
              <w:right w:w="108" w:type="dxa"/>
            </w:tcMar>
            <w:vAlign w:val="center"/>
          </w:tcPr>
          <w:p w14:paraId="4C021B1F">
            <w:pPr>
              <w:widowControl w:val="0"/>
              <w:adjustRightInd w:val="0"/>
              <w:snapToGrid w:val="0"/>
              <w:jc w:val="center"/>
              <w:rPr>
                <w:snapToGrid w:val="0"/>
                <w:color w:val="auto"/>
                <w:kern w:val="0"/>
                <w:highlight w:val="none"/>
              </w:rPr>
            </w:pPr>
            <w:r>
              <w:rPr>
                <w:rFonts w:hint="eastAsia"/>
                <w:snapToGrid w:val="0"/>
                <w:color w:val="auto"/>
                <w:kern w:val="0"/>
                <w:highlight w:val="none"/>
              </w:rPr>
              <w:t>3266230.89</w:t>
            </w:r>
          </w:p>
        </w:tc>
        <w:tc>
          <w:tcPr>
            <w:tcW w:w="1675" w:type="dxa"/>
            <w:tcMar>
              <w:top w:w="0" w:type="dxa"/>
              <w:left w:w="108" w:type="dxa"/>
              <w:bottom w:w="0" w:type="dxa"/>
              <w:right w:w="108" w:type="dxa"/>
            </w:tcMar>
            <w:vAlign w:val="center"/>
          </w:tcPr>
          <w:p w14:paraId="07D7414B">
            <w:pPr>
              <w:widowControl w:val="0"/>
              <w:adjustRightInd w:val="0"/>
              <w:snapToGrid w:val="0"/>
              <w:jc w:val="center"/>
              <w:rPr>
                <w:snapToGrid w:val="0"/>
                <w:color w:val="auto"/>
                <w:kern w:val="0"/>
                <w:highlight w:val="none"/>
              </w:rPr>
            </w:pPr>
            <w:r>
              <w:rPr>
                <w:rFonts w:hint="eastAsia"/>
                <w:snapToGrid w:val="0"/>
                <w:color w:val="auto"/>
                <w:kern w:val="0"/>
                <w:highlight w:val="none"/>
              </w:rPr>
              <w:t>41398066.66</w:t>
            </w:r>
          </w:p>
        </w:tc>
      </w:tr>
      <w:tr w14:paraId="15DA7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40" w:hRule="atLeast"/>
          <w:jc w:val="center"/>
        </w:trPr>
        <w:tc>
          <w:tcPr>
            <w:tcW w:w="8716" w:type="dxa"/>
            <w:gridSpan w:val="6"/>
            <w:tcMar>
              <w:top w:w="0" w:type="dxa"/>
              <w:left w:w="108" w:type="dxa"/>
              <w:bottom w:w="0" w:type="dxa"/>
              <w:right w:w="108" w:type="dxa"/>
            </w:tcMar>
            <w:vAlign w:val="center"/>
          </w:tcPr>
          <w:p w14:paraId="10E755FD">
            <w:pPr>
              <w:widowControl w:val="0"/>
              <w:adjustRightInd w:val="0"/>
              <w:snapToGrid w:val="0"/>
              <w:jc w:val="left"/>
              <w:rPr>
                <w:snapToGrid w:val="0"/>
                <w:color w:val="auto"/>
                <w:kern w:val="0"/>
                <w:highlight w:val="none"/>
              </w:rPr>
            </w:pPr>
            <w:r>
              <w:rPr>
                <w:rFonts w:hint="eastAsia"/>
                <w:snapToGrid w:val="0"/>
                <w:color w:val="auto"/>
                <w:kern w:val="0"/>
                <w:highlight w:val="none"/>
              </w:rPr>
              <w:t>矿区面积0.1189平方千米，现状标高+8.40米至+3.90米，最终边坡角0°</w:t>
            </w:r>
          </w:p>
        </w:tc>
      </w:tr>
    </w:tbl>
    <w:p w14:paraId="73F46E72">
      <w:pPr>
        <w:widowControl w:val="0"/>
        <w:adjustRightInd w:val="0"/>
        <w:snapToGrid w:val="0"/>
        <w:jc w:val="center"/>
        <w:rPr>
          <w:color w:val="auto"/>
          <w:highlight w:val="none"/>
        </w:rPr>
      </w:pPr>
      <w:r>
        <w:rPr>
          <w:rFonts w:hint="eastAsia"/>
          <w:b/>
          <w:bCs/>
          <w:snapToGrid w:val="0"/>
          <w:color w:val="auto"/>
          <w:kern w:val="0"/>
          <w:sz w:val="24"/>
          <w:highlight w:val="none"/>
          <w:shd w:val="clear" w:color="auto" w:fill="FFFFFF"/>
        </w:rPr>
        <w:t>表1-2 中区范围坐标表（2000国家大地坐标系）</w:t>
      </w:r>
    </w:p>
    <w:p w14:paraId="033DF990">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22"/>
        <w:gridCol w:w="1770"/>
        <w:gridCol w:w="1725"/>
        <w:gridCol w:w="870"/>
        <w:gridCol w:w="1590"/>
        <w:gridCol w:w="1681"/>
      </w:tblGrid>
      <w:tr w14:paraId="2687B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tblHeader/>
          <w:jc w:val="center"/>
        </w:trPr>
        <w:tc>
          <w:tcPr>
            <w:tcW w:w="1022" w:type="dxa"/>
            <w:tcMar>
              <w:top w:w="0" w:type="dxa"/>
              <w:left w:w="108" w:type="dxa"/>
              <w:bottom w:w="0" w:type="dxa"/>
              <w:right w:w="108" w:type="dxa"/>
            </w:tcMar>
            <w:vAlign w:val="center"/>
          </w:tcPr>
          <w:p w14:paraId="7B9BBD62">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70" w:type="dxa"/>
            <w:tcMar>
              <w:top w:w="0" w:type="dxa"/>
              <w:left w:w="108" w:type="dxa"/>
              <w:bottom w:w="0" w:type="dxa"/>
              <w:right w:w="108" w:type="dxa"/>
            </w:tcMar>
            <w:vAlign w:val="center"/>
          </w:tcPr>
          <w:p w14:paraId="20BD6206">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25" w:type="dxa"/>
            <w:tcMar>
              <w:top w:w="0" w:type="dxa"/>
              <w:left w:w="108" w:type="dxa"/>
              <w:bottom w:w="0" w:type="dxa"/>
              <w:right w:w="108" w:type="dxa"/>
            </w:tcMar>
            <w:vAlign w:val="center"/>
          </w:tcPr>
          <w:p w14:paraId="1C664FAE">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870" w:type="dxa"/>
            <w:tcMar>
              <w:top w:w="0" w:type="dxa"/>
              <w:left w:w="108" w:type="dxa"/>
              <w:bottom w:w="0" w:type="dxa"/>
              <w:right w:w="108" w:type="dxa"/>
            </w:tcMar>
            <w:vAlign w:val="center"/>
          </w:tcPr>
          <w:p w14:paraId="1C0B9556">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590" w:type="dxa"/>
            <w:tcMar>
              <w:top w:w="0" w:type="dxa"/>
              <w:left w:w="108" w:type="dxa"/>
              <w:bottom w:w="0" w:type="dxa"/>
              <w:right w:w="108" w:type="dxa"/>
            </w:tcMar>
            <w:vAlign w:val="center"/>
          </w:tcPr>
          <w:p w14:paraId="036CD6E4">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81" w:type="dxa"/>
            <w:tcMar>
              <w:top w:w="0" w:type="dxa"/>
              <w:left w:w="108" w:type="dxa"/>
              <w:bottom w:w="0" w:type="dxa"/>
              <w:right w:w="108" w:type="dxa"/>
            </w:tcMar>
            <w:vAlign w:val="center"/>
          </w:tcPr>
          <w:p w14:paraId="017CA9B8">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14:paraId="7E701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F7EE68C">
            <w:pPr>
              <w:widowControl w:val="0"/>
              <w:adjustRightInd w:val="0"/>
              <w:snapToGrid w:val="0"/>
              <w:jc w:val="center"/>
              <w:rPr>
                <w:snapToGrid w:val="0"/>
                <w:color w:val="auto"/>
                <w:kern w:val="0"/>
                <w:highlight w:val="none"/>
              </w:rPr>
            </w:pPr>
            <w:r>
              <w:rPr>
                <w:rFonts w:hint="eastAsia"/>
                <w:snapToGrid w:val="0"/>
                <w:color w:val="auto"/>
                <w:kern w:val="0"/>
                <w:highlight w:val="none"/>
              </w:rPr>
              <w:t>J1</w:t>
            </w:r>
          </w:p>
        </w:tc>
        <w:tc>
          <w:tcPr>
            <w:tcW w:w="1770" w:type="dxa"/>
            <w:tcMar>
              <w:top w:w="0" w:type="dxa"/>
              <w:left w:w="108" w:type="dxa"/>
              <w:bottom w:w="0" w:type="dxa"/>
              <w:right w:w="108" w:type="dxa"/>
            </w:tcMar>
            <w:vAlign w:val="center"/>
          </w:tcPr>
          <w:p w14:paraId="025F58ED">
            <w:pPr>
              <w:widowControl w:val="0"/>
              <w:adjustRightInd w:val="0"/>
              <w:snapToGrid w:val="0"/>
              <w:jc w:val="center"/>
              <w:rPr>
                <w:snapToGrid w:val="0"/>
                <w:color w:val="auto"/>
                <w:kern w:val="0"/>
                <w:highlight w:val="none"/>
              </w:rPr>
            </w:pPr>
            <w:r>
              <w:rPr>
                <w:rFonts w:hint="eastAsia"/>
                <w:snapToGrid w:val="0"/>
                <w:color w:val="auto"/>
                <w:kern w:val="0"/>
                <w:highlight w:val="none"/>
              </w:rPr>
              <w:t>3266230.89</w:t>
            </w:r>
          </w:p>
        </w:tc>
        <w:tc>
          <w:tcPr>
            <w:tcW w:w="1725" w:type="dxa"/>
            <w:tcMar>
              <w:top w:w="0" w:type="dxa"/>
              <w:left w:w="108" w:type="dxa"/>
              <w:bottom w:w="0" w:type="dxa"/>
              <w:right w:w="108" w:type="dxa"/>
            </w:tcMar>
            <w:vAlign w:val="center"/>
          </w:tcPr>
          <w:p w14:paraId="1EE31F9E">
            <w:pPr>
              <w:widowControl w:val="0"/>
              <w:adjustRightInd w:val="0"/>
              <w:snapToGrid w:val="0"/>
              <w:jc w:val="center"/>
              <w:rPr>
                <w:snapToGrid w:val="0"/>
                <w:color w:val="auto"/>
                <w:kern w:val="0"/>
                <w:highlight w:val="none"/>
              </w:rPr>
            </w:pPr>
            <w:r>
              <w:rPr>
                <w:rFonts w:hint="eastAsia"/>
                <w:snapToGrid w:val="0"/>
                <w:color w:val="auto"/>
                <w:kern w:val="0"/>
                <w:highlight w:val="none"/>
              </w:rPr>
              <w:t>41398066.66</w:t>
            </w:r>
          </w:p>
        </w:tc>
        <w:tc>
          <w:tcPr>
            <w:tcW w:w="870" w:type="dxa"/>
            <w:tcMar>
              <w:top w:w="0" w:type="dxa"/>
              <w:left w:w="108" w:type="dxa"/>
              <w:bottom w:w="0" w:type="dxa"/>
              <w:right w:w="108" w:type="dxa"/>
            </w:tcMar>
            <w:vAlign w:val="center"/>
          </w:tcPr>
          <w:p w14:paraId="0A40A7A0">
            <w:pPr>
              <w:widowControl w:val="0"/>
              <w:adjustRightInd w:val="0"/>
              <w:snapToGrid w:val="0"/>
              <w:jc w:val="center"/>
              <w:rPr>
                <w:snapToGrid w:val="0"/>
                <w:color w:val="auto"/>
                <w:kern w:val="0"/>
                <w:highlight w:val="none"/>
              </w:rPr>
            </w:pPr>
            <w:r>
              <w:rPr>
                <w:rFonts w:hint="eastAsia"/>
                <w:snapToGrid w:val="0"/>
                <w:color w:val="auto"/>
                <w:kern w:val="0"/>
                <w:highlight w:val="none"/>
              </w:rPr>
              <w:t>J62</w:t>
            </w:r>
          </w:p>
        </w:tc>
        <w:tc>
          <w:tcPr>
            <w:tcW w:w="1590" w:type="dxa"/>
            <w:tcMar>
              <w:top w:w="0" w:type="dxa"/>
              <w:left w:w="108" w:type="dxa"/>
              <w:bottom w:w="0" w:type="dxa"/>
              <w:right w:w="108" w:type="dxa"/>
            </w:tcMar>
            <w:vAlign w:val="center"/>
          </w:tcPr>
          <w:p w14:paraId="6D6B6A95">
            <w:pPr>
              <w:widowControl w:val="0"/>
              <w:adjustRightInd w:val="0"/>
              <w:snapToGrid w:val="0"/>
              <w:jc w:val="center"/>
              <w:rPr>
                <w:snapToGrid w:val="0"/>
                <w:color w:val="auto"/>
                <w:kern w:val="0"/>
                <w:highlight w:val="none"/>
              </w:rPr>
            </w:pPr>
            <w:r>
              <w:rPr>
                <w:rFonts w:hint="eastAsia"/>
                <w:snapToGrid w:val="0"/>
                <w:color w:val="auto"/>
                <w:kern w:val="0"/>
                <w:highlight w:val="none"/>
              </w:rPr>
              <w:t>3266001.36</w:t>
            </w:r>
          </w:p>
        </w:tc>
        <w:tc>
          <w:tcPr>
            <w:tcW w:w="1681" w:type="dxa"/>
            <w:tcMar>
              <w:top w:w="0" w:type="dxa"/>
              <w:left w:w="108" w:type="dxa"/>
              <w:bottom w:w="0" w:type="dxa"/>
              <w:right w:w="108" w:type="dxa"/>
            </w:tcMar>
            <w:vAlign w:val="center"/>
          </w:tcPr>
          <w:p w14:paraId="4CE4BE94">
            <w:pPr>
              <w:widowControl w:val="0"/>
              <w:adjustRightInd w:val="0"/>
              <w:snapToGrid w:val="0"/>
              <w:jc w:val="center"/>
              <w:rPr>
                <w:snapToGrid w:val="0"/>
                <w:color w:val="auto"/>
                <w:kern w:val="0"/>
                <w:highlight w:val="none"/>
              </w:rPr>
            </w:pPr>
            <w:r>
              <w:rPr>
                <w:rFonts w:hint="eastAsia"/>
                <w:snapToGrid w:val="0"/>
                <w:color w:val="auto"/>
                <w:kern w:val="0"/>
                <w:highlight w:val="none"/>
              </w:rPr>
              <w:t>41398746.01</w:t>
            </w:r>
          </w:p>
        </w:tc>
      </w:tr>
      <w:tr w14:paraId="293D9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CFD3704">
            <w:pPr>
              <w:widowControl w:val="0"/>
              <w:adjustRightInd w:val="0"/>
              <w:snapToGrid w:val="0"/>
              <w:jc w:val="center"/>
              <w:rPr>
                <w:snapToGrid w:val="0"/>
                <w:color w:val="auto"/>
                <w:kern w:val="0"/>
                <w:highlight w:val="none"/>
              </w:rPr>
            </w:pPr>
            <w:r>
              <w:rPr>
                <w:rFonts w:hint="eastAsia"/>
                <w:snapToGrid w:val="0"/>
                <w:color w:val="auto"/>
                <w:kern w:val="0"/>
                <w:highlight w:val="none"/>
              </w:rPr>
              <w:t>J2</w:t>
            </w:r>
          </w:p>
        </w:tc>
        <w:tc>
          <w:tcPr>
            <w:tcW w:w="1770" w:type="dxa"/>
            <w:tcMar>
              <w:top w:w="0" w:type="dxa"/>
              <w:left w:w="108" w:type="dxa"/>
              <w:bottom w:w="0" w:type="dxa"/>
              <w:right w:w="108" w:type="dxa"/>
            </w:tcMar>
            <w:vAlign w:val="center"/>
          </w:tcPr>
          <w:p w14:paraId="093456EB">
            <w:pPr>
              <w:widowControl w:val="0"/>
              <w:adjustRightInd w:val="0"/>
              <w:snapToGrid w:val="0"/>
              <w:jc w:val="center"/>
              <w:rPr>
                <w:snapToGrid w:val="0"/>
                <w:color w:val="auto"/>
                <w:kern w:val="0"/>
                <w:highlight w:val="none"/>
              </w:rPr>
            </w:pPr>
            <w:r>
              <w:rPr>
                <w:rFonts w:hint="eastAsia"/>
                <w:snapToGrid w:val="0"/>
                <w:color w:val="auto"/>
                <w:kern w:val="0"/>
                <w:highlight w:val="none"/>
              </w:rPr>
              <w:t>3266230.29</w:t>
            </w:r>
          </w:p>
        </w:tc>
        <w:tc>
          <w:tcPr>
            <w:tcW w:w="1725" w:type="dxa"/>
            <w:tcMar>
              <w:top w:w="0" w:type="dxa"/>
              <w:left w:w="108" w:type="dxa"/>
              <w:bottom w:w="0" w:type="dxa"/>
              <w:right w:w="108" w:type="dxa"/>
            </w:tcMar>
            <w:vAlign w:val="center"/>
          </w:tcPr>
          <w:p w14:paraId="37F72D45">
            <w:pPr>
              <w:widowControl w:val="0"/>
              <w:adjustRightInd w:val="0"/>
              <w:snapToGrid w:val="0"/>
              <w:jc w:val="center"/>
              <w:rPr>
                <w:snapToGrid w:val="0"/>
                <w:color w:val="auto"/>
                <w:kern w:val="0"/>
                <w:highlight w:val="none"/>
              </w:rPr>
            </w:pPr>
            <w:r>
              <w:rPr>
                <w:rFonts w:hint="eastAsia"/>
                <w:snapToGrid w:val="0"/>
                <w:color w:val="auto"/>
                <w:kern w:val="0"/>
                <w:highlight w:val="none"/>
              </w:rPr>
              <w:t>41398068.80</w:t>
            </w:r>
          </w:p>
        </w:tc>
        <w:tc>
          <w:tcPr>
            <w:tcW w:w="870" w:type="dxa"/>
            <w:tcMar>
              <w:top w:w="0" w:type="dxa"/>
              <w:left w:w="108" w:type="dxa"/>
              <w:bottom w:w="0" w:type="dxa"/>
              <w:right w:w="108" w:type="dxa"/>
            </w:tcMar>
            <w:vAlign w:val="center"/>
          </w:tcPr>
          <w:p w14:paraId="209076E0">
            <w:pPr>
              <w:widowControl w:val="0"/>
              <w:adjustRightInd w:val="0"/>
              <w:snapToGrid w:val="0"/>
              <w:jc w:val="center"/>
              <w:rPr>
                <w:snapToGrid w:val="0"/>
                <w:color w:val="auto"/>
                <w:kern w:val="0"/>
                <w:highlight w:val="none"/>
              </w:rPr>
            </w:pPr>
            <w:r>
              <w:rPr>
                <w:rFonts w:hint="eastAsia"/>
                <w:snapToGrid w:val="0"/>
                <w:color w:val="auto"/>
                <w:kern w:val="0"/>
                <w:highlight w:val="none"/>
              </w:rPr>
              <w:t>J63</w:t>
            </w:r>
          </w:p>
        </w:tc>
        <w:tc>
          <w:tcPr>
            <w:tcW w:w="1590" w:type="dxa"/>
            <w:tcMar>
              <w:top w:w="0" w:type="dxa"/>
              <w:left w:w="108" w:type="dxa"/>
              <w:bottom w:w="0" w:type="dxa"/>
              <w:right w:w="108" w:type="dxa"/>
            </w:tcMar>
            <w:vAlign w:val="center"/>
          </w:tcPr>
          <w:p w14:paraId="612D3BCD">
            <w:pPr>
              <w:widowControl w:val="0"/>
              <w:adjustRightInd w:val="0"/>
              <w:snapToGrid w:val="0"/>
              <w:jc w:val="center"/>
              <w:rPr>
                <w:snapToGrid w:val="0"/>
                <w:color w:val="auto"/>
                <w:kern w:val="0"/>
                <w:highlight w:val="none"/>
              </w:rPr>
            </w:pPr>
            <w:r>
              <w:rPr>
                <w:rFonts w:hint="eastAsia"/>
                <w:snapToGrid w:val="0"/>
                <w:color w:val="auto"/>
                <w:kern w:val="0"/>
                <w:highlight w:val="none"/>
              </w:rPr>
              <w:t>3265999.67</w:t>
            </w:r>
          </w:p>
        </w:tc>
        <w:tc>
          <w:tcPr>
            <w:tcW w:w="1681" w:type="dxa"/>
            <w:tcMar>
              <w:top w:w="0" w:type="dxa"/>
              <w:left w:w="108" w:type="dxa"/>
              <w:bottom w:w="0" w:type="dxa"/>
              <w:right w:w="108" w:type="dxa"/>
            </w:tcMar>
            <w:vAlign w:val="center"/>
          </w:tcPr>
          <w:p w14:paraId="1F5C0BCE">
            <w:pPr>
              <w:widowControl w:val="0"/>
              <w:adjustRightInd w:val="0"/>
              <w:snapToGrid w:val="0"/>
              <w:jc w:val="center"/>
              <w:rPr>
                <w:snapToGrid w:val="0"/>
                <w:color w:val="auto"/>
                <w:kern w:val="0"/>
                <w:highlight w:val="none"/>
              </w:rPr>
            </w:pPr>
            <w:r>
              <w:rPr>
                <w:rFonts w:hint="eastAsia"/>
                <w:snapToGrid w:val="0"/>
                <w:color w:val="auto"/>
                <w:kern w:val="0"/>
                <w:highlight w:val="none"/>
              </w:rPr>
              <w:t>41398737.39</w:t>
            </w:r>
          </w:p>
        </w:tc>
      </w:tr>
      <w:tr w14:paraId="42ED1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B3B8D61">
            <w:pPr>
              <w:widowControl w:val="0"/>
              <w:adjustRightInd w:val="0"/>
              <w:snapToGrid w:val="0"/>
              <w:jc w:val="center"/>
              <w:rPr>
                <w:snapToGrid w:val="0"/>
                <w:color w:val="auto"/>
                <w:kern w:val="0"/>
                <w:highlight w:val="none"/>
              </w:rPr>
            </w:pPr>
            <w:r>
              <w:rPr>
                <w:rFonts w:hint="eastAsia"/>
                <w:snapToGrid w:val="0"/>
                <w:color w:val="auto"/>
                <w:kern w:val="0"/>
                <w:highlight w:val="none"/>
              </w:rPr>
              <w:t>J3</w:t>
            </w:r>
          </w:p>
        </w:tc>
        <w:tc>
          <w:tcPr>
            <w:tcW w:w="1770" w:type="dxa"/>
            <w:tcMar>
              <w:top w:w="0" w:type="dxa"/>
              <w:left w:w="108" w:type="dxa"/>
              <w:bottom w:w="0" w:type="dxa"/>
              <w:right w:w="108" w:type="dxa"/>
            </w:tcMar>
            <w:vAlign w:val="center"/>
          </w:tcPr>
          <w:p w14:paraId="76AB9E8C">
            <w:pPr>
              <w:widowControl w:val="0"/>
              <w:adjustRightInd w:val="0"/>
              <w:snapToGrid w:val="0"/>
              <w:jc w:val="center"/>
              <w:rPr>
                <w:snapToGrid w:val="0"/>
                <w:color w:val="auto"/>
                <w:kern w:val="0"/>
                <w:highlight w:val="none"/>
              </w:rPr>
            </w:pPr>
            <w:r>
              <w:rPr>
                <w:rFonts w:hint="eastAsia"/>
                <w:snapToGrid w:val="0"/>
                <w:color w:val="auto"/>
                <w:kern w:val="0"/>
                <w:highlight w:val="none"/>
              </w:rPr>
              <w:t>3266226.27</w:t>
            </w:r>
          </w:p>
        </w:tc>
        <w:tc>
          <w:tcPr>
            <w:tcW w:w="1725" w:type="dxa"/>
            <w:tcMar>
              <w:top w:w="0" w:type="dxa"/>
              <w:left w:w="108" w:type="dxa"/>
              <w:bottom w:w="0" w:type="dxa"/>
              <w:right w:w="108" w:type="dxa"/>
            </w:tcMar>
            <w:vAlign w:val="center"/>
          </w:tcPr>
          <w:p w14:paraId="30EE58AC">
            <w:pPr>
              <w:widowControl w:val="0"/>
              <w:adjustRightInd w:val="0"/>
              <w:snapToGrid w:val="0"/>
              <w:jc w:val="center"/>
              <w:rPr>
                <w:snapToGrid w:val="0"/>
                <w:color w:val="auto"/>
                <w:kern w:val="0"/>
                <w:highlight w:val="none"/>
              </w:rPr>
            </w:pPr>
            <w:r>
              <w:rPr>
                <w:rFonts w:hint="eastAsia"/>
                <w:snapToGrid w:val="0"/>
                <w:color w:val="auto"/>
                <w:kern w:val="0"/>
                <w:highlight w:val="none"/>
              </w:rPr>
              <w:t>41398078.17</w:t>
            </w:r>
          </w:p>
        </w:tc>
        <w:tc>
          <w:tcPr>
            <w:tcW w:w="870" w:type="dxa"/>
            <w:tcMar>
              <w:top w:w="0" w:type="dxa"/>
              <w:left w:w="108" w:type="dxa"/>
              <w:bottom w:w="0" w:type="dxa"/>
              <w:right w:w="108" w:type="dxa"/>
            </w:tcMar>
            <w:vAlign w:val="center"/>
          </w:tcPr>
          <w:p w14:paraId="42CC830B">
            <w:pPr>
              <w:widowControl w:val="0"/>
              <w:adjustRightInd w:val="0"/>
              <w:snapToGrid w:val="0"/>
              <w:jc w:val="center"/>
              <w:rPr>
                <w:snapToGrid w:val="0"/>
                <w:color w:val="auto"/>
                <w:kern w:val="0"/>
                <w:highlight w:val="none"/>
              </w:rPr>
            </w:pPr>
            <w:r>
              <w:rPr>
                <w:rFonts w:hint="eastAsia"/>
                <w:snapToGrid w:val="0"/>
                <w:color w:val="auto"/>
                <w:kern w:val="0"/>
                <w:highlight w:val="none"/>
              </w:rPr>
              <w:t>J64</w:t>
            </w:r>
          </w:p>
        </w:tc>
        <w:tc>
          <w:tcPr>
            <w:tcW w:w="1590" w:type="dxa"/>
            <w:tcMar>
              <w:top w:w="0" w:type="dxa"/>
              <w:left w:w="108" w:type="dxa"/>
              <w:bottom w:w="0" w:type="dxa"/>
              <w:right w:w="108" w:type="dxa"/>
            </w:tcMar>
            <w:vAlign w:val="center"/>
          </w:tcPr>
          <w:p w14:paraId="3ACC1E8E">
            <w:pPr>
              <w:widowControl w:val="0"/>
              <w:adjustRightInd w:val="0"/>
              <w:snapToGrid w:val="0"/>
              <w:jc w:val="center"/>
              <w:rPr>
                <w:snapToGrid w:val="0"/>
                <w:color w:val="auto"/>
                <w:kern w:val="0"/>
                <w:highlight w:val="none"/>
              </w:rPr>
            </w:pPr>
            <w:r>
              <w:rPr>
                <w:rFonts w:hint="eastAsia"/>
                <w:snapToGrid w:val="0"/>
                <w:color w:val="auto"/>
                <w:kern w:val="0"/>
                <w:highlight w:val="none"/>
              </w:rPr>
              <w:t>3265990.49</w:t>
            </w:r>
          </w:p>
        </w:tc>
        <w:tc>
          <w:tcPr>
            <w:tcW w:w="1681" w:type="dxa"/>
            <w:tcMar>
              <w:top w:w="0" w:type="dxa"/>
              <w:left w:w="108" w:type="dxa"/>
              <w:bottom w:w="0" w:type="dxa"/>
              <w:right w:w="108" w:type="dxa"/>
            </w:tcMar>
            <w:vAlign w:val="center"/>
          </w:tcPr>
          <w:p w14:paraId="43BCF418">
            <w:pPr>
              <w:widowControl w:val="0"/>
              <w:adjustRightInd w:val="0"/>
              <w:snapToGrid w:val="0"/>
              <w:jc w:val="center"/>
              <w:rPr>
                <w:snapToGrid w:val="0"/>
                <w:color w:val="auto"/>
                <w:kern w:val="0"/>
                <w:highlight w:val="none"/>
              </w:rPr>
            </w:pPr>
            <w:r>
              <w:rPr>
                <w:rFonts w:hint="eastAsia"/>
                <w:snapToGrid w:val="0"/>
                <w:color w:val="auto"/>
                <w:kern w:val="0"/>
                <w:highlight w:val="none"/>
              </w:rPr>
              <w:t>41398715.80</w:t>
            </w:r>
          </w:p>
        </w:tc>
      </w:tr>
      <w:tr w14:paraId="4075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C1722AB">
            <w:pPr>
              <w:widowControl w:val="0"/>
              <w:adjustRightInd w:val="0"/>
              <w:snapToGrid w:val="0"/>
              <w:jc w:val="center"/>
              <w:rPr>
                <w:snapToGrid w:val="0"/>
                <w:color w:val="auto"/>
                <w:kern w:val="0"/>
                <w:highlight w:val="none"/>
              </w:rPr>
            </w:pPr>
            <w:r>
              <w:rPr>
                <w:rFonts w:hint="eastAsia"/>
                <w:snapToGrid w:val="0"/>
                <w:color w:val="auto"/>
                <w:kern w:val="0"/>
                <w:highlight w:val="none"/>
              </w:rPr>
              <w:t>J4</w:t>
            </w:r>
          </w:p>
        </w:tc>
        <w:tc>
          <w:tcPr>
            <w:tcW w:w="1770" w:type="dxa"/>
            <w:tcMar>
              <w:top w:w="0" w:type="dxa"/>
              <w:left w:w="108" w:type="dxa"/>
              <w:bottom w:w="0" w:type="dxa"/>
              <w:right w:w="108" w:type="dxa"/>
            </w:tcMar>
            <w:vAlign w:val="center"/>
          </w:tcPr>
          <w:p w14:paraId="3E99B46A">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725" w:type="dxa"/>
            <w:tcMar>
              <w:top w:w="0" w:type="dxa"/>
              <w:left w:w="108" w:type="dxa"/>
              <w:bottom w:w="0" w:type="dxa"/>
              <w:right w:w="108" w:type="dxa"/>
            </w:tcMar>
            <w:vAlign w:val="center"/>
          </w:tcPr>
          <w:p w14:paraId="29AB2C7D">
            <w:pPr>
              <w:widowControl w:val="0"/>
              <w:adjustRightInd w:val="0"/>
              <w:snapToGrid w:val="0"/>
              <w:jc w:val="center"/>
              <w:rPr>
                <w:snapToGrid w:val="0"/>
                <w:color w:val="auto"/>
                <w:kern w:val="0"/>
                <w:highlight w:val="none"/>
              </w:rPr>
            </w:pPr>
            <w:r>
              <w:rPr>
                <w:rFonts w:hint="eastAsia"/>
                <w:snapToGrid w:val="0"/>
                <w:color w:val="auto"/>
                <w:kern w:val="0"/>
                <w:highlight w:val="none"/>
              </w:rPr>
              <w:t>41398107.36</w:t>
            </w:r>
          </w:p>
        </w:tc>
        <w:tc>
          <w:tcPr>
            <w:tcW w:w="870" w:type="dxa"/>
            <w:tcMar>
              <w:top w:w="0" w:type="dxa"/>
              <w:left w:w="108" w:type="dxa"/>
              <w:bottom w:w="0" w:type="dxa"/>
              <w:right w:w="108" w:type="dxa"/>
            </w:tcMar>
            <w:vAlign w:val="center"/>
          </w:tcPr>
          <w:p w14:paraId="26D6730E">
            <w:pPr>
              <w:widowControl w:val="0"/>
              <w:adjustRightInd w:val="0"/>
              <w:snapToGrid w:val="0"/>
              <w:jc w:val="center"/>
              <w:rPr>
                <w:snapToGrid w:val="0"/>
                <w:color w:val="auto"/>
                <w:kern w:val="0"/>
                <w:highlight w:val="none"/>
              </w:rPr>
            </w:pPr>
            <w:r>
              <w:rPr>
                <w:rFonts w:hint="eastAsia"/>
                <w:snapToGrid w:val="0"/>
                <w:color w:val="auto"/>
                <w:kern w:val="0"/>
                <w:highlight w:val="none"/>
              </w:rPr>
              <w:t>J65</w:t>
            </w:r>
          </w:p>
        </w:tc>
        <w:tc>
          <w:tcPr>
            <w:tcW w:w="1590" w:type="dxa"/>
            <w:tcMar>
              <w:top w:w="0" w:type="dxa"/>
              <w:left w:w="108" w:type="dxa"/>
              <w:bottom w:w="0" w:type="dxa"/>
              <w:right w:w="108" w:type="dxa"/>
            </w:tcMar>
            <w:vAlign w:val="center"/>
          </w:tcPr>
          <w:p w14:paraId="0C08AA0B">
            <w:pPr>
              <w:widowControl w:val="0"/>
              <w:adjustRightInd w:val="0"/>
              <w:snapToGrid w:val="0"/>
              <w:jc w:val="center"/>
              <w:rPr>
                <w:snapToGrid w:val="0"/>
                <w:color w:val="auto"/>
                <w:kern w:val="0"/>
                <w:highlight w:val="none"/>
              </w:rPr>
            </w:pPr>
            <w:r>
              <w:rPr>
                <w:rFonts w:hint="eastAsia"/>
                <w:snapToGrid w:val="0"/>
                <w:color w:val="auto"/>
                <w:kern w:val="0"/>
                <w:highlight w:val="none"/>
              </w:rPr>
              <w:t>3265988.02</w:t>
            </w:r>
          </w:p>
        </w:tc>
        <w:tc>
          <w:tcPr>
            <w:tcW w:w="1681" w:type="dxa"/>
            <w:tcMar>
              <w:top w:w="0" w:type="dxa"/>
              <w:left w:w="108" w:type="dxa"/>
              <w:bottom w:w="0" w:type="dxa"/>
              <w:right w:w="108" w:type="dxa"/>
            </w:tcMar>
            <w:vAlign w:val="center"/>
          </w:tcPr>
          <w:p w14:paraId="43702630">
            <w:pPr>
              <w:widowControl w:val="0"/>
              <w:adjustRightInd w:val="0"/>
              <w:snapToGrid w:val="0"/>
              <w:jc w:val="center"/>
              <w:rPr>
                <w:snapToGrid w:val="0"/>
                <w:color w:val="auto"/>
                <w:kern w:val="0"/>
                <w:highlight w:val="none"/>
              </w:rPr>
            </w:pPr>
            <w:r>
              <w:rPr>
                <w:rFonts w:hint="eastAsia"/>
                <w:snapToGrid w:val="0"/>
                <w:color w:val="auto"/>
                <w:kern w:val="0"/>
                <w:highlight w:val="none"/>
              </w:rPr>
              <w:t>41398706.79</w:t>
            </w:r>
          </w:p>
        </w:tc>
      </w:tr>
      <w:tr w14:paraId="34F1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2BE9A3F">
            <w:pPr>
              <w:widowControl w:val="0"/>
              <w:adjustRightInd w:val="0"/>
              <w:snapToGrid w:val="0"/>
              <w:jc w:val="center"/>
              <w:rPr>
                <w:snapToGrid w:val="0"/>
                <w:color w:val="auto"/>
                <w:kern w:val="0"/>
                <w:highlight w:val="none"/>
              </w:rPr>
            </w:pPr>
            <w:r>
              <w:rPr>
                <w:rFonts w:hint="eastAsia"/>
                <w:snapToGrid w:val="0"/>
                <w:color w:val="auto"/>
                <w:kern w:val="0"/>
                <w:highlight w:val="none"/>
              </w:rPr>
              <w:t>J5</w:t>
            </w:r>
          </w:p>
        </w:tc>
        <w:tc>
          <w:tcPr>
            <w:tcW w:w="1770" w:type="dxa"/>
            <w:tcMar>
              <w:top w:w="0" w:type="dxa"/>
              <w:left w:w="108" w:type="dxa"/>
              <w:bottom w:w="0" w:type="dxa"/>
              <w:right w:w="108" w:type="dxa"/>
            </w:tcMar>
            <w:vAlign w:val="center"/>
          </w:tcPr>
          <w:p w14:paraId="653019F5">
            <w:pPr>
              <w:widowControl w:val="0"/>
              <w:adjustRightInd w:val="0"/>
              <w:snapToGrid w:val="0"/>
              <w:jc w:val="center"/>
              <w:rPr>
                <w:snapToGrid w:val="0"/>
                <w:color w:val="auto"/>
                <w:kern w:val="0"/>
                <w:highlight w:val="none"/>
              </w:rPr>
            </w:pPr>
            <w:r>
              <w:rPr>
                <w:rFonts w:hint="eastAsia"/>
                <w:snapToGrid w:val="0"/>
                <w:color w:val="auto"/>
                <w:kern w:val="0"/>
                <w:highlight w:val="none"/>
              </w:rPr>
              <w:t>3266223.82</w:t>
            </w:r>
          </w:p>
        </w:tc>
        <w:tc>
          <w:tcPr>
            <w:tcW w:w="1725" w:type="dxa"/>
            <w:tcMar>
              <w:top w:w="0" w:type="dxa"/>
              <w:left w:w="108" w:type="dxa"/>
              <w:bottom w:w="0" w:type="dxa"/>
              <w:right w:w="108" w:type="dxa"/>
            </w:tcMar>
            <w:vAlign w:val="center"/>
          </w:tcPr>
          <w:p w14:paraId="0160B941">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c>
          <w:tcPr>
            <w:tcW w:w="870" w:type="dxa"/>
            <w:tcMar>
              <w:top w:w="0" w:type="dxa"/>
              <w:left w:w="108" w:type="dxa"/>
              <w:bottom w:w="0" w:type="dxa"/>
              <w:right w:w="108" w:type="dxa"/>
            </w:tcMar>
            <w:vAlign w:val="center"/>
          </w:tcPr>
          <w:p w14:paraId="76AFB6A5">
            <w:pPr>
              <w:widowControl w:val="0"/>
              <w:adjustRightInd w:val="0"/>
              <w:snapToGrid w:val="0"/>
              <w:jc w:val="center"/>
              <w:rPr>
                <w:snapToGrid w:val="0"/>
                <w:color w:val="auto"/>
                <w:kern w:val="0"/>
                <w:highlight w:val="none"/>
              </w:rPr>
            </w:pPr>
            <w:r>
              <w:rPr>
                <w:rFonts w:hint="eastAsia"/>
                <w:snapToGrid w:val="0"/>
                <w:color w:val="auto"/>
                <w:kern w:val="0"/>
                <w:highlight w:val="none"/>
              </w:rPr>
              <w:t>J66</w:t>
            </w:r>
          </w:p>
        </w:tc>
        <w:tc>
          <w:tcPr>
            <w:tcW w:w="1590" w:type="dxa"/>
            <w:tcMar>
              <w:top w:w="0" w:type="dxa"/>
              <w:left w:w="108" w:type="dxa"/>
              <w:bottom w:w="0" w:type="dxa"/>
              <w:right w:w="108" w:type="dxa"/>
            </w:tcMar>
            <w:vAlign w:val="center"/>
          </w:tcPr>
          <w:p w14:paraId="4DFED572">
            <w:pPr>
              <w:widowControl w:val="0"/>
              <w:adjustRightInd w:val="0"/>
              <w:snapToGrid w:val="0"/>
              <w:jc w:val="center"/>
              <w:rPr>
                <w:snapToGrid w:val="0"/>
                <w:color w:val="auto"/>
                <w:kern w:val="0"/>
                <w:highlight w:val="none"/>
              </w:rPr>
            </w:pPr>
            <w:r>
              <w:rPr>
                <w:rFonts w:hint="eastAsia"/>
                <w:snapToGrid w:val="0"/>
                <w:color w:val="auto"/>
                <w:kern w:val="0"/>
                <w:highlight w:val="none"/>
              </w:rPr>
              <w:t>3265985.70</w:t>
            </w:r>
          </w:p>
        </w:tc>
        <w:tc>
          <w:tcPr>
            <w:tcW w:w="1681" w:type="dxa"/>
            <w:tcMar>
              <w:top w:w="0" w:type="dxa"/>
              <w:left w:w="108" w:type="dxa"/>
              <w:bottom w:w="0" w:type="dxa"/>
              <w:right w:w="108" w:type="dxa"/>
            </w:tcMar>
            <w:vAlign w:val="center"/>
          </w:tcPr>
          <w:p w14:paraId="444F6562">
            <w:pPr>
              <w:widowControl w:val="0"/>
              <w:adjustRightInd w:val="0"/>
              <w:snapToGrid w:val="0"/>
              <w:jc w:val="center"/>
              <w:rPr>
                <w:snapToGrid w:val="0"/>
                <w:color w:val="auto"/>
                <w:kern w:val="0"/>
                <w:highlight w:val="none"/>
              </w:rPr>
            </w:pPr>
            <w:r>
              <w:rPr>
                <w:rFonts w:hint="eastAsia"/>
                <w:snapToGrid w:val="0"/>
                <w:color w:val="auto"/>
                <w:kern w:val="0"/>
                <w:highlight w:val="none"/>
              </w:rPr>
              <w:t>41398681.20</w:t>
            </w:r>
          </w:p>
        </w:tc>
      </w:tr>
      <w:tr w14:paraId="6EDD8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56A3214">
            <w:pPr>
              <w:widowControl w:val="0"/>
              <w:adjustRightInd w:val="0"/>
              <w:snapToGrid w:val="0"/>
              <w:jc w:val="center"/>
              <w:rPr>
                <w:snapToGrid w:val="0"/>
                <w:color w:val="auto"/>
                <w:kern w:val="0"/>
                <w:highlight w:val="none"/>
              </w:rPr>
            </w:pPr>
            <w:r>
              <w:rPr>
                <w:rFonts w:hint="eastAsia"/>
                <w:snapToGrid w:val="0"/>
                <w:color w:val="auto"/>
                <w:kern w:val="0"/>
                <w:highlight w:val="none"/>
              </w:rPr>
              <w:t>J6</w:t>
            </w:r>
          </w:p>
        </w:tc>
        <w:tc>
          <w:tcPr>
            <w:tcW w:w="1770" w:type="dxa"/>
            <w:tcMar>
              <w:top w:w="0" w:type="dxa"/>
              <w:left w:w="108" w:type="dxa"/>
              <w:bottom w:w="0" w:type="dxa"/>
              <w:right w:w="108" w:type="dxa"/>
            </w:tcMar>
            <w:vAlign w:val="center"/>
          </w:tcPr>
          <w:p w14:paraId="760FEE0C">
            <w:pPr>
              <w:widowControl w:val="0"/>
              <w:adjustRightInd w:val="0"/>
              <w:snapToGrid w:val="0"/>
              <w:jc w:val="center"/>
              <w:rPr>
                <w:snapToGrid w:val="0"/>
                <w:color w:val="auto"/>
                <w:kern w:val="0"/>
                <w:highlight w:val="none"/>
              </w:rPr>
            </w:pPr>
            <w:r>
              <w:rPr>
                <w:rFonts w:hint="eastAsia"/>
                <w:snapToGrid w:val="0"/>
                <w:color w:val="auto"/>
                <w:kern w:val="0"/>
                <w:highlight w:val="none"/>
              </w:rPr>
              <w:t>3266183.93</w:t>
            </w:r>
          </w:p>
        </w:tc>
        <w:tc>
          <w:tcPr>
            <w:tcW w:w="1725" w:type="dxa"/>
            <w:tcMar>
              <w:top w:w="0" w:type="dxa"/>
              <w:left w:w="108" w:type="dxa"/>
              <w:bottom w:w="0" w:type="dxa"/>
              <w:right w:w="108" w:type="dxa"/>
            </w:tcMar>
            <w:vAlign w:val="center"/>
          </w:tcPr>
          <w:p w14:paraId="5C2C38D2">
            <w:pPr>
              <w:widowControl w:val="0"/>
              <w:adjustRightInd w:val="0"/>
              <w:snapToGrid w:val="0"/>
              <w:jc w:val="center"/>
              <w:rPr>
                <w:snapToGrid w:val="0"/>
                <w:color w:val="auto"/>
                <w:kern w:val="0"/>
                <w:highlight w:val="none"/>
              </w:rPr>
            </w:pPr>
            <w:r>
              <w:rPr>
                <w:rFonts w:hint="eastAsia"/>
                <w:snapToGrid w:val="0"/>
                <w:color w:val="auto"/>
                <w:kern w:val="0"/>
                <w:highlight w:val="none"/>
              </w:rPr>
              <w:t>41398569.12</w:t>
            </w:r>
          </w:p>
        </w:tc>
        <w:tc>
          <w:tcPr>
            <w:tcW w:w="870" w:type="dxa"/>
            <w:tcMar>
              <w:top w:w="0" w:type="dxa"/>
              <w:left w:w="108" w:type="dxa"/>
              <w:bottom w:w="0" w:type="dxa"/>
              <w:right w:w="108" w:type="dxa"/>
            </w:tcMar>
            <w:vAlign w:val="center"/>
          </w:tcPr>
          <w:p w14:paraId="278CB0E0">
            <w:pPr>
              <w:widowControl w:val="0"/>
              <w:adjustRightInd w:val="0"/>
              <w:snapToGrid w:val="0"/>
              <w:jc w:val="center"/>
              <w:rPr>
                <w:snapToGrid w:val="0"/>
                <w:color w:val="auto"/>
                <w:kern w:val="0"/>
                <w:highlight w:val="none"/>
              </w:rPr>
            </w:pPr>
            <w:r>
              <w:rPr>
                <w:rFonts w:hint="eastAsia"/>
                <w:snapToGrid w:val="0"/>
                <w:color w:val="auto"/>
                <w:kern w:val="0"/>
                <w:highlight w:val="none"/>
              </w:rPr>
              <w:t>J67</w:t>
            </w:r>
          </w:p>
        </w:tc>
        <w:tc>
          <w:tcPr>
            <w:tcW w:w="1590" w:type="dxa"/>
            <w:tcMar>
              <w:top w:w="0" w:type="dxa"/>
              <w:left w:w="108" w:type="dxa"/>
              <w:bottom w:w="0" w:type="dxa"/>
              <w:right w:w="108" w:type="dxa"/>
            </w:tcMar>
            <w:vAlign w:val="center"/>
          </w:tcPr>
          <w:p w14:paraId="5B6A3A05">
            <w:pPr>
              <w:widowControl w:val="0"/>
              <w:adjustRightInd w:val="0"/>
              <w:snapToGrid w:val="0"/>
              <w:jc w:val="center"/>
              <w:rPr>
                <w:snapToGrid w:val="0"/>
                <w:color w:val="auto"/>
                <w:kern w:val="0"/>
                <w:highlight w:val="none"/>
              </w:rPr>
            </w:pPr>
            <w:r>
              <w:rPr>
                <w:rFonts w:hint="eastAsia"/>
                <w:snapToGrid w:val="0"/>
                <w:color w:val="auto"/>
                <w:kern w:val="0"/>
                <w:highlight w:val="none"/>
              </w:rPr>
              <w:t>3265985.78</w:t>
            </w:r>
          </w:p>
        </w:tc>
        <w:tc>
          <w:tcPr>
            <w:tcW w:w="1681" w:type="dxa"/>
            <w:tcMar>
              <w:top w:w="0" w:type="dxa"/>
              <w:left w:w="108" w:type="dxa"/>
              <w:bottom w:w="0" w:type="dxa"/>
              <w:right w:w="108" w:type="dxa"/>
            </w:tcMar>
            <w:vAlign w:val="center"/>
          </w:tcPr>
          <w:p w14:paraId="1540B7F2">
            <w:pPr>
              <w:widowControl w:val="0"/>
              <w:adjustRightInd w:val="0"/>
              <w:snapToGrid w:val="0"/>
              <w:jc w:val="center"/>
              <w:rPr>
                <w:snapToGrid w:val="0"/>
                <w:color w:val="auto"/>
                <w:kern w:val="0"/>
                <w:highlight w:val="none"/>
              </w:rPr>
            </w:pPr>
            <w:r>
              <w:rPr>
                <w:rFonts w:hint="eastAsia"/>
                <w:snapToGrid w:val="0"/>
                <w:color w:val="auto"/>
                <w:kern w:val="0"/>
                <w:highlight w:val="none"/>
              </w:rPr>
              <w:t>41398673.35</w:t>
            </w:r>
          </w:p>
        </w:tc>
      </w:tr>
      <w:tr w14:paraId="45DD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3CA31D9">
            <w:pPr>
              <w:widowControl w:val="0"/>
              <w:adjustRightInd w:val="0"/>
              <w:snapToGrid w:val="0"/>
              <w:jc w:val="center"/>
              <w:rPr>
                <w:snapToGrid w:val="0"/>
                <w:color w:val="auto"/>
                <w:kern w:val="0"/>
                <w:highlight w:val="none"/>
              </w:rPr>
            </w:pPr>
            <w:r>
              <w:rPr>
                <w:rFonts w:hint="eastAsia"/>
                <w:snapToGrid w:val="0"/>
                <w:color w:val="auto"/>
                <w:kern w:val="0"/>
                <w:highlight w:val="none"/>
              </w:rPr>
              <w:t>J7</w:t>
            </w:r>
          </w:p>
        </w:tc>
        <w:tc>
          <w:tcPr>
            <w:tcW w:w="1770" w:type="dxa"/>
            <w:tcMar>
              <w:top w:w="0" w:type="dxa"/>
              <w:left w:w="108" w:type="dxa"/>
              <w:bottom w:w="0" w:type="dxa"/>
              <w:right w:w="108" w:type="dxa"/>
            </w:tcMar>
            <w:vAlign w:val="center"/>
          </w:tcPr>
          <w:p w14:paraId="3EE73736">
            <w:pPr>
              <w:widowControl w:val="0"/>
              <w:adjustRightInd w:val="0"/>
              <w:snapToGrid w:val="0"/>
              <w:jc w:val="center"/>
              <w:rPr>
                <w:snapToGrid w:val="0"/>
                <w:color w:val="auto"/>
                <w:kern w:val="0"/>
                <w:highlight w:val="none"/>
              </w:rPr>
            </w:pPr>
            <w:r>
              <w:rPr>
                <w:rFonts w:hint="eastAsia"/>
                <w:snapToGrid w:val="0"/>
                <w:color w:val="auto"/>
                <w:kern w:val="0"/>
                <w:highlight w:val="none"/>
              </w:rPr>
              <w:t>3266183.53</w:t>
            </w:r>
          </w:p>
        </w:tc>
        <w:tc>
          <w:tcPr>
            <w:tcW w:w="1725" w:type="dxa"/>
            <w:tcMar>
              <w:top w:w="0" w:type="dxa"/>
              <w:left w:w="108" w:type="dxa"/>
              <w:bottom w:w="0" w:type="dxa"/>
              <w:right w:w="108" w:type="dxa"/>
            </w:tcMar>
            <w:vAlign w:val="center"/>
          </w:tcPr>
          <w:p w14:paraId="473DE33D">
            <w:pPr>
              <w:widowControl w:val="0"/>
              <w:adjustRightInd w:val="0"/>
              <w:snapToGrid w:val="0"/>
              <w:jc w:val="center"/>
              <w:rPr>
                <w:snapToGrid w:val="0"/>
                <w:color w:val="auto"/>
                <w:kern w:val="0"/>
                <w:highlight w:val="none"/>
              </w:rPr>
            </w:pPr>
            <w:r>
              <w:rPr>
                <w:rFonts w:hint="eastAsia"/>
                <w:snapToGrid w:val="0"/>
                <w:color w:val="auto"/>
                <w:kern w:val="0"/>
                <w:highlight w:val="none"/>
              </w:rPr>
              <w:t>41398924.54</w:t>
            </w:r>
          </w:p>
        </w:tc>
        <w:tc>
          <w:tcPr>
            <w:tcW w:w="870" w:type="dxa"/>
            <w:tcMar>
              <w:top w:w="0" w:type="dxa"/>
              <w:left w:w="108" w:type="dxa"/>
              <w:bottom w:w="0" w:type="dxa"/>
              <w:right w:w="108" w:type="dxa"/>
            </w:tcMar>
            <w:vAlign w:val="center"/>
          </w:tcPr>
          <w:p w14:paraId="2C438616">
            <w:pPr>
              <w:widowControl w:val="0"/>
              <w:adjustRightInd w:val="0"/>
              <w:snapToGrid w:val="0"/>
              <w:jc w:val="center"/>
              <w:rPr>
                <w:snapToGrid w:val="0"/>
                <w:color w:val="auto"/>
                <w:kern w:val="0"/>
                <w:highlight w:val="none"/>
              </w:rPr>
            </w:pPr>
            <w:r>
              <w:rPr>
                <w:rFonts w:hint="eastAsia"/>
                <w:snapToGrid w:val="0"/>
                <w:color w:val="auto"/>
                <w:kern w:val="0"/>
                <w:highlight w:val="none"/>
              </w:rPr>
              <w:t>J68</w:t>
            </w:r>
          </w:p>
        </w:tc>
        <w:tc>
          <w:tcPr>
            <w:tcW w:w="1590" w:type="dxa"/>
            <w:tcMar>
              <w:top w:w="0" w:type="dxa"/>
              <w:left w:w="108" w:type="dxa"/>
              <w:bottom w:w="0" w:type="dxa"/>
              <w:right w:w="108" w:type="dxa"/>
            </w:tcMar>
            <w:vAlign w:val="center"/>
          </w:tcPr>
          <w:p w14:paraId="357BB530">
            <w:pPr>
              <w:widowControl w:val="0"/>
              <w:adjustRightInd w:val="0"/>
              <w:snapToGrid w:val="0"/>
              <w:jc w:val="center"/>
              <w:rPr>
                <w:snapToGrid w:val="0"/>
                <w:color w:val="auto"/>
                <w:kern w:val="0"/>
                <w:highlight w:val="none"/>
              </w:rPr>
            </w:pPr>
            <w:r>
              <w:rPr>
                <w:rFonts w:hint="eastAsia"/>
                <w:snapToGrid w:val="0"/>
                <w:color w:val="auto"/>
                <w:kern w:val="0"/>
                <w:highlight w:val="none"/>
              </w:rPr>
              <w:t>3265984.53</w:t>
            </w:r>
          </w:p>
        </w:tc>
        <w:tc>
          <w:tcPr>
            <w:tcW w:w="1681" w:type="dxa"/>
            <w:tcMar>
              <w:top w:w="0" w:type="dxa"/>
              <w:left w:w="108" w:type="dxa"/>
              <w:bottom w:w="0" w:type="dxa"/>
              <w:right w:w="108" w:type="dxa"/>
            </w:tcMar>
            <w:vAlign w:val="center"/>
          </w:tcPr>
          <w:p w14:paraId="65E2B8F1">
            <w:pPr>
              <w:widowControl w:val="0"/>
              <w:adjustRightInd w:val="0"/>
              <w:snapToGrid w:val="0"/>
              <w:jc w:val="center"/>
              <w:rPr>
                <w:snapToGrid w:val="0"/>
                <w:color w:val="auto"/>
                <w:kern w:val="0"/>
                <w:highlight w:val="none"/>
              </w:rPr>
            </w:pPr>
            <w:r>
              <w:rPr>
                <w:rFonts w:hint="eastAsia"/>
                <w:snapToGrid w:val="0"/>
                <w:color w:val="auto"/>
                <w:kern w:val="0"/>
                <w:highlight w:val="none"/>
              </w:rPr>
              <w:t>41398664.43</w:t>
            </w:r>
          </w:p>
        </w:tc>
      </w:tr>
      <w:tr w14:paraId="7B5A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EB9A3D4">
            <w:pPr>
              <w:widowControl w:val="0"/>
              <w:adjustRightInd w:val="0"/>
              <w:snapToGrid w:val="0"/>
              <w:jc w:val="center"/>
              <w:rPr>
                <w:snapToGrid w:val="0"/>
                <w:color w:val="auto"/>
                <w:kern w:val="0"/>
                <w:highlight w:val="none"/>
              </w:rPr>
            </w:pPr>
            <w:r>
              <w:rPr>
                <w:rFonts w:hint="eastAsia"/>
                <w:snapToGrid w:val="0"/>
                <w:color w:val="auto"/>
                <w:kern w:val="0"/>
                <w:highlight w:val="none"/>
              </w:rPr>
              <w:t>J8</w:t>
            </w:r>
          </w:p>
        </w:tc>
        <w:tc>
          <w:tcPr>
            <w:tcW w:w="1770" w:type="dxa"/>
            <w:tcMar>
              <w:top w:w="0" w:type="dxa"/>
              <w:left w:w="108" w:type="dxa"/>
              <w:bottom w:w="0" w:type="dxa"/>
              <w:right w:w="108" w:type="dxa"/>
            </w:tcMar>
            <w:vAlign w:val="center"/>
          </w:tcPr>
          <w:p w14:paraId="62CEDCAC">
            <w:pPr>
              <w:widowControl w:val="0"/>
              <w:adjustRightInd w:val="0"/>
              <w:snapToGrid w:val="0"/>
              <w:jc w:val="center"/>
              <w:rPr>
                <w:snapToGrid w:val="0"/>
                <w:color w:val="auto"/>
                <w:kern w:val="0"/>
                <w:highlight w:val="none"/>
              </w:rPr>
            </w:pPr>
            <w:r>
              <w:rPr>
                <w:rFonts w:hint="eastAsia"/>
                <w:snapToGrid w:val="0"/>
                <w:color w:val="auto"/>
                <w:kern w:val="0"/>
                <w:highlight w:val="none"/>
              </w:rPr>
              <w:t>3266181.99</w:t>
            </w:r>
          </w:p>
        </w:tc>
        <w:tc>
          <w:tcPr>
            <w:tcW w:w="1725" w:type="dxa"/>
            <w:tcMar>
              <w:top w:w="0" w:type="dxa"/>
              <w:left w:w="108" w:type="dxa"/>
              <w:bottom w:w="0" w:type="dxa"/>
              <w:right w:w="108" w:type="dxa"/>
            </w:tcMar>
            <w:vAlign w:val="center"/>
          </w:tcPr>
          <w:p w14:paraId="34F4989D">
            <w:pPr>
              <w:widowControl w:val="0"/>
              <w:adjustRightInd w:val="0"/>
              <w:snapToGrid w:val="0"/>
              <w:jc w:val="center"/>
              <w:rPr>
                <w:snapToGrid w:val="0"/>
                <w:color w:val="auto"/>
                <w:kern w:val="0"/>
                <w:highlight w:val="none"/>
              </w:rPr>
            </w:pPr>
            <w:r>
              <w:rPr>
                <w:rFonts w:hint="eastAsia"/>
                <w:snapToGrid w:val="0"/>
                <w:color w:val="auto"/>
                <w:kern w:val="0"/>
                <w:highlight w:val="none"/>
              </w:rPr>
              <w:t>41398925.27</w:t>
            </w:r>
          </w:p>
        </w:tc>
        <w:tc>
          <w:tcPr>
            <w:tcW w:w="870" w:type="dxa"/>
            <w:tcMar>
              <w:top w:w="0" w:type="dxa"/>
              <w:left w:w="108" w:type="dxa"/>
              <w:bottom w:w="0" w:type="dxa"/>
              <w:right w:w="108" w:type="dxa"/>
            </w:tcMar>
            <w:vAlign w:val="center"/>
          </w:tcPr>
          <w:p w14:paraId="268F889E">
            <w:pPr>
              <w:widowControl w:val="0"/>
              <w:adjustRightInd w:val="0"/>
              <w:snapToGrid w:val="0"/>
              <w:jc w:val="center"/>
              <w:rPr>
                <w:snapToGrid w:val="0"/>
                <w:color w:val="auto"/>
                <w:kern w:val="0"/>
                <w:highlight w:val="none"/>
              </w:rPr>
            </w:pPr>
            <w:r>
              <w:rPr>
                <w:rFonts w:hint="eastAsia"/>
                <w:snapToGrid w:val="0"/>
                <w:color w:val="auto"/>
                <w:kern w:val="0"/>
                <w:highlight w:val="none"/>
              </w:rPr>
              <w:t>J69</w:t>
            </w:r>
          </w:p>
        </w:tc>
        <w:tc>
          <w:tcPr>
            <w:tcW w:w="1590" w:type="dxa"/>
            <w:tcMar>
              <w:top w:w="0" w:type="dxa"/>
              <w:left w:w="108" w:type="dxa"/>
              <w:bottom w:w="0" w:type="dxa"/>
              <w:right w:w="108" w:type="dxa"/>
            </w:tcMar>
            <w:vAlign w:val="center"/>
          </w:tcPr>
          <w:p w14:paraId="6B78D71C">
            <w:pPr>
              <w:widowControl w:val="0"/>
              <w:adjustRightInd w:val="0"/>
              <w:snapToGrid w:val="0"/>
              <w:jc w:val="center"/>
              <w:rPr>
                <w:snapToGrid w:val="0"/>
                <w:color w:val="auto"/>
                <w:kern w:val="0"/>
                <w:highlight w:val="none"/>
              </w:rPr>
            </w:pPr>
            <w:r>
              <w:rPr>
                <w:rFonts w:hint="eastAsia"/>
                <w:snapToGrid w:val="0"/>
                <w:color w:val="auto"/>
                <w:kern w:val="0"/>
                <w:highlight w:val="none"/>
              </w:rPr>
              <w:t>3265983.63</w:t>
            </w:r>
          </w:p>
        </w:tc>
        <w:tc>
          <w:tcPr>
            <w:tcW w:w="1681" w:type="dxa"/>
            <w:tcMar>
              <w:top w:w="0" w:type="dxa"/>
              <w:left w:w="108" w:type="dxa"/>
              <w:bottom w:w="0" w:type="dxa"/>
              <w:right w:w="108" w:type="dxa"/>
            </w:tcMar>
            <w:vAlign w:val="center"/>
          </w:tcPr>
          <w:p w14:paraId="15E1327A">
            <w:pPr>
              <w:widowControl w:val="0"/>
              <w:adjustRightInd w:val="0"/>
              <w:snapToGrid w:val="0"/>
              <w:jc w:val="center"/>
              <w:rPr>
                <w:snapToGrid w:val="0"/>
                <w:color w:val="auto"/>
                <w:kern w:val="0"/>
                <w:highlight w:val="none"/>
              </w:rPr>
            </w:pPr>
            <w:r>
              <w:rPr>
                <w:rFonts w:hint="eastAsia"/>
                <w:snapToGrid w:val="0"/>
                <w:color w:val="auto"/>
                <w:kern w:val="0"/>
                <w:highlight w:val="none"/>
              </w:rPr>
              <w:t>41398662.50</w:t>
            </w:r>
          </w:p>
        </w:tc>
      </w:tr>
      <w:tr w14:paraId="3D84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FBBAE80">
            <w:pPr>
              <w:widowControl w:val="0"/>
              <w:adjustRightInd w:val="0"/>
              <w:snapToGrid w:val="0"/>
              <w:jc w:val="center"/>
              <w:rPr>
                <w:snapToGrid w:val="0"/>
                <w:color w:val="auto"/>
                <w:kern w:val="0"/>
                <w:highlight w:val="none"/>
              </w:rPr>
            </w:pPr>
            <w:r>
              <w:rPr>
                <w:rFonts w:hint="eastAsia"/>
                <w:snapToGrid w:val="0"/>
                <w:color w:val="auto"/>
                <w:kern w:val="0"/>
                <w:highlight w:val="none"/>
              </w:rPr>
              <w:t>J9</w:t>
            </w:r>
          </w:p>
        </w:tc>
        <w:tc>
          <w:tcPr>
            <w:tcW w:w="1770" w:type="dxa"/>
            <w:tcMar>
              <w:top w:w="0" w:type="dxa"/>
              <w:left w:w="108" w:type="dxa"/>
              <w:bottom w:w="0" w:type="dxa"/>
              <w:right w:w="108" w:type="dxa"/>
            </w:tcMar>
            <w:vAlign w:val="center"/>
          </w:tcPr>
          <w:p w14:paraId="6E2245D4">
            <w:pPr>
              <w:widowControl w:val="0"/>
              <w:adjustRightInd w:val="0"/>
              <w:snapToGrid w:val="0"/>
              <w:jc w:val="center"/>
              <w:rPr>
                <w:snapToGrid w:val="0"/>
                <w:color w:val="auto"/>
                <w:kern w:val="0"/>
                <w:highlight w:val="none"/>
              </w:rPr>
            </w:pPr>
            <w:r>
              <w:rPr>
                <w:rFonts w:hint="eastAsia"/>
                <w:snapToGrid w:val="0"/>
                <w:color w:val="auto"/>
                <w:kern w:val="0"/>
                <w:highlight w:val="none"/>
              </w:rPr>
              <w:t>3266173.20</w:t>
            </w:r>
          </w:p>
        </w:tc>
        <w:tc>
          <w:tcPr>
            <w:tcW w:w="1725" w:type="dxa"/>
            <w:tcMar>
              <w:top w:w="0" w:type="dxa"/>
              <w:left w:w="108" w:type="dxa"/>
              <w:bottom w:w="0" w:type="dxa"/>
              <w:right w:w="108" w:type="dxa"/>
            </w:tcMar>
            <w:vAlign w:val="center"/>
          </w:tcPr>
          <w:p w14:paraId="33DDD459">
            <w:pPr>
              <w:widowControl w:val="0"/>
              <w:adjustRightInd w:val="0"/>
              <w:snapToGrid w:val="0"/>
              <w:jc w:val="center"/>
              <w:rPr>
                <w:snapToGrid w:val="0"/>
                <w:color w:val="auto"/>
                <w:kern w:val="0"/>
                <w:highlight w:val="none"/>
              </w:rPr>
            </w:pPr>
            <w:r>
              <w:rPr>
                <w:rFonts w:hint="eastAsia"/>
                <w:snapToGrid w:val="0"/>
                <w:color w:val="auto"/>
                <w:kern w:val="0"/>
                <w:highlight w:val="none"/>
              </w:rPr>
              <w:t>41398936.94</w:t>
            </w:r>
          </w:p>
        </w:tc>
        <w:tc>
          <w:tcPr>
            <w:tcW w:w="870" w:type="dxa"/>
            <w:tcMar>
              <w:top w:w="0" w:type="dxa"/>
              <w:left w:w="108" w:type="dxa"/>
              <w:bottom w:w="0" w:type="dxa"/>
              <w:right w:w="108" w:type="dxa"/>
            </w:tcMar>
            <w:vAlign w:val="center"/>
          </w:tcPr>
          <w:p w14:paraId="60281766">
            <w:pPr>
              <w:widowControl w:val="0"/>
              <w:adjustRightInd w:val="0"/>
              <w:snapToGrid w:val="0"/>
              <w:jc w:val="center"/>
              <w:rPr>
                <w:snapToGrid w:val="0"/>
                <w:color w:val="auto"/>
                <w:kern w:val="0"/>
                <w:highlight w:val="none"/>
              </w:rPr>
            </w:pPr>
            <w:r>
              <w:rPr>
                <w:rFonts w:hint="eastAsia"/>
                <w:snapToGrid w:val="0"/>
                <w:color w:val="auto"/>
                <w:kern w:val="0"/>
                <w:highlight w:val="none"/>
              </w:rPr>
              <w:t>J70</w:t>
            </w:r>
          </w:p>
        </w:tc>
        <w:tc>
          <w:tcPr>
            <w:tcW w:w="1590" w:type="dxa"/>
            <w:tcMar>
              <w:top w:w="0" w:type="dxa"/>
              <w:left w:w="108" w:type="dxa"/>
              <w:bottom w:w="0" w:type="dxa"/>
              <w:right w:w="108" w:type="dxa"/>
            </w:tcMar>
            <w:vAlign w:val="center"/>
          </w:tcPr>
          <w:p w14:paraId="7D167F50">
            <w:pPr>
              <w:widowControl w:val="0"/>
              <w:adjustRightInd w:val="0"/>
              <w:snapToGrid w:val="0"/>
              <w:jc w:val="center"/>
              <w:rPr>
                <w:snapToGrid w:val="0"/>
                <w:color w:val="auto"/>
                <w:kern w:val="0"/>
                <w:highlight w:val="none"/>
              </w:rPr>
            </w:pPr>
            <w:r>
              <w:rPr>
                <w:rFonts w:hint="eastAsia"/>
                <w:snapToGrid w:val="0"/>
                <w:color w:val="auto"/>
                <w:kern w:val="0"/>
                <w:highlight w:val="none"/>
              </w:rPr>
              <w:t>3265981.85</w:t>
            </w:r>
          </w:p>
        </w:tc>
        <w:tc>
          <w:tcPr>
            <w:tcW w:w="1681" w:type="dxa"/>
            <w:tcMar>
              <w:top w:w="0" w:type="dxa"/>
              <w:left w:w="108" w:type="dxa"/>
              <w:bottom w:w="0" w:type="dxa"/>
              <w:right w:w="108" w:type="dxa"/>
            </w:tcMar>
            <w:vAlign w:val="center"/>
          </w:tcPr>
          <w:p w14:paraId="631F2967">
            <w:pPr>
              <w:widowControl w:val="0"/>
              <w:adjustRightInd w:val="0"/>
              <w:snapToGrid w:val="0"/>
              <w:jc w:val="center"/>
              <w:rPr>
                <w:snapToGrid w:val="0"/>
                <w:color w:val="auto"/>
                <w:kern w:val="0"/>
                <w:highlight w:val="none"/>
              </w:rPr>
            </w:pPr>
            <w:r>
              <w:rPr>
                <w:rFonts w:hint="eastAsia"/>
                <w:snapToGrid w:val="0"/>
                <w:color w:val="auto"/>
                <w:kern w:val="0"/>
                <w:highlight w:val="none"/>
              </w:rPr>
              <w:t>41398660.47</w:t>
            </w:r>
          </w:p>
        </w:tc>
      </w:tr>
      <w:tr w14:paraId="62D0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8646CCC">
            <w:pPr>
              <w:widowControl w:val="0"/>
              <w:adjustRightInd w:val="0"/>
              <w:snapToGrid w:val="0"/>
              <w:jc w:val="center"/>
              <w:rPr>
                <w:snapToGrid w:val="0"/>
                <w:color w:val="auto"/>
                <w:kern w:val="0"/>
                <w:highlight w:val="none"/>
              </w:rPr>
            </w:pPr>
            <w:r>
              <w:rPr>
                <w:rFonts w:hint="eastAsia"/>
                <w:snapToGrid w:val="0"/>
                <w:color w:val="auto"/>
                <w:kern w:val="0"/>
                <w:highlight w:val="none"/>
              </w:rPr>
              <w:t>J10</w:t>
            </w:r>
          </w:p>
        </w:tc>
        <w:tc>
          <w:tcPr>
            <w:tcW w:w="1770" w:type="dxa"/>
            <w:tcMar>
              <w:top w:w="0" w:type="dxa"/>
              <w:left w:w="108" w:type="dxa"/>
              <w:bottom w:w="0" w:type="dxa"/>
              <w:right w:w="108" w:type="dxa"/>
            </w:tcMar>
            <w:vAlign w:val="center"/>
          </w:tcPr>
          <w:p w14:paraId="5FAE9F8E">
            <w:pPr>
              <w:widowControl w:val="0"/>
              <w:adjustRightInd w:val="0"/>
              <w:snapToGrid w:val="0"/>
              <w:jc w:val="center"/>
              <w:rPr>
                <w:snapToGrid w:val="0"/>
                <w:color w:val="auto"/>
                <w:kern w:val="0"/>
                <w:highlight w:val="none"/>
              </w:rPr>
            </w:pPr>
            <w:r>
              <w:rPr>
                <w:rFonts w:hint="eastAsia"/>
                <w:snapToGrid w:val="0"/>
                <w:color w:val="auto"/>
                <w:kern w:val="0"/>
                <w:highlight w:val="none"/>
              </w:rPr>
              <w:t>3266168.62</w:t>
            </w:r>
          </w:p>
        </w:tc>
        <w:tc>
          <w:tcPr>
            <w:tcW w:w="1725" w:type="dxa"/>
            <w:tcMar>
              <w:top w:w="0" w:type="dxa"/>
              <w:left w:w="108" w:type="dxa"/>
              <w:bottom w:w="0" w:type="dxa"/>
              <w:right w:w="108" w:type="dxa"/>
            </w:tcMar>
            <w:vAlign w:val="center"/>
          </w:tcPr>
          <w:p w14:paraId="492BF56F">
            <w:pPr>
              <w:widowControl w:val="0"/>
              <w:adjustRightInd w:val="0"/>
              <w:snapToGrid w:val="0"/>
              <w:jc w:val="center"/>
              <w:rPr>
                <w:snapToGrid w:val="0"/>
                <w:color w:val="auto"/>
                <w:kern w:val="0"/>
                <w:highlight w:val="none"/>
              </w:rPr>
            </w:pPr>
            <w:r>
              <w:rPr>
                <w:rFonts w:hint="eastAsia"/>
                <w:snapToGrid w:val="0"/>
                <w:color w:val="auto"/>
                <w:kern w:val="0"/>
                <w:highlight w:val="none"/>
              </w:rPr>
              <w:t>41398940.83</w:t>
            </w:r>
          </w:p>
        </w:tc>
        <w:tc>
          <w:tcPr>
            <w:tcW w:w="870" w:type="dxa"/>
            <w:tcMar>
              <w:top w:w="0" w:type="dxa"/>
              <w:left w:w="108" w:type="dxa"/>
              <w:bottom w:w="0" w:type="dxa"/>
              <w:right w:w="108" w:type="dxa"/>
            </w:tcMar>
            <w:vAlign w:val="center"/>
          </w:tcPr>
          <w:p w14:paraId="36737DEA">
            <w:pPr>
              <w:widowControl w:val="0"/>
              <w:adjustRightInd w:val="0"/>
              <w:snapToGrid w:val="0"/>
              <w:jc w:val="center"/>
              <w:rPr>
                <w:snapToGrid w:val="0"/>
                <w:color w:val="auto"/>
                <w:kern w:val="0"/>
                <w:highlight w:val="none"/>
              </w:rPr>
            </w:pPr>
            <w:r>
              <w:rPr>
                <w:rFonts w:hint="eastAsia"/>
                <w:snapToGrid w:val="0"/>
                <w:color w:val="auto"/>
                <w:kern w:val="0"/>
                <w:highlight w:val="none"/>
              </w:rPr>
              <w:t>J71</w:t>
            </w:r>
          </w:p>
        </w:tc>
        <w:tc>
          <w:tcPr>
            <w:tcW w:w="1590" w:type="dxa"/>
            <w:tcMar>
              <w:top w:w="0" w:type="dxa"/>
              <w:left w:w="108" w:type="dxa"/>
              <w:bottom w:w="0" w:type="dxa"/>
              <w:right w:w="108" w:type="dxa"/>
            </w:tcMar>
            <w:vAlign w:val="center"/>
          </w:tcPr>
          <w:p w14:paraId="07B244A4">
            <w:pPr>
              <w:widowControl w:val="0"/>
              <w:adjustRightInd w:val="0"/>
              <w:snapToGrid w:val="0"/>
              <w:jc w:val="center"/>
              <w:rPr>
                <w:snapToGrid w:val="0"/>
                <w:color w:val="auto"/>
                <w:kern w:val="0"/>
                <w:highlight w:val="none"/>
              </w:rPr>
            </w:pPr>
            <w:r>
              <w:rPr>
                <w:rFonts w:hint="eastAsia"/>
                <w:snapToGrid w:val="0"/>
                <w:color w:val="auto"/>
                <w:kern w:val="0"/>
                <w:highlight w:val="none"/>
              </w:rPr>
              <w:t>3265976.18</w:t>
            </w:r>
          </w:p>
        </w:tc>
        <w:tc>
          <w:tcPr>
            <w:tcW w:w="1681" w:type="dxa"/>
            <w:tcMar>
              <w:top w:w="0" w:type="dxa"/>
              <w:left w:w="108" w:type="dxa"/>
              <w:bottom w:w="0" w:type="dxa"/>
              <w:right w:w="108" w:type="dxa"/>
            </w:tcMar>
            <w:vAlign w:val="center"/>
          </w:tcPr>
          <w:p w14:paraId="5CFFF7C1">
            <w:pPr>
              <w:widowControl w:val="0"/>
              <w:adjustRightInd w:val="0"/>
              <w:snapToGrid w:val="0"/>
              <w:jc w:val="center"/>
              <w:rPr>
                <w:snapToGrid w:val="0"/>
                <w:color w:val="auto"/>
                <w:kern w:val="0"/>
                <w:highlight w:val="none"/>
              </w:rPr>
            </w:pPr>
            <w:r>
              <w:rPr>
                <w:rFonts w:hint="eastAsia"/>
                <w:snapToGrid w:val="0"/>
                <w:color w:val="auto"/>
                <w:kern w:val="0"/>
                <w:highlight w:val="none"/>
              </w:rPr>
              <w:t>41398656.52</w:t>
            </w:r>
          </w:p>
        </w:tc>
      </w:tr>
      <w:tr w14:paraId="30C1F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881CDAC">
            <w:pPr>
              <w:widowControl w:val="0"/>
              <w:adjustRightInd w:val="0"/>
              <w:snapToGrid w:val="0"/>
              <w:jc w:val="center"/>
              <w:rPr>
                <w:snapToGrid w:val="0"/>
                <w:color w:val="auto"/>
                <w:kern w:val="0"/>
                <w:highlight w:val="none"/>
              </w:rPr>
            </w:pPr>
            <w:r>
              <w:rPr>
                <w:rFonts w:hint="eastAsia"/>
                <w:snapToGrid w:val="0"/>
                <w:color w:val="auto"/>
                <w:kern w:val="0"/>
                <w:highlight w:val="none"/>
              </w:rPr>
              <w:t>J11</w:t>
            </w:r>
          </w:p>
        </w:tc>
        <w:tc>
          <w:tcPr>
            <w:tcW w:w="1770" w:type="dxa"/>
            <w:tcMar>
              <w:top w:w="0" w:type="dxa"/>
              <w:left w:w="108" w:type="dxa"/>
              <w:bottom w:w="0" w:type="dxa"/>
              <w:right w:w="108" w:type="dxa"/>
            </w:tcMar>
            <w:vAlign w:val="center"/>
          </w:tcPr>
          <w:p w14:paraId="26BC49F4">
            <w:pPr>
              <w:widowControl w:val="0"/>
              <w:adjustRightInd w:val="0"/>
              <w:snapToGrid w:val="0"/>
              <w:jc w:val="center"/>
              <w:rPr>
                <w:snapToGrid w:val="0"/>
                <w:color w:val="auto"/>
                <w:kern w:val="0"/>
                <w:highlight w:val="none"/>
              </w:rPr>
            </w:pPr>
            <w:r>
              <w:rPr>
                <w:rFonts w:hint="eastAsia"/>
                <w:snapToGrid w:val="0"/>
                <w:color w:val="auto"/>
                <w:kern w:val="0"/>
                <w:highlight w:val="none"/>
              </w:rPr>
              <w:t>3266155.01</w:t>
            </w:r>
          </w:p>
        </w:tc>
        <w:tc>
          <w:tcPr>
            <w:tcW w:w="1725" w:type="dxa"/>
            <w:tcMar>
              <w:top w:w="0" w:type="dxa"/>
              <w:left w:w="108" w:type="dxa"/>
              <w:bottom w:w="0" w:type="dxa"/>
              <w:right w:w="108" w:type="dxa"/>
            </w:tcMar>
            <w:vAlign w:val="center"/>
          </w:tcPr>
          <w:p w14:paraId="206DE2E5">
            <w:pPr>
              <w:widowControl w:val="0"/>
              <w:adjustRightInd w:val="0"/>
              <w:snapToGrid w:val="0"/>
              <w:jc w:val="center"/>
              <w:rPr>
                <w:snapToGrid w:val="0"/>
                <w:color w:val="auto"/>
                <w:kern w:val="0"/>
                <w:highlight w:val="none"/>
              </w:rPr>
            </w:pPr>
            <w:r>
              <w:rPr>
                <w:rFonts w:hint="eastAsia"/>
                <w:snapToGrid w:val="0"/>
                <w:color w:val="auto"/>
                <w:kern w:val="0"/>
                <w:highlight w:val="none"/>
              </w:rPr>
              <w:t>41398945.92</w:t>
            </w:r>
          </w:p>
        </w:tc>
        <w:tc>
          <w:tcPr>
            <w:tcW w:w="870" w:type="dxa"/>
            <w:tcMar>
              <w:top w:w="0" w:type="dxa"/>
              <w:left w:w="108" w:type="dxa"/>
              <w:bottom w:w="0" w:type="dxa"/>
              <w:right w:w="108" w:type="dxa"/>
            </w:tcMar>
            <w:vAlign w:val="center"/>
          </w:tcPr>
          <w:p w14:paraId="32A62915">
            <w:pPr>
              <w:widowControl w:val="0"/>
              <w:adjustRightInd w:val="0"/>
              <w:snapToGrid w:val="0"/>
              <w:jc w:val="center"/>
              <w:rPr>
                <w:snapToGrid w:val="0"/>
                <w:color w:val="auto"/>
                <w:kern w:val="0"/>
                <w:highlight w:val="none"/>
              </w:rPr>
            </w:pPr>
            <w:r>
              <w:rPr>
                <w:rFonts w:hint="eastAsia"/>
                <w:snapToGrid w:val="0"/>
                <w:color w:val="auto"/>
                <w:kern w:val="0"/>
                <w:highlight w:val="none"/>
              </w:rPr>
              <w:t>J72</w:t>
            </w:r>
          </w:p>
        </w:tc>
        <w:tc>
          <w:tcPr>
            <w:tcW w:w="1590" w:type="dxa"/>
            <w:tcMar>
              <w:top w:w="0" w:type="dxa"/>
              <w:left w:w="108" w:type="dxa"/>
              <w:bottom w:w="0" w:type="dxa"/>
              <w:right w:w="108" w:type="dxa"/>
            </w:tcMar>
            <w:vAlign w:val="center"/>
          </w:tcPr>
          <w:p w14:paraId="2B82E5D1">
            <w:pPr>
              <w:widowControl w:val="0"/>
              <w:adjustRightInd w:val="0"/>
              <w:snapToGrid w:val="0"/>
              <w:jc w:val="center"/>
              <w:rPr>
                <w:snapToGrid w:val="0"/>
                <w:color w:val="auto"/>
                <w:kern w:val="0"/>
                <w:highlight w:val="none"/>
              </w:rPr>
            </w:pPr>
            <w:r>
              <w:rPr>
                <w:rFonts w:hint="eastAsia"/>
                <w:snapToGrid w:val="0"/>
                <w:color w:val="auto"/>
                <w:kern w:val="0"/>
                <w:highlight w:val="none"/>
              </w:rPr>
              <w:t>3265967.41</w:t>
            </w:r>
          </w:p>
        </w:tc>
        <w:tc>
          <w:tcPr>
            <w:tcW w:w="1681" w:type="dxa"/>
            <w:tcMar>
              <w:top w:w="0" w:type="dxa"/>
              <w:left w:w="108" w:type="dxa"/>
              <w:bottom w:w="0" w:type="dxa"/>
              <w:right w:w="108" w:type="dxa"/>
            </w:tcMar>
            <w:vAlign w:val="center"/>
          </w:tcPr>
          <w:p w14:paraId="57B75EF0">
            <w:pPr>
              <w:widowControl w:val="0"/>
              <w:adjustRightInd w:val="0"/>
              <w:snapToGrid w:val="0"/>
              <w:jc w:val="center"/>
              <w:rPr>
                <w:snapToGrid w:val="0"/>
                <w:color w:val="auto"/>
                <w:kern w:val="0"/>
                <w:highlight w:val="none"/>
              </w:rPr>
            </w:pPr>
            <w:r>
              <w:rPr>
                <w:rFonts w:hint="eastAsia"/>
                <w:snapToGrid w:val="0"/>
                <w:color w:val="auto"/>
                <w:kern w:val="0"/>
                <w:highlight w:val="none"/>
              </w:rPr>
              <w:t>41398651.02</w:t>
            </w:r>
          </w:p>
        </w:tc>
      </w:tr>
      <w:tr w14:paraId="0D4B8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C7F1599">
            <w:pPr>
              <w:widowControl w:val="0"/>
              <w:adjustRightInd w:val="0"/>
              <w:snapToGrid w:val="0"/>
              <w:jc w:val="center"/>
              <w:rPr>
                <w:snapToGrid w:val="0"/>
                <w:color w:val="auto"/>
                <w:kern w:val="0"/>
                <w:highlight w:val="none"/>
              </w:rPr>
            </w:pPr>
            <w:r>
              <w:rPr>
                <w:rFonts w:hint="eastAsia"/>
                <w:snapToGrid w:val="0"/>
                <w:color w:val="auto"/>
                <w:kern w:val="0"/>
                <w:highlight w:val="none"/>
              </w:rPr>
              <w:t>J12</w:t>
            </w:r>
          </w:p>
        </w:tc>
        <w:tc>
          <w:tcPr>
            <w:tcW w:w="1770" w:type="dxa"/>
            <w:tcMar>
              <w:top w:w="0" w:type="dxa"/>
              <w:left w:w="108" w:type="dxa"/>
              <w:bottom w:w="0" w:type="dxa"/>
              <w:right w:w="108" w:type="dxa"/>
            </w:tcMar>
            <w:vAlign w:val="center"/>
          </w:tcPr>
          <w:p w14:paraId="526C414F">
            <w:pPr>
              <w:widowControl w:val="0"/>
              <w:adjustRightInd w:val="0"/>
              <w:snapToGrid w:val="0"/>
              <w:jc w:val="center"/>
              <w:rPr>
                <w:snapToGrid w:val="0"/>
                <w:color w:val="auto"/>
                <w:kern w:val="0"/>
                <w:highlight w:val="none"/>
              </w:rPr>
            </w:pPr>
            <w:r>
              <w:rPr>
                <w:rFonts w:hint="eastAsia"/>
                <w:snapToGrid w:val="0"/>
                <w:color w:val="auto"/>
                <w:kern w:val="0"/>
                <w:highlight w:val="none"/>
              </w:rPr>
              <w:t>3266146.93</w:t>
            </w:r>
          </w:p>
        </w:tc>
        <w:tc>
          <w:tcPr>
            <w:tcW w:w="1725" w:type="dxa"/>
            <w:tcMar>
              <w:top w:w="0" w:type="dxa"/>
              <w:left w:w="108" w:type="dxa"/>
              <w:bottom w:w="0" w:type="dxa"/>
              <w:right w:w="108" w:type="dxa"/>
            </w:tcMar>
            <w:vAlign w:val="center"/>
          </w:tcPr>
          <w:p w14:paraId="1E124C6B">
            <w:pPr>
              <w:widowControl w:val="0"/>
              <w:adjustRightInd w:val="0"/>
              <w:snapToGrid w:val="0"/>
              <w:jc w:val="center"/>
              <w:rPr>
                <w:snapToGrid w:val="0"/>
                <w:color w:val="auto"/>
                <w:kern w:val="0"/>
                <w:highlight w:val="none"/>
              </w:rPr>
            </w:pPr>
            <w:r>
              <w:rPr>
                <w:rFonts w:hint="eastAsia"/>
                <w:snapToGrid w:val="0"/>
                <w:color w:val="auto"/>
                <w:kern w:val="0"/>
                <w:highlight w:val="none"/>
              </w:rPr>
              <w:t>41398948.18</w:t>
            </w:r>
          </w:p>
        </w:tc>
        <w:tc>
          <w:tcPr>
            <w:tcW w:w="870" w:type="dxa"/>
            <w:tcMar>
              <w:top w:w="0" w:type="dxa"/>
              <w:left w:w="108" w:type="dxa"/>
              <w:bottom w:w="0" w:type="dxa"/>
              <w:right w:w="108" w:type="dxa"/>
            </w:tcMar>
            <w:vAlign w:val="center"/>
          </w:tcPr>
          <w:p w14:paraId="3F0A5ABF">
            <w:pPr>
              <w:widowControl w:val="0"/>
              <w:adjustRightInd w:val="0"/>
              <w:snapToGrid w:val="0"/>
              <w:jc w:val="center"/>
              <w:rPr>
                <w:snapToGrid w:val="0"/>
                <w:color w:val="auto"/>
                <w:kern w:val="0"/>
                <w:highlight w:val="none"/>
              </w:rPr>
            </w:pPr>
            <w:r>
              <w:rPr>
                <w:rFonts w:hint="eastAsia"/>
                <w:snapToGrid w:val="0"/>
                <w:color w:val="auto"/>
                <w:kern w:val="0"/>
                <w:highlight w:val="none"/>
              </w:rPr>
              <w:t>J73</w:t>
            </w:r>
          </w:p>
        </w:tc>
        <w:tc>
          <w:tcPr>
            <w:tcW w:w="1590" w:type="dxa"/>
            <w:tcMar>
              <w:top w:w="0" w:type="dxa"/>
              <w:left w:w="108" w:type="dxa"/>
              <w:bottom w:w="0" w:type="dxa"/>
              <w:right w:w="108" w:type="dxa"/>
            </w:tcMar>
            <w:vAlign w:val="center"/>
          </w:tcPr>
          <w:p w14:paraId="0B481BDE">
            <w:pPr>
              <w:widowControl w:val="0"/>
              <w:adjustRightInd w:val="0"/>
              <w:snapToGrid w:val="0"/>
              <w:jc w:val="center"/>
              <w:rPr>
                <w:snapToGrid w:val="0"/>
                <w:color w:val="auto"/>
                <w:kern w:val="0"/>
                <w:highlight w:val="none"/>
              </w:rPr>
            </w:pPr>
            <w:r>
              <w:rPr>
                <w:rFonts w:hint="eastAsia"/>
                <w:snapToGrid w:val="0"/>
                <w:color w:val="auto"/>
                <w:kern w:val="0"/>
                <w:highlight w:val="none"/>
              </w:rPr>
              <w:t>3265957.08</w:t>
            </w:r>
          </w:p>
        </w:tc>
        <w:tc>
          <w:tcPr>
            <w:tcW w:w="1681" w:type="dxa"/>
            <w:tcMar>
              <w:top w:w="0" w:type="dxa"/>
              <w:left w:w="108" w:type="dxa"/>
              <w:bottom w:w="0" w:type="dxa"/>
              <w:right w:w="108" w:type="dxa"/>
            </w:tcMar>
            <w:vAlign w:val="center"/>
          </w:tcPr>
          <w:p w14:paraId="6861DC40">
            <w:pPr>
              <w:widowControl w:val="0"/>
              <w:adjustRightInd w:val="0"/>
              <w:snapToGrid w:val="0"/>
              <w:jc w:val="center"/>
              <w:rPr>
                <w:snapToGrid w:val="0"/>
                <w:color w:val="auto"/>
                <w:kern w:val="0"/>
                <w:highlight w:val="none"/>
              </w:rPr>
            </w:pPr>
            <w:r>
              <w:rPr>
                <w:rFonts w:hint="eastAsia"/>
                <w:snapToGrid w:val="0"/>
                <w:color w:val="auto"/>
                <w:kern w:val="0"/>
                <w:highlight w:val="none"/>
              </w:rPr>
              <w:t>41398646.80</w:t>
            </w:r>
          </w:p>
        </w:tc>
      </w:tr>
      <w:tr w14:paraId="04012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50D2A2B">
            <w:pPr>
              <w:widowControl w:val="0"/>
              <w:adjustRightInd w:val="0"/>
              <w:snapToGrid w:val="0"/>
              <w:jc w:val="center"/>
              <w:rPr>
                <w:snapToGrid w:val="0"/>
                <w:color w:val="auto"/>
                <w:kern w:val="0"/>
                <w:highlight w:val="none"/>
              </w:rPr>
            </w:pPr>
            <w:r>
              <w:rPr>
                <w:rFonts w:hint="eastAsia"/>
                <w:snapToGrid w:val="0"/>
                <w:color w:val="auto"/>
                <w:kern w:val="0"/>
                <w:highlight w:val="none"/>
              </w:rPr>
              <w:t>J13</w:t>
            </w:r>
          </w:p>
        </w:tc>
        <w:tc>
          <w:tcPr>
            <w:tcW w:w="1770" w:type="dxa"/>
            <w:tcMar>
              <w:top w:w="0" w:type="dxa"/>
              <w:left w:w="108" w:type="dxa"/>
              <w:bottom w:w="0" w:type="dxa"/>
              <w:right w:w="108" w:type="dxa"/>
            </w:tcMar>
            <w:vAlign w:val="center"/>
          </w:tcPr>
          <w:p w14:paraId="05177869">
            <w:pPr>
              <w:widowControl w:val="0"/>
              <w:adjustRightInd w:val="0"/>
              <w:snapToGrid w:val="0"/>
              <w:jc w:val="center"/>
              <w:rPr>
                <w:snapToGrid w:val="0"/>
                <w:color w:val="auto"/>
                <w:kern w:val="0"/>
                <w:highlight w:val="none"/>
              </w:rPr>
            </w:pPr>
            <w:r>
              <w:rPr>
                <w:rFonts w:hint="eastAsia"/>
                <w:snapToGrid w:val="0"/>
                <w:color w:val="auto"/>
                <w:kern w:val="0"/>
                <w:highlight w:val="none"/>
              </w:rPr>
              <w:t>3266142.17</w:t>
            </w:r>
          </w:p>
        </w:tc>
        <w:tc>
          <w:tcPr>
            <w:tcW w:w="1725" w:type="dxa"/>
            <w:tcMar>
              <w:top w:w="0" w:type="dxa"/>
              <w:left w:w="108" w:type="dxa"/>
              <w:bottom w:w="0" w:type="dxa"/>
              <w:right w:w="108" w:type="dxa"/>
            </w:tcMar>
            <w:vAlign w:val="center"/>
          </w:tcPr>
          <w:p w14:paraId="7072FDE1">
            <w:pPr>
              <w:widowControl w:val="0"/>
              <w:adjustRightInd w:val="0"/>
              <w:snapToGrid w:val="0"/>
              <w:jc w:val="center"/>
              <w:rPr>
                <w:snapToGrid w:val="0"/>
                <w:color w:val="auto"/>
                <w:kern w:val="0"/>
                <w:highlight w:val="none"/>
              </w:rPr>
            </w:pPr>
            <w:r>
              <w:rPr>
                <w:rFonts w:hint="eastAsia"/>
                <w:snapToGrid w:val="0"/>
                <w:color w:val="auto"/>
                <w:kern w:val="0"/>
                <w:highlight w:val="none"/>
              </w:rPr>
              <w:t>41398950.05</w:t>
            </w:r>
          </w:p>
        </w:tc>
        <w:tc>
          <w:tcPr>
            <w:tcW w:w="870" w:type="dxa"/>
            <w:tcMar>
              <w:top w:w="0" w:type="dxa"/>
              <w:left w:w="108" w:type="dxa"/>
              <w:bottom w:w="0" w:type="dxa"/>
              <w:right w:w="108" w:type="dxa"/>
            </w:tcMar>
            <w:vAlign w:val="center"/>
          </w:tcPr>
          <w:p w14:paraId="06828140">
            <w:pPr>
              <w:widowControl w:val="0"/>
              <w:adjustRightInd w:val="0"/>
              <w:snapToGrid w:val="0"/>
              <w:jc w:val="center"/>
              <w:rPr>
                <w:snapToGrid w:val="0"/>
                <w:color w:val="auto"/>
                <w:kern w:val="0"/>
                <w:highlight w:val="none"/>
              </w:rPr>
            </w:pPr>
            <w:r>
              <w:rPr>
                <w:rFonts w:hint="eastAsia"/>
                <w:snapToGrid w:val="0"/>
                <w:color w:val="auto"/>
                <w:kern w:val="0"/>
                <w:highlight w:val="none"/>
              </w:rPr>
              <w:t>J74</w:t>
            </w:r>
          </w:p>
        </w:tc>
        <w:tc>
          <w:tcPr>
            <w:tcW w:w="1590" w:type="dxa"/>
            <w:tcMar>
              <w:top w:w="0" w:type="dxa"/>
              <w:left w:w="108" w:type="dxa"/>
              <w:bottom w:w="0" w:type="dxa"/>
              <w:right w:w="108" w:type="dxa"/>
            </w:tcMar>
            <w:vAlign w:val="center"/>
          </w:tcPr>
          <w:p w14:paraId="57A525ED">
            <w:pPr>
              <w:widowControl w:val="0"/>
              <w:adjustRightInd w:val="0"/>
              <w:snapToGrid w:val="0"/>
              <w:jc w:val="center"/>
              <w:rPr>
                <w:snapToGrid w:val="0"/>
                <w:color w:val="auto"/>
                <w:kern w:val="0"/>
                <w:highlight w:val="none"/>
              </w:rPr>
            </w:pPr>
            <w:r>
              <w:rPr>
                <w:rFonts w:hint="eastAsia"/>
                <w:snapToGrid w:val="0"/>
                <w:color w:val="auto"/>
                <w:kern w:val="0"/>
                <w:highlight w:val="none"/>
              </w:rPr>
              <w:t>3265941.21</w:t>
            </w:r>
          </w:p>
        </w:tc>
        <w:tc>
          <w:tcPr>
            <w:tcW w:w="1681" w:type="dxa"/>
            <w:tcMar>
              <w:top w:w="0" w:type="dxa"/>
              <w:left w:w="108" w:type="dxa"/>
              <w:bottom w:w="0" w:type="dxa"/>
              <w:right w:w="108" w:type="dxa"/>
            </w:tcMar>
            <w:vAlign w:val="center"/>
          </w:tcPr>
          <w:p w14:paraId="75ACDF58">
            <w:pPr>
              <w:widowControl w:val="0"/>
              <w:adjustRightInd w:val="0"/>
              <w:snapToGrid w:val="0"/>
              <w:jc w:val="center"/>
              <w:rPr>
                <w:snapToGrid w:val="0"/>
                <w:color w:val="auto"/>
                <w:kern w:val="0"/>
                <w:highlight w:val="none"/>
              </w:rPr>
            </w:pPr>
            <w:r>
              <w:rPr>
                <w:rFonts w:hint="eastAsia"/>
                <w:snapToGrid w:val="0"/>
                <w:color w:val="auto"/>
                <w:kern w:val="0"/>
                <w:highlight w:val="none"/>
              </w:rPr>
              <w:t>41398641.72</w:t>
            </w:r>
          </w:p>
        </w:tc>
      </w:tr>
      <w:tr w14:paraId="1250B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A96CD71">
            <w:pPr>
              <w:widowControl w:val="0"/>
              <w:adjustRightInd w:val="0"/>
              <w:snapToGrid w:val="0"/>
              <w:jc w:val="center"/>
              <w:rPr>
                <w:snapToGrid w:val="0"/>
                <w:color w:val="auto"/>
                <w:kern w:val="0"/>
                <w:highlight w:val="none"/>
              </w:rPr>
            </w:pPr>
            <w:r>
              <w:rPr>
                <w:rFonts w:hint="eastAsia"/>
                <w:snapToGrid w:val="0"/>
                <w:color w:val="auto"/>
                <w:kern w:val="0"/>
                <w:highlight w:val="none"/>
              </w:rPr>
              <w:t>J14</w:t>
            </w:r>
          </w:p>
        </w:tc>
        <w:tc>
          <w:tcPr>
            <w:tcW w:w="1770" w:type="dxa"/>
            <w:tcMar>
              <w:top w:w="0" w:type="dxa"/>
              <w:left w:w="108" w:type="dxa"/>
              <w:bottom w:w="0" w:type="dxa"/>
              <w:right w:w="108" w:type="dxa"/>
            </w:tcMar>
            <w:vAlign w:val="center"/>
          </w:tcPr>
          <w:p w14:paraId="46544290">
            <w:pPr>
              <w:widowControl w:val="0"/>
              <w:adjustRightInd w:val="0"/>
              <w:snapToGrid w:val="0"/>
              <w:jc w:val="center"/>
              <w:rPr>
                <w:snapToGrid w:val="0"/>
                <w:color w:val="auto"/>
                <w:kern w:val="0"/>
                <w:highlight w:val="none"/>
              </w:rPr>
            </w:pPr>
            <w:r>
              <w:rPr>
                <w:rFonts w:hint="eastAsia"/>
                <w:snapToGrid w:val="0"/>
                <w:color w:val="auto"/>
                <w:kern w:val="0"/>
                <w:highlight w:val="none"/>
              </w:rPr>
              <w:t>3266124.56</w:t>
            </w:r>
          </w:p>
        </w:tc>
        <w:tc>
          <w:tcPr>
            <w:tcW w:w="1725" w:type="dxa"/>
            <w:tcMar>
              <w:top w:w="0" w:type="dxa"/>
              <w:left w:w="108" w:type="dxa"/>
              <w:bottom w:w="0" w:type="dxa"/>
              <w:right w:w="108" w:type="dxa"/>
            </w:tcMar>
            <w:vAlign w:val="center"/>
          </w:tcPr>
          <w:p w14:paraId="298A7856">
            <w:pPr>
              <w:widowControl w:val="0"/>
              <w:adjustRightInd w:val="0"/>
              <w:snapToGrid w:val="0"/>
              <w:jc w:val="center"/>
              <w:rPr>
                <w:snapToGrid w:val="0"/>
                <w:color w:val="auto"/>
                <w:kern w:val="0"/>
                <w:highlight w:val="none"/>
              </w:rPr>
            </w:pPr>
            <w:r>
              <w:rPr>
                <w:rFonts w:hint="eastAsia"/>
                <w:snapToGrid w:val="0"/>
                <w:color w:val="auto"/>
                <w:kern w:val="0"/>
                <w:highlight w:val="none"/>
              </w:rPr>
              <w:t>41398954.67</w:t>
            </w:r>
          </w:p>
        </w:tc>
        <w:tc>
          <w:tcPr>
            <w:tcW w:w="870" w:type="dxa"/>
            <w:tcMar>
              <w:top w:w="0" w:type="dxa"/>
              <w:left w:w="108" w:type="dxa"/>
              <w:bottom w:w="0" w:type="dxa"/>
              <w:right w:w="108" w:type="dxa"/>
            </w:tcMar>
            <w:vAlign w:val="center"/>
          </w:tcPr>
          <w:p w14:paraId="403755E8">
            <w:pPr>
              <w:widowControl w:val="0"/>
              <w:adjustRightInd w:val="0"/>
              <w:snapToGrid w:val="0"/>
              <w:jc w:val="center"/>
              <w:rPr>
                <w:snapToGrid w:val="0"/>
                <w:color w:val="auto"/>
                <w:kern w:val="0"/>
                <w:highlight w:val="none"/>
              </w:rPr>
            </w:pPr>
            <w:r>
              <w:rPr>
                <w:rFonts w:hint="eastAsia"/>
                <w:snapToGrid w:val="0"/>
                <w:color w:val="auto"/>
                <w:kern w:val="0"/>
                <w:highlight w:val="none"/>
              </w:rPr>
              <w:t>J75</w:t>
            </w:r>
          </w:p>
        </w:tc>
        <w:tc>
          <w:tcPr>
            <w:tcW w:w="1590" w:type="dxa"/>
            <w:tcMar>
              <w:top w:w="0" w:type="dxa"/>
              <w:left w:w="108" w:type="dxa"/>
              <w:bottom w:w="0" w:type="dxa"/>
              <w:right w:w="108" w:type="dxa"/>
            </w:tcMar>
            <w:vAlign w:val="center"/>
          </w:tcPr>
          <w:p w14:paraId="25E776E1">
            <w:pPr>
              <w:widowControl w:val="0"/>
              <w:adjustRightInd w:val="0"/>
              <w:snapToGrid w:val="0"/>
              <w:jc w:val="center"/>
              <w:rPr>
                <w:snapToGrid w:val="0"/>
                <w:color w:val="auto"/>
                <w:kern w:val="0"/>
                <w:highlight w:val="none"/>
              </w:rPr>
            </w:pPr>
            <w:r>
              <w:rPr>
                <w:rFonts w:hint="eastAsia"/>
                <w:snapToGrid w:val="0"/>
                <w:color w:val="auto"/>
                <w:kern w:val="0"/>
                <w:highlight w:val="none"/>
              </w:rPr>
              <w:t>3265924.23</w:t>
            </w:r>
          </w:p>
        </w:tc>
        <w:tc>
          <w:tcPr>
            <w:tcW w:w="1681" w:type="dxa"/>
            <w:tcMar>
              <w:top w:w="0" w:type="dxa"/>
              <w:left w:w="108" w:type="dxa"/>
              <w:bottom w:w="0" w:type="dxa"/>
              <w:right w:w="108" w:type="dxa"/>
            </w:tcMar>
            <w:vAlign w:val="center"/>
          </w:tcPr>
          <w:p w14:paraId="3BC86829">
            <w:pPr>
              <w:widowControl w:val="0"/>
              <w:adjustRightInd w:val="0"/>
              <w:snapToGrid w:val="0"/>
              <w:jc w:val="center"/>
              <w:rPr>
                <w:snapToGrid w:val="0"/>
                <w:color w:val="auto"/>
                <w:kern w:val="0"/>
                <w:highlight w:val="none"/>
              </w:rPr>
            </w:pPr>
            <w:r>
              <w:rPr>
                <w:rFonts w:hint="eastAsia"/>
                <w:snapToGrid w:val="0"/>
                <w:color w:val="auto"/>
                <w:kern w:val="0"/>
                <w:highlight w:val="none"/>
              </w:rPr>
              <w:t>41398637.23</w:t>
            </w:r>
          </w:p>
        </w:tc>
      </w:tr>
      <w:tr w14:paraId="6FC4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EC578E7">
            <w:pPr>
              <w:widowControl w:val="0"/>
              <w:adjustRightInd w:val="0"/>
              <w:snapToGrid w:val="0"/>
              <w:jc w:val="center"/>
              <w:rPr>
                <w:snapToGrid w:val="0"/>
                <w:color w:val="auto"/>
                <w:kern w:val="0"/>
                <w:highlight w:val="none"/>
              </w:rPr>
            </w:pPr>
            <w:r>
              <w:rPr>
                <w:rFonts w:hint="eastAsia"/>
                <w:snapToGrid w:val="0"/>
                <w:color w:val="auto"/>
                <w:kern w:val="0"/>
                <w:highlight w:val="none"/>
              </w:rPr>
              <w:t>J15</w:t>
            </w:r>
          </w:p>
        </w:tc>
        <w:tc>
          <w:tcPr>
            <w:tcW w:w="1770" w:type="dxa"/>
            <w:tcMar>
              <w:top w:w="0" w:type="dxa"/>
              <w:left w:w="108" w:type="dxa"/>
              <w:bottom w:w="0" w:type="dxa"/>
              <w:right w:w="108" w:type="dxa"/>
            </w:tcMar>
            <w:vAlign w:val="center"/>
          </w:tcPr>
          <w:p w14:paraId="38BC056B">
            <w:pPr>
              <w:widowControl w:val="0"/>
              <w:adjustRightInd w:val="0"/>
              <w:snapToGrid w:val="0"/>
              <w:jc w:val="center"/>
              <w:rPr>
                <w:snapToGrid w:val="0"/>
                <w:color w:val="auto"/>
                <w:kern w:val="0"/>
                <w:highlight w:val="none"/>
              </w:rPr>
            </w:pPr>
            <w:r>
              <w:rPr>
                <w:rFonts w:hint="eastAsia"/>
                <w:snapToGrid w:val="0"/>
                <w:color w:val="auto"/>
                <w:kern w:val="0"/>
                <w:highlight w:val="none"/>
              </w:rPr>
              <w:t>3266113.59</w:t>
            </w:r>
          </w:p>
        </w:tc>
        <w:tc>
          <w:tcPr>
            <w:tcW w:w="1725" w:type="dxa"/>
            <w:tcMar>
              <w:top w:w="0" w:type="dxa"/>
              <w:left w:w="108" w:type="dxa"/>
              <w:bottom w:w="0" w:type="dxa"/>
              <w:right w:w="108" w:type="dxa"/>
            </w:tcMar>
            <w:vAlign w:val="center"/>
          </w:tcPr>
          <w:p w14:paraId="2028A8FF">
            <w:pPr>
              <w:widowControl w:val="0"/>
              <w:adjustRightInd w:val="0"/>
              <w:snapToGrid w:val="0"/>
              <w:jc w:val="center"/>
              <w:rPr>
                <w:snapToGrid w:val="0"/>
                <w:color w:val="auto"/>
                <w:kern w:val="0"/>
                <w:highlight w:val="none"/>
              </w:rPr>
            </w:pPr>
            <w:r>
              <w:rPr>
                <w:rFonts w:hint="eastAsia"/>
                <w:snapToGrid w:val="0"/>
                <w:color w:val="auto"/>
                <w:kern w:val="0"/>
                <w:highlight w:val="none"/>
              </w:rPr>
              <w:t>41398956.17</w:t>
            </w:r>
          </w:p>
        </w:tc>
        <w:tc>
          <w:tcPr>
            <w:tcW w:w="870" w:type="dxa"/>
            <w:tcMar>
              <w:top w:w="0" w:type="dxa"/>
              <w:left w:w="108" w:type="dxa"/>
              <w:bottom w:w="0" w:type="dxa"/>
              <w:right w:w="108" w:type="dxa"/>
            </w:tcMar>
            <w:vAlign w:val="center"/>
          </w:tcPr>
          <w:p w14:paraId="52E81148">
            <w:pPr>
              <w:widowControl w:val="0"/>
              <w:adjustRightInd w:val="0"/>
              <w:snapToGrid w:val="0"/>
              <w:jc w:val="center"/>
              <w:rPr>
                <w:snapToGrid w:val="0"/>
                <w:color w:val="auto"/>
                <w:kern w:val="0"/>
                <w:highlight w:val="none"/>
              </w:rPr>
            </w:pPr>
            <w:r>
              <w:rPr>
                <w:rFonts w:hint="eastAsia"/>
                <w:snapToGrid w:val="0"/>
                <w:color w:val="auto"/>
                <w:kern w:val="0"/>
                <w:highlight w:val="none"/>
              </w:rPr>
              <w:t>J76</w:t>
            </w:r>
          </w:p>
        </w:tc>
        <w:tc>
          <w:tcPr>
            <w:tcW w:w="1590" w:type="dxa"/>
            <w:tcMar>
              <w:top w:w="0" w:type="dxa"/>
              <w:left w:w="108" w:type="dxa"/>
              <w:bottom w:w="0" w:type="dxa"/>
              <w:right w:w="108" w:type="dxa"/>
            </w:tcMar>
            <w:vAlign w:val="center"/>
          </w:tcPr>
          <w:p w14:paraId="2BEBDE69">
            <w:pPr>
              <w:widowControl w:val="0"/>
              <w:adjustRightInd w:val="0"/>
              <w:snapToGrid w:val="0"/>
              <w:jc w:val="center"/>
              <w:rPr>
                <w:snapToGrid w:val="0"/>
                <w:color w:val="auto"/>
                <w:kern w:val="0"/>
                <w:highlight w:val="none"/>
              </w:rPr>
            </w:pPr>
            <w:r>
              <w:rPr>
                <w:rFonts w:hint="eastAsia"/>
                <w:snapToGrid w:val="0"/>
                <w:color w:val="auto"/>
                <w:kern w:val="0"/>
                <w:highlight w:val="none"/>
              </w:rPr>
              <w:t>3265913.81</w:t>
            </w:r>
          </w:p>
        </w:tc>
        <w:tc>
          <w:tcPr>
            <w:tcW w:w="1681" w:type="dxa"/>
            <w:tcMar>
              <w:top w:w="0" w:type="dxa"/>
              <w:left w:w="108" w:type="dxa"/>
              <w:bottom w:w="0" w:type="dxa"/>
              <w:right w:w="108" w:type="dxa"/>
            </w:tcMar>
            <w:vAlign w:val="center"/>
          </w:tcPr>
          <w:p w14:paraId="12C0212A">
            <w:pPr>
              <w:widowControl w:val="0"/>
              <w:adjustRightInd w:val="0"/>
              <w:snapToGrid w:val="0"/>
              <w:jc w:val="center"/>
              <w:rPr>
                <w:snapToGrid w:val="0"/>
                <w:color w:val="auto"/>
                <w:kern w:val="0"/>
                <w:highlight w:val="none"/>
              </w:rPr>
            </w:pPr>
            <w:r>
              <w:rPr>
                <w:rFonts w:hint="eastAsia"/>
                <w:snapToGrid w:val="0"/>
                <w:color w:val="auto"/>
                <w:kern w:val="0"/>
                <w:highlight w:val="none"/>
              </w:rPr>
              <w:t>41398635.91</w:t>
            </w:r>
          </w:p>
        </w:tc>
      </w:tr>
      <w:tr w14:paraId="0746D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1989CE0">
            <w:pPr>
              <w:widowControl w:val="0"/>
              <w:adjustRightInd w:val="0"/>
              <w:snapToGrid w:val="0"/>
              <w:jc w:val="center"/>
              <w:rPr>
                <w:snapToGrid w:val="0"/>
                <w:color w:val="auto"/>
                <w:kern w:val="0"/>
                <w:highlight w:val="none"/>
              </w:rPr>
            </w:pPr>
            <w:r>
              <w:rPr>
                <w:rFonts w:hint="eastAsia"/>
                <w:snapToGrid w:val="0"/>
                <w:color w:val="auto"/>
                <w:kern w:val="0"/>
                <w:highlight w:val="none"/>
              </w:rPr>
              <w:t>J16</w:t>
            </w:r>
          </w:p>
        </w:tc>
        <w:tc>
          <w:tcPr>
            <w:tcW w:w="1770" w:type="dxa"/>
            <w:tcMar>
              <w:top w:w="0" w:type="dxa"/>
              <w:left w:w="108" w:type="dxa"/>
              <w:bottom w:w="0" w:type="dxa"/>
              <w:right w:w="108" w:type="dxa"/>
            </w:tcMar>
            <w:vAlign w:val="center"/>
          </w:tcPr>
          <w:p w14:paraId="06C71F03">
            <w:pPr>
              <w:widowControl w:val="0"/>
              <w:adjustRightInd w:val="0"/>
              <w:snapToGrid w:val="0"/>
              <w:jc w:val="center"/>
              <w:rPr>
                <w:snapToGrid w:val="0"/>
                <w:color w:val="auto"/>
                <w:kern w:val="0"/>
                <w:highlight w:val="none"/>
              </w:rPr>
            </w:pPr>
            <w:r>
              <w:rPr>
                <w:rFonts w:hint="eastAsia"/>
                <w:snapToGrid w:val="0"/>
                <w:color w:val="auto"/>
                <w:kern w:val="0"/>
                <w:highlight w:val="none"/>
              </w:rPr>
              <w:t>3266107.06</w:t>
            </w:r>
          </w:p>
        </w:tc>
        <w:tc>
          <w:tcPr>
            <w:tcW w:w="1725" w:type="dxa"/>
            <w:tcMar>
              <w:top w:w="0" w:type="dxa"/>
              <w:left w:w="108" w:type="dxa"/>
              <w:bottom w:w="0" w:type="dxa"/>
              <w:right w:w="108" w:type="dxa"/>
            </w:tcMar>
            <w:vAlign w:val="center"/>
          </w:tcPr>
          <w:p w14:paraId="1FFD5D48">
            <w:pPr>
              <w:widowControl w:val="0"/>
              <w:adjustRightInd w:val="0"/>
              <w:snapToGrid w:val="0"/>
              <w:jc w:val="center"/>
              <w:rPr>
                <w:snapToGrid w:val="0"/>
                <w:color w:val="auto"/>
                <w:kern w:val="0"/>
                <w:highlight w:val="none"/>
              </w:rPr>
            </w:pPr>
            <w:r>
              <w:rPr>
                <w:rFonts w:hint="eastAsia"/>
                <w:snapToGrid w:val="0"/>
                <w:color w:val="auto"/>
                <w:kern w:val="0"/>
                <w:highlight w:val="none"/>
              </w:rPr>
              <w:t>41398957.65</w:t>
            </w:r>
          </w:p>
        </w:tc>
        <w:tc>
          <w:tcPr>
            <w:tcW w:w="870" w:type="dxa"/>
            <w:tcMar>
              <w:top w:w="0" w:type="dxa"/>
              <w:left w:w="108" w:type="dxa"/>
              <w:bottom w:w="0" w:type="dxa"/>
              <w:right w:w="108" w:type="dxa"/>
            </w:tcMar>
            <w:vAlign w:val="center"/>
          </w:tcPr>
          <w:p w14:paraId="55F0468E">
            <w:pPr>
              <w:widowControl w:val="0"/>
              <w:adjustRightInd w:val="0"/>
              <w:snapToGrid w:val="0"/>
              <w:jc w:val="center"/>
              <w:rPr>
                <w:snapToGrid w:val="0"/>
                <w:color w:val="auto"/>
                <w:kern w:val="0"/>
                <w:highlight w:val="none"/>
              </w:rPr>
            </w:pPr>
            <w:r>
              <w:rPr>
                <w:rFonts w:hint="eastAsia"/>
                <w:snapToGrid w:val="0"/>
                <w:color w:val="auto"/>
                <w:kern w:val="0"/>
                <w:highlight w:val="none"/>
              </w:rPr>
              <w:t>J77</w:t>
            </w:r>
          </w:p>
        </w:tc>
        <w:tc>
          <w:tcPr>
            <w:tcW w:w="1590" w:type="dxa"/>
            <w:tcMar>
              <w:top w:w="0" w:type="dxa"/>
              <w:left w:w="108" w:type="dxa"/>
              <w:bottom w:w="0" w:type="dxa"/>
              <w:right w:w="108" w:type="dxa"/>
            </w:tcMar>
            <w:vAlign w:val="center"/>
          </w:tcPr>
          <w:p w14:paraId="7DCFA6A6">
            <w:pPr>
              <w:widowControl w:val="0"/>
              <w:adjustRightInd w:val="0"/>
              <w:snapToGrid w:val="0"/>
              <w:jc w:val="center"/>
              <w:rPr>
                <w:snapToGrid w:val="0"/>
                <w:color w:val="auto"/>
                <w:kern w:val="0"/>
                <w:highlight w:val="none"/>
              </w:rPr>
            </w:pPr>
            <w:r>
              <w:rPr>
                <w:rFonts w:hint="eastAsia"/>
                <w:snapToGrid w:val="0"/>
                <w:color w:val="auto"/>
                <w:kern w:val="0"/>
                <w:highlight w:val="none"/>
              </w:rPr>
              <w:t>3265905.77</w:t>
            </w:r>
          </w:p>
        </w:tc>
        <w:tc>
          <w:tcPr>
            <w:tcW w:w="1681" w:type="dxa"/>
            <w:tcMar>
              <w:top w:w="0" w:type="dxa"/>
              <w:left w:w="108" w:type="dxa"/>
              <w:bottom w:w="0" w:type="dxa"/>
              <w:right w:w="108" w:type="dxa"/>
            </w:tcMar>
            <w:vAlign w:val="center"/>
          </w:tcPr>
          <w:p w14:paraId="2239322E">
            <w:pPr>
              <w:widowControl w:val="0"/>
              <w:adjustRightInd w:val="0"/>
              <w:snapToGrid w:val="0"/>
              <w:jc w:val="center"/>
              <w:rPr>
                <w:snapToGrid w:val="0"/>
                <w:color w:val="auto"/>
                <w:kern w:val="0"/>
                <w:highlight w:val="none"/>
              </w:rPr>
            </w:pPr>
            <w:r>
              <w:rPr>
                <w:rFonts w:hint="eastAsia"/>
                <w:snapToGrid w:val="0"/>
                <w:color w:val="auto"/>
                <w:kern w:val="0"/>
                <w:highlight w:val="none"/>
              </w:rPr>
              <w:t>41398634.97</w:t>
            </w:r>
          </w:p>
        </w:tc>
      </w:tr>
      <w:tr w14:paraId="4638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4884F96">
            <w:pPr>
              <w:widowControl w:val="0"/>
              <w:adjustRightInd w:val="0"/>
              <w:snapToGrid w:val="0"/>
              <w:jc w:val="center"/>
              <w:rPr>
                <w:snapToGrid w:val="0"/>
                <w:color w:val="auto"/>
                <w:kern w:val="0"/>
                <w:highlight w:val="none"/>
              </w:rPr>
            </w:pPr>
            <w:r>
              <w:rPr>
                <w:rFonts w:hint="eastAsia"/>
                <w:snapToGrid w:val="0"/>
                <w:color w:val="auto"/>
                <w:kern w:val="0"/>
                <w:highlight w:val="none"/>
              </w:rPr>
              <w:t>J17</w:t>
            </w:r>
          </w:p>
        </w:tc>
        <w:tc>
          <w:tcPr>
            <w:tcW w:w="1770" w:type="dxa"/>
            <w:tcMar>
              <w:top w:w="0" w:type="dxa"/>
              <w:left w:w="108" w:type="dxa"/>
              <w:bottom w:w="0" w:type="dxa"/>
              <w:right w:w="108" w:type="dxa"/>
            </w:tcMar>
            <w:vAlign w:val="center"/>
          </w:tcPr>
          <w:p w14:paraId="3C620E13">
            <w:pPr>
              <w:widowControl w:val="0"/>
              <w:adjustRightInd w:val="0"/>
              <w:snapToGrid w:val="0"/>
              <w:jc w:val="center"/>
              <w:rPr>
                <w:snapToGrid w:val="0"/>
                <w:color w:val="auto"/>
                <w:kern w:val="0"/>
                <w:highlight w:val="none"/>
              </w:rPr>
            </w:pPr>
            <w:r>
              <w:rPr>
                <w:rFonts w:hint="eastAsia"/>
                <w:snapToGrid w:val="0"/>
                <w:color w:val="auto"/>
                <w:kern w:val="0"/>
                <w:highlight w:val="none"/>
              </w:rPr>
              <w:t>3266099.85</w:t>
            </w:r>
          </w:p>
        </w:tc>
        <w:tc>
          <w:tcPr>
            <w:tcW w:w="1725" w:type="dxa"/>
            <w:tcMar>
              <w:top w:w="0" w:type="dxa"/>
              <w:left w:w="108" w:type="dxa"/>
              <w:bottom w:w="0" w:type="dxa"/>
              <w:right w:w="108" w:type="dxa"/>
            </w:tcMar>
            <w:vAlign w:val="center"/>
          </w:tcPr>
          <w:p w14:paraId="18C2CDEA">
            <w:pPr>
              <w:widowControl w:val="0"/>
              <w:adjustRightInd w:val="0"/>
              <w:snapToGrid w:val="0"/>
              <w:jc w:val="center"/>
              <w:rPr>
                <w:snapToGrid w:val="0"/>
                <w:color w:val="auto"/>
                <w:kern w:val="0"/>
                <w:highlight w:val="none"/>
              </w:rPr>
            </w:pPr>
            <w:r>
              <w:rPr>
                <w:rFonts w:hint="eastAsia"/>
                <w:snapToGrid w:val="0"/>
                <w:color w:val="auto"/>
                <w:kern w:val="0"/>
                <w:highlight w:val="none"/>
              </w:rPr>
              <w:t>41398957.19</w:t>
            </w:r>
          </w:p>
        </w:tc>
        <w:tc>
          <w:tcPr>
            <w:tcW w:w="870" w:type="dxa"/>
            <w:tcMar>
              <w:top w:w="0" w:type="dxa"/>
              <w:left w:w="108" w:type="dxa"/>
              <w:bottom w:w="0" w:type="dxa"/>
              <w:right w:w="108" w:type="dxa"/>
            </w:tcMar>
            <w:vAlign w:val="center"/>
          </w:tcPr>
          <w:p w14:paraId="046249C7">
            <w:pPr>
              <w:widowControl w:val="0"/>
              <w:adjustRightInd w:val="0"/>
              <w:snapToGrid w:val="0"/>
              <w:jc w:val="center"/>
              <w:rPr>
                <w:snapToGrid w:val="0"/>
                <w:color w:val="auto"/>
                <w:kern w:val="0"/>
                <w:highlight w:val="none"/>
              </w:rPr>
            </w:pPr>
            <w:r>
              <w:rPr>
                <w:rFonts w:hint="eastAsia"/>
                <w:snapToGrid w:val="0"/>
                <w:color w:val="auto"/>
                <w:kern w:val="0"/>
                <w:highlight w:val="none"/>
              </w:rPr>
              <w:t>J78</w:t>
            </w:r>
          </w:p>
        </w:tc>
        <w:tc>
          <w:tcPr>
            <w:tcW w:w="1590" w:type="dxa"/>
            <w:tcMar>
              <w:top w:w="0" w:type="dxa"/>
              <w:left w:w="108" w:type="dxa"/>
              <w:bottom w:w="0" w:type="dxa"/>
              <w:right w:w="108" w:type="dxa"/>
            </w:tcMar>
            <w:vAlign w:val="center"/>
          </w:tcPr>
          <w:p w14:paraId="49B4FA82">
            <w:pPr>
              <w:widowControl w:val="0"/>
              <w:adjustRightInd w:val="0"/>
              <w:snapToGrid w:val="0"/>
              <w:jc w:val="center"/>
              <w:rPr>
                <w:snapToGrid w:val="0"/>
                <w:color w:val="auto"/>
                <w:kern w:val="0"/>
                <w:highlight w:val="none"/>
              </w:rPr>
            </w:pPr>
            <w:r>
              <w:rPr>
                <w:rFonts w:hint="eastAsia"/>
                <w:snapToGrid w:val="0"/>
                <w:color w:val="auto"/>
                <w:kern w:val="0"/>
                <w:highlight w:val="none"/>
              </w:rPr>
              <w:t>3265896.95</w:t>
            </w:r>
          </w:p>
        </w:tc>
        <w:tc>
          <w:tcPr>
            <w:tcW w:w="1681" w:type="dxa"/>
            <w:tcMar>
              <w:top w:w="0" w:type="dxa"/>
              <w:left w:w="108" w:type="dxa"/>
              <w:bottom w:w="0" w:type="dxa"/>
              <w:right w:w="108" w:type="dxa"/>
            </w:tcMar>
            <w:vAlign w:val="center"/>
          </w:tcPr>
          <w:p w14:paraId="3EFB354D">
            <w:pPr>
              <w:widowControl w:val="0"/>
              <w:adjustRightInd w:val="0"/>
              <w:snapToGrid w:val="0"/>
              <w:jc w:val="center"/>
              <w:rPr>
                <w:snapToGrid w:val="0"/>
                <w:color w:val="auto"/>
                <w:kern w:val="0"/>
                <w:highlight w:val="none"/>
              </w:rPr>
            </w:pPr>
            <w:r>
              <w:rPr>
                <w:rFonts w:hint="eastAsia"/>
                <w:snapToGrid w:val="0"/>
                <w:color w:val="auto"/>
                <w:kern w:val="0"/>
                <w:highlight w:val="none"/>
              </w:rPr>
              <w:t>41398633.94</w:t>
            </w:r>
          </w:p>
        </w:tc>
      </w:tr>
      <w:tr w14:paraId="2BD03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7CF5D74">
            <w:pPr>
              <w:widowControl w:val="0"/>
              <w:adjustRightInd w:val="0"/>
              <w:snapToGrid w:val="0"/>
              <w:jc w:val="center"/>
              <w:rPr>
                <w:snapToGrid w:val="0"/>
                <w:color w:val="auto"/>
                <w:kern w:val="0"/>
                <w:highlight w:val="none"/>
              </w:rPr>
            </w:pPr>
            <w:r>
              <w:rPr>
                <w:rFonts w:hint="eastAsia"/>
                <w:snapToGrid w:val="0"/>
                <w:color w:val="auto"/>
                <w:kern w:val="0"/>
                <w:highlight w:val="none"/>
              </w:rPr>
              <w:t>J18</w:t>
            </w:r>
          </w:p>
        </w:tc>
        <w:tc>
          <w:tcPr>
            <w:tcW w:w="1770" w:type="dxa"/>
            <w:tcMar>
              <w:top w:w="0" w:type="dxa"/>
              <w:left w:w="108" w:type="dxa"/>
              <w:bottom w:w="0" w:type="dxa"/>
              <w:right w:w="108" w:type="dxa"/>
            </w:tcMar>
            <w:vAlign w:val="center"/>
          </w:tcPr>
          <w:p w14:paraId="3940CD75">
            <w:pPr>
              <w:widowControl w:val="0"/>
              <w:adjustRightInd w:val="0"/>
              <w:snapToGrid w:val="0"/>
              <w:jc w:val="center"/>
              <w:rPr>
                <w:snapToGrid w:val="0"/>
                <w:color w:val="auto"/>
                <w:kern w:val="0"/>
                <w:highlight w:val="none"/>
              </w:rPr>
            </w:pPr>
            <w:r>
              <w:rPr>
                <w:rFonts w:hint="eastAsia"/>
                <w:snapToGrid w:val="0"/>
                <w:color w:val="auto"/>
                <w:kern w:val="0"/>
                <w:highlight w:val="none"/>
              </w:rPr>
              <w:t>3266092.54</w:t>
            </w:r>
          </w:p>
        </w:tc>
        <w:tc>
          <w:tcPr>
            <w:tcW w:w="1725" w:type="dxa"/>
            <w:tcMar>
              <w:top w:w="0" w:type="dxa"/>
              <w:left w:w="108" w:type="dxa"/>
              <w:bottom w:w="0" w:type="dxa"/>
              <w:right w:w="108" w:type="dxa"/>
            </w:tcMar>
            <w:vAlign w:val="center"/>
          </w:tcPr>
          <w:p w14:paraId="0616E2B1">
            <w:pPr>
              <w:widowControl w:val="0"/>
              <w:adjustRightInd w:val="0"/>
              <w:snapToGrid w:val="0"/>
              <w:jc w:val="center"/>
              <w:rPr>
                <w:snapToGrid w:val="0"/>
                <w:color w:val="auto"/>
                <w:kern w:val="0"/>
                <w:highlight w:val="none"/>
              </w:rPr>
            </w:pPr>
            <w:r>
              <w:rPr>
                <w:rFonts w:hint="eastAsia"/>
                <w:snapToGrid w:val="0"/>
                <w:color w:val="auto"/>
                <w:kern w:val="0"/>
                <w:highlight w:val="none"/>
              </w:rPr>
              <w:t>41398957.90</w:t>
            </w:r>
          </w:p>
        </w:tc>
        <w:tc>
          <w:tcPr>
            <w:tcW w:w="870" w:type="dxa"/>
            <w:tcMar>
              <w:top w:w="0" w:type="dxa"/>
              <w:left w:w="108" w:type="dxa"/>
              <w:bottom w:w="0" w:type="dxa"/>
              <w:right w:w="108" w:type="dxa"/>
            </w:tcMar>
            <w:vAlign w:val="center"/>
          </w:tcPr>
          <w:p w14:paraId="370343F8">
            <w:pPr>
              <w:widowControl w:val="0"/>
              <w:adjustRightInd w:val="0"/>
              <w:snapToGrid w:val="0"/>
              <w:jc w:val="center"/>
              <w:rPr>
                <w:snapToGrid w:val="0"/>
                <w:color w:val="auto"/>
                <w:kern w:val="0"/>
                <w:highlight w:val="none"/>
              </w:rPr>
            </w:pPr>
            <w:r>
              <w:rPr>
                <w:rFonts w:hint="eastAsia"/>
                <w:snapToGrid w:val="0"/>
                <w:color w:val="auto"/>
                <w:kern w:val="0"/>
                <w:highlight w:val="none"/>
              </w:rPr>
              <w:t>J79</w:t>
            </w:r>
          </w:p>
        </w:tc>
        <w:tc>
          <w:tcPr>
            <w:tcW w:w="1590" w:type="dxa"/>
            <w:tcMar>
              <w:top w:w="0" w:type="dxa"/>
              <w:left w:w="108" w:type="dxa"/>
              <w:bottom w:w="0" w:type="dxa"/>
              <w:right w:w="108" w:type="dxa"/>
            </w:tcMar>
            <w:vAlign w:val="center"/>
          </w:tcPr>
          <w:p w14:paraId="13534641">
            <w:pPr>
              <w:widowControl w:val="0"/>
              <w:adjustRightInd w:val="0"/>
              <w:snapToGrid w:val="0"/>
              <w:jc w:val="center"/>
              <w:rPr>
                <w:snapToGrid w:val="0"/>
                <w:color w:val="auto"/>
                <w:kern w:val="0"/>
                <w:highlight w:val="none"/>
              </w:rPr>
            </w:pPr>
            <w:r>
              <w:rPr>
                <w:rFonts w:hint="eastAsia"/>
                <w:snapToGrid w:val="0"/>
                <w:color w:val="auto"/>
                <w:kern w:val="0"/>
                <w:highlight w:val="none"/>
              </w:rPr>
              <w:t>3265890.75</w:t>
            </w:r>
          </w:p>
        </w:tc>
        <w:tc>
          <w:tcPr>
            <w:tcW w:w="1681" w:type="dxa"/>
            <w:tcMar>
              <w:top w:w="0" w:type="dxa"/>
              <w:left w:w="108" w:type="dxa"/>
              <w:bottom w:w="0" w:type="dxa"/>
              <w:right w:w="108" w:type="dxa"/>
            </w:tcMar>
            <w:vAlign w:val="center"/>
          </w:tcPr>
          <w:p w14:paraId="7CBAF830">
            <w:pPr>
              <w:widowControl w:val="0"/>
              <w:adjustRightInd w:val="0"/>
              <w:snapToGrid w:val="0"/>
              <w:jc w:val="center"/>
              <w:rPr>
                <w:snapToGrid w:val="0"/>
                <w:color w:val="auto"/>
                <w:kern w:val="0"/>
                <w:highlight w:val="none"/>
              </w:rPr>
            </w:pPr>
            <w:r>
              <w:rPr>
                <w:rFonts w:hint="eastAsia"/>
                <w:snapToGrid w:val="0"/>
                <w:color w:val="auto"/>
                <w:kern w:val="0"/>
                <w:highlight w:val="none"/>
              </w:rPr>
              <w:t>41398634.65</w:t>
            </w:r>
          </w:p>
        </w:tc>
      </w:tr>
      <w:tr w14:paraId="4070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E8F4261">
            <w:pPr>
              <w:widowControl w:val="0"/>
              <w:adjustRightInd w:val="0"/>
              <w:snapToGrid w:val="0"/>
              <w:jc w:val="center"/>
              <w:rPr>
                <w:snapToGrid w:val="0"/>
                <w:color w:val="auto"/>
                <w:kern w:val="0"/>
                <w:highlight w:val="none"/>
              </w:rPr>
            </w:pPr>
            <w:r>
              <w:rPr>
                <w:rFonts w:hint="eastAsia"/>
                <w:snapToGrid w:val="0"/>
                <w:color w:val="auto"/>
                <w:kern w:val="0"/>
                <w:highlight w:val="none"/>
              </w:rPr>
              <w:t>J19</w:t>
            </w:r>
          </w:p>
        </w:tc>
        <w:tc>
          <w:tcPr>
            <w:tcW w:w="1770" w:type="dxa"/>
            <w:tcMar>
              <w:top w:w="0" w:type="dxa"/>
              <w:left w:w="108" w:type="dxa"/>
              <w:bottom w:w="0" w:type="dxa"/>
              <w:right w:w="108" w:type="dxa"/>
            </w:tcMar>
            <w:vAlign w:val="center"/>
          </w:tcPr>
          <w:p w14:paraId="08F262DA">
            <w:pPr>
              <w:widowControl w:val="0"/>
              <w:adjustRightInd w:val="0"/>
              <w:snapToGrid w:val="0"/>
              <w:jc w:val="center"/>
              <w:rPr>
                <w:snapToGrid w:val="0"/>
                <w:color w:val="auto"/>
                <w:kern w:val="0"/>
                <w:highlight w:val="none"/>
              </w:rPr>
            </w:pPr>
            <w:r>
              <w:rPr>
                <w:rFonts w:hint="eastAsia"/>
                <w:snapToGrid w:val="0"/>
                <w:color w:val="auto"/>
                <w:kern w:val="0"/>
                <w:highlight w:val="none"/>
              </w:rPr>
              <w:t>3266083.23</w:t>
            </w:r>
          </w:p>
        </w:tc>
        <w:tc>
          <w:tcPr>
            <w:tcW w:w="1725" w:type="dxa"/>
            <w:tcMar>
              <w:top w:w="0" w:type="dxa"/>
              <w:left w:w="108" w:type="dxa"/>
              <w:bottom w:w="0" w:type="dxa"/>
              <w:right w:w="108" w:type="dxa"/>
            </w:tcMar>
            <w:vAlign w:val="center"/>
          </w:tcPr>
          <w:p w14:paraId="55C6EFFA">
            <w:pPr>
              <w:widowControl w:val="0"/>
              <w:adjustRightInd w:val="0"/>
              <w:snapToGrid w:val="0"/>
              <w:jc w:val="center"/>
              <w:rPr>
                <w:snapToGrid w:val="0"/>
                <w:color w:val="auto"/>
                <w:kern w:val="0"/>
                <w:highlight w:val="none"/>
              </w:rPr>
            </w:pPr>
            <w:r>
              <w:rPr>
                <w:rFonts w:hint="eastAsia"/>
                <w:snapToGrid w:val="0"/>
                <w:color w:val="auto"/>
                <w:kern w:val="0"/>
                <w:highlight w:val="none"/>
              </w:rPr>
              <w:t>41398958.03</w:t>
            </w:r>
          </w:p>
        </w:tc>
        <w:tc>
          <w:tcPr>
            <w:tcW w:w="870" w:type="dxa"/>
            <w:tcMar>
              <w:top w:w="0" w:type="dxa"/>
              <w:left w:w="108" w:type="dxa"/>
              <w:bottom w:w="0" w:type="dxa"/>
              <w:right w:w="108" w:type="dxa"/>
            </w:tcMar>
            <w:vAlign w:val="center"/>
          </w:tcPr>
          <w:p w14:paraId="4BF13F28">
            <w:pPr>
              <w:widowControl w:val="0"/>
              <w:adjustRightInd w:val="0"/>
              <w:snapToGrid w:val="0"/>
              <w:jc w:val="center"/>
              <w:rPr>
                <w:snapToGrid w:val="0"/>
                <w:color w:val="auto"/>
                <w:kern w:val="0"/>
                <w:highlight w:val="none"/>
              </w:rPr>
            </w:pPr>
            <w:r>
              <w:rPr>
                <w:rFonts w:hint="eastAsia"/>
                <w:snapToGrid w:val="0"/>
                <w:color w:val="auto"/>
                <w:kern w:val="0"/>
                <w:highlight w:val="none"/>
              </w:rPr>
              <w:t>J80</w:t>
            </w:r>
          </w:p>
        </w:tc>
        <w:tc>
          <w:tcPr>
            <w:tcW w:w="1590" w:type="dxa"/>
            <w:tcMar>
              <w:top w:w="0" w:type="dxa"/>
              <w:left w:w="108" w:type="dxa"/>
              <w:bottom w:w="0" w:type="dxa"/>
              <w:right w:w="108" w:type="dxa"/>
            </w:tcMar>
            <w:vAlign w:val="center"/>
          </w:tcPr>
          <w:p w14:paraId="0110CC9C">
            <w:pPr>
              <w:widowControl w:val="0"/>
              <w:adjustRightInd w:val="0"/>
              <w:snapToGrid w:val="0"/>
              <w:jc w:val="center"/>
              <w:rPr>
                <w:snapToGrid w:val="0"/>
                <w:color w:val="auto"/>
                <w:kern w:val="0"/>
                <w:highlight w:val="none"/>
              </w:rPr>
            </w:pPr>
            <w:r>
              <w:rPr>
                <w:rFonts w:hint="eastAsia"/>
                <w:snapToGrid w:val="0"/>
                <w:color w:val="auto"/>
                <w:kern w:val="0"/>
                <w:highlight w:val="none"/>
              </w:rPr>
              <w:t>3265887.09</w:t>
            </w:r>
          </w:p>
        </w:tc>
        <w:tc>
          <w:tcPr>
            <w:tcW w:w="1681" w:type="dxa"/>
            <w:tcMar>
              <w:top w:w="0" w:type="dxa"/>
              <w:left w:w="108" w:type="dxa"/>
              <w:bottom w:w="0" w:type="dxa"/>
              <w:right w:w="108" w:type="dxa"/>
            </w:tcMar>
            <w:vAlign w:val="center"/>
          </w:tcPr>
          <w:p w14:paraId="7C861F6F">
            <w:pPr>
              <w:widowControl w:val="0"/>
              <w:adjustRightInd w:val="0"/>
              <w:snapToGrid w:val="0"/>
              <w:jc w:val="center"/>
              <w:rPr>
                <w:snapToGrid w:val="0"/>
                <w:color w:val="auto"/>
                <w:kern w:val="0"/>
                <w:highlight w:val="none"/>
              </w:rPr>
            </w:pPr>
            <w:r>
              <w:rPr>
                <w:rFonts w:hint="eastAsia"/>
                <w:snapToGrid w:val="0"/>
                <w:color w:val="auto"/>
                <w:kern w:val="0"/>
                <w:highlight w:val="none"/>
              </w:rPr>
              <w:t>41398636.31</w:t>
            </w:r>
          </w:p>
        </w:tc>
      </w:tr>
      <w:tr w14:paraId="7778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7C036B5">
            <w:pPr>
              <w:widowControl w:val="0"/>
              <w:adjustRightInd w:val="0"/>
              <w:snapToGrid w:val="0"/>
              <w:jc w:val="center"/>
              <w:rPr>
                <w:snapToGrid w:val="0"/>
                <w:color w:val="auto"/>
                <w:kern w:val="0"/>
                <w:highlight w:val="none"/>
              </w:rPr>
            </w:pPr>
            <w:r>
              <w:rPr>
                <w:rFonts w:hint="eastAsia"/>
                <w:snapToGrid w:val="0"/>
                <w:color w:val="auto"/>
                <w:kern w:val="0"/>
                <w:highlight w:val="none"/>
              </w:rPr>
              <w:t>J20</w:t>
            </w:r>
          </w:p>
        </w:tc>
        <w:tc>
          <w:tcPr>
            <w:tcW w:w="1770" w:type="dxa"/>
            <w:tcMar>
              <w:top w:w="0" w:type="dxa"/>
              <w:left w:w="108" w:type="dxa"/>
              <w:bottom w:w="0" w:type="dxa"/>
              <w:right w:w="108" w:type="dxa"/>
            </w:tcMar>
            <w:vAlign w:val="center"/>
          </w:tcPr>
          <w:p w14:paraId="33FF8B15">
            <w:pPr>
              <w:widowControl w:val="0"/>
              <w:adjustRightInd w:val="0"/>
              <w:snapToGrid w:val="0"/>
              <w:jc w:val="center"/>
              <w:rPr>
                <w:snapToGrid w:val="0"/>
                <w:color w:val="auto"/>
                <w:kern w:val="0"/>
                <w:highlight w:val="none"/>
              </w:rPr>
            </w:pPr>
            <w:r>
              <w:rPr>
                <w:rFonts w:hint="eastAsia"/>
                <w:snapToGrid w:val="0"/>
                <w:color w:val="auto"/>
                <w:kern w:val="0"/>
                <w:highlight w:val="none"/>
              </w:rPr>
              <w:t>3266068.70</w:t>
            </w:r>
          </w:p>
        </w:tc>
        <w:tc>
          <w:tcPr>
            <w:tcW w:w="1725" w:type="dxa"/>
            <w:tcMar>
              <w:top w:w="0" w:type="dxa"/>
              <w:left w:w="108" w:type="dxa"/>
              <w:bottom w:w="0" w:type="dxa"/>
              <w:right w:w="108" w:type="dxa"/>
            </w:tcMar>
            <w:vAlign w:val="center"/>
          </w:tcPr>
          <w:p w14:paraId="6D87697C">
            <w:pPr>
              <w:widowControl w:val="0"/>
              <w:adjustRightInd w:val="0"/>
              <w:snapToGrid w:val="0"/>
              <w:jc w:val="center"/>
              <w:rPr>
                <w:snapToGrid w:val="0"/>
                <w:color w:val="auto"/>
                <w:kern w:val="0"/>
                <w:highlight w:val="none"/>
              </w:rPr>
            </w:pPr>
            <w:r>
              <w:rPr>
                <w:rFonts w:hint="eastAsia"/>
                <w:snapToGrid w:val="0"/>
                <w:color w:val="auto"/>
                <w:kern w:val="0"/>
                <w:highlight w:val="none"/>
              </w:rPr>
              <w:t>41398956.44</w:t>
            </w:r>
          </w:p>
        </w:tc>
        <w:tc>
          <w:tcPr>
            <w:tcW w:w="870" w:type="dxa"/>
            <w:tcMar>
              <w:top w:w="0" w:type="dxa"/>
              <w:left w:w="108" w:type="dxa"/>
              <w:bottom w:w="0" w:type="dxa"/>
              <w:right w:w="108" w:type="dxa"/>
            </w:tcMar>
            <w:vAlign w:val="center"/>
          </w:tcPr>
          <w:p w14:paraId="7EE6B779">
            <w:pPr>
              <w:widowControl w:val="0"/>
              <w:adjustRightInd w:val="0"/>
              <w:snapToGrid w:val="0"/>
              <w:jc w:val="center"/>
              <w:rPr>
                <w:snapToGrid w:val="0"/>
                <w:color w:val="auto"/>
                <w:kern w:val="0"/>
                <w:highlight w:val="none"/>
              </w:rPr>
            </w:pPr>
            <w:r>
              <w:rPr>
                <w:rFonts w:hint="eastAsia"/>
                <w:snapToGrid w:val="0"/>
                <w:color w:val="auto"/>
                <w:kern w:val="0"/>
                <w:highlight w:val="none"/>
              </w:rPr>
              <w:t>J81</w:t>
            </w:r>
          </w:p>
        </w:tc>
        <w:tc>
          <w:tcPr>
            <w:tcW w:w="1590" w:type="dxa"/>
            <w:tcMar>
              <w:top w:w="0" w:type="dxa"/>
              <w:left w:w="108" w:type="dxa"/>
              <w:bottom w:w="0" w:type="dxa"/>
              <w:right w:w="108" w:type="dxa"/>
            </w:tcMar>
            <w:vAlign w:val="center"/>
          </w:tcPr>
          <w:p w14:paraId="74199FDB">
            <w:pPr>
              <w:widowControl w:val="0"/>
              <w:adjustRightInd w:val="0"/>
              <w:snapToGrid w:val="0"/>
              <w:jc w:val="center"/>
              <w:rPr>
                <w:snapToGrid w:val="0"/>
                <w:color w:val="auto"/>
                <w:kern w:val="0"/>
                <w:highlight w:val="none"/>
              </w:rPr>
            </w:pPr>
            <w:r>
              <w:rPr>
                <w:rFonts w:hint="eastAsia"/>
                <w:snapToGrid w:val="0"/>
                <w:color w:val="auto"/>
                <w:kern w:val="0"/>
                <w:highlight w:val="none"/>
              </w:rPr>
              <w:t>3265883.67</w:t>
            </w:r>
          </w:p>
        </w:tc>
        <w:tc>
          <w:tcPr>
            <w:tcW w:w="1681" w:type="dxa"/>
            <w:tcMar>
              <w:top w:w="0" w:type="dxa"/>
              <w:left w:w="108" w:type="dxa"/>
              <w:bottom w:w="0" w:type="dxa"/>
              <w:right w:w="108" w:type="dxa"/>
            </w:tcMar>
            <w:vAlign w:val="center"/>
          </w:tcPr>
          <w:p w14:paraId="16167AFD">
            <w:pPr>
              <w:widowControl w:val="0"/>
              <w:adjustRightInd w:val="0"/>
              <w:snapToGrid w:val="0"/>
              <w:jc w:val="center"/>
              <w:rPr>
                <w:snapToGrid w:val="0"/>
                <w:color w:val="auto"/>
                <w:kern w:val="0"/>
                <w:highlight w:val="none"/>
              </w:rPr>
            </w:pPr>
            <w:r>
              <w:rPr>
                <w:rFonts w:hint="eastAsia"/>
                <w:snapToGrid w:val="0"/>
                <w:color w:val="auto"/>
                <w:kern w:val="0"/>
                <w:highlight w:val="none"/>
              </w:rPr>
              <w:t>41398639.13</w:t>
            </w:r>
          </w:p>
        </w:tc>
      </w:tr>
      <w:tr w14:paraId="5A36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744E675">
            <w:pPr>
              <w:widowControl w:val="0"/>
              <w:adjustRightInd w:val="0"/>
              <w:snapToGrid w:val="0"/>
              <w:jc w:val="center"/>
              <w:rPr>
                <w:snapToGrid w:val="0"/>
                <w:color w:val="auto"/>
                <w:kern w:val="0"/>
                <w:highlight w:val="none"/>
              </w:rPr>
            </w:pPr>
            <w:r>
              <w:rPr>
                <w:rFonts w:hint="eastAsia"/>
                <w:snapToGrid w:val="0"/>
                <w:color w:val="auto"/>
                <w:kern w:val="0"/>
                <w:highlight w:val="none"/>
              </w:rPr>
              <w:t>J21</w:t>
            </w:r>
          </w:p>
        </w:tc>
        <w:tc>
          <w:tcPr>
            <w:tcW w:w="1770" w:type="dxa"/>
            <w:tcMar>
              <w:top w:w="0" w:type="dxa"/>
              <w:left w:w="108" w:type="dxa"/>
              <w:bottom w:w="0" w:type="dxa"/>
              <w:right w:w="108" w:type="dxa"/>
            </w:tcMar>
            <w:vAlign w:val="center"/>
          </w:tcPr>
          <w:p w14:paraId="294A1FB3">
            <w:pPr>
              <w:widowControl w:val="0"/>
              <w:adjustRightInd w:val="0"/>
              <w:snapToGrid w:val="0"/>
              <w:jc w:val="center"/>
              <w:rPr>
                <w:snapToGrid w:val="0"/>
                <w:color w:val="auto"/>
                <w:kern w:val="0"/>
                <w:highlight w:val="none"/>
              </w:rPr>
            </w:pPr>
            <w:r>
              <w:rPr>
                <w:rFonts w:hint="eastAsia"/>
                <w:snapToGrid w:val="0"/>
                <w:color w:val="auto"/>
                <w:kern w:val="0"/>
                <w:highlight w:val="none"/>
              </w:rPr>
              <w:t>3266055.60</w:t>
            </w:r>
          </w:p>
        </w:tc>
        <w:tc>
          <w:tcPr>
            <w:tcW w:w="1725" w:type="dxa"/>
            <w:tcMar>
              <w:top w:w="0" w:type="dxa"/>
              <w:left w:w="108" w:type="dxa"/>
              <w:bottom w:w="0" w:type="dxa"/>
              <w:right w:w="108" w:type="dxa"/>
            </w:tcMar>
            <w:vAlign w:val="center"/>
          </w:tcPr>
          <w:p w14:paraId="1BAEDFFC">
            <w:pPr>
              <w:widowControl w:val="0"/>
              <w:adjustRightInd w:val="0"/>
              <w:snapToGrid w:val="0"/>
              <w:jc w:val="center"/>
              <w:rPr>
                <w:snapToGrid w:val="0"/>
                <w:color w:val="auto"/>
                <w:kern w:val="0"/>
                <w:highlight w:val="none"/>
              </w:rPr>
            </w:pPr>
            <w:r>
              <w:rPr>
                <w:rFonts w:hint="eastAsia"/>
                <w:snapToGrid w:val="0"/>
                <w:color w:val="auto"/>
                <w:kern w:val="0"/>
                <w:highlight w:val="none"/>
              </w:rPr>
              <w:t>41398952.23</w:t>
            </w:r>
          </w:p>
        </w:tc>
        <w:tc>
          <w:tcPr>
            <w:tcW w:w="870" w:type="dxa"/>
            <w:tcMar>
              <w:top w:w="0" w:type="dxa"/>
              <w:left w:w="108" w:type="dxa"/>
              <w:bottom w:w="0" w:type="dxa"/>
              <w:right w:w="108" w:type="dxa"/>
            </w:tcMar>
            <w:vAlign w:val="center"/>
          </w:tcPr>
          <w:p w14:paraId="1ED384BD">
            <w:pPr>
              <w:widowControl w:val="0"/>
              <w:adjustRightInd w:val="0"/>
              <w:snapToGrid w:val="0"/>
              <w:jc w:val="center"/>
              <w:rPr>
                <w:snapToGrid w:val="0"/>
                <w:color w:val="auto"/>
                <w:kern w:val="0"/>
                <w:highlight w:val="none"/>
              </w:rPr>
            </w:pPr>
            <w:r>
              <w:rPr>
                <w:rFonts w:hint="eastAsia"/>
                <w:snapToGrid w:val="0"/>
                <w:color w:val="auto"/>
                <w:kern w:val="0"/>
                <w:highlight w:val="none"/>
              </w:rPr>
              <w:t>J82</w:t>
            </w:r>
          </w:p>
        </w:tc>
        <w:tc>
          <w:tcPr>
            <w:tcW w:w="1590" w:type="dxa"/>
            <w:tcMar>
              <w:top w:w="0" w:type="dxa"/>
              <w:left w:w="108" w:type="dxa"/>
              <w:bottom w:w="0" w:type="dxa"/>
              <w:right w:w="108" w:type="dxa"/>
            </w:tcMar>
            <w:vAlign w:val="center"/>
          </w:tcPr>
          <w:p w14:paraId="3398175C">
            <w:pPr>
              <w:widowControl w:val="0"/>
              <w:adjustRightInd w:val="0"/>
              <w:snapToGrid w:val="0"/>
              <w:jc w:val="center"/>
              <w:rPr>
                <w:snapToGrid w:val="0"/>
                <w:color w:val="auto"/>
                <w:kern w:val="0"/>
                <w:highlight w:val="none"/>
              </w:rPr>
            </w:pPr>
            <w:r>
              <w:rPr>
                <w:rFonts w:hint="eastAsia"/>
                <w:snapToGrid w:val="0"/>
                <w:color w:val="auto"/>
                <w:kern w:val="0"/>
                <w:highlight w:val="none"/>
              </w:rPr>
              <w:t>3265881.46</w:t>
            </w:r>
          </w:p>
        </w:tc>
        <w:tc>
          <w:tcPr>
            <w:tcW w:w="1681" w:type="dxa"/>
            <w:tcMar>
              <w:top w:w="0" w:type="dxa"/>
              <w:left w:w="108" w:type="dxa"/>
              <w:bottom w:w="0" w:type="dxa"/>
              <w:right w:w="108" w:type="dxa"/>
            </w:tcMar>
            <w:vAlign w:val="center"/>
          </w:tcPr>
          <w:p w14:paraId="6CC4EFF2">
            <w:pPr>
              <w:widowControl w:val="0"/>
              <w:adjustRightInd w:val="0"/>
              <w:snapToGrid w:val="0"/>
              <w:jc w:val="center"/>
              <w:rPr>
                <w:snapToGrid w:val="0"/>
                <w:color w:val="auto"/>
                <w:kern w:val="0"/>
                <w:highlight w:val="none"/>
              </w:rPr>
            </w:pPr>
            <w:r>
              <w:rPr>
                <w:rFonts w:hint="eastAsia"/>
                <w:snapToGrid w:val="0"/>
                <w:color w:val="auto"/>
                <w:kern w:val="0"/>
                <w:highlight w:val="none"/>
              </w:rPr>
              <w:t>41398642.24</w:t>
            </w:r>
          </w:p>
        </w:tc>
      </w:tr>
      <w:tr w14:paraId="5C878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8ABA56F">
            <w:pPr>
              <w:widowControl w:val="0"/>
              <w:adjustRightInd w:val="0"/>
              <w:snapToGrid w:val="0"/>
              <w:jc w:val="center"/>
              <w:rPr>
                <w:snapToGrid w:val="0"/>
                <w:color w:val="auto"/>
                <w:kern w:val="0"/>
                <w:highlight w:val="none"/>
              </w:rPr>
            </w:pPr>
            <w:r>
              <w:rPr>
                <w:rFonts w:hint="eastAsia"/>
                <w:snapToGrid w:val="0"/>
                <w:color w:val="auto"/>
                <w:kern w:val="0"/>
                <w:highlight w:val="none"/>
              </w:rPr>
              <w:t>J22</w:t>
            </w:r>
          </w:p>
        </w:tc>
        <w:tc>
          <w:tcPr>
            <w:tcW w:w="1770" w:type="dxa"/>
            <w:tcMar>
              <w:top w:w="0" w:type="dxa"/>
              <w:left w:w="108" w:type="dxa"/>
              <w:bottom w:w="0" w:type="dxa"/>
              <w:right w:w="108" w:type="dxa"/>
            </w:tcMar>
            <w:vAlign w:val="center"/>
          </w:tcPr>
          <w:p w14:paraId="1BF6940E">
            <w:pPr>
              <w:widowControl w:val="0"/>
              <w:adjustRightInd w:val="0"/>
              <w:snapToGrid w:val="0"/>
              <w:jc w:val="center"/>
              <w:rPr>
                <w:snapToGrid w:val="0"/>
                <w:color w:val="auto"/>
                <w:kern w:val="0"/>
                <w:highlight w:val="none"/>
              </w:rPr>
            </w:pPr>
            <w:r>
              <w:rPr>
                <w:rFonts w:hint="eastAsia"/>
                <w:snapToGrid w:val="0"/>
                <w:color w:val="auto"/>
                <w:kern w:val="0"/>
                <w:highlight w:val="none"/>
              </w:rPr>
              <w:t>3266043.05</w:t>
            </w:r>
          </w:p>
        </w:tc>
        <w:tc>
          <w:tcPr>
            <w:tcW w:w="1725" w:type="dxa"/>
            <w:tcMar>
              <w:top w:w="0" w:type="dxa"/>
              <w:left w:w="108" w:type="dxa"/>
              <w:bottom w:w="0" w:type="dxa"/>
              <w:right w:w="108" w:type="dxa"/>
            </w:tcMar>
            <w:vAlign w:val="center"/>
          </w:tcPr>
          <w:p w14:paraId="5D9A92CF">
            <w:pPr>
              <w:widowControl w:val="0"/>
              <w:adjustRightInd w:val="0"/>
              <w:snapToGrid w:val="0"/>
              <w:jc w:val="center"/>
              <w:rPr>
                <w:snapToGrid w:val="0"/>
                <w:color w:val="auto"/>
                <w:kern w:val="0"/>
                <w:highlight w:val="none"/>
              </w:rPr>
            </w:pPr>
            <w:r>
              <w:rPr>
                <w:rFonts w:hint="eastAsia"/>
                <w:snapToGrid w:val="0"/>
                <w:color w:val="auto"/>
                <w:kern w:val="0"/>
                <w:highlight w:val="none"/>
              </w:rPr>
              <w:t>41398946.27</w:t>
            </w:r>
          </w:p>
        </w:tc>
        <w:tc>
          <w:tcPr>
            <w:tcW w:w="870" w:type="dxa"/>
            <w:tcMar>
              <w:top w:w="0" w:type="dxa"/>
              <w:left w:w="108" w:type="dxa"/>
              <w:bottom w:w="0" w:type="dxa"/>
              <w:right w:w="108" w:type="dxa"/>
            </w:tcMar>
            <w:vAlign w:val="center"/>
          </w:tcPr>
          <w:p w14:paraId="0DFEF21C">
            <w:pPr>
              <w:widowControl w:val="0"/>
              <w:adjustRightInd w:val="0"/>
              <w:snapToGrid w:val="0"/>
              <w:jc w:val="center"/>
              <w:rPr>
                <w:snapToGrid w:val="0"/>
                <w:color w:val="auto"/>
                <w:kern w:val="0"/>
                <w:highlight w:val="none"/>
              </w:rPr>
            </w:pPr>
            <w:r>
              <w:rPr>
                <w:rFonts w:hint="eastAsia"/>
                <w:snapToGrid w:val="0"/>
                <w:color w:val="auto"/>
                <w:kern w:val="0"/>
                <w:highlight w:val="none"/>
              </w:rPr>
              <w:t>J83</w:t>
            </w:r>
          </w:p>
        </w:tc>
        <w:tc>
          <w:tcPr>
            <w:tcW w:w="1590" w:type="dxa"/>
            <w:tcMar>
              <w:top w:w="0" w:type="dxa"/>
              <w:left w:w="108" w:type="dxa"/>
              <w:bottom w:w="0" w:type="dxa"/>
              <w:right w:w="108" w:type="dxa"/>
            </w:tcMar>
            <w:vAlign w:val="center"/>
          </w:tcPr>
          <w:p w14:paraId="089AC6A9">
            <w:pPr>
              <w:widowControl w:val="0"/>
              <w:adjustRightInd w:val="0"/>
              <w:snapToGrid w:val="0"/>
              <w:jc w:val="center"/>
              <w:rPr>
                <w:snapToGrid w:val="0"/>
                <w:color w:val="auto"/>
                <w:kern w:val="0"/>
                <w:highlight w:val="none"/>
              </w:rPr>
            </w:pPr>
            <w:r>
              <w:rPr>
                <w:rFonts w:hint="eastAsia"/>
                <w:snapToGrid w:val="0"/>
                <w:color w:val="auto"/>
                <w:kern w:val="0"/>
                <w:highlight w:val="none"/>
              </w:rPr>
              <w:t>3265874.44</w:t>
            </w:r>
          </w:p>
        </w:tc>
        <w:tc>
          <w:tcPr>
            <w:tcW w:w="1681" w:type="dxa"/>
            <w:tcMar>
              <w:top w:w="0" w:type="dxa"/>
              <w:left w:w="108" w:type="dxa"/>
              <w:bottom w:w="0" w:type="dxa"/>
              <w:right w:w="108" w:type="dxa"/>
            </w:tcMar>
            <w:vAlign w:val="center"/>
          </w:tcPr>
          <w:p w14:paraId="34C3F47F">
            <w:pPr>
              <w:widowControl w:val="0"/>
              <w:adjustRightInd w:val="0"/>
              <w:snapToGrid w:val="0"/>
              <w:jc w:val="center"/>
              <w:rPr>
                <w:snapToGrid w:val="0"/>
                <w:color w:val="auto"/>
                <w:kern w:val="0"/>
                <w:highlight w:val="none"/>
              </w:rPr>
            </w:pPr>
            <w:r>
              <w:rPr>
                <w:rFonts w:hint="eastAsia"/>
                <w:snapToGrid w:val="0"/>
                <w:color w:val="auto"/>
                <w:kern w:val="0"/>
                <w:highlight w:val="none"/>
              </w:rPr>
              <w:t>41398660.99</w:t>
            </w:r>
          </w:p>
        </w:tc>
      </w:tr>
      <w:tr w14:paraId="1C9A6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5796182">
            <w:pPr>
              <w:widowControl w:val="0"/>
              <w:adjustRightInd w:val="0"/>
              <w:snapToGrid w:val="0"/>
              <w:jc w:val="center"/>
              <w:rPr>
                <w:snapToGrid w:val="0"/>
                <w:color w:val="auto"/>
                <w:kern w:val="0"/>
                <w:highlight w:val="none"/>
              </w:rPr>
            </w:pPr>
            <w:r>
              <w:rPr>
                <w:rFonts w:hint="eastAsia"/>
                <w:snapToGrid w:val="0"/>
                <w:color w:val="auto"/>
                <w:kern w:val="0"/>
                <w:highlight w:val="none"/>
              </w:rPr>
              <w:t>J23</w:t>
            </w:r>
          </w:p>
        </w:tc>
        <w:tc>
          <w:tcPr>
            <w:tcW w:w="1770" w:type="dxa"/>
            <w:tcMar>
              <w:top w:w="0" w:type="dxa"/>
              <w:left w:w="108" w:type="dxa"/>
              <w:bottom w:w="0" w:type="dxa"/>
              <w:right w:w="108" w:type="dxa"/>
            </w:tcMar>
            <w:vAlign w:val="center"/>
          </w:tcPr>
          <w:p w14:paraId="2C9EAAF1">
            <w:pPr>
              <w:widowControl w:val="0"/>
              <w:adjustRightInd w:val="0"/>
              <w:snapToGrid w:val="0"/>
              <w:jc w:val="center"/>
              <w:rPr>
                <w:snapToGrid w:val="0"/>
                <w:color w:val="auto"/>
                <w:kern w:val="0"/>
                <w:highlight w:val="none"/>
              </w:rPr>
            </w:pPr>
            <w:r>
              <w:rPr>
                <w:rFonts w:hint="eastAsia"/>
                <w:snapToGrid w:val="0"/>
                <w:color w:val="auto"/>
                <w:kern w:val="0"/>
                <w:highlight w:val="none"/>
              </w:rPr>
              <w:t>3266036.05</w:t>
            </w:r>
          </w:p>
        </w:tc>
        <w:tc>
          <w:tcPr>
            <w:tcW w:w="1725" w:type="dxa"/>
            <w:tcMar>
              <w:top w:w="0" w:type="dxa"/>
              <w:left w:w="108" w:type="dxa"/>
              <w:bottom w:w="0" w:type="dxa"/>
              <w:right w:w="108" w:type="dxa"/>
            </w:tcMar>
            <w:vAlign w:val="center"/>
          </w:tcPr>
          <w:p w14:paraId="5E10BCE9">
            <w:pPr>
              <w:widowControl w:val="0"/>
              <w:adjustRightInd w:val="0"/>
              <w:snapToGrid w:val="0"/>
              <w:jc w:val="center"/>
              <w:rPr>
                <w:snapToGrid w:val="0"/>
                <w:color w:val="auto"/>
                <w:kern w:val="0"/>
                <w:highlight w:val="none"/>
              </w:rPr>
            </w:pPr>
            <w:r>
              <w:rPr>
                <w:rFonts w:hint="eastAsia"/>
                <w:snapToGrid w:val="0"/>
                <w:color w:val="auto"/>
                <w:kern w:val="0"/>
                <w:highlight w:val="none"/>
              </w:rPr>
              <w:t>41398940.57</w:t>
            </w:r>
          </w:p>
        </w:tc>
        <w:tc>
          <w:tcPr>
            <w:tcW w:w="870" w:type="dxa"/>
            <w:tcMar>
              <w:top w:w="0" w:type="dxa"/>
              <w:left w:w="108" w:type="dxa"/>
              <w:bottom w:w="0" w:type="dxa"/>
              <w:right w:w="108" w:type="dxa"/>
            </w:tcMar>
            <w:vAlign w:val="center"/>
          </w:tcPr>
          <w:p w14:paraId="432C1CEC">
            <w:pPr>
              <w:widowControl w:val="0"/>
              <w:adjustRightInd w:val="0"/>
              <w:snapToGrid w:val="0"/>
              <w:jc w:val="center"/>
              <w:rPr>
                <w:snapToGrid w:val="0"/>
                <w:color w:val="auto"/>
                <w:kern w:val="0"/>
                <w:highlight w:val="none"/>
              </w:rPr>
            </w:pPr>
            <w:r>
              <w:rPr>
                <w:rFonts w:hint="eastAsia"/>
                <w:snapToGrid w:val="0"/>
                <w:color w:val="auto"/>
                <w:kern w:val="0"/>
                <w:highlight w:val="none"/>
              </w:rPr>
              <w:t>J84</w:t>
            </w:r>
          </w:p>
        </w:tc>
        <w:tc>
          <w:tcPr>
            <w:tcW w:w="1590" w:type="dxa"/>
            <w:tcMar>
              <w:top w:w="0" w:type="dxa"/>
              <w:left w:w="108" w:type="dxa"/>
              <w:bottom w:w="0" w:type="dxa"/>
              <w:right w:w="108" w:type="dxa"/>
            </w:tcMar>
            <w:vAlign w:val="center"/>
          </w:tcPr>
          <w:p w14:paraId="0E5E6141">
            <w:pPr>
              <w:widowControl w:val="0"/>
              <w:adjustRightInd w:val="0"/>
              <w:snapToGrid w:val="0"/>
              <w:jc w:val="center"/>
              <w:rPr>
                <w:snapToGrid w:val="0"/>
                <w:color w:val="auto"/>
                <w:kern w:val="0"/>
                <w:highlight w:val="none"/>
              </w:rPr>
            </w:pPr>
            <w:r>
              <w:rPr>
                <w:rFonts w:hint="eastAsia"/>
                <w:snapToGrid w:val="0"/>
                <w:color w:val="auto"/>
                <w:kern w:val="0"/>
                <w:highlight w:val="none"/>
              </w:rPr>
              <w:t>3265867.05</w:t>
            </w:r>
          </w:p>
        </w:tc>
        <w:tc>
          <w:tcPr>
            <w:tcW w:w="1681" w:type="dxa"/>
            <w:tcMar>
              <w:top w:w="0" w:type="dxa"/>
              <w:left w:w="108" w:type="dxa"/>
              <w:bottom w:w="0" w:type="dxa"/>
              <w:right w:w="108" w:type="dxa"/>
            </w:tcMar>
            <w:vAlign w:val="center"/>
          </w:tcPr>
          <w:p w14:paraId="55C5B415">
            <w:pPr>
              <w:widowControl w:val="0"/>
              <w:adjustRightInd w:val="0"/>
              <w:snapToGrid w:val="0"/>
              <w:jc w:val="center"/>
              <w:rPr>
                <w:snapToGrid w:val="0"/>
                <w:color w:val="auto"/>
                <w:kern w:val="0"/>
                <w:highlight w:val="none"/>
              </w:rPr>
            </w:pPr>
            <w:r>
              <w:rPr>
                <w:rFonts w:hint="eastAsia"/>
                <w:snapToGrid w:val="0"/>
                <w:color w:val="auto"/>
                <w:kern w:val="0"/>
                <w:highlight w:val="none"/>
              </w:rPr>
              <w:t>41398670.71</w:t>
            </w:r>
          </w:p>
        </w:tc>
      </w:tr>
      <w:tr w14:paraId="16477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BBB4F2F">
            <w:pPr>
              <w:widowControl w:val="0"/>
              <w:adjustRightInd w:val="0"/>
              <w:snapToGrid w:val="0"/>
              <w:jc w:val="center"/>
              <w:rPr>
                <w:snapToGrid w:val="0"/>
                <w:color w:val="auto"/>
                <w:kern w:val="0"/>
                <w:highlight w:val="none"/>
              </w:rPr>
            </w:pPr>
            <w:r>
              <w:rPr>
                <w:rFonts w:hint="eastAsia"/>
                <w:snapToGrid w:val="0"/>
                <w:color w:val="auto"/>
                <w:kern w:val="0"/>
                <w:highlight w:val="none"/>
              </w:rPr>
              <w:t>J24</w:t>
            </w:r>
          </w:p>
        </w:tc>
        <w:tc>
          <w:tcPr>
            <w:tcW w:w="1770" w:type="dxa"/>
            <w:tcMar>
              <w:top w:w="0" w:type="dxa"/>
              <w:left w:w="108" w:type="dxa"/>
              <w:bottom w:w="0" w:type="dxa"/>
              <w:right w:w="108" w:type="dxa"/>
            </w:tcMar>
            <w:vAlign w:val="center"/>
          </w:tcPr>
          <w:p w14:paraId="0BD9AA46">
            <w:pPr>
              <w:widowControl w:val="0"/>
              <w:adjustRightInd w:val="0"/>
              <w:snapToGrid w:val="0"/>
              <w:jc w:val="center"/>
              <w:rPr>
                <w:snapToGrid w:val="0"/>
                <w:color w:val="auto"/>
                <w:kern w:val="0"/>
                <w:highlight w:val="none"/>
              </w:rPr>
            </w:pPr>
            <w:r>
              <w:rPr>
                <w:rFonts w:hint="eastAsia"/>
                <w:snapToGrid w:val="0"/>
                <w:color w:val="auto"/>
                <w:kern w:val="0"/>
                <w:highlight w:val="none"/>
              </w:rPr>
              <w:t>3266031.59</w:t>
            </w:r>
          </w:p>
        </w:tc>
        <w:tc>
          <w:tcPr>
            <w:tcW w:w="1725" w:type="dxa"/>
            <w:tcMar>
              <w:top w:w="0" w:type="dxa"/>
              <w:left w:w="108" w:type="dxa"/>
              <w:bottom w:w="0" w:type="dxa"/>
              <w:right w:w="108" w:type="dxa"/>
            </w:tcMar>
            <w:vAlign w:val="center"/>
          </w:tcPr>
          <w:p w14:paraId="3865FDFF">
            <w:pPr>
              <w:widowControl w:val="0"/>
              <w:adjustRightInd w:val="0"/>
              <w:snapToGrid w:val="0"/>
              <w:jc w:val="center"/>
              <w:rPr>
                <w:snapToGrid w:val="0"/>
                <w:color w:val="auto"/>
                <w:kern w:val="0"/>
                <w:highlight w:val="none"/>
              </w:rPr>
            </w:pPr>
            <w:r>
              <w:rPr>
                <w:rFonts w:hint="eastAsia"/>
                <w:snapToGrid w:val="0"/>
                <w:color w:val="auto"/>
                <w:kern w:val="0"/>
                <w:highlight w:val="none"/>
              </w:rPr>
              <w:t>41398935.26</w:t>
            </w:r>
          </w:p>
        </w:tc>
        <w:tc>
          <w:tcPr>
            <w:tcW w:w="870" w:type="dxa"/>
            <w:tcMar>
              <w:top w:w="0" w:type="dxa"/>
              <w:left w:w="108" w:type="dxa"/>
              <w:bottom w:w="0" w:type="dxa"/>
              <w:right w:w="108" w:type="dxa"/>
            </w:tcMar>
            <w:vAlign w:val="center"/>
          </w:tcPr>
          <w:p w14:paraId="3BCDECD0">
            <w:pPr>
              <w:widowControl w:val="0"/>
              <w:adjustRightInd w:val="0"/>
              <w:snapToGrid w:val="0"/>
              <w:jc w:val="center"/>
              <w:rPr>
                <w:snapToGrid w:val="0"/>
                <w:color w:val="auto"/>
                <w:kern w:val="0"/>
                <w:highlight w:val="none"/>
              </w:rPr>
            </w:pPr>
            <w:r>
              <w:rPr>
                <w:rFonts w:hint="eastAsia"/>
                <w:snapToGrid w:val="0"/>
                <w:color w:val="auto"/>
                <w:kern w:val="0"/>
                <w:highlight w:val="none"/>
              </w:rPr>
              <w:t>J85</w:t>
            </w:r>
          </w:p>
        </w:tc>
        <w:tc>
          <w:tcPr>
            <w:tcW w:w="1590" w:type="dxa"/>
            <w:tcMar>
              <w:top w:w="0" w:type="dxa"/>
              <w:left w:w="108" w:type="dxa"/>
              <w:bottom w:w="0" w:type="dxa"/>
              <w:right w:w="108" w:type="dxa"/>
            </w:tcMar>
            <w:vAlign w:val="center"/>
          </w:tcPr>
          <w:p w14:paraId="6602C4D9">
            <w:pPr>
              <w:widowControl w:val="0"/>
              <w:adjustRightInd w:val="0"/>
              <w:snapToGrid w:val="0"/>
              <w:jc w:val="center"/>
              <w:rPr>
                <w:snapToGrid w:val="0"/>
                <w:color w:val="auto"/>
                <w:kern w:val="0"/>
                <w:highlight w:val="none"/>
              </w:rPr>
            </w:pPr>
            <w:r>
              <w:rPr>
                <w:rFonts w:hint="eastAsia"/>
                <w:snapToGrid w:val="0"/>
                <w:color w:val="auto"/>
                <w:kern w:val="0"/>
                <w:highlight w:val="none"/>
              </w:rPr>
              <w:t>3265851.38</w:t>
            </w:r>
          </w:p>
        </w:tc>
        <w:tc>
          <w:tcPr>
            <w:tcW w:w="1681" w:type="dxa"/>
            <w:tcMar>
              <w:top w:w="0" w:type="dxa"/>
              <w:left w:w="108" w:type="dxa"/>
              <w:bottom w:w="0" w:type="dxa"/>
              <w:right w:w="108" w:type="dxa"/>
            </w:tcMar>
            <w:vAlign w:val="center"/>
          </w:tcPr>
          <w:p w14:paraId="13469825">
            <w:pPr>
              <w:widowControl w:val="0"/>
              <w:adjustRightInd w:val="0"/>
              <w:snapToGrid w:val="0"/>
              <w:jc w:val="center"/>
              <w:rPr>
                <w:snapToGrid w:val="0"/>
                <w:color w:val="auto"/>
                <w:kern w:val="0"/>
                <w:highlight w:val="none"/>
              </w:rPr>
            </w:pPr>
            <w:r>
              <w:rPr>
                <w:rFonts w:hint="eastAsia"/>
                <w:snapToGrid w:val="0"/>
                <w:color w:val="auto"/>
                <w:kern w:val="0"/>
                <w:highlight w:val="none"/>
              </w:rPr>
              <w:t>41398686.29</w:t>
            </w:r>
          </w:p>
        </w:tc>
      </w:tr>
      <w:tr w14:paraId="4BBE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EEEE3F0">
            <w:pPr>
              <w:widowControl w:val="0"/>
              <w:adjustRightInd w:val="0"/>
              <w:snapToGrid w:val="0"/>
              <w:jc w:val="center"/>
              <w:rPr>
                <w:snapToGrid w:val="0"/>
                <w:color w:val="auto"/>
                <w:kern w:val="0"/>
                <w:highlight w:val="none"/>
              </w:rPr>
            </w:pPr>
            <w:r>
              <w:rPr>
                <w:rFonts w:hint="eastAsia"/>
                <w:snapToGrid w:val="0"/>
                <w:color w:val="auto"/>
                <w:kern w:val="0"/>
                <w:highlight w:val="none"/>
              </w:rPr>
              <w:t>J25</w:t>
            </w:r>
          </w:p>
        </w:tc>
        <w:tc>
          <w:tcPr>
            <w:tcW w:w="1770" w:type="dxa"/>
            <w:tcMar>
              <w:top w:w="0" w:type="dxa"/>
              <w:left w:w="108" w:type="dxa"/>
              <w:bottom w:w="0" w:type="dxa"/>
              <w:right w:w="108" w:type="dxa"/>
            </w:tcMar>
            <w:vAlign w:val="center"/>
          </w:tcPr>
          <w:p w14:paraId="3DAB57C3">
            <w:pPr>
              <w:widowControl w:val="0"/>
              <w:adjustRightInd w:val="0"/>
              <w:snapToGrid w:val="0"/>
              <w:jc w:val="center"/>
              <w:rPr>
                <w:snapToGrid w:val="0"/>
                <w:color w:val="auto"/>
                <w:kern w:val="0"/>
                <w:highlight w:val="none"/>
              </w:rPr>
            </w:pPr>
            <w:r>
              <w:rPr>
                <w:rFonts w:hint="eastAsia"/>
                <w:snapToGrid w:val="0"/>
                <w:color w:val="auto"/>
                <w:kern w:val="0"/>
                <w:highlight w:val="none"/>
              </w:rPr>
              <w:t>3266026.91</w:t>
            </w:r>
          </w:p>
        </w:tc>
        <w:tc>
          <w:tcPr>
            <w:tcW w:w="1725" w:type="dxa"/>
            <w:tcMar>
              <w:top w:w="0" w:type="dxa"/>
              <w:left w:w="108" w:type="dxa"/>
              <w:bottom w:w="0" w:type="dxa"/>
              <w:right w:w="108" w:type="dxa"/>
            </w:tcMar>
            <w:vAlign w:val="center"/>
          </w:tcPr>
          <w:p w14:paraId="7152AB0E">
            <w:pPr>
              <w:widowControl w:val="0"/>
              <w:adjustRightInd w:val="0"/>
              <w:snapToGrid w:val="0"/>
              <w:jc w:val="center"/>
              <w:rPr>
                <w:snapToGrid w:val="0"/>
                <w:color w:val="auto"/>
                <w:kern w:val="0"/>
                <w:highlight w:val="none"/>
              </w:rPr>
            </w:pPr>
            <w:r>
              <w:rPr>
                <w:rFonts w:hint="eastAsia"/>
                <w:snapToGrid w:val="0"/>
                <w:color w:val="auto"/>
                <w:kern w:val="0"/>
                <w:highlight w:val="none"/>
              </w:rPr>
              <w:t>41398928.10</w:t>
            </w:r>
          </w:p>
        </w:tc>
        <w:tc>
          <w:tcPr>
            <w:tcW w:w="870" w:type="dxa"/>
            <w:tcMar>
              <w:top w:w="0" w:type="dxa"/>
              <w:left w:w="108" w:type="dxa"/>
              <w:bottom w:w="0" w:type="dxa"/>
              <w:right w:w="108" w:type="dxa"/>
            </w:tcMar>
            <w:vAlign w:val="center"/>
          </w:tcPr>
          <w:p w14:paraId="0B79226A">
            <w:pPr>
              <w:widowControl w:val="0"/>
              <w:adjustRightInd w:val="0"/>
              <w:snapToGrid w:val="0"/>
              <w:jc w:val="center"/>
              <w:rPr>
                <w:snapToGrid w:val="0"/>
                <w:color w:val="auto"/>
                <w:kern w:val="0"/>
                <w:highlight w:val="none"/>
              </w:rPr>
            </w:pPr>
            <w:r>
              <w:rPr>
                <w:rFonts w:hint="eastAsia"/>
                <w:snapToGrid w:val="0"/>
                <w:color w:val="auto"/>
                <w:kern w:val="0"/>
                <w:highlight w:val="none"/>
              </w:rPr>
              <w:t>J86</w:t>
            </w:r>
          </w:p>
        </w:tc>
        <w:tc>
          <w:tcPr>
            <w:tcW w:w="1590" w:type="dxa"/>
            <w:tcMar>
              <w:top w:w="0" w:type="dxa"/>
              <w:left w:w="108" w:type="dxa"/>
              <w:bottom w:w="0" w:type="dxa"/>
              <w:right w:w="108" w:type="dxa"/>
            </w:tcMar>
            <w:vAlign w:val="center"/>
          </w:tcPr>
          <w:p w14:paraId="4129E665">
            <w:pPr>
              <w:widowControl w:val="0"/>
              <w:adjustRightInd w:val="0"/>
              <w:snapToGrid w:val="0"/>
              <w:jc w:val="center"/>
              <w:rPr>
                <w:snapToGrid w:val="0"/>
                <w:color w:val="auto"/>
                <w:kern w:val="0"/>
                <w:highlight w:val="none"/>
              </w:rPr>
            </w:pPr>
            <w:r>
              <w:rPr>
                <w:rFonts w:hint="eastAsia"/>
                <w:snapToGrid w:val="0"/>
                <w:color w:val="auto"/>
                <w:kern w:val="0"/>
                <w:highlight w:val="none"/>
              </w:rPr>
              <w:t>3265846.73</w:t>
            </w:r>
          </w:p>
        </w:tc>
        <w:tc>
          <w:tcPr>
            <w:tcW w:w="1681" w:type="dxa"/>
            <w:tcMar>
              <w:top w:w="0" w:type="dxa"/>
              <w:left w:w="108" w:type="dxa"/>
              <w:bottom w:w="0" w:type="dxa"/>
              <w:right w:w="108" w:type="dxa"/>
            </w:tcMar>
            <w:vAlign w:val="center"/>
          </w:tcPr>
          <w:p w14:paraId="7F7878C5">
            <w:pPr>
              <w:widowControl w:val="0"/>
              <w:adjustRightInd w:val="0"/>
              <w:snapToGrid w:val="0"/>
              <w:jc w:val="center"/>
              <w:rPr>
                <w:snapToGrid w:val="0"/>
                <w:color w:val="auto"/>
                <w:kern w:val="0"/>
                <w:highlight w:val="none"/>
              </w:rPr>
            </w:pPr>
            <w:r>
              <w:rPr>
                <w:rFonts w:hint="eastAsia"/>
                <w:snapToGrid w:val="0"/>
                <w:color w:val="auto"/>
                <w:kern w:val="0"/>
                <w:highlight w:val="none"/>
              </w:rPr>
              <w:t>41398689.02</w:t>
            </w:r>
          </w:p>
        </w:tc>
      </w:tr>
      <w:tr w14:paraId="10E81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607B1A4">
            <w:pPr>
              <w:widowControl w:val="0"/>
              <w:adjustRightInd w:val="0"/>
              <w:snapToGrid w:val="0"/>
              <w:jc w:val="center"/>
              <w:rPr>
                <w:snapToGrid w:val="0"/>
                <w:color w:val="auto"/>
                <w:kern w:val="0"/>
                <w:highlight w:val="none"/>
              </w:rPr>
            </w:pPr>
            <w:r>
              <w:rPr>
                <w:rFonts w:hint="eastAsia"/>
                <w:snapToGrid w:val="0"/>
                <w:color w:val="auto"/>
                <w:kern w:val="0"/>
                <w:highlight w:val="none"/>
              </w:rPr>
              <w:t>J26</w:t>
            </w:r>
          </w:p>
        </w:tc>
        <w:tc>
          <w:tcPr>
            <w:tcW w:w="1770" w:type="dxa"/>
            <w:tcMar>
              <w:top w:w="0" w:type="dxa"/>
              <w:left w:w="108" w:type="dxa"/>
              <w:bottom w:w="0" w:type="dxa"/>
              <w:right w:w="108" w:type="dxa"/>
            </w:tcMar>
            <w:vAlign w:val="center"/>
          </w:tcPr>
          <w:p w14:paraId="0036D013">
            <w:pPr>
              <w:widowControl w:val="0"/>
              <w:adjustRightInd w:val="0"/>
              <w:snapToGrid w:val="0"/>
              <w:jc w:val="center"/>
              <w:rPr>
                <w:snapToGrid w:val="0"/>
                <w:color w:val="auto"/>
                <w:kern w:val="0"/>
                <w:highlight w:val="none"/>
              </w:rPr>
            </w:pPr>
            <w:r>
              <w:rPr>
                <w:rFonts w:hint="eastAsia"/>
                <w:snapToGrid w:val="0"/>
                <w:color w:val="auto"/>
                <w:kern w:val="0"/>
                <w:highlight w:val="none"/>
              </w:rPr>
              <w:t>3266026.46</w:t>
            </w:r>
          </w:p>
        </w:tc>
        <w:tc>
          <w:tcPr>
            <w:tcW w:w="1725" w:type="dxa"/>
            <w:tcMar>
              <w:top w:w="0" w:type="dxa"/>
              <w:left w:w="108" w:type="dxa"/>
              <w:bottom w:w="0" w:type="dxa"/>
              <w:right w:w="108" w:type="dxa"/>
            </w:tcMar>
            <w:vAlign w:val="center"/>
          </w:tcPr>
          <w:p w14:paraId="51D9272B">
            <w:pPr>
              <w:widowControl w:val="0"/>
              <w:adjustRightInd w:val="0"/>
              <w:snapToGrid w:val="0"/>
              <w:jc w:val="center"/>
              <w:rPr>
                <w:snapToGrid w:val="0"/>
                <w:color w:val="auto"/>
                <w:kern w:val="0"/>
                <w:highlight w:val="none"/>
              </w:rPr>
            </w:pPr>
            <w:r>
              <w:rPr>
                <w:rFonts w:hint="eastAsia"/>
                <w:snapToGrid w:val="0"/>
                <w:color w:val="auto"/>
                <w:kern w:val="0"/>
                <w:highlight w:val="none"/>
              </w:rPr>
              <w:t>41398925.49</w:t>
            </w:r>
          </w:p>
        </w:tc>
        <w:tc>
          <w:tcPr>
            <w:tcW w:w="870" w:type="dxa"/>
            <w:tcMar>
              <w:top w:w="0" w:type="dxa"/>
              <w:left w:w="108" w:type="dxa"/>
              <w:bottom w:w="0" w:type="dxa"/>
              <w:right w:w="108" w:type="dxa"/>
            </w:tcMar>
            <w:vAlign w:val="center"/>
          </w:tcPr>
          <w:p w14:paraId="12C0744B">
            <w:pPr>
              <w:widowControl w:val="0"/>
              <w:adjustRightInd w:val="0"/>
              <w:snapToGrid w:val="0"/>
              <w:jc w:val="center"/>
              <w:rPr>
                <w:snapToGrid w:val="0"/>
                <w:color w:val="auto"/>
                <w:kern w:val="0"/>
                <w:highlight w:val="none"/>
              </w:rPr>
            </w:pPr>
            <w:r>
              <w:rPr>
                <w:rFonts w:hint="eastAsia"/>
                <w:snapToGrid w:val="0"/>
                <w:color w:val="auto"/>
                <w:kern w:val="0"/>
                <w:highlight w:val="none"/>
              </w:rPr>
              <w:t>J87</w:t>
            </w:r>
          </w:p>
        </w:tc>
        <w:tc>
          <w:tcPr>
            <w:tcW w:w="1590" w:type="dxa"/>
            <w:tcMar>
              <w:top w:w="0" w:type="dxa"/>
              <w:left w:w="108" w:type="dxa"/>
              <w:bottom w:w="0" w:type="dxa"/>
              <w:right w:w="108" w:type="dxa"/>
            </w:tcMar>
            <w:vAlign w:val="center"/>
          </w:tcPr>
          <w:p w14:paraId="7C3A10AC">
            <w:pPr>
              <w:widowControl w:val="0"/>
              <w:adjustRightInd w:val="0"/>
              <w:snapToGrid w:val="0"/>
              <w:jc w:val="center"/>
              <w:rPr>
                <w:snapToGrid w:val="0"/>
                <w:color w:val="auto"/>
                <w:kern w:val="0"/>
                <w:highlight w:val="none"/>
              </w:rPr>
            </w:pPr>
            <w:r>
              <w:rPr>
                <w:rFonts w:hint="eastAsia"/>
                <w:snapToGrid w:val="0"/>
                <w:color w:val="auto"/>
                <w:kern w:val="0"/>
                <w:highlight w:val="none"/>
              </w:rPr>
              <w:t>3265843.63</w:t>
            </w:r>
          </w:p>
        </w:tc>
        <w:tc>
          <w:tcPr>
            <w:tcW w:w="1681" w:type="dxa"/>
            <w:tcMar>
              <w:top w:w="0" w:type="dxa"/>
              <w:left w:w="108" w:type="dxa"/>
              <w:bottom w:w="0" w:type="dxa"/>
              <w:right w:w="108" w:type="dxa"/>
            </w:tcMar>
            <w:vAlign w:val="center"/>
          </w:tcPr>
          <w:p w14:paraId="5A9E95DC">
            <w:pPr>
              <w:widowControl w:val="0"/>
              <w:adjustRightInd w:val="0"/>
              <w:snapToGrid w:val="0"/>
              <w:jc w:val="center"/>
              <w:rPr>
                <w:snapToGrid w:val="0"/>
                <w:color w:val="auto"/>
                <w:kern w:val="0"/>
                <w:highlight w:val="none"/>
              </w:rPr>
            </w:pPr>
            <w:r>
              <w:rPr>
                <w:rFonts w:hint="eastAsia"/>
                <w:snapToGrid w:val="0"/>
                <w:color w:val="auto"/>
                <w:kern w:val="0"/>
                <w:highlight w:val="none"/>
              </w:rPr>
              <w:t>41398690.10</w:t>
            </w:r>
          </w:p>
        </w:tc>
      </w:tr>
      <w:tr w14:paraId="621E2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1E24044">
            <w:pPr>
              <w:widowControl w:val="0"/>
              <w:adjustRightInd w:val="0"/>
              <w:snapToGrid w:val="0"/>
              <w:jc w:val="center"/>
              <w:rPr>
                <w:snapToGrid w:val="0"/>
                <w:color w:val="auto"/>
                <w:kern w:val="0"/>
                <w:highlight w:val="none"/>
              </w:rPr>
            </w:pPr>
            <w:r>
              <w:rPr>
                <w:rFonts w:hint="eastAsia"/>
                <w:snapToGrid w:val="0"/>
                <w:color w:val="auto"/>
                <w:kern w:val="0"/>
                <w:highlight w:val="none"/>
              </w:rPr>
              <w:t>J27</w:t>
            </w:r>
          </w:p>
        </w:tc>
        <w:tc>
          <w:tcPr>
            <w:tcW w:w="1770" w:type="dxa"/>
            <w:tcMar>
              <w:top w:w="0" w:type="dxa"/>
              <w:left w:w="108" w:type="dxa"/>
              <w:bottom w:w="0" w:type="dxa"/>
              <w:right w:w="108" w:type="dxa"/>
            </w:tcMar>
            <w:vAlign w:val="center"/>
          </w:tcPr>
          <w:p w14:paraId="4FC83ACE">
            <w:pPr>
              <w:widowControl w:val="0"/>
              <w:adjustRightInd w:val="0"/>
              <w:snapToGrid w:val="0"/>
              <w:jc w:val="center"/>
              <w:rPr>
                <w:snapToGrid w:val="0"/>
                <w:color w:val="auto"/>
                <w:kern w:val="0"/>
                <w:highlight w:val="none"/>
              </w:rPr>
            </w:pPr>
            <w:r>
              <w:rPr>
                <w:rFonts w:hint="eastAsia"/>
                <w:snapToGrid w:val="0"/>
                <w:color w:val="auto"/>
                <w:kern w:val="0"/>
                <w:highlight w:val="none"/>
              </w:rPr>
              <w:t>3266026.78</w:t>
            </w:r>
          </w:p>
        </w:tc>
        <w:tc>
          <w:tcPr>
            <w:tcW w:w="1725" w:type="dxa"/>
            <w:tcMar>
              <w:top w:w="0" w:type="dxa"/>
              <w:left w:w="108" w:type="dxa"/>
              <w:bottom w:w="0" w:type="dxa"/>
              <w:right w:w="108" w:type="dxa"/>
            </w:tcMar>
            <w:vAlign w:val="center"/>
          </w:tcPr>
          <w:p w14:paraId="4F84E353">
            <w:pPr>
              <w:widowControl w:val="0"/>
              <w:adjustRightInd w:val="0"/>
              <w:snapToGrid w:val="0"/>
              <w:jc w:val="center"/>
              <w:rPr>
                <w:snapToGrid w:val="0"/>
                <w:color w:val="auto"/>
                <w:kern w:val="0"/>
                <w:highlight w:val="none"/>
              </w:rPr>
            </w:pPr>
            <w:r>
              <w:rPr>
                <w:rFonts w:hint="eastAsia"/>
                <w:snapToGrid w:val="0"/>
                <w:color w:val="auto"/>
                <w:kern w:val="0"/>
                <w:highlight w:val="none"/>
              </w:rPr>
              <w:t>41398923.45</w:t>
            </w:r>
          </w:p>
        </w:tc>
        <w:tc>
          <w:tcPr>
            <w:tcW w:w="870" w:type="dxa"/>
            <w:tcMar>
              <w:top w:w="0" w:type="dxa"/>
              <w:left w:w="108" w:type="dxa"/>
              <w:bottom w:w="0" w:type="dxa"/>
              <w:right w:w="108" w:type="dxa"/>
            </w:tcMar>
            <w:vAlign w:val="center"/>
          </w:tcPr>
          <w:p w14:paraId="3811D5F9">
            <w:pPr>
              <w:widowControl w:val="0"/>
              <w:adjustRightInd w:val="0"/>
              <w:snapToGrid w:val="0"/>
              <w:jc w:val="center"/>
              <w:rPr>
                <w:snapToGrid w:val="0"/>
                <w:color w:val="auto"/>
                <w:kern w:val="0"/>
                <w:highlight w:val="none"/>
              </w:rPr>
            </w:pPr>
            <w:r>
              <w:rPr>
                <w:rFonts w:hint="eastAsia"/>
                <w:snapToGrid w:val="0"/>
                <w:color w:val="auto"/>
                <w:kern w:val="0"/>
                <w:highlight w:val="none"/>
              </w:rPr>
              <w:t>J88</w:t>
            </w:r>
          </w:p>
        </w:tc>
        <w:tc>
          <w:tcPr>
            <w:tcW w:w="1590" w:type="dxa"/>
            <w:tcMar>
              <w:top w:w="0" w:type="dxa"/>
              <w:left w:w="108" w:type="dxa"/>
              <w:bottom w:w="0" w:type="dxa"/>
              <w:right w:w="108" w:type="dxa"/>
            </w:tcMar>
            <w:vAlign w:val="center"/>
          </w:tcPr>
          <w:p w14:paraId="1F4A7DBD">
            <w:pPr>
              <w:widowControl w:val="0"/>
              <w:adjustRightInd w:val="0"/>
              <w:snapToGrid w:val="0"/>
              <w:jc w:val="center"/>
              <w:rPr>
                <w:snapToGrid w:val="0"/>
                <w:color w:val="auto"/>
                <w:kern w:val="0"/>
                <w:highlight w:val="none"/>
              </w:rPr>
            </w:pPr>
            <w:r>
              <w:rPr>
                <w:rFonts w:hint="eastAsia"/>
                <w:snapToGrid w:val="0"/>
                <w:color w:val="auto"/>
                <w:kern w:val="0"/>
                <w:highlight w:val="none"/>
              </w:rPr>
              <w:t>3265838.42</w:t>
            </w:r>
          </w:p>
        </w:tc>
        <w:tc>
          <w:tcPr>
            <w:tcW w:w="1681" w:type="dxa"/>
            <w:tcMar>
              <w:top w:w="0" w:type="dxa"/>
              <w:left w:w="108" w:type="dxa"/>
              <w:bottom w:w="0" w:type="dxa"/>
              <w:right w:w="108" w:type="dxa"/>
            </w:tcMar>
            <w:vAlign w:val="center"/>
          </w:tcPr>
          <w:p w14:paraId="07C66BB1">
            <w:pPr>
              <w:widowControl w:val="0"/>
              <w:adjustRightInd w:val="0"/>
              <w:snapToGrid w:val="0"/>
              <w:jc w:val="center"/>
              <w:rPr>
                <w:snapToGrid w:val="0"/>
                <w:color w:val="auto"/>
                <w:kern w:val="0"/>
                <w:highlight w:val="none"/>
              </w:rPr>
            </w:pPr>
            <w:r>
              <w:rPr>
                <w:rFonts w:hint="eastAsia"/>
                <w:snapToGrid w:val="0"/>
                <w:color w:val="auto"/>
                <w:kern w:val="0"/>
                <w:highlight w:val="none"/>
              </w:rPr>
              <w:t>41398689.34</w:t>
            </w:r>
          </w:p>
        </w:tc>
      </w:tr>
      <w:tr w14:paraId="3F15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A249F62">
            <w:pPr>
              <w:widowControl w:val="0"/>
              <w:adjustRightInd w:val="0"/>
              <w:snapToGrid w:val="0"/>
              <w:jc w:val="center"/>
              <w:rPr>
                <w:snapToGrid w:val="0"/>
                <w:color w:val="auto"/>
                <w:kern w:val="0"/>
                <w:highlight w:val="none"/>
              </w:rPr>
            </w:pPr>
            <w:r>
              <w:rPr>
                <w:rFonts w:hint="eastAsia"/>
                <w:snapToGrid w:val="0"/>
                <w:color w:val="auto"/>
                <w:kern w:val="0"/>
                <w:highlight w:val="none"/>
              </w:rPr>
              <w:t>J28</w:t>
            </w:r>
          </w:p>
        </w:tc>
        <w:tc>
          <w:tcPr>
            <w:tcW w:w="1770" w:type="dxa"/>
            <w:tcMar>
              <w:top w:w="0" w:type="dxa"/>
              <w:left w:w="108" w:type="dxa"/>
              <w:bottom w:w="0" w:type="dxa"/>
              <w:right w:w="108" w:type="dxa"/>
            </w:tcMar>
            <w:vAlign w:val="center"/>
          </w:tcPr>
          <w:p w14:paraId="2A0355F5">
            <w:pPr>
              <w:widowControl w:val="0"/>
              <w:adjustRightInd w:val="0"/>
              <w:snapToGrid w:val="0"/>
              <w:jc w:val="center"/>
              <w:rPr>
                <w:snapToGrid w:val="0"/>
                <w:color w:val="auto"/>
                <w:kern w:val="0"/>
                <w:highlight w:val="none"/>
              </w:rPr>
            </w:pPr>
            <w:r>
              <w:rPr>
                <w:rFonts w:hint="eastAsia"/>
                <w:snapToGrid w:val="0"/>
                <w:color w:val="auto"/>
                <w:kern w:val="0"/>
                <w:highlight w:val="none"/>
              </w:rPr>
              <w:t>3266026.99</w:t>
            </w:r>
          </w:p>
        </w:tc>
        <w:tc>
          <w:tcPr>
            <w:tcW w:w="1725" w:type="dxa"/>
            <w:tcMar>
              <w:top w:w="0" w:type="dxa"/>
              <w:left w:w="108" w:type="dxa"/>
              <w:bottom w:w="0" w:type="dxa"/>
              <w:right w:w="108" w:type="dxa"/>
            </w:tcMar>
            <w:vAlign w:val="center"/>
          </w:tcPr>
          <w:p w14:paraId="5D056C4C">
            <w:pPr>
              <w:widowControl w:val="0"/>
              <w:adjustRightInd w:val="0"/>
              <w:snapToGrid w:val="0"/>
              <w:jc w:val="center"/>
              <w:rPr>
                <w:snapToGrid w:val="0"/>
                <w:color w:val="auto"/>
                <w:kern w:val="0"/>
                <w:highlight w:val="none"/>
              </w:rPr>
            </w:pPr>
            <w:r>
              <w:rPr>
                <w:rFonts w:hint="eastAsia"/>
                <w:snapToGrid w:val="0"/>
                <w:color w:val="auto"/>
                <w:kern w:val="0"/>
                <w:highlight w:val="none"/>
              </w:rPr>
              <w:t>41398920.93</w:t>
            </w:r>
          </w:p>
        </w:tc>
        <w:tc>
          <w:tcPr>
            <w:tcW w:w="870" w:type="dxa"/>
            <w:tcMar>
              <w:top w:w="0" w:type="dxa"/>
              <w:left w:w="108" w:type="dxa"/>
              <w:bottom w:w="0" w:type="dxa"/>
              <w:right w:w="108" w:type="dxa"/>
            </w:tcMar>
            <w:vAlign w:val="center"/>
          </w:tcPr>
          <w:p w14:paraId="341886B6">
            <w:pPr>
              <w:widowControl w:val="0"/>
              <w:adjustRightInd w:val="0"/>
              <w:snapToGrid w:val="0"/>
              <w:jc w:val="center"/>
              <w:rPr>
                <w:snapToGrid w:val="0"/>
                <w:color w:val="auto"/>
                <w:kern w:val="0"/>
                <w:highlight w:val="none"/>
              </w:rPr>
            </w:pPr>
            <w:r>
              <w:rPr>
                <w:rFonts w:hint="eastAsia"/>
                <w:snapToGrid w:val="0"/>
                <w:color w:val="auto"/>
                <w:kern w:val="0"/>
                <w:highlight w:val="none"/>
              </w:rPr>
              <w:t>J89</w:t>
            </w:r>
          </w:p>
        </w:tc>
        <w:tc>
          <w:tcPr>
            <w:tcW w:w="1590" w:type="dxa"/>
            <w:tcMar>
              <w:top w:w="0" w:type="dxa"/>
              <w:left w:w="108" w:type="dxa"/>
              <w:bottom w:w="0" w:type="dxa"/>
              <w:right w:w="108" w:type="dxa"/>
            </w:tcMar>
            <w:vAlign w:val="center"/>
          </w:tcPr>
          <w:p w14:paraId="2BF4CB8F">
            <w:pPr>
              <w:widowControl w:val="0"/>
              <w:adjustRightInd w:val="0"/>
              <w:snapToGrid w:val="0"/>
              <w:jc w:val="center"/>
              <w:rPr>
                <w:snapToGrid w:val="0"/>
                <w:color w:val="auto"/>
                <w:kern w:val="0"/>
                <w:highlight w:val="none"/>
              </w:rPr>
            </w:pPr>
            <w:r>
              <w:rPr>
                <w:rFonts w:hint="eastAsia"/>
                <w:snapToGrid w:val="0"/>
                <w:color w:val="auto"/>
                <w:kern w:val="0"/>
                <w:highlight w:val="none"/>
              </w:rPr>
              <w:t>3265830.75</w:t>
            </w:r>
          </w:p>
        </w:tc>
        <w:tc>
          <w:tcPr>
            <w:tcW w:w="1681" w:type="dxa"/>
            <w:tcMar>
              <w:top w:w="0" w:type="dxa"/>
              <w:left w:w="108" w:type="dxa"/>
              <w:bottom w:w="0" w:type="dxa"/>
              <w:right w:w="108" w:type="dxa"/>
            </w:tcMar>
            <w:vAlign w:val="center"/>
          </w:tcPr>
          <w:p w14:paraId="693205D0">
            <w:pPr>
              <w:widowControl w:val="0"/>
              <w:adjustRightInd w:val="0"/>
              <w:snapToGrid w:val="0"/>
              <w:jc w:val="center"/>
              <w:rPr>
                <w:snapToGrid w:val="0"/>
                <w:color w:val="auto"/>
                <w:kern w:val="0"/>
                <w:highlight w:val="none"/>
              </w:rPr>
            </w:pPr>
            <w:r>
              <w:rPr>
                <w:rFonts w:hint="eastAsia"/>
                <w:snapToGrid w:val="0"/>
                <w:color w:val="auto"/>
                <w:kern w:val="0"/>
                <w:highlight w:val="none"/>
              </w:rPr>
              <w:t>41398683.46</w:t>
            </w:r>
          </w:p>
        </w:tc>
      </w:tr>
      <w:tr w14:paraId="50043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641A2E6">
            <w:pPr>
              <w:widowControl w:val="0"/>
              <w:adjustRightInd w:val="0"/>
              <w:snapToGrid w:val="0"/>
              <w:jc w:val="center"/>
              <w:rPr>
                <w:snapToGrid w:val="0"/>
                <w:color w:val="auto"/>
                <w:kern w:val="0"/>
                <w:highlight w:val="none"/>
              </w:rPr>
            </w:pPr>
            <w:r>
              <w:rPr>
                <w:rFonts w:hint="eastAsia"/>
                <w:snapToGrid w:val="0"/>
                <w:color w:val="auto"/>
                <w:kern w:val="0"/>
                <w:highlight w:val="none"/>
              </w:rPr>
              <w:t>J29</w:t>
            </w:r>
          </w:p>
        </w:tc>
        <w:tc>
          <w:tcPr>
            <w:tcW w:w="1770" w:type="dxa"/>
            <w:tcMar>
              <w:top w:w="0" w:type="dxa"/>
              <w:left w:w="108" w:type="dxa"/>
              <w:bottom w:w="0" w:type="dxa"/>
              <w:right w:w="108" w:type="dxa"/>
            </w:tcMar>
            <w:vAlign w:val="center"/>
          </w:tcPr>
          <w:p w14:paraId="5F131AE8">
            <w:pPr>
              <w:widowControl w:val="0"/>
              <w:adjustRightInd w:val="0"/>
              <w:snapToGrid w:val="0"/>
              <w:jc w:val="center"/>
              <w:rPr>
                <w:snapToGrid w:val="0"/>
                <w:color w:val="auto"/>
                <w:kern w:val="0"/>
                <w:highlight w:val="none"/>
              </w:rPr>
            </w:pPr>
            <w:r>
              <w:rPr>
                <w:rFonts w:hint="eastAsia"/>
                <w:snapToGrid w:val="0"/>
                <w:color w:val="auto"/>
                <w:kern w:val="0"/>
                <w:highlight w:val="none"/>
              </w:rPr>
              <w:t>3266028.42</w:t>
            </w:r>
          </w:p>
        </w:tc>
        <w:tc>
          <w:tcPr>
            <w:tcW w:w="1725" w:type="dxa"/>
            <w:tcMar>
              <w:top w:w="0" w:type="dxa"/>
              <w:left w:w="108" w:type="dxa"/>
              <w:bottom w:w="0" w:type="dxa"/>
              <w:right w:w="108" w:type="dxa"/>
            </w:tcMar>
            <w:vAlign w:val="center"/>
          </w:tcPr>
          <w:p w14:paraId="7AFC2FD0">
            <w:pPr>
              <w:widowControl w:val="0"/>
              <w:adjustRightInd w:val="0"/>
              <w:snapToGrid w:val="0"/>
              <w:jc w:val="center"/>
              <w:rPr>
                <w:snapToGrid w:val="0"/>
                <w:color w:val="auto"/>
                <w:kern w:val="0"/>
                <w:highlight w:val="none"/>
              </w:rPr>
            </w:pPr>
            <w:r>
              <w:rPr>
                <w:rFonts w:hint="eastAsia"/>
                <w:snapToGrid w:val="0"/>
                <w:color w:val="auto"/>
                <w:kern w:val="0"/>
                <w:highlight w:val="none"/>
              </w:rPr>
              <w:t>41398917.91</w:t>
            </w:r>
          </w:p>
        </w:tc>
        <w:tc>
          <w:tcPr>
            <w:tcW w:w="870" w:type="dxa"/>
            <w:tcMar>
              <w:top w:w="0" w:type="dxa"/>
              <w:left w:w="108" w:type="dxa"/>
              <w:bottom w:w="0" w:type="dxa"/>
              <w:right w:w="108" w:type="dxa"/>
            </w:tcMar>
            <w:vAlign w:val="center"/>
          </w:tcPr>
          <w:p w14:paraId="37C3303B">
            <w:pPr>
              <w:widowControl w:val="0"/>
              <w:adjustRightInd w:val="0"/>
              <w:snapToGrid w:val="0"/>
              <w:jc w:val="center"/>
              <w:rPr>
                <w:snapToGrid w:val="0"/>
                <w:color w:val="auto"/>
                <w:kern w:val="0"/>
                <w:highlight w:val="none"/>
              </w:rPr>
            </w:pPr>
            <w:r>
              <w:rPr>
                <w:rFonts w:hint="eastAsia"/>
                <w:snapToGrid w:val="0"/>
                <w:color w:val="auto"/>
                <w:kern w:val="0"/>
                <w:highlight w:val="none"/>
              </w:rPr>
              <w:t>J90</w:t>
            </w:r>
          </w:p>
        </w:tc>
        <w:tc>
          <w:tcPr>
            <w:tcW w:w="1590" w:type="dxa"/>
            <w:tcMar>
              <w:top w:w="0" w:type="dxa"/>
              <w:left w:w="108" w:type="dxa"/>
              <w:bottom w:w="0" w:type="dxa"/>
              <w:right w:w="108" w:type="dxa"/>
            </w:tcMar>
            <w:vAlign w:val="center"/>
          </w:tcPr>
          <w:p w14:paraId="561E100A">
            <w:pPr>
              <w:widowControl w:val="0"/>
              <w:adjustRightInd w:val="0"/>
              <w:snapToGrid w:val="0"/>
              <w:jc w:val="center"/>
              <w:rPr>
                <w:snapToGrid w:val="0"/>
                <w:color w:val="auto"/>
                <w:kern w:val="0"/>
                <w:highlight w:val="none"/>
              </w:rPr>
            </w:pPr>
            <w:r>
              <w:rPr>
                <w:rFonts w:hint="eastAsia"/>
                <w:snapToGrid w:val="0"/>
                <w:color w:val="auto"/>
                <w:kern w:val="0"/>
                <w:highlight w:val="none"/>
              </w:rPr>
              <w:t>3265822.87</w:t>
            </w:r>
          </w:p>
        </w:tc>
        <w:tc>
          <w:tcPr>
            <w:tcW w:w="1681" w:type="dxa"/>
            <w:tcMar>
              <w:top w:w="0" w:type="dxa"/>
              <w:left w:w="108" w:type="dxa"/>
              <w:bottom w:w="0" w:type="dxa"/>
              <w:right w:w="108" w:type="dxa"/>
            </w:tcMar>
            <w:vAlign w:val="center"/>
          </w:tcPr>
          <w:p w14:paraId="5A5A29D8">
            <w:pPr>
              <w:widowControl w:val="0"/>
              <w:adjustRightInd w:val="0"/>
              <w:snapToGrid w:val="0"/>
              <w:jc w:val="center"/>
              <w:rPr>
                <w:snapToGrid w:val="0"/>
                <w:color w:val="auto"/>
                <w:kern w:val="0"/>
                <w:highlight w:val="none"/>
              </w:rPr>
            </w:pPr>
            <w:r>
              <w:rPr>
                <w:rFonts w:hint="eastAsia"/>
                <w:snapToGrid w:val="0"/>
                <w:color w:val="auto"/>
                <w:kern w:val="0"/>
                <w:highlight w:val="none"/>
              </w:rPr>
              <w:t>41398673.62</w:t>
            </w:r>
          </w:p>
        </w:tc>
      </w:tr>
      <w:tr w14:paraId="5F9E6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CE48355">
            <w:pPr>
              <w:widowControl w:val="0"/>
              <w:adjustRightInd w:val="0"/>
              <w:snapToGrid w:val="0"/>
              <w:jc w:val="center"/>
              <w:rPr>
                <w:snapToGrid w:val="0"/>
                <w:color w:val="auto"/>
                <w:kern w:val="0"/>
                <w:highlight w:val="none"/>
              </w:rPr>
            </w:pPr>
            <w:r>
              <w:rPr>
                <w:rFonts w:hint="eastAsia"/>
                <w:snapToGrid w:val="0"/>
                <w:color w:val="auto"/>
                <w:kern w:val="0"/>
                <w:highlight w:val="none"/>
              </w:rPr>
              <w:t>J30</w:t>
            </w:r>
          </w:p>
        </w:tc>
        <w:tc>
          <w:tcPr>
            <w:tcW w:w="1770" w:type="dxa"/>
            <w:tcMar>
              <w:top w:w="0" w:type="dxa"/>
              <w:left w:w="108" w:type="dxa"/>
              <w:bottom w:w="0" w:type="dxa"/>
              <w:right w:w="108" w:type="dxa"/>
            </w:tcMar>
            <w:vAlign w:val="center"/>
          </w:tcPr>
          <w:p w14:paraId="758F23F9">
            <w:pPr>
              <w:widowControl w:val="0"/>
              <w:adjustRightInd w:val="0"/>
              <w:snapToGrid w:val="0"/>
              <w:jc w:val="center"/>
              <w:rPr>
                <w:snapToGrid w:val="0"/>
                <w:color w:val="auto"/>
                <w:kern w:val="0"/>
                <w:highlight w:val="none"/>
              </w:rPr>
            </w:pPr>
            <w:r>
              <w:rPr>
                <w:rFonts w:hint="eastAsia"/>
                <w:snapToGrid w:val="0"/>
                <w:color w:val="auto"/>
                <w:kern w:val="0"/>
                <w:highlight w:val="none"/>
              </w:rPr>
              <w:t>3266031.41</w:t>
            </w:r>
          </w:p>
        </w:tc>
        <w:tc>
          <w:tcPr>
            <w:tcW w:w="1725" w:type="dxa"/>
            <w:tcMar>
              <w:top w:w="0" w:type="dxa"/>
              <w:left w:w="108" w:type="dxa"/>
              <w:bottom w:w="0" w:type="dxa"/>
              <w:right w:w="108" w:type="dxa"/>
            </w:tcMar>
            <w:vAlign w:val="center"/>
          </w:tcPr>
          <w:p w14:paraId="0F640E55">
            <w:pPr>
              <w:widowControl w:val="0"/>
              <w:adjustRightInd w:val="0"/>
              <w:snapToGrid w:val="0"/>
              <w:jc w:val="center"/>
              <w:rPr>
                <w:snapToGrid w:val="0"/>
                <w:color w:val="auto"/>
                <w:kern w:val="0"/>
                <w:highlight w:val="none"/>
              </w:rPr>
            </w:pPr>
            <w:r>
              <w:rPr>
                <w:rFonts w:hint="eastAsia"/>
                <w:snapToGrid w:val="0"/>
                <w:color w:val="auto"/>
                <w:kern w:val="0"/>
                <w:highlight w:val="none"/>
              </w:rPr>
              <w:t>41398915.96</w:t>
            </w:r>
          </w:p>
        </w:tc>
        <w:tc>
          <w:tcPr>
            <w:tcW w:w="870" w:type="dxa"/>
            <w:tcMar>
              <w:top w:w="0" w:type="dxa"/>
              <w:left w:w="108" w:type="dxa"/>
              <w:bottom w:w="0" w:type="dxa"/>
              <w:right w:w="108" w:type="dxa"/>
            </w:tcMar>
            <w:vAlign w:val="center"/>
          </w:tcPr>
          <w:p w14:paraId="0C86848F">
            <w:pPr>
              <w:widowControl w:val="0"/>
              <w:adjustRightInd w:val="0"/>
              <w:snapToGrid w:val="0"/>
              <w:jc w:val="center"/>
              <w:rPr>
                <w:snapToGrid w:val="0"/>
                <w:color w:val="auto"/>
                <w:kern w:val="0"/>
                <w:highlight w:val="none"/>
              </w:rPr>
            </w:pPr>
            <w:r>
              <w:rPr>
                <w:rFonts w:hint="eastAsia"/>
                <w:snapToGrid w:val="0"/>
                <w:color w:val="auto"/>
                <w:kern w:val="0"/>
                <w:highlight w:val="none"/>
              </w:rPr>
              <w:t>J91</w:t>
            </w:r>
          </w:p>
        </w:tc>
        <w:tc>
          <w:tcPr>
            <w:tcW w:w="1590" w:type="dxa"/>
            <w:tcMar>
              <w:top w:w="0" w:type="dxa"/>
              <w:left w:w="108" w:type="dxa"/>
              <w:bottom w:w="0" w:type="dxa"/>
              <w:right w:w="108" w:type="dxa"/>
            </w:tcMar>
            <w:vAlign w:val="center"/>
          </w:tcPr>
          <w:p w14:paraId="1F9825D6">
            <w:pPr>
              <w:widowControl w:val="0"/>
              <w:adjustRightInd w:val="0"/>
              <w:snapToGrid w:val="0"/>
              <w:jc w:val="center"/>
              <w:rPr>
                <w:snapToGrid w:val="0"/>
                <w:color w:val="auto"/>
                <w:kern w:val="0"/>
                <w:highlight w:val="none"/>
              </w:rPr>
            </w:pPr>
            <w:r>
              <w:rPr>
                <w:rFonts w:hint="eastAsia"/>
                <w:snapToGrid w:val="0"/>
                <w:color w:val="auto"/>
                <w:kern w:val="0"/>
                <w:highlight w:val="none"/>
              </w:rPr>
              <w:t>3265816.51</w:t>
            </w:r>
          </w:p>
        </w:tc>
        <w:tc>
          <w:tcPr>
            <w:tcW w:w="1681" w:type="dxa"/>
            <w:tcMar>
              <w:top w:w="0" w:type="dxa"/>
              <w:left w:w="108" w:type="dxa"/>
              <w:bottom w:w="0" w:type="dxa"/>
              <w:right w:w="108" w:type="dxa"/>
            </w:tcMar>
            <w:vAlign w:val="center"/>
          </w:tcPr>
          <w:p w14:paraId="2AF04BF3">
            <w:pPr>
              <w:widowControl w:val="0"/>
              <w:adjustRightInd w:val="0"/>
              <w:snapToGrid w:val="0"/>
              <w:jc w:val="center"/>
              <w:rPr>
                <w:snapToGrid w:val="0"/>
                <w:color w:val="auto"/>
                <w:kern w:val="0"/>
                <w:highlight w:val="none"/>
              </w:rPr>
            </w:pPr>
            <w:r>
              <w:rPr>
                <w:rFonts w:hint="eastAsia"/>
                <w:snapToGrid w:val="0"/>
                <w:color w:val="auto"/>
                <w:kern w:val="0"/>
                <w:highlight w:val="none"/>
              </w:rPr>
              <w:t>41398670.52</w:t>
            </w:r>
          </w:p>
        </w:tc>
      </w:tr>
      <w:tr w14:paraId="5790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C026B22">
            <w:pPr>
              <w:widowControl w:val="0"/>
              <w:adjustRightInd w:val="0"/>
              <w:snapToGrid w:val="0"/>
              <w:jc w:val="center"/>
              <w:rPr>
                <w:snapToGrid w:val="0"/>
                <w:color w:val="auto"/>
                <w:kern w:val="0"/>
                <w:highlight w:val="none"/>
              </w:rPr>
            </w:pPr>
            <w:r>
              <w:rPr>
                <w:rFonts w:hint="eastAsia"/>
                <w:snapToGrid w:val="0"/>
                <w:color w:val="auto"/>
                <w:kern w:val="0"/>
                <w:highlight w:val="none"/>
              </w:rPr>
              <w:t>J31</w:t>
            </w:r>
          </w:p>
        </w:tc>
        <w:tc>
          <w:tcPr>
            <w:tcW w:w="1770" w:type="dxa"/>
            <w:tcMar>
              <w:top w:w="0" w:type="dxa"/>
              <w:left w:w="108" w:type="dxa"/>
              <w:bottom w:w="0" w:type="dxa"/>
              <w:right w:w="108" w:type="dxa"/>
            </w:tcMar>
            <w:vAlign w:val="center"/>
          </w:tcPr>
          <w:p w14:paraId="63D4E57F">
            <w:pPr>
              <w:widowControl w:val="0"/>
              <w:adjustRightInd w:val="0"/>
              <w:snapToGrid w:val="0"/>
              <w:jc w:val="center"/>
              <w:rPr>
                <w:snapToGrid w:val="0"/>
                <w:color w:val="auto"/>
                <w:kern w:val="0"/>
                <w:highlight w:val="none"/>
              </w:rPr>
            </w:pPr>
            <w:r>
              <w:rPr>
                <w:rFonts w:hint="eastAsia"/>
                <w:snapToGrid w:val="0"/>
                <w:color w:val="auto"/>
                <w:kern w:val="0"/>
                <w:highlight w:val="none"/>
              </w:rPr>
              <w:t>3266037.83</w:t>
            </w:r>
          </w:p>
        </w:tc>
        <w:tc>
          <w:tcPr>
            <w:tcW w:w="1725" w:type="dxa"/>
            <w:tcMar>
              <w:top w:w="0" w:type="dxa"/>
              <w:left w:w="108" w:type="dxa"/>
              <w:bottom w:w="0" w:type="dxa"/>
              <w:right w:w="108" w:type="dxa"/>
            </w:tcMar>
            <w:vAlign w:val="center"/>
          </w:tcPr>
          <w:p w14:paraId="7975136C">
            <w:pPr>
              <w:widowControl w:val="0"/>
              <w:adjustRightInd w:val="0"/>
              <w:snapToGrid w:val="0"/>
              <w:jc w:val="center"/>
              <w:rPr>
                <w:snapToGrid w:val="0"/>
                <w:color w:val="auto"/>
                <w:kern w:val="0"/>
                <w:highlight w:val="none"/>
              </w:rPr>
            </w:pPr>
            <w:r>
              <w:rPr>
                <w:rFonts w:hint="eastAsia"/>
                <w:snapToGrid w:val="0"/>
                <w:color w:val="auto"/>
                <w:kern w:val="0"/>
                <w:highlight w:val="none"/>
              </w:rPr>
              <w:t>41398914.10</w:t>
            </w:r>
          </w:p>
        </w:tc>
        <w:tc>
          <w:tcPr>
            <w:tcW w:w="870" w:type="dxa"/>
            <w:tcMar>
              <w:top w:w="0" w:type="dxa"/>
              <w:left w:w="108" w:type="dxa"/>
              <w:bottom w:w="0" w:type="dxa"/>
              <w:right w:w="108" w:type="dxa"/>
            </w:tcMar>
            <w:vAlign w:val="center"/>
          </w:tcPr>
          <w:p w14:paraId="1B7711B8">
            <w:pPr>
              <w:widowControl w:val="0"/>
              <w:adjustRightInd w:val="0"/>
              <w:snapToGrid w:val="0"/>
              <w:jc w:val="center"/>
              <w:rPr>
                <w:snapToGrid w:val="0"/>
                <w:color w:val="auto"/>
                <w:kern w:val="0"/>
                <w:highlight w:val="none"/>
              </w:rPr>
            </w:pPr>
            <w:r>
              <w:rPr>
                <w:rFonts w:hint="eastAsia"/>
                <w:snapToGrid w:val="0"/>
                <w:color w:val="auto"/>
                <w:kern w:val="0"/>
                <w:highlight w:val="none"/>
              </w:rPr>
              <w:t>J92</w:t>
            </w:r>
          </w:p>
        </w:tc>
        <w:tc>
          <w:tcPr>
            <w:tcW w:w="1590" w:type="dxa"/>
            <w:tcMar>
              <w:top w:w="0" w:type="dxa"/>
              <w:left w:w="108" w:type="dxa"/>
              <w:bottom w:w="0" w:type="dxa"/>
              <w:right w:w="108" w:type="dxa"/>
            </w:tcMar>
            <w:vAlign w:val="center"/>
          </w:tcPr>
          <w:p w14:paraId="41EF8082">
            <w:pPr>
              <w:widowControl w:val="0"/>
              <w:adjustRightInd w:val="0"/>
              <w:snapToGrid w:val="0"/>
              <w:jc w:val="center"/>
              <w:rPr>
                <w:snapToGrid w:val="0"/>
                <w:color w:val="auto"/>
                <w:kern w:val="0"/>
                <w:highlight w:val="none"/>
              </w:rPr>
            </w:pPr>
            <w:r>
              <w:rPr>
                <w:rFonts w:hint="eastAsia"/>
                <w:snapToGrid w:val="0"/>
                <w:color w:val="auto"/>
                <w:kern w:val="0"/>
                <w:highlight w:val="none"/>
              </w:rPr>
              <w:t>3265806.08</w:t>
            </w:r>
          </w:p>
        </w:tc>
        <w:tc>
          <w:tcPr>
            <w:tcW w:w="1681" w:type="dxa"/>
            <w:tcMar>
              <w:top w:w="0" w:type="dxa"/>
              <w:left w:w="108" w:type="dxa"/>
              <w:bottom w:w="0" w:type="dxa"/>
              <w:right w:w="108" w:type="dxa"/>
            </w:tcMar>
            <w:vAlign w:val="center"/>
          </w:tcPr>
          <w:p w14:paraId="1C21CBB4">
            <w:pPr>
              <w:widowControl w:val="0"/>
              <w:adjustRightInd w:val="0"/>
              <w:snapToGrid w:val="0"/>
              <w:jc w:val="center"/>
              <w:rPr>
                <w:snapToGrid w:val="0"/>
                <w:color w:val="auto"/>
                <w:kern w:val="0"/>
                <w:highlight w:val="none"/>
              </w:rPr>
            </w:pPr>
            <w:r>
              <w:rPr>
                <w:rFonts w:hint="eastAsia"/>
                <w:snapToGrid w:val="0"/>
                <w:color w:val="auto"/>
                <w:kern w:val="0"/>
                <w:highlight w:val="none"/>
              </w:rPr>
              <w:t>41398668.53</w:t>
            </w:r>
          </w:p>
        </w:tc>
      </w:tr>
      <w:tr w14:paraId="67A4E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AFFAFE3">
            <w:pPr>
              <w:widowControl w:val="0"/>
              <w:adjustRightInd w:val="0"/>
              <w:snapToGrid w:val="0"/>
              <w:jc w:val="center"/>
              <w:rPr>
                <w:snapToGrid w:val="0"/>
                <w:color w:val="auto"/>
                <w:kern w:val="0"/>
                <w:highlight w:val="none"/>
              </w:rPr>
            </w:pPr>
            <w:r>
              <w:rPr>
                <w:rFonts w:hint="eastAsia"/>
                <w:snapToGrid w:val="0"/>
                <w:color w:val="auto"/>
                <w:kern w:val="0"/>
                <w:highlight w:val="none"/>
              </w:rPr>
              <w:t>J32</w:t>
            </w:r>
          </w:p>
        </w:tc>
        <w:tc>
          <w:tcPr>
            <w:tcW w:w="1770" w:type="dxa"/>
            <w:tcMar>
              <w:top w:w="0" w:type="dxa"/>
              <w:left w:w="108" w:type="dxa"/>
              <w:bottom w:w="0" w:type="dxa"/>
              <w:right w:w="108" w:type="dxa"/>
            </w:tcMar>
            <w:vAlign w:val="center"/>
          </w:tcPr>
          <w:p w14:paraId="1E0B8397">
            <w:pPr>
              <w:widowControl w:val="0"/>
              <w:adjustRightInd w:val="0"/>
              <w:snapToGrid w:val="0"/>
              <w:jc w:val="center"/>
              <w:rPr>
                <w:snapToGrid w:val="0"/>
                <w:color w:val="auto"/>
                <w:kern w:val="0"/>
                <w:highlight w:val="none"/>
              </w:rPr>
            </w:pPr>
            <w:r>
              <w:rPr>
                <w:rFonts w:hint="eastAsia"/>
                <w:snapToGrid w:val="0"/>
                <w:color w:val="auto"/>
                <w:kern w:val="0"/>
                <w:highlight w:val="none"/>
              </w:rPr>
              <w:t>3266044.92</w:t>
            </w:r>
          </w:p>
        </w:tc>
        <w:tc>
          <w:tcPr>
            <w:tcW w:w="1725" w:type="dxa"/>
            <w:tcMar>
              <w:top w:w="0" w:type="dxa"/>
              <w:left w:w="108" w:type="dxa"/>
              <w:bottom w:w="0" w:type="dxa"/>
              <w:right w:w="108" w:type="dxa"/>
            </w:tcMar>
            <w:vAlign w:val="center"/>
          </w:tcPr>
          <w:p w14:paraId="3AC3EF74">
            <w:pPr>
              <w:widowControl w:val="0"/>
              <w:adjustRightInd w:val="0"/>
              <w:snapToGrid w:val="0"/>
              <w:jc w:val="center"/>
              <w:rPr>
                <w:snapToGrid w:val="0"/>
                <w:color w:val="auto"/>
                <w:kern w:val="0"/>
                <w:highlight w:val="none"/>
              </w:rPr>
            </w:pPr>
            <w:r>
              <w:rPr>
                <w:rFonts w:hint="eastAsia"/>
                <w:snapToGrid w:val="0"/>
                <w:color w:val="auto"/>
                <w:kern w:val="0"/>
                <w:highlight w:val="none"/>
              </w:rPr>
              <w:t>41398913.58</w:t>
            </w:r>
          </w:p>
        </w:tc>
        <w:tc>
          <w:tcPr>
            <w:tcW w:w="870" w:type="dxa"/>
            <w:tcMar>
              <w:top w:w="0" w:type="dxa"/>
              <w:left w:w="108" w:type="dxa"/>
              <w:bottom w:w="0" w:type="dxa"/>
              <w:right w:w="108" w:type="dxa"/>
            </w:tcMar>
            <w:vAlign w:val="center"/>
          </w:tcPr>
          <w:p w14:paraId="09C60671">
            <w:pPr>
              <w:widowControl w:val="0"/>
              <w:adjustRightInd w:val="0"/>
              <w:snapToGrid w:val="0"/>
              <w:jc w:val="center"/>
              <w:rPr>
                <w:snapToGrid w:val="0"/>
                <w:color w:val="auto"/>
                <w:kern w:val="0"/>
                <w:highlight w:val="none"/>
              </w:rPr>
            </w:pPr>
            <w:r>
              <w:rPr>
                <w:rFonts w:hint="eastAsia"/>
                <w:snapToGrid w:val="0"/>
                <w:color w:val="auto"/>
                <w:kern w:val="0"/>
                <w:highlight w:val="none"/>
              </w:rPr>
              <w:t>J93</w:t>
            </w:r>
          </w:p>
        </w:tc>
        <w:tc>
          <w:tcPr>
            <w:tcW w:w="1590" w:type="dxa"/>
            <w:tcMar>
              <w:top w:w="0" w:type="dxa"/>
              <w:left w:w="108" w:type="dxa"/>
              <w:bottom w:w="0" w:type="dxa"/>
              <w:right w:w="108" w:type="dxa"/>
            </w:tcMar>
            <w:vAlign w:val="center"/>
          </w:tcPr>
          <w:p w14:paraId="0CF1D39A">
            <w:pPr>
              <w:widowControl w:val="0"/>
              <w:adjustRightInd w:val="0"/>
              <w:snapToGrid w:val="0"/>
              <w:jc w:val="center"/>
              <w:rPr>
                <w:snapToGrid w:val="0"/>
                <w:color w:val="auto"/>
                <w:kern w:val="0"/>
                <w:highlight w:val="none"/>
              </w:rPr>
            </w:pPr>
            <w:r>
              <w:rPr>
                <w:rFonts w:hint="eastAsia"/>
                <w:snapToGrid w:val="0"/>
                <w:color w:val="auto"/>
                <w:kern w:val="0"/>
                <w:highlight w:val="none"/>
              </w:rPr>
              <w:t>3265788.02</w:t>
            </w:r>
          </w:p>
        </w:tc>
        <w:tc>
          <w:tcPr>
            <w:tcW w:w="1681" w:type="dxa"/>
            <w:tcMar>
              <w:top w:w="0" w:type="dxa"/>
              <w:left w:w="108" w:type="dxa"/>
              <w:bottom w:w="0" w:type="dxa"/>
              <w:right w:w="108" w:type="dxa"/>
            </w:tcMar>
            <w:vAlign w:val="center"/>
          </w:tcPr>
          <w:p w14:paraId="344F776A">
            <w:pPr>
              <w:widowControl w:val="0"/>
              <w:adjustRightInd w:val="0"/>
              <w:snapToGrid w:val="0"/>
              <w:jc w:val="center"/>
              <w:rPr>
                <w:snapToGrid w:val="0"/>
                <w:color w:val="auto"/>
                <w:kern w:val="0"/>
                <w:highlight w:val="none"/>
              </w:rPr>
            </w:pPr>
            <w:r>
              <w:rPr>
                <w:rFonts w:hint="eastAsia"/>
                <w:snapToGrid w:val="0"/>
                <w:color w:val="auto"/>
                <w:kern w:val="0"/>
                <w:highlight w:val="none"/>
              </w:rPr>
              <w:t>41398669.57</w:t>
            </w:r>
          </w:p>
        </w:tc>
      </w:tr>
      <w:tr w14:paraId="3C420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C4D9E8D">
            <w:pPr>
              <w:widowControl w:val="0"/>
              <w:adjustRightInd w:val="0"/>
              <w:snapToGrid w:val="0"/>
              <w:jc w:val="center"/>
              <w:rPr>
                <w:snapToGrid w:val="0"/>
                <w:color w:val="auto"/>
                <w:kern w:val="0"/>
                <w:highlight w:val="none"/>
              </w:rPr>
            </w:pPr>
            <w:r>
              <w:rPr>
                <w:rFonts w:hint="eastAsia"/>
                <w:snapToGrid w:val="0"/>
                <w:color w:val="auto"/>
                <w:kern w:val="0"/>
                <w:highlight w:val="none"/>
              </w:rPr>
              <w:t>J33</w:t>
            </w:r>
          </w:p>
        </w:tc>
        <w:tc>
          <w:tcPr>
            <w:tcW w:w="1770" w:type="dxa"/>
            <w:tcMar>
              <w:top w:w="0" w:type="dxa"/>
              <w:left w:w="108" w:type="dxa"/>
              <w:bottom w:w="0" w:type="dxa"/>
              <w:right w:w="108" w:type="dxa"/>
            </w:tcMar>
            <w:vAlign w:val="center"/>
          </w:tcPr>
          <w:p w14:paraId="08C85C0C">
            <w:pPr>
              <w:widowControl w:val="0"/>
              <w:adjustRightInd w:val="0"/>
              <w:snapToGrid w:val="0"/>
              <w:jc w:val="center"/>
              <w:rPr>
                <w:snapToGrid w:val="0"/>
                <w:color w:val="auto"/>
                <w:kern w:val="0"/>
                <w:highlight w:val="none"/>
              </w:rPr>
            </w:pPr>
            <w:r>
              <w:rPr>
                <w:rFonts w:hint="eastAsia"/>
                <w:snapToGrid w:val="0"/>
                <w:color w:val="auto"/>
                <w:kern w:val="0"/>
                <w:highlight w:val="none"/>
              </w:rPr>
              <w:t>3266047.02</w:t>
            </w:r>
          </w:p>
        </w:tc>
        <w:tc>
          <w:tcPr>
            <w:tcW w:w="1725" w:type="dxa"/>
            <w:tcMar>
              <w:top w:w="0" w:type="dxa"/>
              <w:left w:w="108" w:type="dxa"/>
              <w:bottom w:w="0" w:type="dxa"/>
              <w:right w:w="108" w:type="dxa"/>
            </w:tcMar>
            <w:vAlign w:val="center"/>
          </w:tcPr>
          <w:p w14:paraId="097FDD27">
            <w:pPr>
              <w:widowControl w:val="0"/>
              <w:adjustRightInd w:val="0"/>
              <w:snapToGrid w:val="0"/>
              <w:jc w:val="center"/>
              <w:rPr>
                <w:snapToGrid w:val="0"/>
                <w:color w:val="auto"/>
                <w:kern w:val="0"/>
                <w:highlight w:val="none"/>
              </w:rPr>
            </w:pPr>
            <w:r>
              <w:rPr>
                <w:rFonts w:hint="eastAsia"/>
                <w:snapToGrid w:val="0"/>
                <w:color w:val="auto"/>
                <w:kern w:val="0"/>
                <w:highlight w:val="none"/>
              </w:rPr>
              <w:t>41398912.22</w:t>
            </w:r>
          </w:p>
        </w:tc>
        <w:tc>
          <w:tcPr>
            <w:tcW w:w="870" w:type="dxa"/>
            <w:tcMar>
              <w:top w:w="0" w:type="dxa"/>
              <w:left w:w="108" w:type="dxa"/>
              <w:bottom w:w="0" w:type="dxa"/>
              <w:right w:w="108" w:type="dxa"/>
            </w:tcMar>
            <w:vAlign w:val="center"/>
          </w:tcPr>
          <w:p w14:paraId="0953DBC4">
            <w:pPr>
              <w:widowControl w:val="0"/>
              <w:adjustRightInd w:val="0"/>
              <w:snapToGrid w:val="0"/>
              <w:jc w:val="center"/>
              <w:rPr>
                <w:snapToGrid w:val="0"/>
                <w:color w:val="auto"/>
                <w:kern w:val="0"/>
                <w:highlight w:val="none"/>
              </w:rPr>
            </w:pPr>
            <w:r>
              <w:rPr>
                <w:rFonts w:hint="eastAsia"/>
                <w:snapToGrid w:val="0"/>
                <w:color w:val="auto"/>
                <w:kern w:val="0"/>
                <w:highlight w:val="none"/>
              </w:rPr>
              <w:t>J94</w:t>
            </w:r>
          </w:p>
        </w:tc>
        <w:tc>
          <w:tcPr>
            <w:tcW w:w="1590" w:type="dxa"/>
            <w:tcMar>
              <w:top w:w="0" w:type="dxa"/>
              <w:left w:w="108" w:type="dxa"/>
              <w:bottom w:w="0" w:type="dxa"/>
              <w:right w:w="108" w:type="dxa"/>
            </w:tcMar>
            <w:vAlign w:val="center"/>
          </w:tcPr>
          <w:p w14:paraId="7122A353">
            <w:pPr>
              <w:widowControl w:val="0"/>
              <w:adjustRightInd w:val="0"/>
              <w:snapToGrid w:val="0"/>
              <w:jc w:val="center"/>
              <w:rPr>
                <w:snapToGrid w:val="0"/>
                <w:color w:val="auto"/>
                <w:kern w:val="0"/>
                <w:highlight w:val="none"/>
              </w:rPr>
            </w:pPr>
            <w:r>
              <w:rPr>
                <w:rFonts w:hint="eastAsia"/>
                <w:snapToGrid w:val="0"/>
                <w:color w:val="auto"/>
                <w:kern w:val="0"/>
                <w:highlight w:val="none"/>
              </w:rPr>
              <w:t>3265778.49</w:t>
            </w:r>
          </w:p>
        </w:tc>
        <w:tc>
          <w:tcPr>
            <w:tcW w:w="1681" w:type="dxa"/>
            <w:tcMar>
              <w:top w:w="0" w:type="dxa"/>
              <w:left w:w="108" w:type="dxa"/>
              <w:bottom w:w="0" w:type="dxa"/>
              <w:right w:w="108" w:type="dxa"/>
            </w:tcMar>
            <w:vAlign w:val="center"/>
          </w:tcPr>
          <w:p w14:paraId="58E09F09">
            <w:pPr>
              <w:widowControl w:val="0"/>
              <w:adjustRightInd w:val="0"/>
              <w:snapToGrid w:val="0"/>
              <w:jc w:val="center"/>
              <w:rPr>
                <w:snapToGrid w:val="0"/>
                <w:color w:val="auto"/>
                <w:kern w:val="0"/>
                <w:highlight w:val="none"/>
              </w:rPr>
            </w:pPr>
            <w:r>
              <w:rPr>
                <w:rFonts w:hint="eastAsia"/>
                <w:snapToGrid w:val="0"/>
                <w:color w:val="auto"/>
                <w:kern w:val="0"/>
                <w:highlight w:val="none"/>
              </w:rPr>
              <w:t>41398671.64</w:t>
            </w:r>
          </w:p>
        </w:tc>
      </w:tr>
      <w:tr w14:paraId="03E42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D233875">
            <w:pPr>
              <w:widowControl w:val="0"/>
              <w:adjustRightInd w:val="0"/>
              <w:snapToGrid w:val="0"/>
              <w:jc w:val="center"/>
              <w:rPr>
                <w:snapToGrid w:val="0"/>
                <w:color w:val="auto"/>
                <w:kern w:val="0"/>
                <w:highlight w:val="none"/>
              </w:rPr>
            </w:pPr>
            <w:r>
              <w:rPr>
                <w:rFonts w:hint="eastAsia"/>
                <w:snapToGrid w:val="0"/>
                <w:color w:val="auto"/>
                <w:kern w:val="0"/>
                <w:highlight w:val="none"/>
              </w:rPr>
              <w:t>J34</w:t>
            </w:r>
          </w:p>
        </w:tc>
        <w:tc>
          <w:tcPr>
            <w:tcW w:w="1770" w:type="dxa"/>
            <w:tcMar>
              <w:top w:w="0" w:type="dxa"/>
              <w:left w:w="108" w:type="dxa"/>
              <w:bottom w:w="0" w:type="dxa"/>
              <w:right w:w="108" w:type="dxa"/>
            </w:tcMar>
            <w:vAlign w:val="center"/>
          </w:tcPr>
          <w:p w14:paraId="5B39D1DE">
            <w:pPr>
              <w:widowControl w:val="0"/>
              <w:adjustRightInd w:val="0"/>
              <w:snapToGrid w:val="0"/>
              <w:jc w:val="center"/>
              <w:rPr>
                <w:snapToGrid w:val="0"/>
                <w:color w:val="auto"/>
                <w:kern w:val="0"/>
                <w:highlight w:val="none"/>
              </w:rPr>
            </w:pPr>
            <w:r>
              <w:rPr>
                <w:rFonts w:hint="eastAsia"/>
                <w:snapToGrid w:val="0"/>
                <w:color w:val="auto"/>
                <w:kern w:val="0"/>
                <w:highlight w:val="none"/>
              </w:rPr>
              <w:t>3266048.23</w:t>
            </w:r>
          </w:p>
        </w:tc>
        <w:tc>
          <w:tcPr>
            <w:tcW w:w="1725" w:type="dxa"/>
            <w:tcMar>
              <w:top w:w="0" w:type="dxa"/>
              <w:left w:w="108" w:type="dxa"/>
              <w:bottom w:w="0" w:type="dxa"/>
              <w:right w:w="108" w:type="dxa"/>
            </w:tcMar>
            <w:vAlign w:val="center"/>
          </w:tcPr>
          <w:p w14:paraId="54352B08">
            <w:pPr>
              <w:widowControl w:val="0"/>
              <w:adjustRightInd w:val="0"/>
              <w:snapToGrid w:val="0"/>
              <w:jc w:val="center"/>
              <w:rPr>
                <w:snapToGrid w:val="0"/>
                <w:color w:val="auto"/>
                <w:kern w:val="0"/>
                <w:highlight w:val="none"/>
              </w:rPr>
            </w:pPr>
            <w:r>
              <w:rPr>
                <w:rFonts w:hint="eastAsia"/>
                <w:snapToGrid w:val="0"/>
                <w:color w:val="auto"/>
                <w:kern w:val="0"/>
                <w:highlight w:val="none"/>
              </w:rPr>
              <w:t>41398910.47</w:t>
            </w:r>
          </w:p>
        </w:tc>
        <w:tc>
          <w:tcPr>
            <w:tcW w:w="870" w:type="dxa"/>
            <w:tcMar>
              <w:top w:w="0" w:type="dxa"/>
              <w:left w:w="108" w:type="dxa"/>
              <w:bottom w:w="0" w:type="dxa"/>
              <w:right w:w="108" w:type="dxa"/>
            </w:tcMar>
            <w:vAlign w:val="center"/>
          </w:tcPr>
          <w:p w14:paraId="16C0B5A3">
            <w:pPr>
              <w:widowControl w:val="0"/>
              <w:adjustRightInd w:val="0"/>
              <w:snapToGrid w:val="0"/>
              <w:jc w:val="center"/>
              <w:rPr>
                <w:snapToGrid w:val="0"/>
                <w:color w:val="auto"/>
                <w:kern w:val="0"/>
                <w:highlight w:val="none"/>
              </w:rPr>
            </w:pPr>
            <w:r>
              <w:rPr>
                <w:rFonts w:hint="eastAsia"/>
                <w:snapToGrid w:val="0"/>
                <w:color w:val="auto"/>
                <w:kern w:val="0"/>
                <w:highlight w:val="none"/>
              </w:rPr>
              <w:t>J95</w:t>
            </w:r>
          </w:p>
        </w:tc>
        <w:tc>
          <w:tcPr>
            <w:tcW w:w="1590" w:type="dxa"/>
            <w:tcMar>
              <w:top w:w="0" w:type="dxa"/>
              <w:left w:w="108" w:type="dxa"/>
              <w:bottom w:w="0" w:type="dxa"/>
              <w:right w:w="108" w:type="dxa"/>
            </w:tcMar>
            <w:vAlign w:val="center"/>
          </w:tcPr>
          <w:p w14:paraId="7A04FEFC">
            <w:pPr>
              <w:widowControl w:val="0"/>
              <w:adjustRightInd w:val="0"/>
              <w:snapToGrid w:val="0"/>
              <w:jc w:val="center"/>
              <w:rPr>
                <w:snapToGrid w:val="0"/>
                <w:color w:val="auto"/>
                <w:kern w:val="0"/>
                <w:highlight w:val="none"/>
              </w:rPr>
            </w:pPr>
            <w:r>
              <w:rPr>
                <w:rFonts w:hint="eastAsia"/>
                <w:snapToGrid w:val="0"/>
                <w:color w:val="auto"/>
                <w:kern w:val="0"/>
                <w:highlight w:val="none"/>
              </w:rPr>
              <w:t>3265770.41</w:t>
            </w:r>
          </w:p>
        </w:tc>
        <w:tc>
          <w:tcPr>
            <w:tcW w:w="1681" w:type="dxa"/>
            <w:tcMar>
              <w:top w:w="0" w:type="dxa"/>
              <w:left w:w="108" w:type="dxa"/>
              <w:bottom w:w="0" w:type="dxa"/>
              <w:right w:w="108" w:type="dxa"/>
            </w:tcMar>
            <w:vAlign w:val="center"/>
          </w:tcPr>
          <w:p w14:paraId="2CB70268">
            <w:pPr>
              <w:widowControl w:val="0"/>
              <w:adjustRightInd w:val="0"/>
              <w:snapToGrid w:val="0"/>
              <w:jc w:val="center"/>
              <w:rPr>
                <w:snapToGrid w:val="0"/>
                <w:color w:val="auto"/>
                <w:kern w:val="0"/>
                <w:highlight w:val="none"/>
              </w:rPr>
            </w:pPr>
            <w:r>
              <w:rPr>
                <w:rFonts w:hint="eastAsia"/>
                <w:snapToGrid w:val="0"/>
                <w:color w:val="auto"/>
                <w:kern w:val="0"/>
                <w:highlight w:val="none"/>
              </w:rPr>
              <w:t>41398674.29</w:t>
            </w:r>
          </w:p>
        </w:tc>
      </w:tr>
      <w:tr w14:paraId="18A19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30C4B35">
            <w:pPr>
              <w:widowControl w:val="0"/>
              <w:adjustRightInd w:val="0"/>
              <w:snapToGrid w:val="0"/>
              <w:jc w:val="center"/>
              <w:rPr>
                <w:snapToGrid w:val="0"/>
                <w:color w:val="auto"/>
                <w:kern w:val="0"/>
                <w:highlight w:val="none"/>
              </w:rPr>
            </w:pPr>
            <w:r>
              <w:rPr>
                <w:rFonts w:hint="eastAsia"/>
                <w:snapToGrid w:val="0"/>
                <w:color w:val="auto"/>
                <w:kern w:val="0"/>
                <w:highlight w:val="none"/>
              </w:rPr>
              <w:t>J35</w:t>
            </w:r>
          </w:p>
        </w:tc>
        <w:tc>
          <w:tcPr>
            <w:tcW w:w="1770" w:type="dxa"/>
            <w:tcMar>
              <w:top w:w="0" w:type="dxa"/>
              <w:left w:w="108" w:type="dxa"/>
              <w:bottom w:w="0" w:type="dxa"/>
              <w:right w:w="108" w:type="dxa"/>
            </w:tcMar>
            <w:vAlign w:val="center"/>
          </w:tcPr>
          <w:p w14:paraId="69AE225E">
            <w:pPr>
              <w:widowControl w:val="0"/>
              <w:adjustRightInd w:val="0"/>
              <w:snapToGrid w:val="0"/>
              <w:jc w:val="center"/>
              <w:rPr>
                <w:snapToGrid w:val="0"/>
                <w:color w:val="auto"/>
                <w:kern w:val="0"/>
                <w:highlight w:val="none"/>
              </w:rPr>
            </w:pPr>
            <w:r>
              <w:rPr>
                <w:rFonts w:hint="eastAsia"/>
                <w:snapToGrid w:val="0"/>
                <w:color w:val="auto"/>
                <w:kern w:val="0"/>
                <w:highlight w:val="none"/>
              </w:rPr>
              <w:t>3266050.10</w:t>
            </w:r>
          </w:p>
        </w:tc>
        <w:tc>
          <w:tcPr>
            <w:tcW w:w="1725" w:type="dxa"/>
            <w:tcMar>
              <w:top w:w="0" w:type="dxa"/>
              <w:left w:w="108" w:type="dxa"/>
              <w:bottom w:w="0" w:type="dxa"/>
              <w:right w:w="108" w:type="dxa"/>
            </w:tcMar>
            <w:vAlign w:val="center"/>
          </w:tcPr>
          <w:p w14:paraId="5869627D">
            <w:pPr>
              <w:widowControl w:val="0"/>
              <w:adjustRightInd w:val="0"/>
              <w:snapToGrid w:val="0"/>
              <w:jc w:val="center"/>
              <w:rPr>
                <w:snapToGrid w:val="0"/>
                <w:color w:val="auto"/>
                <w:kern w:val="0"/>
                <w:highlight w:val="none"/>
              </w:rPr>
            </w:pPr>
            <w:r>
              <w:rPr>
                <w:rFonts w:hint="eastAsia"/>
                <w:snapToGrid w:val="0"/>
                <w:color w:val="auto"/>
                <w:kern w:val="0"/>
                <w:highlight w:val="none"/>
              </w:rPr>
              <w:t>41398905.90</w:t>
            </w:r>
          </w:p>
        </w:tc>
        <w:tc>
          <w:tcPr>
            <w:tcW w:w="870" w:type="dxa"/>
            <w:tcMar>
              <w:top w:w="0" w:type="dxa"/>
              <w:left w:w="108" w:type="dxa"/>
              <w:bottom w:w="0" w:type="dxa"/>
              <w:right w:w="108" w:type="dxa"/>
            </w:tcMar>
            <w:vAlign w:val="center"/>
          </w:tcPr>
          <w:p w14:paraId="5DF4364A">
            <w:pPr>
              <w:widowControl w:val="0"/>
              <w:adjustRightInd w:val="0"/>
              <w:snapToGrid w:val="0"/>
              <w:jc w:val="center"/>
              <w:rPr>
                <w:snapToGrid w:val="0"/>
                <w:color w:val="auto"/>
                <w:kern w:val="0"/>
                <w:highlight w:val="none"/>
              </w:rPr>
            </w:pPr>
            <w:r>
              <w:rPr>
                <w:rFonts w:hint="eastAsia"/>
                <w:snapToGrid w:val="0"/>
                <w:color w:val="auto"/>
                <w:kern w:val="0"/>
                <w:highlight w:val="none"/>
              </w:rPr>
              <w:t>J96</w:t>
            </w:r>
          </w:p>
        </w:tc>
        <w:tc>
          <w:tcPr>
            <w:tcW w:w="1590" w:type="dxa"/>
            <w:tcMar>
              <w:top w:w="0" w:type="dxa"/>
              <w:left w:w="108" w:type="dxa"/>
              <w:bottom w:w="0" w:type="dxa"/>
              <w:right w:w="108" w:type="dxa"/>
            </w:tcMar>
            <w:vAlign w:val="center"/>
          </w:tcPr>
          <w:p w14:paraId="7CD3AFC3">
            <w:pPr>
              <w:widowControl w:val="0"/>
              <w:adjustRightInd w:val="0"/>
              <w:snapToGrid w:val="0"/>
              <w:jc w:val="center"/>
              <w:rPr>
                <w:snapToGrid w:val="0"/>
                <w:color w:val="auto"/>
                <w:kern w:val="0"/>
                <w:highlight w:val="none"/>
              </w:rPr>
            </w:pPr>
            <w:r>
              <w:rPr>
                <w:rFonts w:hint="eastAsia"/>
                <w:snapToGrid w:val="0"/>
                <w:color w:val="auto"/>
                <w:kern w:val="0"/>
                <w:highlight w:val="none"/>
              </w:rPr>
              <w:t>3265768.31</w:t>
            </w:r>
          </w:p>
        </w:tc>
        <w:tc>
          <w:tcPr>
            <w:tcW w:w="1681" w:type="dxa"/>
            <w:tcMar>
              <w:top w:w="0" w:type="dxa"/>
              <w:left w:w="108" w:type="dxa"/>
              <w:bottom w:w="0" w:type="dxa"/>
              <w:right w:w="108" w:type="dxa"/>
            </w:tcMar>
            <w:vAlign w:val="center"/>
          </w:tcPr>
          <w:p w14:paraId="600AC7D8">
            <w:pPr>
              <w:widowControl w:val="0"/>
              <w:adjustRightInd w:val="0"/>
              <w:snapToGrid w:val="0"/>
              <w:jc w:val="center"/>
              <w:rPr>
                <w:snapToGrid w:val="0"/>
                <w:color w:val="auto"/>
                <w:kern w:val="0"/>
                <w:highlight w:val="none"/>
              </w:rPr>
            </w:pPr>
            <w:r>
              <w:rPr>
                <w:rFonts w:hint="eastAsia"/>
                <w:snapToGrid w:val="0"/>
                <w:color w:val="auto"/>
                <w:kern w:val="0"/>
                <w:highlight w:val="none"/>
              </w:rPr>
              <w:t>41398675.75</w:t>
            </w:r>
          </w:p>
        </w:tc>
      </w:tr>
      <w:tr w14:paraId="2EB6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AC39682">
            <w:pPr>
              <w:widowControl w:val="0"/>
              <w:adjustRightInd w:val="0"/>
              <w:snapToGrid w:val="0"/>
              <w:jc w:val="center"/>
              <w:rPr>
                <w:snapToGrid w:val="0"/>
                <w:color w:val="auto"/>
                <w:kern w:val="0"/>
                <w:highlight w:val="none"/>
              </w:rPr>
            </w:pPr>
            <w:r>
              <w:rPr>
                <w:rFonts w:hint="eastAsia"/>
                <w:snapToGrid w:val="0"/>
                <w:color w:val="auto"/>
                <w:kern w:val="0"/>
                <w:highlight w:val="none"/>
              </w:rPr>
              <w:t>J36</w:t>
            </w:r>
          </w:p>
        </w:tc>
        <w:tc>
          <w:tcPr>
            <w:tcW w:w="1770" w:type="dxa"/>
            <w:tcMar>
              <w:top w:w="0" w:type="dxa"/>
              <w:left w:w="108" w:type="dxa"/>
              <w:bottom w:w="0" w:type="dxa"/>
              <w:right w:w="108" w:type="dxa"/>
            </w:tcMar>
            <w:vAlign w:val="center"/>
          </w:tcPr>
          <w:p w14:paraId="0C71AE5B">
            <w:pPr>
              <w:widowControl w:val="0"/>
              <w:adjustRightInd w:val="0"/>
              <w:snapToGrid w:val="0"/>
              <w:jc w:val="center"/>
              <w:rPr>
                <w:snapToGrid w:val="0"/>
                <w:color w:val="auto"/>
                <w:kern w:val="0"/>
                <w:highlight w:val="none"/>
              </w:rPr>
            </w:pPr>
            <w:r>
              <w:rPr>
                <w:rFonts w:hint="eastAsia"/>
                <w:snapToGrid w:val="0"/>
                <w:color w:val="auto"/>
                <w:kern w:val="0"/>
                <w:highlight w:val="none"/>
              </w:rPr>
              <w:t>3266050.64</w:t>
            </w:r>
          </w:p>
        </w:tc>
        <w:tc>
          <w:tcPr>
            <w:tcW w:w="1725" w:type="dxa"/>
            <w:tcMar>
              <w:top w:w="0" w:type="dxa"/>
              <w:left w:w="108" w:type="dxa"/>
              <w:bottom w:w="0" w:type="dxa"/>
              <w:right w:w="108" w:type="dxa"/>
            </w:tcMar>
            <w:vAlign w:val="center"/>
          </w:tcPr>
          <w:p w14:paraId="003A8439">
            <w:pPr>
              <w:widowControl w:val="0"/>
              <w:adjustRightInd w:val="0"/>
              <w:snapToGrid w:val="0"/>
              <w:jc w:val="center"/>
              <w:rPr>
                <w:snapToGrid w:val="0"/>
                <w:color w:val="auto"/>
                <w:kern w:val="0"/>
                <w:highlight w:val="none"/>
              </w:rPr>
            </w:pPr>
            <w:r>
              <w:rPr>
                <w:rFonts w:hint="eastAsia"/>
                <w:snapToGrid w:val="0"/>
                <w:color w:val="auto"/>
                <w:kern w:val="0"/>
                <w:highlight w:val="none"/>
              </w:rPr>
              <w:t>41398902.22</w:t>
            </w:r>
          </w:p>
        </w:tc>
        <w:tc>
          <w:tcPr>
            <w:tcW w:w="870" w:type="dxa"/>
            <w:tcMar>
              <w:top w:w="0" w:type="dxa"/>
              <w:left w:w="108" w:type="dxa"/>
              <w:bottom w:w="0" w:type="dxa"/>
              <w:right w:w="108" w:type="dxa"/>
            </w:tcMar>
            <w:vAlign w:val="center"/>
          </w:tcPr>
          <w:p w14:paraId="5FEF23CB">
            <w:pPr>
              <w:widowControl w:val="0"/>
              <w:adjustRightInd w:val="0"/>
              <w:snapToGrid w:val="0"/>
              <w:jc w:val="center"/>
              <w:rPr>
                <w:snapToGrid w:val="0"/>
                <w:color w:val="auto"/>
                <w:kern w:val="0"/>
                <w:highlight w:val="none"/>
              </w:rPr>
            </w:pPr>
            <w:r>
              <w:rPr>
                <w:rFonts w:hint="eastAsia"/>
                <w:snapToGrid w:val="0"/>
                <w:color w:val="auto"/>
                <w:kern w:val="0"/>
                <w:highlight w:val="none"/>
              </w:rPr>
              <w:t>J97</w:t>
            </w:r>
          </w:p>
        </w:tc>
        <w:tc>
          <w:tcPr>
            <w:tcW w:w="1590" w:type="dxa"/>
            <w:tcMar>
              <w:top w:w="0" w:type="dxa"/>
              <w:left w:w="108" w:type="dxa"/>
              <w:bottom w:w="0" w:type="dxa"/>
              <w:right w:w="108" w:type="dxa"/>
            </w:tcMar>
            <w:vAlign w:val="center"/>
          </w:tcPr>
          <w:p w14:paraId="743D1F93">
            <w:pPr>
              <w:widowControl w:val="0"/>
              <w:adjustRightInd w:val="0"/>
              <w:snapToGrid w:val="0"/>
              <w:jc w:val="center"/>
              <w:rPr>
                <w:snapToGrid w:val="0"/>
                <w:color w:val="auto"/>
                <w:kern w:val="0"/>
                <w:highlight w:val="none"/>
              </w:rPr>
            </w:pPr>
            <w:r>
              <w:rPr>
                <w:rFonts w:hint="eastAsia"/>
                <w:snapToGrid w:val="0"/>
                <w:color w:val="auto"/>
                <w:kern w:val="0"/>
                <w:highlight w:val="none"/>
              </w:rPr>
              <w:t>3265766.32</w:t>
            </w:r>
          </w:p>
        </w:tc>
        <w:tc>
          <w:tcPr>
            <w:tcW w:w="1681" w:type="dxa"/>
            <w:tcMar>
              <w:top w:w="0" w:type="dxa"/>
              <w:left w:w="108" w:type="dxa"/>
              <w:bottom w:w="0" w:type="dxa"/>
              <w:right w:w="108" w:type="dxa"/>
            </w:tcMar>
            <w:vAlign w:val="center"/>
          </w:tcPr>
          <w:p w14:paraId="67F14A27">
            <w:pPr>
              <w:widowControl w:val="0"/>
              <w:adjustRightInd w:val="0"/>
              <w:snapToGrid w:val="0"/>
              <w:jc w:val="center"/>
              <w:rPr>
                <w:snapToGrid w:val="0"/>
                <w:color w:val="auto"/>
                <w:kern w:val="0"/>
                <w:highlight w:val="none"/>
              </w:rPr>
            </w:pPr>
            <w:r>
              <w:rPr>
                <w:rFonts w:hint="eastAsia"/>
                <w:snapToGrid w:val="0"/>
                <w:color w:val="auto"/>
                <w:kern w:val="0"/>
                <w:highlight w:val="none"/>
              </w:rPr>
              <w:t>41398677.60</w:t>
            </w:r>
          </w:p>
        </w:tc>
      </w:tr>
      <w:tr w14:paraId="581B6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15DF41A">
            <w:pPr>
              <w:widowControl w:val="0"/>
              <w:adjustRightInd w:val="0"/>
              <w:snapToGrid w:val="0"/>
              <w:jc w:val="center"/>
              <w:rPr>
                <w:snapToGrid w:val="0"/>
                <w:color w:val="auto"/>
                <w:kern w:val="0"/>
                <w:highlight w:val="none"/>
              </w:rPr>
            </w:pPr>
            <w:r>
              <w:rPr>
                <w:rFonts w:hint="eastAsia"/>
                <w:snapToGrid w:val="0"/>
                <w:color w:val="auto"/>
                <w:kern w:val="0"/>
                <w:highlight w:val="none"/>
              </w:rPr>
              <w:t>J37</w:t>
            </w:r>
          </w:p>
        </w:tc>
        <w:tc>
          <w:tcPr>
            <w:tcW w:w="1770" w:type="dxa"/>
            <w:tcMar>
              <w:top w:w="0" w:type="dxa"/>
              <w:left w:w="108" w:type="dxa"/>
              <w:bottom w:w="0" w:type="dxa"/>
              <w:right w:w="108" w:type="dxa"/>
            </w:tcMar>
            <w:vAlign w:val="center"/>
          </w:tcPr>
          <w:p w14:paraId="7C6A514C">
            <w:pPr>
              <w:widowControl w:val="0"/>
              <w:adjustRightInd w:val="0"/>
              <w:snapToGrid w:val="0"/>
              <w:jc w:val="center"/>
              <w:rPr>
                <w:snapToGrid w:val="0"/>
                <w:color w:val="auto"/>
                <w:kern w:val="0"/>
                <w:highlight w:val="none"/>
              </w:rPr>
            </w:pPr>
            <w:r>
              <w:rPr>
                <w:rFonts w:hint="eastAsia"/>
                <w:snapToGrid w:val="0"/>
                <w:color w:val="auto"/>
                <w:kern w:val="0"/>
                <w:highlight w:val="none"/>
              </w:rPr>
              <w:t>3266050.27</w:t>
            </w:r>
          </w:p>
        </w:tc>
        <w:tc>
          <w:tcPr>
            <w:tcW w:w="1725" w:type="dxa"/>
            <w:tcMar>
              <w:top w:w="0" w:type="dxa"/>
              <w:left w:w="108" w:type="dxa"/>
              <w:bottom w:w="0" w:type="dxa"/>
              <w:right w:w="108" w:type="dxa"/>
            </w:tcMar>
            <w:vAlign w:val="center"/>
          </w:tcPr>
          <w:p w14:paraId="15BDD83C">
            <w:pPr>
              <w:widowControl w:val="0"/>
              <w:adjustRightInd w:val="0"/>
              <w:snapToGrid w:val="0"/>
              <w:jc w:val="center"/>
              <w:rPr>
                <w:snapToGrid w:val="0"/>
                <w:color w:val="auto"/>
                <w:kern w:val="0"/>
                <w:highlight w:val="none"/>
              </w:rPr>
            </w:pPr>
            <w:r>
              <w:rPr>
                <w:rFonts w:hint="eastAsia"/>
                <w:snapToGrid w:val="0"/>
                <w:color w:val="auto"/>
                <w:kern w:val="0"/>
                <w:highlight w:val="none"/>
              </w:rPr>
              <w:t>41398893.01</w:t>
            </w:r>
          </w:p>
        </w:tc>
        <w:tc>
          <w:tcPr>
            <w:tcW w:w="870" w:type="dxa"/>
            <w:tcMar>
              <w:top w:w="0" w:type="dxa"/>
              <w:left w:w="108" w:type="dxa"/>
              <w:bottom w:w="0" w:type="dxa"/>
              <w:right w:w="108" w:type="dxa"/>
            </w:tcMar>
            <w:vAlign w:val="center"/>
          </w:tcPr>
          <w:p w14:paraId="2F1D2095">
            <w:pPr>
              <w:widowControl w:val="0"/>
              <w:adjustRightInd w:val="0"/>
              <w:snapToGrid w:val="0"/>
              <w:jc w:val="center"/>
              <w:rPr>
                <w:snapToGrid w:val="0"/>
                <w:color w:val="auto"/>
                <w:kern w:val="0"/>
                <w:highlight w:val="none"/>
              </w:rPr>
            </w:pPr>
            <w:r>
              <w:rPr>
                <w:rFonts w:hint="eastAsia"/>
                <w:snapToGrid w:val="0"/>
                <w:color w:val="auto"/>
                <w:kern w:val="0"/>
                <w:highlight w:val="none"/>
              </w:rPr>
              <w:t>J98</w:t>
            </w:r>
          </w:p>
        </w:tc>
        <w:tc>
          <w:tcPr>
            <w:tcW w:w="1590" w:type="dxa"/>
            <w:tcMar>
              <w:top w:w="0" w:type="dxa"/>
              <w:left w:w="108" w:type="dxa"/>
              <w:bottom w:w="0" w:type="dxa"/>
              <w:right w:w="108" w:type="dxa"/>
            </w:tcMar>
            <w:vAlign w:val="center"/>
          </w:tcPr>
          <w:p w14:paraId="0B77C31B">
            <w:pPr>
              <w:widowControl w:val="0"/>
              <w:adjustRightInd w:val="0"/>
              <w:snapToGrid w:val="0"/>
              <w:jc w:val="center"/>
              <w:rPr>
                <w:snapToGrid w:val="0"/>
                <w:color w:val="auto"/>
                <w:kern w:val="0"/>
                <w:highlight w:val="none"/>
              </w:rPr>
            </w:pPr>
            <w:r>
              <w:rPr>
                <w:rFonts w:hint="eastAsia"/>
                <w:snapToGrid w:val="0"/>
                <w:color w:val="auto"/>
                <w:kern w:val="0"/>
                <w:highlight w:val="none"/>
              </w:rPr>
              <w:t>3265765.44</w:t>
            </w:r>
          </w:p>
        </w:tc>
        <w:tc>
          <w:tcPr>
            <w:tcW w:w="1681" w:type="dxa"/>
            <w:tcMar>
              <w:top w:w="0" w:type="dxa"/>
              <w:left w:w="108" w:type="dxa"/>
              <w:bottom w:w="0" w:type="dxa"/>
              <w:right w:w="108" w:type="dxa"/>
            </w:tcMar>
            <w:vAlign w:val="center"/>
          </w:tcPr>
          <w:p w14:paraId="0C84A785">
            <w:pPr>
              <w:widowControl w:val="0"/>
              <w:adjustRightInd w:val="0"/>
              <w:snapToGrid w:val="0"/>
              <w:jc w:val="center"/>
              <w:rPr>
                <w:snapToGrid w:val="0"/>
                <w:color w:val="auto"/>
                <w:kern w:val="0"/>
                <w:highlight w:val="none"/>
              </w:rPr>
            </w:pPr>
            <w:r>
              <w:rPr>
                <w:rFonts w:hint="eastAsia"/>
                <w:snapToGrid w:val="0"/>
                <w:color w:val="auto"/>
                <w:kern w:val="0"/>
                <w:highlight w:val="none"/>
              </w:rPr>
              <w:t>41398679.06</w:t>
            </w:r>
          </w:p>
        </w:tc>
      </w:tr>
      <w:tr w14:paraId="17A5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D9C940B">
            <w:pPr>
              <w:widowControl w:val="0"/>
              <w:adjustRightInd w:val="0"/>
              <w:snapToGrid w:val="0"/>
              <w:jc w:val="center"/>
              <w:rPr>
                <w:snapToGrid w:val="0"/>
                <w:color w:val="auto"/>
                <w:kern w:val="0"/>
                <w:highlight w:val="none"/>
              </w:rPr>
            </w:pPr>
            <w:r>
              <w:rPr>
                <w:rFonts w:hint="eastAsia"/>
                <w:snapToGrid w:val="0"/>
                <w:color w:val="auto"/>
                <w:kern w:val="0"/>
                <w:highlight w:val="none"/>
              </w:rPr>
              <w:t>J38</w:t>
            </w:r>
          </w:p>
        </w:tc>
        <w:tc>
          <w:tcPr>
            <w:tcW w:w="1770" w:type="dxa"/>
            <w:tcMar>
              <w:top w:w="0" w:type="dxa"/>
              <w:left w:w="108" w:type="dxa"/>
              <w:bottom w:w="0" w:type="dxa"/>
              <w:right w:w="108" w:type="dxa"/>
            </w:tcMar>
            <w:vAlign w:val="center"/>
          </w:tcPr>
          <w:p w14:paraId="6AE841A9">
            <w:pPr>
              <w:widowControl w:val="0"/>
              <w:adjustRightInd w:val="0"/>
              <w:snapToGrid w:val="0"/>
              <w:jc w:val="center"/>
              <w:rPr>
                <w:snapToGrid w:val="0"/>
                <w:color w:val="auto"/>
                <w:kern w:val="0"/>
                <w:highlight w:val="none"/>
              </w:rPr>
            </w:pPr>
            <w:r>
              <w:rPr>
                <w:rFonts w:hint="eastAsia"/>
                <w:snapToGrid w:val="0"/>
                <w:color w:val="auto"/>
                <w:kern w:val="0"/>
                <w:highlight w:val="none"/>
              </w:rPr>
              <w:t>3266048.81</w:t>
            </w:r>
          </w:p>
        </w:tc>
        <w:tc>
          <w:tcPr>
            <w:tcW w:w="1725" w:type="dxa"/>
            <w:tcMar>
              <w:top w:w="0" w:type="dxa"/>
              <w:left w:w="108" w:type="dxa"/>
              <w:bottom w:w="0" w:type="dxa"/>
              <w:right w:w="108" w:type="dxa"/>
            </w:tcMar>
            <w:vAlign w:val="center"/>
          </w:tcPr>
          <w:p w14:paraId="6B2BDE2A">
            <w:pPr>
              <w:widowControl w:val="0"/>
              <w:adjustRightInd w:val="0"/>
              <w:snapToGrid w:val="0"/>
              <w:jc w:val="center"/>
              <w:rPr>
                <w:snapToGrid w:val="0"/>
                <w:color w:val="auto"/>
                <w:kern w:val="0"/>
                <w:highlight w:val="none"/>
              </w:rPr>
            </w:pPr>
            <w:r>
              <w:rPr>
                <w:rFonts w:hint="eastAsia"/>
                <w:snapToGrid w:val="0"/>
                <w:color w:val="auto"/>
                <w:kern w:val="0"/>
                <w:highlight w:val="none"/>
              </w:rPr>
              <w:t>41398887.10</w:t>
            </w:r>
          </w:p>
        </w:tc>
        <w:tc>
          <w:tcPr>
            <w:tcW w:w="870" w:type="dxa"/>
            <w:tcMar>
              <w:top w:w="0" w:type="dxa"/>
              <w:left w:w="108" w:type="dxa"/>
              <w:bottom w:w="0" w:type="dxa"/>
              <w:right w:w="108" w:type="dxa"/>
            </w:tcMar>
            <w:vAlign w:val="center"/>
          </w:tcPr>
          <w:p w14:paraId="0CF6CF25">
            <w:pPr>
              <w:widowControl w:val="0"/>
              <w:adjustRightInd w:val="0"/>
              <w:snapToGrid w:val="0"/>
              <w:jc w:val="center"/>
              <w:rPr>
                <w:snapToGrid w:val="0"/>
                <w:color w:val="auto"/>
                <w:kern w:val="0"/>
                <w:highlight w:val="none"/>
              </w:rPr>
            </w:pPr>
            <w:r>
              <w:rPr>
                <w:rFonts w:hint="eastAsia"/>
                <w:snapToGrid w:val="0"/>
                <w:color w:val="auto"/>
                <w:kern w:val="0"/>
                <w:highlight w:val="none"/>
              </w:rPr>
              <w:t>J99</w:t>
            </w:r>
          </w:p>
        </w:tc>
        <w:tc>
          <w:tcPr>
            <w:tcW w:w="1590" w:type="dxa"/>
            <w:tcMar>
              <w:top w:w="0" w:type="dxa"/>
              <w:left w:w="108" w:type="dxa"/>
              <w:bottom w:w="0" w:type="dxa"/>
              <w:right w:w="108" w:type="dxa"/>
            </w:tcMar>
            <w:vAlign w:val="center"/>
          </w:tcPr>
          <w:p w14:paraId="737588D8">
            <w:pPr>
              <w:widowControl w:val="0"/>
              <w:adjustRightInd w:val="0"/>
              <w:snapToGrid w:val="0"/>
              <w:jc w:val="center"/>
              <w:rPr>
                <w:snapToGrid w:val="0"/>
                <w:color w:val="auto"/>
                <w:kern w:val="0"/>
                <w:highlight w:val="none"/>
              </w:rPr>
            </w:pPr>
            <w:r>
              <w:rPr>
                <w:rFonts w:hint="eastAsia"/>
                <w:snapToGrid w:val="0"/>
                <w:color w:val="auto"/>
                <w:kern w:val="0"/>
                <w:highlight w:val="none"/>
              </w:rPr>
              <w:t>3265764.56</w:t>
            </w:r>
          </w:p>
        </w:tc>
        <w:tc>
          <w:tcPr>
            <w:tcW w:w="1681" w:type="dxa"/>
            <w:tcMar>
              <w:top w:w="0" w:type="dxa"/>
              <w:left w:w="108" w:type="dxa"/>
              <w:bottom w:w="0" w:type="dxa"/>
              <w:right w:w="108" w:type="dxa"/>
            </w:tcMar>
            <w:vAlign w:val="center"/>
          </w:tcPr>
          <w:p w14:paraId="7F0FAE77">
            <w:pPr>
              <w:widowControl w:val="0"/>
              <w:adjustRightInd w:val="0"/>
              <w:snapToGrid w:val="0"/>
              <w:jc w:val="center"/>
              <w:rPr>
                <w:snapToGrid w:val="0"/>
                <w:color w:val="auto"/>
                <w:kern w:val="0"/>
                <w:highlight w:val="none"/>
              </w:rPr>
            </w:pPr>
            <w:r>
              <w:rPr>
                <w:rFonts w:hint="eastAsia"/>
                <w:snapToGrid w:val="0"/>
                <w:color w:val="auto"/>
                <w:kern w:val="0"/>
                <w:highlight w:val="none"/>
              </w:rPr>
              <w:t>41398681.97</w:t>
            </w:r>
          </w:p>
        </w:tc>
      </w:tr>
      <w:tr w14:paraId="4A45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260EB50">
            <w:pPr>
              <w:widowControl w:val="0"/>
              <w:adjustRightInd w:val="0"/>
              <w:snapToGrid w:val="0"/>
              <w:jc w:val="center"/>
              <w:rPr>
                <w:snapToGrid w:val="0"/>
                <w:color w:val="auto"/>
                <w:kern w:val="0"/>
                <w:highlight w:val="none"/>
              </w:rPr>
            </w:pPr>
            <w:r>
              <w:rPr>
                <w:rFonts w:hint="eastAsia"/>
                <w:snapToGrid w:val="0"/>
                <w:color w:val="auto"/>
                <w:kern w:val="0"/>
                <w:highlight w:val="none"/>
              </w:rPr>
              <w:t>J39</w:t>
            </w:r>
          </w:p>
        </w:tc>
        <w:tc>
          <w:tcPr>
            <w:tcW w:w="1770" w:type="dxa"/>
            <w:tcMar>
              <w:top w:w="0" w:type="dxa"/>
              <w:left w:w="108" w:type="dxa"/>
              <w:bottom w:w="0" w:type="dxa"/>
              <w:right w:w="108" w:type="dxa"/>
            </w:tcMar>
            <w:vAlign w:val="center"/>
          </w:tcPr>
          <w:p w14:paraId="4B302B56">
            <w:pPr>
              <w:widowControl w:val="0"/>
              <w:adjustRightInd w:val="0"/>
              <w:snapToGrid w:val="0"/>
              <w:jc w:val="center"/>
              <w:rPr>
                <w:snapToGrid w:val="0"/>
                <w:color w:val="auto"/>
                <w:kern w:val="0"/>
                <w:highlight w:val="none"/>
              </w:rPr>
            </w:pPr>
            <w:r>
              <w:rPr>
                <w:rFonts w:hint="eastAsia"/>
                <w:snapToGrid w:val="0"/>
                <w:color w:val="auto"/>
                <w:kern w:val="0"/>
                <w:highlight w:val="none"/>
              </w:rPr>
              <w:t>3266045.56</w:t>
            </w:r>
          </w:p>
        </w:tc>
        <w:tc>
          <w:tcPr>
            <w:tcW w:w="1725" w:type="dxa"/>
            <w:tcMar>
              <w:top w:w="0" w:type="dxa"/>
              <w:left w:w="108" w:type="dxa"/>
              <w:bottom w:w="0" w:type="dxa"/>
              <w:right w:w="108" w:type="dxa"/>
            </w:tcMar>
            <w:vAlign w:val="center"/>
          </w:tcPr>
          <w:p w14:paraId="11FB62D4">
            <w:pPr>
              <w:widowControl w:val="0"/>
              <w:adjustRightInd w:val="0"/>
              <w:snapToGrid w:val="0"/>
              <w:jc w:val="center"/>
              <w:rPr>
                <w:snapToGrid w:val="0"/>
                <w:color w:val="auto"/>
                <w:kern w:val="0"/>
                <w:highlight w:val="none"/>
              </w:rPr>
            </w:pPr>
            <w:r>
              <w:rPr>
                <w:rFonts w:hint="eastAsia"/>
                <w:snapToGrid w:val="0"/>
                <w:color w:val="auto"/>
                <w:kern w:val="0"/>
                <w:highlight w:val="none"/>
              </w:rPr>
              <w:t>41398878.00</w:t>
            </w:r>
          </w:p>
        </w:tc>
        <w:tc>
          <w:tcPr>
            <w:tcW w:w="870" w:type="dxa"/>
            <w:tcMar>
              <w:top w:w="0" w:type="dxa"/>
              <w:left w:w="108" w:type="dxa"/>
              <w:bottom w:w="0" w:type="dxa"/>
              <w:right w:w="108" w:type="dxa"/>
            </w:tcMar>
            <w:vAlign w:val="center"/>
          </w:tcPr>
          <w:p w14:paraId="740B17A9">
            <w:pPr>
              <w:widowControl w:val="0"/>
              <w:adjustRightInd w:val="0"/>
              <w:snapToGrid w:val="0"/>
              <w:jc w:val="center"/>
              <w:rPr>
                <w:snapToGrid w:val="0"/>
                <w:color w:val="auto"/>
                <w:kern w:val="0"/>
                <w:highlight w:val="none"/>
              </w:rPr>
            </w:pPr>
            <w:r>
              <w:rPr>
                <w:rFonts w:hint="eastAsia"/>
                <w:snapToGrid w:val="0"/>
                <w:color w:val="auto"/>
                <w:kern w:val="0"/>
                <w:highlight w:val="none"/>
              </w:rPr>
              <w:t>J100</w:t>
            </w:r>
          </w:p>
        </w:tc>
        <w:tc>
          <w:tcPr>
            <w:tcW w:w="1590" w:type="dxa"/>
            <w:tcMar>
              <w:top w:w="0" w:type="dxa"/>
              <w:left w:w="108" w:type="dxa"/>
              <w:bottom w:w="0" w:type="dxa"/>
              <w:right w:w="108" w:type="dxa"/>
            </w:tcMar>
            <w:vAlign w:val="center"/>
          </w:tcPr>
          <w:p w14:paraId="68979485">
            <w:pPr>
              <w:widowControl w:val="0"/>
              <w:adjustRightInd w:val="0"/>
              <w:snapToGrid w:val="0"/>
              <w:jc w:val="center"/>
              <w:rPr>
                <w:snapToGrid w:val="0"/>
                <w:color w:val="auto"/>
                <w:kern w:val="0"/>
                <w:highlight w:val="none"/>
              </w:rPr>
            </w:pPr>
            <w:r>
              <w:rPr>
                <w:rFonts w:hint="eastAsia"/>
                <w:snapToGrid w:val="0"/>
                <w:color w:val="auto"/>
                <w:kern w:val="0"/>
                <w:highlight w:val="none"/>
              </w:rPr>
              <w:t>3265763.18</w:t>
            </w:r>
          </w:p>
        </w:tc>
        <w:tc>
          <w:tcPr>
            <w:tcW w:w="1681" w:type="dxa"/>
            <w:tcMar>
              <w:top w:w="0" w:type="dxa"/>
              <w:left w:w="108" w:type="dxa"/>
              <w:bottom w:w="0" w:type="dxa"/>
              <w:right w:w="108" w:type="dxa"/>
            </w:tcMar>
            <w:vAlign w:val="center"/>
          </w:tcPr>
          <w:p w14:paraId="1A29A256">
            <w:pPr>
              <w:widowControl w:val="0"/>
              <w:adjustRightInd w:val="0"/>
              <w:snapToGrid w:val="0"/>
              <w:jc w:val="center"/>
              <w:rPr>
                <w:snapToGrid w:val="0"/>
                <w:color w:val="auto"/>
                <w:kern w:val="0"/>
                <w:highlight w:val="none"/>
              </w:rPr>
            </w:pPr>
            <w:r>
              <w:rPr>
                <w:rFonts w:hint="eastAsia"/>
                <w:snapToGrid w:val="0"/>
                <w:color w:val="auto"/>
                <w:kern w:val="0"/>
                <w:highlight w:val="none"/>
              </w:rPr>
              <w:t>41398695.36</w:t>
            </w:r>
          </w:p>
        </w:tc>
      </w:tr>
      <w:tr w14:paraId="2DBF5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82F8FEA">
            <w:pPr>
              <w:widowControl w:val="0"/>
              <w:adjustRightInd w:val="0"/>
              <w:snapToGrid w:val="0"/>
              <w:jc w:val="center"/>
              <w:rPr>
                <w:snapToGrid w:val="0"/>
                <w:color w:val="auto"/>
                <w:kern w:val="0"/>
                <w:highlight w:val="none"/>
              </w:rPr>
            </w:pPr>
            <w:r>
              <w:rPr>
                <w:rFonts w:hint="eastAsia"/>
                <w:snapToGrid w:val="0"/>
                <w:color w:val="auto"/>
                <w:kern w:val="0"/>
                <w:highlight w:val="none"/>
              </w:rPr>
              <w:t>J40</w:t>
            </w:r>
          </w:p>
        </w:tc>
        <w:tc>
          <w:tcPr>
            <w:tcW w:w="1770" w:type="dxa"/>
            <w:tcMar>
              <w:top w:w="0" w:type="dxa"/>
              <w:left w:w="108" w:type="dxa"/>
              <w:bottom w:w="0" w:type="dxa"/>
              <w:right w:w="108" w:type="dxa"/>
            </w:tcMar>
            <w:vAlign w:val="center"/>
          </w:tcPr>
          <w:p w14:paraId="03B0F467">
            <w:pPr>
              <w:widowControl w:val="0"/>
              <w:adjustRightInd w:val="0"/>
              <w:snapToGrid w:val="0"/>
              <w:jc w:val="center"/>
              <w:rPr>
                <w:snapToGrid w:val="0"/>
                <w:color w:val="auto"/>
                <w:kern w:val="0"/>
                <w:highlight w:val="none"/>
              </w:rPr>
            </w:pPr>
            <w:r>
              <w:rPr>
                <w:rFonts w:hint="eastAsia"/>
                <w:snapToGrid w:val="0"/>
                <w:color w:val="auto"/>
                <w:kern w:val="0"/>
                <w:highlight w:val="none"/>
              </w:rPr>
              <w:t>3266037.40</w:t>
            </w:r>
          </w:p>
        </w:tc>
        <w:tc>
          <w:tcPr>
            <w:tcW w:w="1725" w:type="dxa"/>
            <w:tcMar>
              <w:top w:w="0" w:type="dxa"/>
              <w:left w:w="108" w:type="dxa"/>
              <w:bottom w:w="0" w:type="dxa"/>
              <w:right w:w="108" w:type="dxa"/>
            </w:tcMar>
            <w:vAlign w:val="center"/>
          </w:tcPr>
          <w:p w14:paraId="369CD894">
            <w:pPr>
              <w:widowControl w:val="0"/>
              <w:adjustRightInd w:val="0"/>
              <w:snapToGrid w:val="0"/>
              <w:jc w:val="center"/>
              <w:rPr>
                <w:snapToGrid w:val="0"/>
                <w:color w:val="auto"/>
                <w:kern w:val="0"/>
                <w:highlight w:val="none"/>
              </w:rPr>
            </w:pPr>
            <w:r>
              <w:rPr>
                <w:rFonts w:hint="eastAsia"/>
                <w:snapToGrid w:val="0"/>
                <w:color w:val="auto"/>
                <w:kern w:val="0"/>
                <w:highlight w:val="none"/>
              </w:rPr>
              <w:t>41398862.42</w:t>
            </w:r>
          </w:p>
        </w:tc>
        <w:tc>
          <w:tcPr>
            <w:tcW w:w="870" w:type="dxa"/>
            <w:tcMar>
              <w:top w:w="0" w:type="dxa"/>
              <w:left w:w="108" w:type="dxa"/>
              <w:bottom w:w="0" w:type="dxa"/>
              <w:right w:w="108" w:type="dxa"/>
            </w:tcMar>
            <w:vAlign w:val="center"/>
          </w:tcPr>
          <w:p w14:paraId="3A2D7258">
            <w:pPr>
              <w:widowControl w:val="0"/>
              <w:adjustRightInd w:val="0"/>
              <w:snapToGrid w:val="0"/>
              <w:jc w:val="center"/>
              <w:rPr>
                <w:snapToGrid w:val="0"/>
                <w:color w:val="auto"/>
                <w:kern w:val="0"/>
                <w:highlight w:val="none"/>
              </w:rPr>
            </w:pPr>
            <w:r>
              <w:rPr>
                <w:rFonts w:hint="eastAsia"/>
                <w:snapToGrid w:val="0"/>
                <w:color w:val="auto"/>
                <w:kern w:val="0"/>
                <w:highlight w:val="none"/>
              </w:rPr>
              <w:t>J101</w:t>
            </w:r>
          </w:p>
        </w:tc>
        <w:tc>
          <w:tcPr>
            <w:tcW w:w="1590" w:type="dxa"/>
            <w:tcMar>
              <w:top w:w="0" w:type="dxa"/>
              <w:left w:w="108" w:type="dxa"/>
              <w:bottom w:w="0" w:type="dxa"/>
              <w:right w:w="108" w:type="dxa"/>
            </w:tcMar>
            <w:vAlign w:val="center"/>
          </w:tcPr>
          <w:p w14:paraId="7C8865DE">
            <w:pPr>
              <w:widowControl w:val="0"/>
              <w:adjustRightInd w:val="0"/>
              <w:snapToGrid w:val="0"/>
              <w:jc w:val="center"/>
              <w:rPr>
                <w:snapToGrid w:val="0"/>
                <w:color w:val="auto"/>
                <w:kern w:val="0"/>
                <w:highlight w:val="none"/>
              </w:rPr>
            </w:pPr>
            <w:r>
              <w:rPr>
                <w:rFonts w:hint="eastAsia"/>
                <w:snapToGrid w:val="0"/>
                <w:color w:val="auto"/>
                <w:kern w:val="0"/>
                <w:highlight w:val="none"/>
              </w:rPr>
              <w:t>3265738.22</w:t>
            </w:r>
          </w:p>
        </w:tc>
        <w:tc>
          <w:tcPr>
            <w:tcW w:w="1681" w:type="dxa"/>
            <w:tcMar>
              <w:top w:w="0" w:type="dxa"/>
              <w:left w:w="108" w:type="dxa"/>
              <w:bottom w:w="0" w:type="dxa"/>
              <w:right w:w="108" w:type="dxa"/>
            </w:tcMar>
            <w:vAlign w:val="center"/>
          </w:tcPr>
          <w:p w14:paraId="17B8F5EE">
            <w:pPr>
              <w:widowControl w:val="0"/>
              <w:adjustRightInd w:val="0"/>
              <w:snapToGrid w:val="0"/>
              <w:jc w:val="center"/>
              <w:rPr>
                <w:snapToGrid w:val="0"/>
                <w:color w:val="auto"/>
                <w:kern w:val="0"/>
                <w:highlight w:val="none"/>
              </w:rPr>
            </w:pPr>
            <w:r>
              <w:rPr>
                <w:rFonts w:hint="eastAsia"/>
                <w:snapToGrid w:val="0"/>
                <w:color w:val="auto"/>
                <w:kern w:val="0"/>
                <w:highlight w:val="none"/>
              </w:rPr>
              <w:t>41398710.75</w:t>
            </w:r>
          </w:p>
        </w:tc>
      </w:tr>
      <w:tr w14:paraId="5FF43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17BF0EE">
            <w:pPr>
              <w:widowControl w:val="0"/>
              <w:adjustRightInd w:val="0"/>
              <w:snapToGrid w:val="0"/>
              <w:jc w:val="center"/>
              <w:rPr>
                <w:snapToGrid w:val="0"/>
                <w:color w:val="auto"/>
                <w:kern w:val="0"/>
                <w:highlight w:val="none"/>
              </w:rPr>
            </w:pPr>
            <w:r>
              <w:rPr>
                <w:rFonts w:hint="eastAsia"/>
                <w:snapToGrid w:val="0"/>
                <w:color w:val="auto"/>
                <w:kern w:val="0"/>
                <w:highlight w:val="none"/>
              </w:rPr>
              <w:t>J41</w:t>
            </w:r>
          </w:p>
        </w:tc>
        <w:tc>
          <w:tcPr>
            <w:tcW w:w="1770" w:type="dxa"/>
            <w:tcMar>
              <w:top w:w="0" w:type="dxa"/>
              <w:left w:w="108" w:type="dxa"/>
              <w:bottom w:w="0" w:type="dxa"/>
              <w:right w:w="108" w:type="dxa"/>
            </w:tcMar>
            <w:vAlign w:val="center"/>
          </w:tcPr>
          <w:p w14:paraId="2AD6A910">
            <w:pPr>
              <w:widowControl w:val="0"/>
              <w:adjustRightInd w:val="0"/>
              <w:snapToGrid w:val="0"/>
              <w:jc w:val="center"/>
              <w:rPr>
                <w:snapToGrid w:val="0"/>
                <w:color w:val="auto"/>
                <w:kern w:val="0"/>
                <w:highlight w:val="none"/>
              </w:rPr>
            </w:pPr>
            <w:r>
              <w:rPr>
                <w:rFonts w:hint="eastAsia"/>
                <w:snapToGrid w:val="0"/>
                <w:color w:val="auto"/>
                <w:kern w:val="0"/>
                <w:highlight w:val="none"/>
              </w:rPr>
              <w:t>3266032.72</w:t>
            </w:r>
          </w:p>
        </w:tc>
        <w:tc>
          <w:tcPr>
            <w:tcW w:w="1725" w:type="dxa"/>
            <w:tcMar>
              <w:top w:w="0" w:type="dxa"/>
              <w:left w:w="108" w:type="dxa"/>
              <w:bottom w:w="0" w:type="dxa"/>
              <w:right w:w="108" w:type="dxa"/>
            </w:tcMar>
            <w:vAlign w:val="center"/>
          </w:tcPr>
          <w:p w14:paraId="0820930C">
            <w:pPr>
              <w:widowControl w:val="0"/>
              <w:adjustRightInd w:val="0"/>
              <w:snapToGrid w:val="0"/>
              <w:jc w:val="center"/>
              <w:rPr>
                <w:snapToGrid w:val="0"/>
                <w:color w:val="auto"/>
                <w:kern w:val="0"/>
                <w:highlight w:val="none"/>
              </w:rPr>
            </w:pPr>
            <w:r>
              <w:rPr>
                <w:rFonts w:hint="eastAsia"/>
                <w:snapToGrid w:val="0"/>
                <w:color w:val="auto"/>
                <w:kern w:val="0"/>
                <w:highlight w:val="none"/>
              </w:rPr>
              <w:t>41398854.68</w:t>
            </w:r>
          </w:p>
        </w:tc>
        <w:tc>
          <w:tcPr>
            <w:tcW w:w="870" w:type="dxa"/>
            <w:tcMar>
              <w:top w:w="0" w:type="dxa"/>
              <w:left w:w="108" w:type="dxa"/>
              <w:bottom w:w="0" w:type="dxa"/>
              <w:right w:w="108" w:type="dxa"/>
            </w:tcMar>
            <w:vAlign w:val="center"/>
          </w:tcPr>
          <w:p w14:paraId="64B5EABB">
            <w:pPr>
              <w:widowControl w:val="0"/>
              <w:adjustRightInd w:val="0"/>
              <w:snapToGrid w:val="0"/>
              <w:jc w:val="center"/>
              <w:rPr>
                <w:snapToGrid w:val="0"/>
                <w:color w:val="auto"/>
                <w:kern w:val="0"/>
                <w:highlight w:val="none"/>
              </w:rPr>
            </w:pPr>
            <w:r>
              <w:rPr>
                <w:rFonts w:hint="eastAsia"/>
                <w:snapToGrid w:val="0"/>
                <w:color w:val="auto"/>
                <w:kern w:val="0"/>
                <w:highlight w:val="none"/>
              </w:rPr>
              <w:t>J102</w:t>
            </w:r>
          </w:p>
        </w:tc>
        <w:tc>
          <w:tcPr>
            <w:tcW w:w="1590" w:type="dxa"/>
            <w:tcMar>
              <w:top w:w="0" w:type="dxa"/>
              <w:left w:w="108" w:type="dxa"/>
              <w:bottom w:w="0" w:type="dxa"/>
              <w:right w:w="108" w:type="dxa"/>
            </w:tcMar>
            <w:vAlign w:val="center"/>
          </w:tcPr>
          <w:p w14:paraId="31FAEAB1">
            <w:pPr>
              <w:widowControl w:val="0"/>
              <w:adjustRightInd w:val="0"/>
              <w:snapToGrid w:val="0"/>
              <w:jc w:val="center"/>
              <w:rPr>
                <w:snapToGrid w:val="0"/>
                <w:color w:val="auto"/>
                <w:kern w:val="0"/>
                <w:highlight w:val="none"/>
              </w:rPr>
            </w:pPr>
            <w:r>
              <w:rPr>
                <w:rFonts w:hint="eastAsia"/>
                <w:snapToGrid w:val="0"/>
                <w:color w:val="auto"/>
                <w:kern w:val="0"/>
                <w:highlight w:val="none"/>
              </w:rPr>
              <w:t>3265719.21</w:t>
            </w:r>
          </w:p>
        </w:tc>
        <w:tc>
          <w:tcPr>
            <w:tcW w:w="1681" w:type="dxa"/>
            <w:tcMar>
              <w:top w:w="0" w:type="dxa"/>
              <w:left w:w="108" w:type="dxa"/>
              <w:bottom w:w="0" w:type="dxa"/>
              <w:right w:w="108" w:type="dxa"/>
            </w:tcMar>
            <w:vAlign w:val="center"/>
          </w:tcPr>
          <w:p w14:paraId="020A4B37">
            <w:pPr>
              <w:widowControl w:val="0"/>
              <w:adjustRightInd w:val="0"/>
              <w:snapToGrid w:val="0"/>
              <w:jc w:val="center"/>
              <w:rPr>
                <w:snapToGrid w:val="0"/>
                <w:color w:val="auto"/>
                <w:kern w:val="0"/>
                <w:highlight w:val="none"/>
              </w:rPr>
            </w:pPr>
            <w:r>
              <w:rPr>
                <w:rFonts w:hint="eastAsia"/>
                <w:snapToGrid w:val="0"/>
                <w:color w:val="auto"/>
                <w:kern w:val="0"/>
                <w:highlight w:val="none"/>
              </w:rPr>
              <w:t>41398729.27</w:t>
            </w:r>
          </w:p>
        </w:tc>
      </w:tr>
      <w:tr w14:paraId="27822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7219C9A">
            <w:pPr>
              <w:widowControl w:val="0"/>
              <w:adjustRightInd w:val="0"/>
              <w:snapToGrid w:val="0"/>
              <w:jc w:val="center"/>
              <w:rPr>
                <w:snapToGrid w:val="0"/>
                <w:color w:val="auto"/>
                <w:kern w:val="0"/>
                <w:highlight w:val="none"/>
              </w:rPr>
            </w:pPr>
            <w:r>
              <w:rPr>
                <w:rFonts w:hint="eastAsia"/>
                <w:snapToGrid w:val="0"/>
                <w:color w:val="auto"/>
                <w:kern w:val="0"/>
                <w:highlight w:val="none"/>
              </w:rPr>
              <w:t>J42</w:t>
            </w:r>
          </w:p>
        </w:tc>
        <w:tc>
          <w:tcPr>
            <w:tcW w:w="1770" w:type="dxa"/>
            <w:tcMar>
              <w:top w:w="0" w:type="dxa"/>
              <w:left w:w="108" w:type="dxa"/>
              <w:bottom w:w="0" w:type="dxa"/>
              <w:right w:w="108" w:type="dxa"/>
            </w:tcMar>
            <w:vAlign w:val="center"/>
          </w:tcPr>
          <w:p w14:paraId="1F817F43">
            <w:pPr>
              <w:widowControl w:val="0"/>
              <w:adjustRightInd w:val="0"/>
              <w:snapToGrid w:val="0"/>
              <w:jc w:val="center"/>
              <w:rPr>
                <w:snapToGrid w:val="0"/>
                <w:color w:val="auto"/>
                <w:kern w:val="0"/>
                <w:highlight w:val="none"/>
              </w:rPr>
            </w:pPr>
            <w:r>
              <w:rPr>
                <w:rFonts w:hint="eastAsia"/>
                <w:snapToGrid w:val="0"/>
                <w:color w:val="auto"/>
                <w:kern w:val="0"/>
                <w:highlight w:val="none"/>
              </w:rPr>
              <w:t>3266027.03</w:t>
            </w:r>
          </w:p>
        </w:tc>
        <w:tc>
          <w:tcPr>
            <w:tcW w:w="1725" w:type="dxa"/>
            <w:tcMar>
              <w:top w:w="0" w:type="dxa"/>
              <w:left w:w="108" w:type="dxa"/>
              <w:bottom w:w="0" w:type="dxa"/>
              <w:right w:w="108" w:type="dxa"/>
            </w:tcMar>
            <w:vAlign w:val="center"/>
          </w:tcPr>
          <w:p w14:paraId="45FBF379">
            <w:pPr>
              <w:widowControl w:val="0"/>
              <w:adjustRightInd w:val="0"/>
              <w:snapToGrid w:val="0"/>
              <w:jc w:val="center"/>
              <w:rPr>
                <w:snapToGrid w:val="0"/>
                <w:color w:val="auto"/>
                <w:kern w:val="0"/>
                <w:highlight w:val="none"/>
              </w:rPr>
            </w:pPr>
            <w:r>
              <w:rPr>
                <w:rFonts w:hint="eastAsia"/>
                <w:snapToGrid w:val="0"/>
                <w:color w:val="auto"/>
                <w:kern w:val="0"/>
                <w:highlight w:val="none"/>
              </w:rPr>
              <w:t>41398846.46</w:t>
            </w:r>
          </w:p>
        </w:tc>
        <w:tc>
          <w:tcPr>
            <w:tcW w:w="870" w:type="dxa"/>
            <w:tcMar>
              <w:top w:w="0" w:type="dxa"/>
              <w:left w:w="108" w:type="dxa"/>
              <w:bottom w:w="0" w:type="dxa"/>
              <w:right w:w="108" w:type="dxa"/>
            </w:tcMar>
            <w:vAlign w:val="center"/>
          </w:tcPr>
          <w:p w14:paraId="6DB84365">
            <w:pPr>
              <w:widowControl w:val="0"/>
              <w:adjustRightInd w:val="0"/>
              <w:snapToGrid w:val="0"/>
              <w:jc w:val="center"/>
              <w:rPr>
                <w:snapToGrid w:val="0"/>
                <w:color w:val="auto"/>
                <w:kern w:val="0"/>
                <w:highlight w:val="none"/>
              </w:rPr>
            </w:pPr>
            <w:r>
              <w:rPr>
                <w:rFonts w:hint="eastAsia"/>
                <w:snapToGrid w:val="0"/>
                <w:color w:val="auto"/>
                <w:kern w:val="0"/>
                <w:highlight w:val="none"/>
              </w:rPr>
              <w:t>J103</w:t>
            </w:r>
          </w:p>
        </w:tc>
        <w:tc>
          <w:tcPr>
            <w:tcW w:w="1590" w:type="dxa"/>
            <w:tcMar>
              <w:top w:w="0" w:type="dxa"/>
              <w:left w:w="108" w:type="dxa"/>
              <w:bottom w:w="0" w:type="dxa"/>
              <w:right w:w="108" w:type="dxa"/>
            </w:tcMar>
            <w:vAlign w:val="center"/>
          </w:tcPr>
          <w:p w14:paraId="50FE5CBF">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81" w:type="dxa"/>
            <w:tcMar>
              <w:top w:w="0" w:type="dxa"/>
              <w:left w:w="108" w:type="dxa"/>
              <w:bottom w:w="0" w:type="dxa"/>
              <w:right w:w="108" w:type="dxa"/>
            </w:tcMar>
            <w:vAlign w:val="center"/>
          </w:tcPr>
          <w:p w14:paraId="4938EA52">
            <w:pPr>
              <w:widowControl w:val="0"/>
              <w:adjustRightInd w:val="0"/>
              <w:snapToGrid w:val="0"/>
              <w:jc w:val="center"/>
              <w:rPr>
                <w:snapToGrid w:val="0"/>
                <w:color w:val="auto"/>
                <w:kern w:val="0"/>
                <w:highlight w:val="none"/>
              </w:rPr>
            </w:pPr>
            <w:r>
              <w:rPr>
                <w:rFonts w:hint="eastAsia"/>
                <w:snapToGrid w:val="0"/>
                <w:color w:val="auto"/>
                <w:kern w:val="0"/>
                <w:highlight w:val="none"/>
              </w:rPr>
              <w:t>41398720.76</w:t>
            </w:r>
          </w:p>
        </w:tc>
      </w:tr>
      <w:tr w14:paraId="2C12E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7B679FA">
            <w:pPr>
              <w:widowControl w:val="0"/>
              <w:adjustRightInd w:val="0"/>
              <w:snapToGrid w:val="0"/>
              <w:jc w:val="center"/>
              <w:rPr>
                <w:snapToGrid w:val="0"/>
                <w:color w:val="auto"/>
                <w:kern w:val="0"/>
                <w:highlight w:val="none"/>
              </w:rPr>
            </w:pPr>
            <w:r>
              <w:rPr>
                <w:rFonts w:hint="eastAsia"/>
                <w:snapToGrid w:val="0"/>
                <w:color w:val="auto"/>
                <w:kern w:val="0"/>
                <w:highlight w:val="none"/>
              </w:rPr>
              <w:t>J43</w:t>
            </w:r>
          </w:p>
        </w:tc>
        <w:tc>
          <w:tcPr>
            <w:tcW w:w="1770" w:type="dxa"/>
            <w:tcMar>
              <w:top w:w="0" w:type="dxa"/>
              <w:left w:w="108" w:type="dxa"/>
              <w:bottom w:w="0" w:type="dxa"/>
              <w:right w:w="108" w:type="dxa"/>
            </w:tcMar>
            <w:vAlign w:val="center"/>
          </w:tcPr>
          <w:p w14:paraId="3E725386">
            <w:pPr>
              <w:widowControl w:val="0"/>
              <w:adjustRightInd w:val="0"/>
              <w:snapToGrid w:val="0"/>
              <w:jc w:val="center"/>
              <w:rPr>
                <w:snapToGrid w:val="0"/>
                <w:color w:val="auto"/>
                <w:kern w:val="0"/>
                <w:highlight w:val="none"/>
              </w:rPr>
            </w:pPr>
            <w:r>
              <w:rPr>
                <w:rFonts w:hint="eastAsia"/>
                <w:snapToGrid w:val="0"/>
                <w:color w:val="auto"/>
                <w:kern w:val="0"/>
                <w:highlight w:val="none"/>
              </w:rPr>
              <w:t>3266022.36</w:t>
            </w:r>
          </w:p>
        </w:tc>
        <w:tc>
          <w:tcPr>
            <w:tcW w:w="1725" w:type="dxa"/>
            <w:tcMar>
              <w:top w:w="0" w:type="dxa"/>
              <w:left w:w="108" w:type="dxa"/>
              <w:bottom w:w="0" w:type="dxa"/>
              <w:right w:w="108" w:type="dxa"/>
            </w:tcMar>
            <w:vAlign w:val="center"/>
          </w:tcPr>
          <w:p w14:paraId="42FAFE24">
            <w:pPr>
              <w:widowControl w:val="0"/>
              <w:adjustRightInd w:val="0"/>
              <w:snapToGrid w:val="0"/>
              <w:jc w:val="center"/>
              <w:rPr>
                <w:snapToGrid w:val="0"/>
                <w:color w:val="auto"/>
                <w:kern w:val="0"/>
                <w:highlight w:val="none"/>
              </w:rPr>
            </w:pPr>
            <w:r>
              <w:rPr>
                <w:rFonts w:hint="eastAsia"/>
                <w:snapToGrid w:val="0"/>
                <w:color w:val="auto"/>
                <w:kern w:val="0"/>
                <w:highlight w:val="none"/>
              </w:rPr>
              <w:t>41398841.14</w:t>
            </w:r>
          </w:p>
        </w:tc>
        <w:tc>
          <w:tcPr>
            <w:tcW w:w="870" w:type="dxa"/>
            <w:tcMar>
              <w:top w:w="0" w:type="dxa"/>
              <w:left w:w="108" w:type="dxa"/>
              <w:bottom w:w="0" w:type="dxa"/>
              <w:right w:w="108" w:type="dxa"/>
            </w:tcMar>
            <w:vAlign w:val="center"/>
          </w:tcPr>
          <w:p w14:paraId="31F48957">
            <w:pPr>
              <w:widowControl w:val="0"/>
              <w:adjustRightInd w:val="0"/>
              <w:snapToGrid w:val="0"/>
              <w:jc w:val="center"/>
              <w:rPr>
                <w:snapToGrid w:val="0"/>
                <w:color w:val="auto"/>
                <w:kern w:val="0"/>
                <w:highlight w:val="none"/>
              </w:rPr>
            </w:pPr>
            <w:r>
              <w:rPr>
                <w:rFonts w:hint="eastAsia"/>
                <w:snapToGrid w:val="0"/>
                <w:color w:val="auto"/>
                <w:kern w:val="0"/>
                <w:highlight w:val="none"/>
              </w:rPr>
              <w:t>J104</w:t>
            </w:r>
          </w:p>
        </w:tc>
        <w:tc>
          <w:tcPr>
            <w:tcW w:w="1590" w:type="dxa"/>
            <w:tcMar>
              <w:top w:w="0" w:type="dxa"/>
              <w:left w:w="108" w:type="dxa"/>
              <w:bottom w:w="0" w:type="dxa"/>
              <w:right w:w="108" w:type="dxa"/>
            </w:tcMar>
            <w:vAlign w:val="center"/>
          </w:tcPr>
          <w:p w14:paraId="0D45956B">
            <w:pPr>
              <w:widowControl w:val="0"/>
              <w:adjustRightInd w:val="0"/>
              <w:snapToGrid w:val="0"/>
              <w:jc w:val="center"/>
              <w:rPr>
                <w:snapToGrid w:val="0"/>
                <w:color w:val="auto"/>
                <w:kern w:val="0"/>
                <w:highlight w:val="none"/>
              </w:rPr>
            </w:pPr>
            <w:r>
              <w:rPr>
                <w:rFonts w:hint="eastAsia"/>
                <w:snapToGrid w:val="0"/>
                <w:color w:val="auto"/>
                <w:kern w:val="0"/>
                <w:highlight w:val="none"/>
              </w:rPr>
              <w:t>3265707.15</w:t>
            </w:r>
          </w:p>
        </w:tc>
        <w:tc>
          <w:tcPr>
            <w:tcW w:w="1681" w:type="dxa"/>
            <w:tcMar>
              <w:top w:w="0" w:type="dxa"/>
              <w:left w:w="108" w:type="dxa"/>
              <w:bottom w:w="0" w:type="dxa"/>
              <w:right w:w="108" w:type="dxa"/>
            </w:tcMar>
            <w:vAlign w:val="center"/>
          </w:tcPr>
          <w:p w14:paraId="4181CFEF">
            <w:pPr>
              <w:widowControl w:val="0"/>
              <w:adjustRightInd w:val="0"/>
              <w:snapToGrid w:val="0"/>
              <w:jc w:val="center"/>
              <w:rPr>
                <w:snapToGrid w:val="0"/>
                <w:color w:val="auto"/>
                <w:kern w:val="0"/>
                <w:highlight w:val="none"/>
              </w:rPr>
            </w:pPr>
            <w:r>
              <w:rPr>
                <w:rFonts w:hint="eastAsia"/>
                <w:snapToGrid w:val="0"/>
                <w:color w:val="auto"/>
                <w:kern w:val="0"/>
                <w:highlight w:val="none"/>
              </w:rPr>
              <w:t>41398699.13</w:t>
            </w:r>
          </w:p>
        </w:tc>
      </w:tr>
      <w:tr w14:paraId="6C17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C610252">
            <w:pPr>
              <w:widowControl w:val="0"/>
              <w:adjustRightInd w:val="0"/>
              <w:snapToGrid w:val="0"/>
              <w:jc w:val="center"/>
              <w:rPr>
                <w:snapToGrid w:val="0"/>
                <w:color w:val="auto"/>
                <w:kern w:val="0"/>
                <w:highlight w:val="none"/>
              </w:rPr>
            </w:pPr>
            <w:r>
              <w:rPr>
                <w:rFonts w:hint="eastAsia"/>
                <w:snapToGrid w:val="0"/>
                <w:color w:val="auto"/>
                <w:kern w:val="0"/>
                <w:highlight w:val="none"/>
              </w:rPr>
              <w:t>J44</w:t>
            </w:r>
          </w:p>
        </w:tc>
        <w:tc>
          <w:tcPr>
            <w:tcW w:w="1770" w:type="dxa"/>
            <w:tcMar>
              <w:top w:w="0" w:type="dxa"/>
              <w:left w:w="108" w:type="dxa"/>
              <w:bottom w:w="0" w:type="dxa"/>
              <w:right w:w="108" w:type="dxa"/>
            </w:tcMar>
            <w:vAlign w:val="center"/>
          </w:tcPr>
          <w:p w14:paraId="60A3020B">
            <w:pPr>
              <w:widowControl w:val="0"/>
              <w:adjustRightInd w:val="0"/>
              <w:snapToGrid w:val="0"/>
              <w:jc w:val="center"/>
              <w:rPr>
                <w:snapToGrid w:val="0"/>
                <w:color w:val="auto"/>
                <w:kern w:val="0"/>
                <w:highlight w:val="none"/>
              </w:rPr>
            </w:pPr>
            <w:r>
              <w:rPr>
                <w:rFonts w:hint="eastAsia"/>
                <w:snapToGrid w:val="0"/>
                <w:color w:val="auto"/>
                <w:kern w:val="0"/>
                <w:highlight w:val="none"/>
              </w:rPr>
              <w:t>3266017.68</w:t>
            </w:r>
          </w:p>
        </w:tc>
        <w:tc>
          <w:tcPr>
            <w:tcW w:w="1725" w:type="dxa"/>
            <w:tcMar>
              <w:top w:w="0" w:type="dxa"/>
              <w:left w:w="108" w:type="dxa"/>
              <w:bottom w:w="0" w:type="dxa"/>
              <w:right w:w="108" w:type="dxa"/>
            </w:tcMar>
            <w:vAlign w:val="center"/>
          </w:tcPr>
          <w:p w14:paraId="68923C61">
            <w:pPr>
              <w:widowControl w:val="0"/>
              <w:adjustRightInd w:val="0"/>
              <w:snapToGrid w:val="0"/>
              <w:jc w:val="center"/>
              <w:rPr>
                <w:snapToGrid w:val="0"/>
                <w:color w:val="auto"/>
                <w:kern w:val="0"/>
                <w:highlight w:val="none"/>
              </w:rPr>
            </w:pPr>
            <w:r>
              <w:rPr>
                <w:rFonts w:hint="eastAsia"/>
                <w:snapToGrid w:val="0"/>
                <w:color w:val="auto"/>
                <w:kern w:val="0"/>
                <w:highlight w:val="none"/>
              </w:rPr>
              <w:t>41398836.99</w:t>
            </w:r>
          </w:p>
        </w:tc>
        <w:tc>
          <w:tcPr>
            <w:tcW w:w="870" w:type="dxa"/>
            <w:tcMar>
              <w:top w:w="0" w:type="dxa"/>
              <w:left w:w="108" w:type="dxa"/>
              <w:bottom w:w="0" w:type="dxa"/>
              <w:right w:w="108" w:type="dxa"/>
            </w:tcMar>
            <w:vAlign w:val="center"/>
          </w:tcPr>
          <w:p w14:paraId="4D235404">
            <w:pPr>
              <w:widowControl w:val="0"/>
              <w:adjustRightInd w:val="0"/>
              <w:snapToGrid w:val="0"/>
              <w:jc w:val="center"/>
              <w:rPr>
                <w:snapToGrid w:val="0"/>
                <w:color w:val="auto"/>
                <w:kern w:val="0"/>
                <w:highlight w:val="none"/>
              </w:rPr>
            </w:pPr>
            <w:r>
              <w:rPr>
                <w:rFonts w:hint="eastAsia"/>
                <w:snapToGrid w:val="0"/>
                <w:color w:val="auto"/>
                <w:kern w:val="0"/>
                <w:highlight w:val="none"/>
              </w:rPr>
              <w:t>J105</w:t>
            </w:r>
          </w:p>
        </w:tc>
        <w:tc>
          <w:tcPr>
            <w:tcW w:w="1590" w:type="dxa"/>
            <w:tcMar>
              <w:top w:w="0" w:type="dxa"/>
              <w:left w:w="108" w:type="dxa"/>
              <w:bottom w:w="0" w:type="dxa"/>
              <w:right w:w="108" w:type="dxa"/>
            </w:tcMar>
            <w:vAlign w:val="center"/>
          </w:tcPr>
          <w:p w14:paraId="5F5B042E">
            <w:pPr>
              <w:widowControl w:val="0"/>
              <w:adjustRightInd w:val="0"/>
              <w:snapToGrid w:val="0"/>
              <w:jc w:val="center"/>
              <w:rPr>
                <w:snapToGrid w:val="0"/>
                <w:color w:val="auto"/>
                <w:kern w:val="0"/>
                <w:highlight w:val="none"/>
              </w:rPr>
            </w:pPr>
            <w:r>
              <w:rPr>
                <w:rFonts w:hint="eastAsia"/>
                <w:snapToGrid w:val="0"/>
                <w:color w:val="auto"/>
                <w:kern w:val="0"/>
                <w:highlight w:val="none"/>
              </w:rPr>
              <w:t>3265685.42</w:t>
            </w:r>
          </w:p>
        </w:tc>
        <w:tc>
          <w:tcPr>
            <w:tcW w:w="1681" w:type="dxa"/>
            <w:tcMar>
              <w:top w:w="0" w:type="dxa"/>
              <w:left w:w="108" w:type="dxa"/>
              <w:bottom w:w="0" w:type="dxa"/>
              <w:right w:w="108" w:type="dxa"/>
            </w:tcMar>
            <w:vAlign w:val="center"/>
          </w:tcPr>
          <w:p w14:paraId="41BC33AD">
            <w:pPr>
              <w:widowControl w:val="0"/>
              <w:adjustRightInd w:val="0"/>
              <w:snapToGrid w:val="0"/>
              <w:jc w:val="center"/>
              <w:rPr>
                <w:snapToGrid w:val="0"/>
                <w:color w:val="auto"/>
                <w:kern w:val="0"/>
                <w:highlight w:val="none"/>
              </w:rPr>
            </w:pPr>
            <w:r>
              <w:rPr>
                <w:rFonts w:hint="eastAsia"/>
                <w:snapToGrid w:val="0"/>
                <w:color w:val="auto"/>
                <w:kern w:val="0"/>
                <w:highlight w:val="none"/>
              </w:rPr>
              <w:t>41398594.22</w:t>
            </w:r>
          </w:p>
        </w:tc>
      </w:tr>
      <w:tr w14:paraId="2383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23D8AF1">
            <w:pPr>
              <w:widowControl w:val="0"/>
              <w:adjustRightInd w:val="0"/>
              <w:snapToGrid w:val="0"/>
              <w:jc w:val="center"/>
              <w:rPr>
                <w:snapToGrid w:val="0"/>
                <w:color w:val="auto"/>
                <w:kern w:val="0"/>
                <w:highlight w:val="none"/>
              </w:rPr>
            </w:pPr>
            <w:r>
              <w:rPr>
                <w:rFonts w:hint="eastAsia"/>
                <w:snapToGrid w:val="0"/>
                <w:color w:val="auto"/>
                <w:kern w:val="0"/>
                <w:highlight w:val="none"/>
              </w:rPr>
              <w:t>J45</w:t>
            </w:r>
          </w:p>
        </w:tc>
        <w:tc>
          <w:tcPr>
            <w:tcW w:w="1770" w:type="dxa"/>
            <w:tcMar>
              <w:top w:w="0" w:type="dxa"/>
              <w:left w:w="108" w:type="dxa"/>
              <w:bottom w:w="0" w:type="dxa"/>
              <w:right w:w="108" w:type="dxa"/>
            </w:tcMar>
            <w:vAlign w:val="center"/>
          </w:tcPr>
          <w:p w14:paraId="1E081366">
            <w:pPr>
              <w:widowControl w:val="0"/>
              <w:adjustRightInd w:val="0"/>
              <w:snapToGrid w:val="0"/>
              <w:jc w:val="center"/>
              <w:rPr>
                <w:snapToGrid w:val="0"/>
                <w:color w:val="auto"/>
                <w:kern w:val="0"/>
                <w:highlight w:val="none"/>
              </w:rPr>
            </w:pPr>
            <w:r>
              <w:rPr>
                <w:rFonts w:hint="eastAsia"/>
                <w:snapToGrid w:val="0"/>
                <w:color w:val="auto"/>
                <w:kern w:val="0"/>
                <w:highlight w:val="none"/>
              </w:rPr>
              <w:t>3266013.68</w:t>
            </w:r>
          </w:p>
        </w:tc>
        <w:tc>
          <w:tcPr>
            <w:tcW w:w="1725" w:type="dxa"/>
            <w:tcMar>
              <w:top w:w="0" w:type="dxa"/>
              <w:left w:w="108" w:type="dxa"/>
              <w:bottom w:w="0" w:type="dxa"/>
              <w:right w:w="108" w:type="dxa"/>
            </w:tcMar>
            <w:vAlign w:val="center"/>
          </w:tcPr>
          <w:p w14:paraId="36DCED59">
            <w:pPr>
              <w:widowControl w:val="0"/>
              <w:adjustRightInd w:val="0"/>
              <w:snapToGrid w:val="0"/>
              <w:jc w:val="center"/>
              <w:rPr>
                <w:snapToGrid w:val="0"/>
                <w:color w:val="auto"/>
                <w:kern w:val="0"/>
                <w:highlight w:val="none"/>
              </w:rPr>
            </w:pPr>
            <w:r>
              <w:rPr>
                <w:rFonts w:hint="eastAsia"/>
                <w:snapToGrid w:val="0"/>
                <w:color w:val="auto"/>
                <w:kern w:val="0"/>
                <w:highlight w:val="none"/>
              </w:rPr>
              <w:t>41398834.59</w:t>
            </w:r>
          </w:p>
        </w:tc>
        <w:tc>
          <w:tcPr>
            <w:tcW w:w="870" w:type="dxa"/>
            <w:tcMar>
              <w:top w:w="0" w:type="dxa"/>
              <w:left w:w="108" w:type="dxa"/>
              <w:bottom w:w="0" w:type="dxa"/>
              <w:right w:w="108" w:type="dxa"/>
            </w:tcMar>
            <w:vAlign w:val="center"/>
          </w:tcPr>
          <w:p w14:paraId="548A3923">
            <w:pPr>
              <w:widowControl w:val="0"/>
              <w:adjustRightInd w:val="0"/>
              <w:snapToGrid w:val="0"/>
              <w:jc w:val="center"/>
              <w:rPr>
                <w:snapToGrid w:val="0"/>
                <w:color w:val="auto"/>
                <w:kern w:val="0"/>
                <w:highlight w:val="none"/>
              </w:rPr>
            </w:pPr>
            <w:r>
              <w:rPr>
                <w:rFonts w:hint="eastAsia"/>
                <w:snapToGrid w:val="0"/>
                <w:color w:val="auto"/>
                <w:kern w:val="0"/>
                <w:highlight w:val="none"/>
              </w:rPr>
              <w:t>J106</w:t>
            </w:r>
          </w:p>
        </w:tc>
        <w:tc>
          <w:tcPr>
            <w:tcW w:w="1590" w:type="dxa"/>
            <w:tcMar>
              <w:top w:w="0" w:type="dxa"/>
              <w:left w:w="108" w:type="dxa"/>
              <w:bottom w:w="0" w:type="dxa"/>
              <w:right w:w="108" w:type="dxa"/>
            </w:tcMar>
            <w:vAlign w:val="center"/>
          </w:tcPr>
          <w:p w14:paraId="55BECA55">
            <w:pPr>
              <w:widowControl w:val="0"/>
              <w:adjustRightInd w:val="0"/>
              <w:snapToGrid w:val="0"/>
              <w:jc w:val="center"/>
              <w:rPr>
                <w:snapToGrid w:val="0"/>
                <w:color w:val="auto"/>
                <w:kern w:val="0"/>
                <w:highlight w:val="none"/>
              </w:rPr>
            </w:pPr>
            <w:r>
              <w:rPr>
                <w:rFonts w:hint="eastAsia"/>
                <w:snapToGrid w:val="0"/>
                <w:color w:val="auto"/>
                <w:kern w:val="0"/>
                <w:highlight w:val="none"/>
              </w:rPr>
              <w:t>3265678.12</w:t>
            </w:r>
          </w:p>
        </w:tc>
        <w:tc>
          <w:tcPr>
            <w:tcW w:w="1681" w:type="dxa"/>
            <w:tcMar>
              <w:top w:w="0" w:type="dxa"/>
              <w:left w:w="108" w:type="dxa"/>
              <w:bottom w:w="0" w:type="dxa"/>
              <w:right w:w="108" w:type="dxa"/>
            </w:tcMar>
            <w:vAlign w:val="center"/>
          </w:tcPr>
          <w:p w14:paraId="1364F7D2">
            <w:pPr>
              <w:widowControl w:val="0"/>
              <w:adjustRightInd w:val="0"/>
              <w:snapToGrid w:val="0"/>
              <w:jc w:val="center"/>
              <w:rPr>
                <w:snapToGrid w:val="0"/>
                <w:color w:val="auto"/>
                <w:kern w:val="0"/>
                <w:highlight w:val="none"/>
              </w:rPr>
            </w:pPr>
            <w:r>
              <w:rPr>
                <w:rFonts w:hint="eastAsia"/>
                <w:snapToGrid w:val="0"/>
                <w:color w:val="auto"/>
                <w:kern w:val="0"/>
                <w:highlight w:val="none"/>
              </w:rPr>
              <w:t>41398553.86</w:t>
            </w:r>
          </w:p>
        </w:tc>
      </w:tr>
      <w:tr w14:paraId="4A907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19B6B6A8">
            <w:pPr>
              <w:widowControl w:val="0"/>
              <w:adjustRightInd w:val="0"/>
              <w:snapToGrid w:val="0"/>
              <w:jc w:val="center"/>
              <w:rPr>
                <w:snapToGrid w:val="0"/>
                <w:color w:val="auto"/>
                <w:kern w:val="0"/>
                <w:highlight w:val="none"/>
              </w:rPr>
            </w:pPr>
            <w:r>
              <w:rPr>
                <w:rFonts w:hint="eastAsia"/>
                <w:snapToGrid w:val="0"/>
                <w:color w:val="auto"/>
                <w:kern w:val="0"/>
                <w:highlight w:val="none"/>
              </w:rPr>
              <w:t>J46</w:t>
            </w:r>
          </w:p>
        </w:tc>
        <w:tc>
          <w:tcPr>
            <w:tcW w:w="1770" w:type="dxa"/>
            <w:tcMar>
              <w:top w:w="0" w:type="dxa"/>
              <w:left w:w="108" w:type="dxa"/>
              <w:bottom w:w="0" w:type="dxa"/>
              <w:right w:w="108" w:type="dxa"/>
            </w:tcMar>
            <w:vAlign w:val="center"/>
          </w:tcPr>
          <w:p w14:paraId="118A14C4">
            <w:pPr>
              <w:widowControl w:val="0"/>
              <w:adjustRightInd w:val="0"/>
              <w:snapToGrid w:val="0"/>
              <w:jc w:val="center"/>
              <w:rPr>
                <w:snapToGrid w:val="0"/>
                <w:color w:val="auto"/>
                <w:kern w:val="0"/>
                <w:highlight w:val="none"/>
              </w:rPr>
            </w:pPr>
            <w:r>
              <w:rPr>
                <w:rFonts w:hint="eastAsia"/>
                <w:snapToGrid w:val="0"/>
                <w:color w:val="auto"/>
                <w:kern w:val="0"/>
                <w:highlight w:val="none"/>
              </w:rPr>
              <w:t>3266006.13</w:t>
            </w:r>
          </w:p>
        </w:tc>
        <w:tc>
          <w:tcPr>
            <w:tcW w:w="1725" w:type="dxa"/>
            <w:tcMar>
              <w:top w:w="0" w:type="dxa"/>
              <w:left w:w="108" w:type="dxa"/>
              <w:bottom w:w="0" w:type="dxa"/>
              <w:right w:w="108" w:type="dxa"/>
            </w:tcMar>
            <w:vAlign w:val="center"/>
          </w:tcPr>
          <w:p w14:paraId="794B4C7C">
            <w:pPr>
              <w:widowControl w:val="0"/>
              <w:adjustRightInd w:val="0"/>
              <w:snapToGrid w:val="0"/>
              <w:jc w:val="center"/>
              <w:rPr>
                <w:snapToGrid w:val="0"/>
                <w:color w:val="auto"/>
                <w:kern w:val="0"/>
                <w:highlight w:val="none"/>
              </w:rPr>
            </w:pPr>
            <w:r>
              <w:rPr>
                <w:rFonts w:hint="eastAsia"/>
                <w:snapToGrid w:val="0"/>
                <w:color w:val="auto"/>
                <w:kern w:val="0"/>
                <w:highlight w:val="none"/>
              </w:rPr>
              <w:t>41398831.71</w:t>
            </w:r>
          </w:p>
        </w:tc>
        <w:tc>
          <w:tcPr>
            <w:tcW w:w="870" w:type="dxa"/>
            <w:tcMar>
              <w:top w:w="0" w:type="dxa"/>
              <w:left w:w="108" w:type="dxa"/>
              <w:bottom w:w="0" w:type="dxa"/>
              <w:right w:w="108" w:type="dxa"/>
            </w:tcMar>
            <w:vAlign w:val="center"/>
          </w:tcPr>
          <w:p w14:paraId="58C23478">
            <w:pPr>
              <w:widowControl w:val="0"/>
              <w:adjustRightInd w:val="0"/>
              <w:snapToGrid w:val="0"/>
              <w:jc w:val="center"/>
              <w:rPr>
                <w:snapToGrid w:val="0"/>
                <w:color w:val="auto"/>
                <w:kern w:val="0"/>
                <w:highlight w:val="none"/>
              </w:rPr>
            </w:pPr>
            <w:r>
              <w:rPr>
                <w:rFonts w:hint="eastAsia"/>
                <w:snapToGrid w:val="0"/>
                <w:color w:val="auto"/>
                <w:kern w:val="0"/>
                <w:highlight w:val="none"/>
              </w:rPr>
              <w:t>J107</w:t>
            </w:r>
          </w:p>
        </w:tc>
        <w:tc>
          <w:tcPr>
            <w:tcW w:w="1590" w:type="dxa"/>
            <w:tcMar>
              <w:top w:w="0" w:type="dxa"/>
              <w:left w:w="108" w:type="dxa"/>
              <w:bottom w:w="0" w:type="dxa"/>
              <w:right w:w="108" w:type="dxa"/>
            </w:tcMar>
            <w:vAlign w:val="center"/>
          </w:tcPr>
          <w:p w14:paraId="2D63D083">
            <w:pPr>
              <w:widowControl w:val="0"/>
              <w:adjustRightInd w:val="0"/>
              <w:snapToGrid w:val="0"/>
              <w:jc w:val="center"/>
              <w:rPr>
                <w:snapToGrid w:val="0"/>
                <w:color w:val="auto"/>
                <w:kern w:val="0"/>
                <w:highlight w:val="none"/>
              </w:rPr>
            </w:pPr>
            <w:r>
              <w:rPr>
                <w:rFonts w:hint="eastAsia"/>
                <w:snapToGrid w:val="0"/>
                <w:color w:val="auto"/>
                <w:kern w:val="0"/>
                <w:highlight w:val="none"/>
              </w:rPr>
              <w:t>3265671.98</w:t>
            </w:r>
          </w:p>
        </w:tc>
        <w:tc>
          <w:tcPr>
            <w:tcW w:w="1681" w:type="dxa"/>
            <w:tcMar>
              <w:top w:w="0" w:type="dxa"/>
              <w:left w:w="108" w:type="dxa"/>
              <w:bottom w:w="0" w:type="dxa"/>
              <w:right w:w="108" w:type="dxa"/>
            </w:tcMar>
            <w:vAlign w:val="center"/>
          </w:tcPr>
          <w:p w14:paraId="69430129">
            <w:pPr>
              <w:widowControl w:val="0"/>
              <w:adjustRightInd w:val="0"/>
              <w:snapToGrid w:val="0"/>
              <w:jc w:val="center"/>
              <w:rPr>
                <w:snapToGrid w:val="0"/>
                <w:color w:val="auto"/>
                <w:kern w:val="0"/>
                <w:highlight w:val="none"/>
              </w:rPr>
            </w:pPr>
            <w:r>
              <w:rPr>
                <w:rFonts w:hint="eastAsia"/>
                <w:snapToGrid w:val="0"/>
                <w:color w:val="auto"/>
                <w:kern w:val="0"/>
                <w:highlight w:val="none"/>
              </w:rPr>
              <w:t>41398548.51</w:t>
            </w:r>
          </w:p>
        </w:tc>
      </w:tr>
      <w:tr w14:paraId="62A7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44C1139">
            <w:pPr>
              <w:widowControl w:val="0"/>
              <w:adjustRightInd w:val="0"/>
              <w:snapToGrid w:val="0"/>
              <w:jc w:val="center"/>
              <w:rPr>
                <w:snapToGrid w:val="0"/>
                <w:color w:val="auto"/>
                <w:kern w:val="0"/>
                <w:highlight w:val="none"/>
              </w:rPr>
            </w:pPr>
            <w:r>
              <w:rPr>
                <w:rFonts w:hint="eastAsia"/>
                <w:snapToGrid w:val="0"/>
                <w:color w:val="auto"/>
                <w:kern w:val="0"/>
                <w:highlight w:val="none"/>
              </w:rPr>
              <w:t>J47</w:t>
            </w:r>
          </w:p>
        </w:tc>
        <w:tc>
          <w:tcPr>
            <w:tcW w:w="1770" w:type="dxa"/>
            <w:tcMar>
              <w:top w:w="0" w:type="dxa"/>
              <w:left w:w="108" w:type="dxa"/>
              <w:bottom w:w="0" w:type="dxa"/>
              <w:right w:w="108" w:type="dxa"/>
            </w:tcMar>
            <w:vAlign w:val="center"/>
          </w:tcPr>
          <w:p w14:paraId="153D78F9">
            <w:pPr>
              <w:widowControl w:val="0"/>
              <w:adjustRightInd w:val="0"/>
              <w:snapToGrid w:val="0"/>
              <w:jc w:val="center"/>
              <w:rPr>
                <w:snapToGrid w:val="0"/>
                <w:color w:val="auto"/>
                <w:kern w:val="0"/>
                <w:highlight w:val="none"/>
              </w:rPr>
            </w:pPr>
            <w:r>
              <w:rPr>
                <w:rFonts w:hint="eastAsia"/>
                <w:snapToGrid w:val="0"/>
                <w:color w:val="auto"/>
                <w:kern w:val="0"/>
                <w:highlight w:val="none"/>
              </w:rPr>
              <w:t>3265999.26</w:t>
            </w:r>
          </w:p>
        </w:tc>
        <w:tc>
          <w:tcPr>
            <w:tcW w:w="1725" w:type="dxa"/>
            <w:tcMar>
              <w:top w:w="0" w:type="dxa"/>
              <w:left w:w="108" w:type="dxa"/>
              <w:bottom w:w="0" w:type="dxa"/>
              <w:right w:w="108" w:type="dxa"/>
            </w:tcMar>
            <w:vAlign w:val="center"/>
          </w:tcPr>
          <w:p w14:paraId="7256A3F3">
            <w:pPr>
              <w:widowControl w:val="0"/>
              <w:adjustRightInd w:val="0"/>
              <w:snapToGrid w:val="0"/>
              <w:jc w:val="center"/>
              <w:rPr>
                <w:snapToGrid w:val="0"/>
                <w:color w:val="auto"/>
                <w:kern w:val="0"/>
                <w:highlight w:val="none"/>
              </w:rPr>
            </w:pPr>
            <w:r>
              <w:rPr>
                <w:rFonts w:hint="eastAsia"/>
                <w:snapToGrid w:val="0"/>
                <w:color w:val="auto"/>
                <w:kern w:val="0"/>
                <w:highlight w:val="none"/>
              </w:rPr>
              <w:t>41398830.08</w:t>
            </w:r>
          </w:p>
        </w:tc>
        <w:tc>
          <w:tcPr>
            <w:tcW w:w="870" w:type="dxa"/>
            <w:tcMar>
              <w:top w:w="0" w:type="dxa"/>
              <w:left w:w="108" w:type="dxa"/>
              <w:bottom w:w="0" w:type="dxa"/>
              <w:right w:w="108" w:type="dxa"/>
            </w:tcMar>
            <w:vAlign w:val="center"/>
          </w:tcPr>
          <w:p w14:paraId="00DC83AA">
            <w:pPr>
              <w:widowControl w:val="0"/>
              <w:adjustRightInd w:val="0"/>
              <w:snapToGrid w:val="0"/>
              <w:jc w:val="center"/>
              <w:rPr>
                <w:snapToGrid w:val="0"/>
                <w:color w:val="auto"/>
                <w:kern w:val="0"/>
                <w:highlight w:val="none"/>
              </w:rPr>
            </w:pPr>
            <w:r>
              <w:rPr>
                <w:rFonts w:hint="eastAsia"/>
                <w:snapToGrid w:val="0"/>
                <w:color w:val="auto"/>
                <w:kern w:val="0"/>
                <w:highlight w:val="none"/>
              </w:rPr>
              <w:t>J108</w:t>
            </w:r>
          </w:p>
        </w:tc>
        <w:tc>
          <w:tcPr>
            <w:tcW w:w="1590" w:type="dxa"/>
            <w:tcMar>
              <w:top w:w="0" w:type="dxa"/>
              <w:left w:w="108" w:type="dxa"/>
              <w:bottom w:w="0" w:type="dxa"/>
              <w:right w:w="108" w:type="dxa"/>
            </w:tcMar>
            <w:vAlign w:val="center"/>
          </w:tcPr>
          <w:p w14:paraId="26B3B0E7">
            <w:pPr>
              <w:widowControl w:val="0"/>
              <w:adjustRightInd w:val="0"/>
              <w:snapToGrid w:val="0"/>
              <w:jc w:val="center"/>
              <w:rPr>
                <w:snapToGrid w:val="0"/>
                <w:color w:val="auto"/>
                <w:kern w:val="0"/>
                <w:highlight w:val="none"/>
              </w:rPr>
            </w:pPr>
            <w:r>
              <w:rPr>
                <w:rFonts w:hint="eastAsia"/>
                <w:snapToGrid w:val="0"/>
                <w:color w:val="auto"/>
                <w:kern w:val="0"/>
                <w:highlight w:val="none"/>
              </w:rPr>
              <w:t>3265666.50</w:t>
            </w:r>
          </w:p>
        </w:tc>
        <w:tc>
          <w:tcPr>
            <w:tcW w:w="1681" w:type="dxa"/>
            <w:tcMar>
              <w:top w:w="0" w:type="dxa"/>
              <w:left w:w="108" w:type="dxa"/>
              <w:bottom w:w="0" w:type="dxa"/>
              <w:right w:w="108" w:type="dxa"/>
            </w:tcMar>
            <w:vAlign w:val="center"/>
          </w:tcPr>
          <w:p w14:paraId="569664D6">
            <w:pPr>
              <w:widowControl w:val="0"/>
              <w:adjustRightInd w:val="0"/>
              <w:snapToGrid w:val="0"/>
              <w:jc w:val="center"/>
              <w:rPr>
                <w:snapToGrid w:val="0"/>
                <w:color w:val="auto"/>
                <w:kern w:val="0"/>
                <w:highlight w:val="none"/>
              </w:rPr>
            </w:pPr>
            <w:r>
              <w:rPr>
                <w:rFonts w:hint="eastAsia"/>
                <w:snapToGrid w:val="0"/>
                <w:color w:val="auto"/>
                <w:kern w:val="0"/>
                <w:highlight w:val="none"/>
              </w:rPr>
              <w:t>41398538.48</w:t>
            </w:r>
          </w:p>
        </w:tc>
      </w:tr>
      <w:tr w14:paraId="23EF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54358A5">
            <w:pPr>
              <w:widowControl w:val="0"/>
              <w:adjustRightInd w:val="0"/>
              <w:snapToGrid w:val="0"/>
              <w:jc w:val="center"/>
              <w:rPr>
                <w:snapToGrid w:val="0"/>
                <w:color w:val="auto"/>
                <w:kern w:val="0"/>
                <w:highlight w:val="none"/>
              </w:rPr>
            </w:pPr>
            <w:r>
              <w:rPr>
                <w:rFonts w:hint="eastAsia"/>
                <w:snapToGrid w:val="0"/>
                <w:color w:val="auto"/>
                <w:kern w:val="0"/>
                <w:highlight w:val="none"/>
              </w:rPr>
              <w:t>J48</w:t>
            </w:r>
          </w:p>
        </w:tc>
        <w:tc>
          <w:tcPr>
            <w:tcW w:w="1770" w:type="dxa"/>
            <w:tcMar>
              <w:top w:w="0" w:type="dxa"/>
              <w:left w:w="108" w:type="dxa"/>
              <w:bottom w:w="0" w:type="dxa"/>
              <w:right w:w="108" w:type="dxa"/>
            </w:tcMar>
            <w:vAlign w:val="center"/>
          </w:tcPr>
          <w:p w14:paraId="43AC88A2">
            <w:pPr>
              <w:widowControl w:val="0"/>
              <w:adjustRightInd w:val="0"/>
              <w:snapToGrid w:val="0"/>
              <w:jc w:val="center"/>
              <w:rPr>
                <w:snapToGrid w:val="0"/>
                <w:color w:val="auto"/>
                <w:kern w:val="0"/>
                <w:highlight w:val="none"/>
              </w:rPr>
            </w:pPr>
            <w:r>
              <w:rPr>
                <w:rFonts w:hint="eastAsia"/>
                <w:snapToGrid w:val="0"/>
                <w:color w:val="auto"/>
                <w:kern w:val="0"/>
                <w:highlight w:val="none"/>
              </w:rPr>
              <w:t>3265994.05</w:t>
            </w:r>
          </w:p>
        </w:tc>
        <w:tc>
          <w:tcPr>
            <w:tcW w:w="1725" w:type="dxa"/>
            <w:tcMar>
              <w:top w:w="0" w:type="dxa"/>
              <w:left w:w="108" w:type="dxa"/>
              <w:bottom w:w="0" w:type="dxa"/>
              <w:right w:w="108" w:type="dxa"/>
            </w:tcMar>
            <w:vAlign w:val="center"/>
          </w:tcPr>
          <w:p w14:paraId="4D028EC2">
            <w:pPr>
              <w:widowControl w:val="0"/>
              <w:adjustRightInd w:val="0"/>
              <w:snapToGrid w:val="0"/>
              <w:jc w:val="center"/>
              <w:rPr>
                <w:snapToGrid w:val="0"/>
                <w:color w:val="auto"/>
                <w:kern w:val="0"/>
                <w:highlight w:val="none"/>
              </w:rPr>
            </w:pPr>
            <w:r>
              <w:rPr>
                <w:rFonts w:hint="eastAsia"/>
                <w:snapToGrid w:val="0"/>
                <w:color w:val="auto"/>
                <w:kern w:val="0"/>
                <w:highlight w:val="none"/>
              </w:rPr>
              <w:t>41398831.17</w:t>
            </w:r>
          </w:p>
        </w:tc>
        <w:tc>
          <w:tcPr>
            <w:tcW w:w="870" w:type="dxa"/>
            <w:tcMar>
              <w:top w:w="0" w:type="dxa"/>
              <w:left w:w="108" w:type="dxa"/>
              <w:bottom w:w="0" w:type="dxa"/>
              <w:right w:w="108" w:type="dxa"/>
            </w:tcMar>
            <w:vAlign w:val="center"/>
          </w:tcPr>
          <w:p w14:paraId="762B957F">
            <w:pPr>
              <w:widowControl w:val="0"/>
              <w:adjustRightInd w:val="0"/>
              <w:snapToGrid w:val="0"/>
              <w:jc w:val="center"/>
              <w:rPr>
                <w:snapToGrid w:val="0"/>
                <w:color w:val="auto"/>
                <w:kern w:val="0"/>
                <w:highlight w:val="none"/>
              </w:rPr>
            </w:pPr>
            <w:r>
              <w:rPr>
                <w:rFonts w:hint="eastAsia"/>
                <w:snapToGrid w:val="0"/>
                <w:color w:val="auto"/>
                <w:kern w:val="0"/>
                <w:highlight w:val="none"/>
              </w:rPr>
              <w:t>J109</w:t>
            </w:r>
          </w:p>
        </w:tc>
        <w:tc>
          <w:tcPr>
            <w:tcW w:w="1590" w:type="dxa"/>
            <w:tcMar>
              <w:top w:w="0" w:type="dxa"/>
              <w:left w:w="108" w:type="dxa"/>
              <w:bottom w:w="0" w:type="dxa"/>
              <w:right w:w="108" w:type="dxa"/>
            </w:tcMar>
            <w:vAlign w:val="center"/>
          </w:tcPr>
          <w:p w14:paraId="01130DFF">
            <w:pPr>
              <w:widowControl w:val="0"/>
              <w:adjustRightInd w:val="0"/>
              <w:snapToGrid w:val="0"/>
              <w:jc w:val="center"/>
              <w:rPr>
                <w:snapToGrid w:val="0"/>
                <w:color w:val="auto"/>
                <w:kern w:val="0"/>
                <w:highlight w:val="none"/>
              </w:rPr>
            </w:pPr>
            <w:r>
              <w:rPr>
                <w:rFonts w:hint="eastAsia"/>
                <w:snapToGrid w:val="0"/>
                <w:color w:val="auto"/>
                <w:kern w:val="0"/>
                <w:highlight w:val="none"/>
              </w:rPr>
              <w:t>3265662.50</w:t>
            </w:r>
          </w:p>
        </w:tc>
        <w:tc>
          <w:tcPr>
            <w:tcW w:w="1681" w:type="dxa"/>
            <w:tcMar>
              <w:top w:w="0" w:type="dxa"/>
              <w:left w:w="108" w:type="dxa"/>
              <w:bottom w:w="0" w:type="dxa"/>
              <w:right w:w="108" w:type="dxa"/>
            </w:tcMar>
            <w:vAlign w:val="center"/>
          </w:tcPr>
          <w:p w14:paraId="530C8FA1">
            <w:pPr>
              <w:widowControl w:val="0"/>
              <w:adjustRightInd w:val="0"/>
              <w:snapToGrid w:val="0"/>
              <w:jc w:val="center"/>
              <w:rPr>
                <w:snapToGrid w:val="0"/>
                <w:color w:val="auto"/>
                <w:kern w:val="0"/>
                <w:highlight w:val="none"/>
              </w:rPr>
            </w:pPr>
            <w:r>
              <w:rPr>
                <w:rFonts w:hint="eastAsia"/>
                <w:snapToGrid w:val="0"/>
                <w:color w:val="auto"/>
                <w:kern w:val="0"/>
                <w:highlight w:val="none"/>
              </w:rPr>
              <w:t>41398519.68</w:t>
            </w:r>
          </w:p>
        </w:tc>
      </w:tr>
      <w:tr w14:paraId="5BC0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34C8789">
            <w:pPr>
              <w:widowControl w:val="0"/>
              <w:adjustRightInd w:val="0"/>
              <w:snapToGrid w:val="0"/>
              <w:jc w:val="center"/>
              <w:rPr>
                <w:snapToGrid w:val="0"/>
                <w:color w:val="auto"/>
                <w:kern w:val="0"/>
                <w:highlight w:val="none"/>
              </w:rPr>
            </w:pPr>
            <w:r>
              <w:rPr>
                <w:rFonts w:hint="eastAsia"/>
                <w:snapToGrid w:val="0"/>
                <w:color w:val="auto"/>
                <w:kern w:val="0"/>
                <w:highlight w:val="none"/>
              </w:rPr>
              <w:t>J49</w:t>
            </w:r>
          </w:p>
        </w:tc>
        <w:tc>
          <w:tcPr>
            <w:tcW w:w="1770" w:type="dxa"/>
            <w:tcMar>
              <w:top w:w="0" w:type="dxa"/>
              <w:left w:w="108" w:type="dxa"/>
              <w:bottom w:w="0" w:type="dxa"/>
              <w:right w:w="108" w:type="dxa"/>
            </w:tcMar>
            <w:vAlign w:val="center"/>
          </w:tcPr>
          <w:p w14:paraId="49F86AA9">
            <w:pPr>
              <w:widowControl w:val="0"/>
              <w:adjustRightInd w:val="0"/>
              <w:snapToGrid w:val="0"/>
              <w:jc w:val="center"/>
              <w:rPr>
                <w:snapToGrid w:val="0"/>
                <w:color w:val="auto"/>
                <w:kern w:val="0"/>
                <w:highlight w:val="none"/>
              </w:rPr>
            </w:pPr>
            <w:r>
              <w:rPr>
                <w:rFonts w:hint="eastAsia"/>
                <w:snapToGrid w:val="0"/>
                <w:color w:val="auto"/>
                <w:kern w:val="0"/>
                <w:highlight w:val="none"/>
              </w:rPr>
              <w:t>3265988.97</w:t>
            </w:r>
          </w:p>
        </w:tc>
        <w:tc>
          <w:tcPr>
            <w:tcW w:w="1725" w:type="dxa"/>
            <w:tcMar>
              <w:top w:w="0" w:type="dxa"/>
              <w:left w:w="108" w:type="dxa"/>
              <w:bottom w:w="0" w:type="dxa"/>
              <w:right w:w="108" w:type="dxa"/>
            </w:tcMar>
            <w:vAlign w:val="center"/>
          </w:tcPr>
          <w:p w14:paraId="5A20B1B4">
            <w:pPr>
              <w:widowControl w:val="0"/>
              <w:adjustRightInd w:val="0"/>
              <w:snapToGrid w:val="0"/>
              <w:jc w:val="center"/>
              <w:rPr>
                <w:snapToGrid w:val="0"/>
                <w:color w:val="auto"/>
                <w:kern w:val="0"/>
                <w:highlight w:val="none"/>
              </w:rPr>
            </w:pPr>
            <w:r>
              <w:rPr>
                <w:rFonts w:hint="eastAsia"/>
                <w:snapToGrid w:val="0"/>
                <w:color w:val="auto"/>
                <w:kern w:val="0"/>
                <w:highlight w:val="none"/>
              </w:rPr>
              <w:t>41398835.94</w:t>
            </w:r>
          </w:p>
        </w:tc>
        <w:tc>
          <w:tcPr>
            <w:tcW w:w="870" w:type="dxa"/>
            <w:tcMar>
              <w:top w:w="0" w:type="dxa"/>
              <w:left w:w="108" w:type="dxa"/>
              <w:bottom w:w="0" w:type="dxa"/>
              <w:right w:w="108" w:type="dxa"/>
            </w:tcMar>
            <w:vAlign w:val="center"/>
          </w:tcPr>
          <w:p w14:paraId="334E3E34">
            <w:pPr>
              <w:widowControl w:val="0"/>
              <w:adjustRightInd w:val="0"/>
              <w:snapToGrid w:val="0"/>
              <w:jc w:val="center"/>
              <w:rPr>
                <w:snapToGrid w:val="0"/>
                <w:color w:val="auto"/>
                <w:kern w:val="0"/>
                <w:highlight w:val="none"/>
              </w:rPr>
            </w:pPr>
            <w:r>
              <w:rPr>
                <w:rFonts w:hint="eastAsia"/>
                <w:snapToGrid w:val="0"/>
                <w:color w:val="auto"/>
                <w:kern w:val="0"/>
                <w:highlight w:val="none"/>
              </w:rPr>
              <w:t>J110</w:t>
            </w:r>
          </w:p>
        </w:tc>
        <w:tc>
          <w:tcPr>
            <w:tcW w:w="1590" w:type="dxa"/>
            <w:tcMar>
              <w:top w:w="0" w:type="dxa"/>
              <w:left w:w="108" w:type="dxa"/>
              <w:bottom w:w="0" w:type="dxa"/>
              <w:right w:w="108" w:type="dxa"/>
            </w:tcMar>
            <w:vAlign w:val="center"/>
          </w:tcPr>
          <w:p w14:paraId="5BB51560">
            <w:pPr>
              <w:widowControl w:val="0"/>
              <w:adjustRightInd w:val="0"/>
              <w:snapToGrid w:val="0"/>
              <w:jc w:val="center"/>
              <w:rPr>
                <w:snapToGrid w:val="0"/>
                <w:color w:val="auto"/>
                <w:kern w:val="0"/>
                <w:highlight w:val="none"/>
              </w:rPr>
            </w:pPr>
            <w:r>
              <w:rPr>
                <w:rFonts w:hint="eastAsia"/>
                <w:snapToGrid w:val="0"/>
                <w:color w:val="auto"/>
                <w:kern w:val="0"/>
                <w:highlight w:val="none"/>
              </w:rPr>
              <w:t>3265675.91</w:t>
            </w:r>
          </w:p>
        </w:tc>
        <w:tc>
          <w:tcPr>
            <w:tcW w:w="1681" w:type="dxa"/>
            <w:tcMar>
              <w:top w:w="0" w:type="dxa"/>
              <w:left w:w="108" w:type="dxa"/>
              <w:bottom w:w="0" w:type="dxa"/>
              <w:right w:w="108" w:type="dxa"/>
            </w:tcMar>
            <w:vAlign w:val="center"/>
          </w:tcPr>
          <w:p w14:paraId="4D01DE76">
            <w:pPr>
              <w:widowControl w:val="0"/>
              <w:adjustRightInd w:val="0"/>
              <w:snapToGrid w:val="0"/>
              <w:jc w:val="center"/>
              <w:rPr>
                <w:snapToGrid w:val="0"/>
                <w:color w:val="auto"/>
                <w:kern w:val="0"/>
                <w:highlight w:val="none"/>
              </w:rPr>
            </w:pPr>
            <w:r>
              <w:rPr>
                <w:rFonts w:hint="eastAsia"/>
                <w:snapToGrid w:val="0"/>
                <w:color w:val="auto"/>
                <w:kern w:val="0"/>
                <w:highlight w:val="none"/>
              </w:rPr>
              <w:t>41398475.10</w:t>
            </w:r>
          </w:p>
        </w:tc>
      </w:tr>
      <w:tr w14:paraId="2DCB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A44DF76">
            <w:pPr>
              <w:widowControl w:val="0"/>
              <w:adjustRightInd w:val="0"/>
              <w:snapToGrid w:val="0"/>
              <w:jc w:val="center"/>
              <w:rPr>
                <w:snapToGrid w:val="0"/>
                <w:color w:val="auto"/>
                <w:kern w:val="0"/>
                <w:highlight w:val="none"/>
              </w:rPr>
            </w:pPr>
            <w:r>
              <w:rPr>
                <w:rFonts w:hint="eastAsia"/>
                <w:snapToGrid w:val="0"/>
                <w:color w:val="auto"/>
                <w:kern w:val="0"/>
                <w:highlight w:val="none"/>
              </w:rPr>
              <w:t>J50</w:t>
            </w:r>
          </w:p>
        </w:tc>
        <w:tc>
          <w:tcPr>
            <w:tcW w:w="1770" w:type="dxa"/>
            <w:tcMar>
              <w:top w:w="0" w:type="dxa"/>
              <w:left w:w="108" w:type="dxa"/>
              <w:bottom w:w="0" w:type="dxa"/>
              <w:right w:w="108" w:type="dxa"/>
            </w:tcMar>
            <w:vAlign w:val="center"/>
          </w:tcPr>
          <w:p w14:paraId="3F3DAA34">
            <w:pPr>
              <w:widowControl w:val="0"/>
              <w:adjustRightInd w:val="0"/>
              <w:snapToGrid w:val="0"/>
              <w:jc w:val="center"/>
              <w:rPr>
                <w:snapToGrid w:val="0"/>
                <w:color w:val="auto"/>
                <w:kern w:val="0"/>
                <w:highlight w:val="none"/>
              </w:rPr>
            </w:pPr>
            <w:r>
              <w:rPr>
                <w:rFonts w:hint="eastAsia"/>
                <w:snapToGrid w:val="0"/>
                <w:color w:val="auto"/>
                <w:kern w:val="0"/>
                <w:highlight w:val="none"/>
              </w:rPr>
              <w:t>3265985.65</w:t>
            </w:r>
          </w:p>
        </w:tc>
        <w:tc>
          <w:tcPr>
            <w:tcW w:w="1725" w:type="dxa"/>
            <w:tcMar>
              <w:top w:w="0" w:type="dxa"/>
              <w:left w:w="108" w:type="dxa"/>
              <w:bottom w:w="0" w:type="dxa"/>
              <w:right w:w="108" w:type="dxa"/>
            </w:tcMar>
            <w:vAlign w:val="center"/>
          </w:tcPr>
          <w:p w14:paraId="3BB75BF1">
            <w:pPr>
              <w:widowControl w:val="0"/>
              <w:adjustRightInd w:val="0"/>
              <w:snapToGrid w:val="0"/>
              <w:jc w:val="center"/>
              <w:rPr>
                <w:snapToGrid w:val="0"/>
                <w:color w:val="auto"/>
                <w:kern w:val="0"/>
                <w:highlight w:val="none"/>
              </w:rPr>
            </w:pPr>
            <w:r>
              <w:rPr>
                <w:rFonts w:hint="eastAsia"/>
                <w:snapToGrid w:val="0"/>
                <w:color w:val="auto"/>
                <w:kern w:val="0"/>
                <w:highlight w:val="none"/>
              </w:rPr>
              <w:t>41398836.25</w:t>
            </w:r>
          </w:p>
        </w:tc>
        <w:tc>
          <w:tcPr>
            <w:tcW w:w="870" w:type="dxa"/>
            <w:tcMar>
              <w:top w:w="0" w:type="dxa"/>
              <w:left w:w="108" w:type="dxa"/>
              <w:bottom w:w="0" w:type="dxa"/>
              <w:right w:w="108" w:type="dxa"/>
            </w:tcMar>
            <w:vAlign w:val="center"/>
          </w:tcPr>
          <w:p w14:paraId="044EF83B">
            <w:pPr>
              <w:widowControl w:val="0"/>
              <w:adjustRightInd w:val="0"/>
              <w:snapToGrid w:val="0"/>
              <w:jc w:val="center"/>
              <w:rPr>
                <w:snapToGrid w:val="0"/>
                <w:color w:val="auto"/>
                <w:kern w:val="0"/>
                <w:highlight w:val="none"/>
              </w:rPr>
            </w:pPr>
            <w:r>
              <w:rPr>
                <w:rFonts w:hint="eastAsia"/>
                <w:snapToGrid w:val="0"/>
                <w:color w:val="auto"/>
                <w:kern w:val="0"/>
                <w:highlight w:val="none"/>
              </w:rPr>
              <w:t>J111</w:t>
            </w:r>
          </w:p>
        </w:tc>
        <w:tc>
          <w:tcPr>
            <w:tcW w:w="1590" w:type="dxa"/>
            <w:tcMar>
              <w:top w:w="0" w:type="dxa"/>
              <w:left w:w="108" w:type="dxa"/>
              <w:bottom w:w="0" w:type="dxa"/>
              <w:right w:w="108" w:type="dxa"/>
            </w:tcMar>
            <w:vAlign w:val="center"/>
          </w:tcPr>
          <w:p w14:paraId="6495B471">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81" w:type="dxa"/>
            <w:tcMar>
              <w:top w:w="0" w:type="dxa"/>
              <w:left w:w="108" w:type="dxa"/>
              <w:bottom w:w="0" w:type="dxa"/>
              <w:right w:w="108" w:type="dxa"/>
            </w:tcMar>
            <w:vAlign w:val="center"/>
          </w:tcPr>
          <w:p w14:paraId="5E38380D">
            <w:pPr>
              <w:widowControl w:val="0"/>
              <w:adjustRightInd w:val="0"/>
              <w:snapToGrid w:val="0"/>
              <w:jc w:val="center"/>
              <w:rPr>
                <w:snapToGrid w:val="0"/>
                <w:color w:val="auto"/>
                <w:kern w:val="0"/>
                <w:highlight w:val="none"/>
              </w:rPr>
            </w:pPr>
            <w:r>
              <w:rPr>
                <w:rFonts w:hint="eastAsia"/>
                <w:snapToGrid w:val="0"/>
                <w:color w:val="auto"/>
                <w:kern w:val="0"/>
                <w:highlight w:val="none"/>
              </w:rPr>
              <w:t>41398510.32</w:t>
            </w:r>
          </w:p>
        </w:tc>
      </w:tr>
      <w:tr w14:paraId="68DB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A2BC199">
            <w:pPr>
              <w:widowControl w:val="0"/>
              <w:adjustRightInd w:val="0"/>
              <w:snapToGrid w:val="0"/>
              <w:jc w:val="center"/>
              <w:rPr>
                <w:snapToGrid w:val="0"/>
                <w:color w:val="auto"/>
                <w:kern w:val="0"/>
                <w:highlight w:val="none"/>
              </w:rPr>
            </w:pPr>
            <w:r>
              <w:rPr>
                <w:rFonts w:hint="eastAsia"/>
                <w:snapToGrid w:val="0"/>
                <w:color w:val="auto"/>
                <w:kern w:val="0"/>
                <w:highlight w:val="none"/>
              </w:rPr>
              <w:t>J51</w:t>
            </w:r>
          </w:p>
        </w:tc>
        <w:tc>
          <w:tcPr>
            <w:tcW w:w="1770" w:type="dxa"/>
            <w:tcMar>
              <w:top w:w="0" w:type="dxa"/>
              <w:left w:w="108" w:type="dxa"/>
              <w:bottom w:w="0" w:type="dxa"/>
              <w:right w:w="108" w:type="dxa"/>
            </w:tcMar>
            <w:vAlign w:val="center"/>
          </w:tcPr>
          <w:p w14:paraId="2BAEEA44">
            <w:pPr>
              <w:widowControl w:val="0"/>
              <w:adjustRightInd w:val="0"/>
              <w:snapToGrid w:val="0"/>
              <w:jc w:val="center"/>
              <w:rPr>
                <w:snapToGrid w:val="0"/>
                <w:color w:val="auto"/>
                <w:kern w:val="0"/>
                <w:highlight w:val="none"/>
              </w:rPr>
            </w:pPr>
            <w:r>
              <w:rPr>
                <w:rFonts w:hint="eastAsia"/>
                <w:snapToGrid w:val="0"/>
                <w:color w:val="auto"/>
                <w:kern w:val="0"/>
                <w:highlight w:val="none"/>
              </w:rPr>
              <w:t>3265983.20</w:t>
            </w:r>
          </w:p>
        </w:tc>
        <w:tc>
          <w:tcPr>
            <w:tcW w:w="1725" w:type="dxa"/>
            <w:tcMar>
              <w:top w:w="0" w:type="dxa"/>
              <w:left w:w="108" w:type="dxa"/>
              <w:bottom w:w="0" w:type="dxa"/>
              <w:right w:w="108" w:type="dxa"/>
            </w:tcMar>
            <w:vAlign w:val="center"/>
          </w:tcPr>
          <w:p w14:paraId="705E0AD1">
            <w:pPr>
              <w:widowControl w:val="0"/>
              <w:adjustRightInd w:val="0"/>
              <w:snapToGrid w:val="0"/>
              <w:jc w:val="center"/>
              <w:rPr>
                <w:snapToGrid w:val="0"/>
                <w:color w:val="auto"/>
                <w:kern w:val="0"/>
                <w:highlight w:val="none"/>
              </w:rPr>
            </w:pPr>
            <w:r>
              <w:rPr>
                <w:rFonts w:hint="eastAsia"/>
                <w:snapToGrid w:val="0"/>
                <w:color w:val="auto"/>
                <w:kern w:val="0"/>
                <w:highlight w:val="none"/>
              </w:rPr>
              <w:t>41398833.83</w:t>
            </w:r>
          </w:p>
        </w:tc>
        <w:tc>
          <w:tcPr>
            <w:tcW w:w="870" w:type="dxa"/>
            <w:tcMar>
              <w:top w:w="0" w:type="dxa"/>
              <w:left w:w="108" w:type="dxa"/>
              <w:bottom w:w="0" w:type="dxa"/>
              <w:right w:w="108" w:type="dxa"/>
            </w:tcMar>
            <w:vAlign w:val="center"/>
          </w:tcPr>
          <w:p w14:paraId="62D1E524">
            <w:pPr>
              <w:widowControl w:val="0"/>
              <w:adjustRightInd w:val="0"/>
              <w:snapToGrid w:val="0"/>
              <w:jc w:val="center"/>
              <w:rPr>
                <w:snapToGrid w:val="0"/>
                <w:color w:val="auto"/>
                <w:kern w:val="0"/>
                <w:highlight w:val="none"/>
              </w:rPr>
            </w:pPr>
            <w:r>
              <w:rPr>
                <w:rFonts w:hint="eastAsia"/>
                <w:snapToGrid w:val="0"/>
                <w:color w:val="auto"/>
                <w:kern w:val="0"/>
                <w:highlight w:val="none"/>
              </w:rPr>
              <w:t>J112</w:t>
            </w:r>
          </w:p>
        </w:tc>
        <w:tc>
          <w:tcPr>
            <w:tcW w:w="1590" w:type="dxa"/>
            <w:tcMar>
              <w:top w:w="0" w:type="dxa"/>
              <w:left w:w="108" w:type="dxa"/>
              <w:bottom w:w="0" w:type="dxa"/>
              <w:right w:w="108" w:type="dxa"/>
            </w:tcMar>
            <w:vAlign w:val="center"/>
          </w:tcPr>
          <w:p w14:paraId="2950819A">
            <w:pPr>
              <w:widowControl w:val="0"/>
              <w:adjustRightInd w:val="0"/>
              <w:snapToGrid w:val="0"/>
              <w:jc w:val="center"/>
              <w:rPr>
                <w:snapToGrid w:val="0"/>
                <w:color w:val="auto"/>
                <w:kern w:val="0"/>
                <w:highlight w:val="none"/>
              </w:rPr>
            </w:pPr>
            <w:r>
              <w:rPr>
                <w:rFonts w:hint="eastAsia"/>
                <w:snapToGrid w:val="0"/>
                <w:color w:val="auto"/>
                <w:kern w:val="0"/>
                <w:highlight w:val="none"/>
              </w:rPr>
              <w:t>3265753.03</w:t>
            </w:r>
          </w:p>
        </w:tc>
        <w:tc>
          <w:tcPr>
            <w:tcW w:w="1681" w:type="dxa"/>
            <w:tcMar>
              <w:top w:w="0" w:type="dxa"/>
              <w:left w:w="108" w:type="dxa"/>
              <w:bottom w:w="0" w:type="dxa"/>
              <w:right w:w="108" w:type="dxa"/>
            </w:tcMar>
            <w:vAlign w:val="center"/>
          </w:tcPr>
          <w:p w14:paraId="1088BD86">
            <w:pPr>
              <w:widowControl w:val="0"/>
              <w:adjustRightInd w:val="0"/>
              <w:snapToGrid w:val="0"/>
              <w:jc w:val="center"/>
              <w:rPr>
                <w:snapToGrid w:val="0"/>
                <w:color w:val="auto"/>
                <w:kern w:val="0"/>
                <w:highlight w:val="none"/>
              </w:rPr>
            </w:pPr>
            <w:r>
              <w:rPr>
                <w:rFonts w:hint="eastAsia"/>
                <w:snapToGrid w:val="0"/>
                <w:color w:val="auto"/>
                <w:kern w:val="0"/>
                <w:highlight w:val="none"/>
              </w:rPr>
              <w:t>41398482.91</w:t>
            </w:r>
          </w:p>
        </w:tc>
      </w:tr>
      <w:tr w14:paraId="3DD20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4939F30B">
            <w:pPr>
              <w:widowControl w:val="0"/>
              <w:adjustRightInd w:val="0"/>
              <w:snapToGrid w:val="0"/>
              <w:jc w:val="center"/>
              <w:rPr>
                <w:snapToGrid w:val="0"/>
                <w:color w:val="auto"/>
                <w:kern w:val="0"/>
                <w:highlight w:val="none"/>
              </w:rPr>
            </w:pPr>
            <w:r>
              <w:rPr>
                <w:rFonts w:hint="eastAsia"/>
                <w:snapToGrid w:val="0"/>
                <w:color w:val="auto"/>
                <w:kern w:val="0"/>
                <w:highlight w:val="none"/>
              </w:rPr>
              <w:t>J52</w:t>
            </w:r>
          </w:p>
        </w:tc>
        <w:tc>
          <w:tcPr>
            <w:tcW w:w="1770" w:type="dxa"/>
            <w:tcMar>
              <w:top w:w="0" w:type="dxa"/>
              <w:left w:w="108" w:type="dxa"/>
              <w:bottom w:w="0" w:type="dxa"/>
              <w:right w:w="108" w:type="dxa"/>
            </w:tcMar>
            <w:vAlign w:val="center"/>
          </w:tcPr>
          <w:p w14:paraId="4F2DC5A3">
            <w:pPr>
              <w:widowControl w:val="0"/>
              <w:adjustRightInd w:val="0"/>
              <w:snapToGrid w:val="0"/>
              <w:jc w:val="center"/>
              <w:rPr>
                <w:snapToGrid w:val="0"/>
                <w:color w:val="auto"/>
                <w:kern w:val="0"/>
                <w:highlight w:val="none"/>
              </w:rPr>
            </w:pPr>
            <w:r>
              <w:rPr>
                <w:rFonts w:hint="eastAsia"/>
                <w:snapToGrid w:val="0"/>
                <w:color w:val="auto"/>
                <w:kern w:val="0"/>
                <w:highlight w:val="none"/>
              </w:rPr>
              <w:t>3265980.96</w:t>
            </w:r>
          </w:p>
        </w:tc>
        <w:tc>
          <w:tcPr>
            <w:tcW w:w="1725" w:type="dxa"/>
            <w:tcMar>
              <w:top w:w="0" w:type="dxa"/>
              <w:left w:w="108" w:type="dxa"/>
              <w:bottom w:w="0" w:type="dxa"/>
              <w:right w:w="108" w:type="dxa"/>
            </w:tcMar>
            <w:vAlign w:val="center"/>
          </w:tcPr>
          <w:p w14:paraId="2A03D37C">
            <w:pPr>
              <w:widowControl w:val="0"/>
              <w:adjustRightInd w:val="0"/>
              <w:snapToGrid w:val="0"/>
              <w:jc w:val="center"/>
              <w:rPr>
                <w:snapToGrid w:val="0"/>
                <w:color w:val="auto"/>
                <w:kern w:val="0"/>
                <w:highlight w:val="none"/>
              </w:rPr>
            </w:pPr>
            <w:r>
              <w:rPr>
                <w:rFonts w:hint="eastAsia"/>
                <w:snapToGrid w:val="0"/>
                <w:color w:val="auto"/>
                <w:kern w:val="0"/>
                <w:highlight w:val="none"/>
              </w:rPr>
              <w:t>41398828.90</w:t>
            </w:r>
          </w:p>
        </w:tc>
        <w:tc>
          <w:tcPr>
            <w:tcW w:w="870" w:type="dxa"/>
            <w:tcMar>
              <w:top w:w="0" w:type="dxa"/>
              <w:left w:w="108" w:type="dxa"/>
              <w:bottom w:w="0" w:type="dxa"/>
              <w:right w:w="108" w:type="dxa"/>
            </w:tcMar>
            <w:vAlign w:val="center"/>
          </w:tcPr>
          <w:p w14:paraId="6FD50AA5">
            <w:pPr>
              <w:widowControl w:val="0"/>
              <w:adjustRightInd w:val="0"/>
              <w:snapToGrid w:val="0"/>
              <w:jc w:val="center"/>
              <w:rPr>
                <w:snapToGrid w:val="0"/>
                <w:color w:val="auto"/>
                <w:kern w:val="0"/>
                <w:highlight w:val="none"/>
              </w:rPr>
            </w:pPr>
            <w:r>
              <w:rPr>
                <w:rFonts w:hint="eastAsia"/>
                <w:snapToGrid w:val="0"/>
                <w:color w:val="auto"/>
                <w:kern w:val="0"/>
                <w:highlight w:val="none"/>
              </w:rPr>
              <w:t>J113</w:t>
            </w:r>
          </w:p>
        </w:tc>
        <w:tc>
          <w:tcPr>
            <w:tcW w:w="1590" w:type="dxa"/>
            <w:tcMar>
              <w:top w:w="0" w:type="dxa"/>
              <w:left w:w="108" w:type="dxa"/>
              <w:bottom w:w="0" w:type="dxa"/>
              <w:right w:w="108" w:type="dxa"/>
            </w:tcMar>
            <w:vAlign w:val="center"/>
          </w:tcPr>
          <w:p w14:paraId="5B064A89">
            <w:pPr>
              <w:widowControl w:val="0"/>
              <w:adjustRightInd w:val="0"/>
              <w:snapToGrid w:val="0"/>
              <w:jc w:val="center"/>
              <w:rPr>
                <w:snapToGrid w:val="0"/>
                <w:color w:val="auto"/>
                <w:kern w:val="0"/>
                <w:highlight w:val="none"/>
              </w:rPr>
            </w:pPr>
            <w:r>
              <w:rPr>
                <w:rFonts w:hint="eastAsia"/>
                <w:snapToGrid w:val="0"/>
                <w:color w:val="auto"/>
                <w:kern w:val="0"/>
                <w:highlight w:val="none"/>
              </w:rPr>
              <w:t>3265779.12</w:t>
            </w:r>
          </w:p>
        </w:tc>
        <w:tc>
          <w:tcPr>
            <w:tcW w:w="1681" w:type="dxa"/>
            <w:tcMar>
              <w:top w:w="0" w:type="dxa"/>
              <w:left w:w="108" w:type="dxa"/>
              <w:bottom w:w="0" w:type="dxa"/>
              <w:right w:w="108" w:type="dxa"/>
            </w:tcMar>
            <w:vAlign w:val="center"/>
          </w:tcPr>
          <w:p w14:paraId="1B664782">
            <w:pPr>
              <w:widowControl w:val="0"/>
              <w:adjustRightInd w:val="0"/>
              <w:snapToGrid w:val="0"/>
              <w:jc w:val="center"/>
              <w:rPr>
                <w:snapToGrid w:val="0"/>
                <w:color w:val="auto"/>
                <w:kern w:val="0"/>
                <w:highlight w:val="none"/>
              </w:rPr>
            </w:pPr>
            <w:r>
              <w:rPr>
                <w:rFonts w:hint="eastAsia"/>
                <w:snapToGrid w:val="0"/>
                <w:color w:val="auto"/>
                <w:kern w:val="0"/>
                <w:highlight w:val="none"/>
              </w:rPr>
              <w:t>41398438.73</w:t>
            </w:r>
          </w:p>
        </w:tc>
      </w:tr>
      <w:tr w14:paraId="4DCDE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CBB50AC">
            <w:pPr>
              <w:widowControl w:val="0"/>
              <w:adjustRightInd w:val="0"/>
              <w:snapToGrid w:val="0"/>
              <w:jc w:val="center"/>
              <w:rPr>
                <w:snapToGrid w:val="0"/>
                <w:color w:val="auto"/>
                <w:kern w:val="0"/>
                <w:highlight w:val="none"/>
              </w:rPr>
            </w:pPr>
            <w:r>
              <w:rPr>
                <w:rFonts w:hint="eastAsia"/>
                <w:snapToGrid w:val="0"/>
                <w:color w:val="auto"/>
                <w:kern w:val="0"/>
                <w:highlight w:val="none"/>
              </w:rPr>
              <w:t>J53</w:t>
            </w:r>
          </w:p>
        </w:tc>
        <w:tc>
          <w:tcPr>
            <w:tcW w:w="1770" w:type="dxa"/>
            <w:tcMar>
              <w:top w:w="0" w:type="dxa"/>
              <w:left w:w="108" w:type="dxa"/>
              <w:bottom w:w="0" w:type="dxa"/>
              <w:right w:w="108" w:type="dxa"/>
            </w:tcMar>
            <w:vAlign w:val="center"/>
          </w:tcPr>
          <w:p w14:paraId="7912B830">
            <w:pPr>
              <w:widowControl w:val="0"/>
              <w:adjustRightInd w:val="0"/>
              <w:snapToGrid w:val="0"/>
              <w:jc w:val="center"/>
              <w:rPr>
                <w:snapToGrid w:val="0"/>
                <w:color w:val="auto"/>
                <w:kern w:val="0"/>
                <w:highlight w:val="none"/>
              </w:rPr>
            </w:pPr>
            <w:r>
              <w:rPr>
                <w:rFonts w:hint="eastAsia"/>
                <w:snapToGrid w:val="0"/>
                <w:color w:val="auto"/>
                <w:kern w:val="0"/>
                <w:highlight w:val="none"/>
              </w:rPr>
              <w:t>3265978.94</w:t>
            </w:r>
          </w:p>
        </w:tc>
        <w:tc>
          <w:tcPr>
            <w:tcW w:w="1725" w:type="dxa"/>
            <w:tcMar>
              <w:top w:w="0" w:type="dxa"/>
              <w:left w:w="108" w:type="dxa"/>
              <w:bottom w:w="0" w:type="dxa"/>
              <w:right w:w="108" w:type="dxa"/>
            </w:tcMar>
            <w:vAlign w:val="center"/>
          </w:tcPr>
          <w:p w14:paraId="5E31043E">
            <w:pPr>
              <w:widowControl w:val="0"/>
              <w:adjustRightInd w:val="0"/>
              <w:snapToGrid w:val="0"/>
              <w:jc w:val="center"/>
              <w:rPr>
                <w:snapToGrid w:val="0"/>
                <w:color w:val="auto"/>
                <w:kern w:val="0"/>
                <w:highlight w:val="none"/>
              </w:rPr>
            </w:pPr>
            <w:r>
              <w:rPr>
                <w:rFonts w:hint="eastAsia"/>
                <w:snapToGrid w:val="0"/>
                <w:color w:val="auto"/>
                <w:kern w:val="0"/>
                <w:highlight w:val="none"/>
              </w:rPr>
              <w:t>41398822.41</w:t>
            </w:r>
          </w:p>
        </w:tc>
        <w:tc>
          <w:tcPr>
            <w:tcW w:w="870" w:type="dxa"/>
            <w:tcMar>
              <w:top w:w="0" w:type="dxa"/>
              <w:left w:w="108" w:type="dxa"/>
              <w:bottom w:w="0" w:type="dxa"/>
              <w:right w:w="108" w:type="dxa"/>
            </w:tcMar>
            <w:vAlign w:val="center"/>
          </w:tcPr>
          <w:p w14:paraId="197CB3A4">
            <w:pPr>
              <w:widowControl w:val="0"/>
              <w:adjustRightInd w:val="0"/>
              <w:snapToGrid w:val="0"/>
              <w:jc w:val="center"/>
              <w:rPr>
                <w:snapToGrid w:val="0"/>
                <w:color w:val="auto"/>
                <w:kern w:val="0"/>
                <w:highlight w:val="none"/>
              </w:rPr>
            </w:pPr>
            <w:r>
              <w:rPr>
                <w:rFonts w:hint="eastAsia"/>
                <w:snapToGrid w:val="0"/>
                <w:color w:val="auto"/>
                <w:kern w:val="0"/>
                <w:highlight w:val="none"/>
              </w:rPr>
              <w:t>J114</w:t>
            </w:r>
          </w:p>
        </w:tc>
        <w:tc>
          <w:tcPr>
            <w:tcW w:w="1590" w:type="dxa"/>
            <w:tcMar>
              <w:top w:w="0" w:type="dxa"/>
              <w:left w:w="108" w:type="dxa"/>
              <w:bottom w:w="0" w:type="dxa"/>
              <w:right w:w="108" w:type="dxa"/>
            </w:tcMar>
            <w:vAlign w:val="center"/>
          </w:tcPr>
          <w:p w14:paraId="60044A61">
            <w:pPr>
              <w:widowControl w:val="0"/>
              <w:adjustRightInd w:val="0"/>
              <w:snapToGrid w:val="0"/>
              <w:jc w:val="center"/>
              <w:rPr>
                <w:snapToGrid w:val="0"/>
                <w:color w:val="auto"/>
                <w:kern w:val="0"/>
                <w:highlight w:val="none"/>
              </w:rPr>
            </w:pPr>
            <w:r>
              <w:rPr>
                <w:rFonts w:hint="eastAsia"/>
                <w:snapToGrid w:val="0"/>
                <w:color w:val="auto"/>
                <w:kern w:val="0"/>
                <w:highlight w:val="none"/>
              </w:rPr>
              <w:t>3265831.75</w:t>
            </w:r>
          </w:p>
        </w:tc>
        <w:tc>
          <w:tcPr>
            <w:tcW w:w="1681" w:type="dxa"/>
            <w:tcMar>
              <w:top w:w="0" w:type="dxa"/>
              <w:left w:w="108" w:type="dxa"/>
              <w:bottom w:w="0" w:type="dxa"/>
              <w:right w:w="108" w:type="dxa"/>
            </w:tcMar>
            <w:vAlign w:val="center"/>
          </w:tcPr>
          <w:p w14:paraId="1FA66719">
            <w:pPr>
              <w:widowControl w:val="0"/>
              <w:adjustRightInd w:val="0"/>
              <w:snapToGrid w:val="0"/>
              <w:jc w:val="center"/>
              <w:rPr>
                <w:snapToGrid w:val="0"/>
                <w:color w:val="auto"/>
                <w:kern w:val="0"/>
                <w:highlight w:val="none"/>
              </w:rPr>
            </w:pPr>
            <w:r>
              <w:rPr>
                <w:rFonts w:hint="eastAsia"/>
                <w:snapToGrid w:val="0"/>
                <w:color w:val="auto"/>
                <w:kern w:val="0"/>
                <w:highlight w:val="none"/>
              </w:rPr>
              <w:t>41398383.23</w:t>
            </w:r>
          </w:p>
        </w:tc>
      </w:tr>
      <w:tr w14:paraId="51DA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F2C57EF">
            <w:pPr>
              <w:widowControl w:val="0"/>
              <w:adjustRightInd w:val="0"/>
              <w:snapToGrid w:val="0"/>
              <w:jc w:val="center"/>
              <w:rPr>
                <w:snapToGrid w:val="0"/>
                <w:color w:val="auto"/>
                <w:kern w:val="0"/>
                <w:highlight w:val="none"/>
              </w:rPr>
            </w:pPr>
            <w:r>
              <w:rPr>
                <w:rFonts w:hint="eastAsia"/>
                <w:snapToGrid w:val="0"/>
                <w:color w:val="auto"/>
                <w:kern w:val="0"/>
                <w:highlight w:val="none"/>
              </w:rPr>
              <w:t>J54</w:t>
            </w:r>
          </w:p>
        </w:tc>
        <w:tc>
          <w:tcPr>
            <w:tcW w:w="1770" w:type="dxa"/>
            <w:tcMar>
              <w:top w:w="0" w:type="dxa"/>
              <w:left w:w="108" w:type="dxa"/>
              <w:bottom w:w="0" w:type="dxa"/>
              <w:right w:w="108" w:type="dxa"/>
            </w:tcMar>
            <w:vAlign w:val="center"/>
          </w:tcPr>
          <w:p w14:paraId="1336710D">
            <w:pPr>
              <w:widowControl w:val="0"/>
              <w:adjustRightInd w:val="0"/>
              <w:snapToGrid w:val="0"/>
              <w:jc w:val="center"/>
              <w:rPr>
                <w:snapToGrid w:val="0"/>
                <w:color w:val="auto"/>
                <w:kern w:val="0"/>
                <w:highlight w:val="none"/>
              </w:rPr>
            </w:pPr>
            <w:r>
              <w:rPr>
                <w:rFonts w:hint="eastAsia"/>
                <w:snapToGrid w:val="0"/>
                <w:color w:val="auto"/>
                <w:kern w:val="0"/>
                <w:highlight w:val="none"/>
              </w:rPr>
              <w:t>3265978.70</w:t>
            </w:r>
          </w:p>
        </w:tc>
        <w:tc>
          <w:tcPr>
            <w:tcW w:w="1725" w:type="dxa"/>
            <w:tcMar>
              <w:top w:w="0" w:type="dxa"/>
              <w:left w:w="108" w:type="dxa"/>
              <w:bottom w:w="0" w:type="dxa"/>
              <w:right w:w="108" w:type="dxa"/>
            </w:tcMar>
            <w:vAlign w:val="center"/>
          </w:tcPr>
          <w:p w14:paraId="2A9BB1B4">
            <w:pPr>
              <w:widowControl w:val="0"/>
              <w:adjustRightInd w:val="0"/>
              <w:snapToGrid w:val="0"/>
              <w:jc w:val="center"/>
              <w:rPr>
                <w:snapToGrid w:val="0"/>
                <w:color w:val="auto"/>
                <w:kern w:val="0"/>
                <w:highlight w:val="none"/>
              </w:rPr>
            </w:pPr>
            <w:r>
              <w:rPr>
                <w:rFonts w:hint="eastAsia"/>
                <w:snapToGrid w:val="0"/>
                <w:color w:val="auto"/>
                <w:kern w:val="0"/>
                <w:highlight w:val="none"/>
              </w:rPr>
              <w:t>41398816.78</w:t>
            </w:r>
          </w:p>
        </w:tc>
        <w:tc>
          <w:tcPr>
            <w:tcW w:w="870" w:type="dxa"/>
            <w:tcMar>
              <w:top w:w="0" w:type="dxa"/>
              <w:left w:w="108" w:type="dxa"/>
              <w:bottom w:w="0" w:type="dxa"/>
              <w:right w:w="108" w:type="dxa"/>
            </w:tcMar>
            <w:vAlign w:val="center"/>
          </w:tcPr>
          <w:p w14:paraId="31FCFFC9">
            <w:pPr>
              <w:widowControl w:val="0"/>
              <w:adjustRightInd w:val="0"/>
              <w:snapToGrid w:val="0"/>
              <w:jc w:val="center"/>
              <w:rPr>
                <w:snapToGrid w:val="0"/>
                <w:color w:val="auto"/>
                <w:kern w:val="0"/>
                <w:highlight w:val="none"/>
              </w:rPr>
            </w:pPr>
            <w:r>
              <w:rPr>
                <w:rFonts w:hint="eastAsia"/>
                <w:snapToGrid w:val="0"/>
                <w:color w:val="auto"/>
                <w:kern w:val="0"/>
                <w:highlight w:val="none"/>
              </w:rPr>
              <w:t>J115</w:t>
            </w:r>
          </w:p>
        </w:tc>
        <w:tc>
          <w:tcPr>
            <w:tcW w:w="1590" w:type="dxa"/>
            <w:tcMar>
              <w:top w:w="0" w:type="dxa"/>
              <w:left w:w="108" w:type="dxa"/>
              <w:bottom w:w="0" w:type="dxa"/>
              <w:right w:w="108" w:type="dxa"/>
            </w:tcMar>
            <w:vAlign w:val="center"/>
          </w:tcPr>
          <w:p w14:paraId="51EDA11A">
            <w:pPr>
              <w:widowControl w:val="0"/>
              <w:adjustRightInd w:val="0"/>
              <w:snapToGrid w:val="0"/>
              <w:jc w:val="center"/>
              <w:rPr>
                <w:snapToGrid w:val="0"/>
                <w:color w:val="auto"/>
                <w:kern w:val="0"/>
                <w:highlight w:val="none"/>
              </w:rPr>
            </w:pPr>
            <w:r>
              <w:rPr>
                <w:rFonts w:hint="eastAsia"/>
                <w:snapToGrid w:val="0"/>
                <w:color w:val="auto"/>
                <w:kern w:val="0"/>
                <w:highlight w:val="none"/>
              </w:rPr>
              <w:t>3265792.66</w:t>
            </w:r>
          </w:p>
        </w:tc>
        <w:tc>
          <w:tcPr>
            <w:tcW w:w="1681" w:type="dxa"/>
            <w:tcMar>
              <w:top w:w="0" w:type="dxa"/>
              <w:left w:w="108" w:type="dxa"/>
              <w:bottom w:w="0" w:type="dxa"/>
              <w:right w:w="108" w:type="dxa"/>
            </w:tcMar>
            <w:vAlign w:val="center"/>
          </w:tcPr>
          <w:p w14:paraId="244A4F8B">
            <w:pPr>
              <w:widowControl w:val="0"/>
              <w:adjustRightInd w:val="0"/>
              <w:snapToGrid w:val="0"/>
              <w:jc w:val="center"/>
              <w:rPr>
                <w:snapToGrid w:val="0"/>
                <w:color w:val="auto"/>
                <w:kern w:val="0"/>
                <w:highlight w:val="none"/>
              </w:rPr>
            </w:pPr>
            <w:r>
              <w:rPr>
                <w:rFonts w:hint="eastAsia"/>
                <w:snapToGrid w:val="0"/>
                <w:color w:val="auto"/>
                <w:kern w:val="0"/>
                <w:highlight w:val="none"/>
              </w:rPr>
              <w:t>41398318.15</w:t>
            </w:r>
          </w:p>
        </w:tc>
      </w:tr>
      <w:tr w14:paraId="253BF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EC71517">
            <w:pPr>
              <w:widowControl w:val="0"/>
              <w:adjustRightInd w:val="0"/>
              <w:snapToGrid w:val="0"/>
              <w:jc w:val="center"/>
              <w:rPr>
                <w:snapToGrid w:val="0"/>
                <w:color w:val="auto"/>
                <w:kern w:val="0"/>
                <w:highlight w:val="none"/>
              </w:rPr>
            </w:pPr>
            <w:r>
              <w:rPr>
                <w:rFonts w:hint="eastAsia"/>
                <w:snapToGrid w:val="0"/>
                <w:color w:val="auto"/>
                <w:kern w:val="0"/>
                <w:highlight w:val="none"/>
              </w:rPr>
              <w:t>J55</w:t>
            </w:r>
          </w:p>
        </w:tc>
        <w:tc>
          <w:tcPr>
            <w:tcW w:w="1770" w:type="dxa"/>
            <w:tcMar>
              <w:top w:w="0" w:type="dxa"/>
              <w:left w:w="108" w:type="dxa"/>
              <w:bottom w:w="0" w:type="dxa"/>
              <w:right w:w="108" w:type="dxa"/>
            </w:tcMar>
            <w:vAlign w:val="center"/>
          </w:tcPr>
          <w:p w14:paraId="7680F522">
            <w:pPr>
              <w:widowControl w:val="0"/>
              <w:adjustRightInd w:val="0"/>
              <w:snapToGrid w:val="0"/>
              <w:jc w:val="center"/>
              <w:rPr>
                <w:snapToGrid w:val="0"/>
                <w:color w:val="auto"/>
                <w:kern w:val="0"/>
                <w:highlight w:val="none"/>
              </w:rPr>
            </w:pPr>
            <w:r>
              <w:rPr>
                <w:rFonts w:hint="eastAsia"/>
                <w:snapToGrid w:val="0"/>
                <w:color w:val="auto"/>
                <w:kern w:val="0"/>
                <w:highlight w:val="none"/>
              </w:rPr>
              <w:t>3265979.89</w:t>
            </w:r>
          </w:p>
        </w:tc>
        <w:tc>
          <w:tcPr>
            <w:tcW w:w="1725" w:type="dxa"/>
            <w:tcMar>
              <w:top w:w="0" w:type="dxa"/>
              <w:left w:w="108" w:type="dxa"/>
              <w:bottom w:w="0" w:type="dxa"/>
              <w:right w:w="108" w:type="dxa"/>
            </w:tcMar>
            <w:vAlign w:val="center"/>
          </w:tcPr>
          <w:p w14:paraId="4C491B20">
            <w:pPr>
              <w:widowControl w:val="0"/>
              <w:adjustRightInd w:val="0"/>
              <w:snapToGrid w:val="0"/>
              <w:jc w:val="center"/>
              <w:rPr>
                <w:snapToGrid w:val="0"/>
                <w:color w:val="auto"/>
                <w:kern w:val="0"/>
                <w:highlight w:val="none"/>
              </w:rPr>
            </w:pPr>
            <w:r>
              <w:rPr>
                <w:rFonts w:hint="eastAsia"/>
                <w:snapToGrid w:val="0"/>
                <w:color w:val="auto"/>
                <w:kern w:val="0"/>
                <w:highlight w:val="none"/>
              </w:rPr>
              <w:t>41398810.87</w:t>
            </w:r>
          </w:p>
        </w:tc>
        <w:tc>
          <w:tcPr>
            <w:tcW w:w="870" w:type="dxa"/>
            <w:tcMar>
              <w:top w:w="0" w:type="dxa"/>
              <w:left w:w="108" w:type="dxa"/>
              <w:bottom w:w="0" w:type="dxa"/>
              <w:right w:w="108" w:type="dxa"/>
            </w:tcMar>
            <w:vAlign w:val="center"/>
          </w:tcPr>
          <w:p w14:paraId="2BA28B8B">
            <w:pPr>
              <w:widowControl w:val="0"/>
              <w:adjustRightInd w:val="0"/>
              <w:snapToGrid w:val="0"/>
              <w:jc w:val="center"/>
              <w:rPr>
                <w:snapToGrid w:val="0"/>
                <w:color w:val="auto"/>
                <w:kern w:val="0"/>
                <w:highlight w:val="none"/>
              </w:rPr>
            </w:pPr>
            <w:r>
              <w:rPr>
                <w:rFonts w:hint="eastAsia"/>
                <w:snapToGrid w:val="0"/>
                <w:color w:val="auto"/>
                <w:kern w:val="0"/>
                <w:highlight w:val="none"/>
              </w:rPr>
              <w:t>J116</w:t>
            </w:r>
          </w:p>
        </w:tc>
        <w:tc>
          <w:tcPr>
            <w:tcW w:w="1590" w:type="dxa"/>
            <w:tcMar>
              <w:top w:w="0" w:type="dxa"/>
              <w:left w:w="108" w:type="dxa"/>
              <w:bottom w:w="0" w:type="dxa"/>
              <w:right w:w="108" w:type="dxa"/>
            </w:tcMar>
            <w:vAlign w:val="center"/>
          </w:tcPr>
          <w:p w14:paraId="15D02313">
            <w:pPr>
              <w:widowControl w:val="0"/>
              <w:adjustRightInd w:val="0"/>
              <w:snapToGrid w:val="0"/>
              <w:jc w:val="center"/>
              <w:rPr>
                <w:snapToGrid w:val="0"/>
                <w:color w:val="auto"/>
                <w:kern w:val="0"/>
                <w:highlight w:val="none"/>
              </w:rPr>
            </w:pPr>
            <w:r>
              <w:rPr>
                <w:rFonts w:hint="eastAsia"/>
                <w:snapToGrid w:val="0"/>
                <w:color w:val="auto"/>
                <w:kern w:val="0"/>
                <w:highlight w:val="none"/>
              </w:rPr>
              <w:t>3265768.30</w:t>
            </w:r>
          </w:p>
        </w:tc>
        <w:tc>
          <w:tcPr>
            <w:tcW w:w="1681" w:type="dxa"/>
            <w:tcMar>
              <w:top w:w="0" w:type="dxa"/>
              <w:left w:w="108" w:type="dxa"/>
              <w:bottom w:w="0" w:type="dxa"/>
              <w:right w:w="108" w:type="dxa"/>
            </w:tcMar>
            <w:vAlign w:val="center"/>
          </w:tcPr>
          <w:p w14:paraId="6CDE3FA1">
            <w:pPr>
              <w:widowControl w:val="0"/>
              <w:adjustRightInd w:val="0"/>
              <w:snapToGrid w:val="0"/>
              <w:jc w:val="center"/>
              <w:rPr>
                <w:snapToGrid w:val="0"/>
                <w:color w:val="auto"/>
                <w:kern w:val="0"/>
                <w:highlight w:val="none"/>
              </w:rPr>
            </w:pPr>
            <w:r>
              <w:rPr>
                <w:rFonts w:hint="eastAsia"/>
                <w:snapToGrid w:val="0"/>
                <w:color w:val="auto"/>
                <w:kern w:val="0"/>
                <w:highlight w:val="none"/>
              </w:rPr>
              <w:t>41398294.45</w:t>
            </w:r>
          </w:p>
        </w:tc>
      </w:tr>
      <w:tr w14:paraId="58411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08B46281">
            <w:pPr>
              <w:widowControl w:val="0"/>
              <w:adjustRightInd w:val="0"/>
              <w:snapToGrid w:val="0"/>
              <w:jc w:val="center"/>
              <w:rPr>
                <w:snapToGrid w:val="0"/>
                <w:color w:val="auto"/>
                <w:kern w:val="0"/>
                <w:highlight w:val="none"/>
              </w:rPr>
            </w:pPr>
            <w:r>
              <w:rPr>
                <w:rFonts w:hint="eastAsia"/>
                <w:snapToGrid w:val="0"/>
                <w:color w:val="auto"/>
                <w:kern w:val="0"/>
                <w:highlight w:val="none"/>
              </w:rPr>
              <w:t>J56</w:t>
            </w:r>
          </w:p>
        </w:tc>
        <w:tc>
          <w:tcPr>
            <w:tcW w:w="1770" w:type="dxa"/>
            <w:tcMar>
              <w:top w:w="0" w:type="dxa"/>
              <w:left w:w="108" w:type="dxa"/>
              <w:bottom w:w="0" w:type="dxa"/>
              <w:right w:w="108" w:type="dxa"/>
            </w:tcMar>
            <w:vAlign w:val="center"/>
          </w:tcPr>
          <w:p w14:paraId="0B33AA5C">
            <w:pPr>
              <w:widowControl w:val="0"/>
              <w:adjustRightInd w:val="0"/>
              <w:snapToGrid w:val="0"/>
              <w:jc w:val="center"/>
              <w:rPr>
                <w:snapToGrid w:val="0"/>
                <w:color w:val="auto"/>
                <w:kern w:val="0"/>
                <w:highlight w:val="none"/>
              </w:rPr>
            </w:pPr>
            <w:r>
              <w:rPr>
                <w:rFonts w:hint="eastAsia"/>
                <w:snapToGrid w:val="0"/>
                <w:color w:val="auto"/>
                <w:kern w:val="0"/>
                <w:highlight w:val="none"/>
              </w:rPr>
              <w:t>3265981.76</w:t>
            </w:r>
          </w:p>
        </w:tc>
        <w:tc>
          <w:tcPr>
            <w:tcW w:w="1725" w:type="dxa"/>
            <w:tcMar>
              <w:top w:w="0" w:type="dxa"/>
              <w:left w:w="108" w:type="dxa"/>
              <w:bottom w:w="0" w:type="dxa"/>
              <w:right w:w="108" w:type="dxa"/>
            </w:tcMar>
            <w:vAlign w:val="center"/>
          </w:tcPr>
          <w:p w14:paraId="581B4770">
            <w:pPr>
              <w:widowControl w:val="0"/>
              <w:adjustRightInd w:val="0"/>
              <w:snapToGrid w:val="0"/>
              <w:jc w:val="center"/>
              <w:rPr>
                <w:snapToGrid w:val="0"/>
                <w:color w:val="auto"/>
                <w:kern w:val="0"/>
                <w:highlight w:val="none"/>
              </w:rPr>
            </w:pPr>
            <w:r>
              <w:rPr>
                <w:rFonts w:hint="eastAsia"/>
                <w:snapToGrid w:val="0"/>
                <w:color w:val="auto"/>
                <w:kern w:val="0"/>
                <w:highlight w:val="none"/>
              </w:rPr>
              <w:t>41398807.66</w:t>
            </w:r>
          </w:p>
        </w:tc>
        <w:tc>
          <w:tcPr>
            <w:tcW w:w="870" w:type="dxa"/>
            <w:tcMar>
              <w:top w:w="0" w:type="dxa"/>
              <w:left w:w="108" w:type="dxa"/>
              <w:bottom w:w="0" w:type="dxa"/>
              <w:right w:w="108" w:type="dxa"/>
            </w:tcMar>
            <w:vAlign w:val="center"/>
          </w:tcPr>
          <w:p w14:paraId="2990807C">
            <w:pPr>
              <w:widowControl w:val="0"/>
              <w:adjustRightInd w:val="0"/>
              <w:snapToGrid w:val="0"/>
              <w:jc w:val="center"/>
              <w:rPr>
                <w:snapToGrid w:val="0"/>
                <w:color w:val="auto"/>
                <w:kern w:val="0"/>
                <w:highlight w:val="none"/>
              </w:rPr>
            </w:pPr>
            <w:r>
              <w:rPr>
                <w:rFonts w:hint="eastAsia"/>
                <w:snapToGrid w:val="0"/>
                <w:color w:val="auto"/>
                <w:kern w:val="0"/>
                <w:highlight w:val="none"/>
              </w:rPr>
              <w:t>J117</w:t>
            </w:r>
          </w:p>
        </w:tc>
        <w:tc>
          <w:tcPr>
            <w:tcW w:w="1590" w:type="dxa"/>
            <w:tcMar>
              <w:top w:w="0" w:type="dxa"/>
              <w:left w:w="108" w:type="dxa"/>
              <w:bottom w:w="0" w:type="dxa"/>
              <w:right w:w="108" w:type="dxa"/>
            </w:tcMar>
            <w:vAlign w:val="center"/>
          </w:tcPr>
          <w:p w14:paraId="279DE4FF">
            <w:pPr>
              <w:widowControl w:val="0"/>
              <w:adjustRightInd w:val="0"/>
              <w:snapToGrid w:val="0"/>
              <w:jc w:val="center"/>
              <w:rPr>
                <w:snapToGrid w:val="0"/>
                <w:color w:val="auto"/>
                <w:kern w:val="0"/>
                <w:highlight w:val="none"/>
              </w:rPr>
            </w:pPr>
            <w:r>
              <w:rPr>
                <w:rFonts w:hint="eastAsia"/>
                <w:snapToGrid w:val="0"/>
                <w:color w:val="auto"/>
                <w:kern w:val="0"/>
                <w:highlight w:val="none"/>
              </w:rPr>
              <w:t>3265748.91</w:t>
            </w:r>
          </w:p>
        </w:tc>
        <w:tc>
          <w:tcPr>
            <w:tcW w:w="1681" w:type="dxa"/>
            <w:tcMar>
              <w:top w:w="0" w:type="dxa"/>
              <w:left w:w="108" w:type="dxa"/>
              <w:bottom w:w="0" w:type="dxa"/>
              <w:right w:w="108" w:type="dxa"/>
            </w:tcMar>
            <w:vAlign w:val="center"/>
          </w:tcPr>
          <w:p w14:paraId="6F66DD35">
            <w:pPr>
              <w:widowControl w:val="0"/>
              <w:adjustRightInd w:val="0"/>
              <w:snapToGrid w:val="0"/>
              <w:jc w:val="center"/>
              <w:rPr>
                <w:snapToGrid w:val="0"/>
                <w:color w:val="auto"/>
                <w:kern w:val="0"/>
                <w:highlight w:val="none"/>
              </w:rPr>
            </w:pPr>
            <w:r>
              <w:rPr>
                <w:rFonts w:hint="eastAsia"/>
                <w:snapToGrid w:val="0"/>
                <w:color w:val="auto"/>
                <w:kern w:val="0"/>
                <w:highlight w:val="none"/>
              </w:rPr>
              <w:t>41398270.61</w:t>
            </w:r>
          </w:p>
        </w:tc>
      </w:tr>
      <w:tr w14:paraId="42D3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54A3E358">
            <w:pPr>
              <w:widowControl w:val="0"/>
              <w:adjustRightInd w:val="0"/>
              <w:snapToGrid w:val="0"/>
              <w:jc w:val="center"/>
              <w:rPr>
                <w:snapToGrid w:val="0"/>
                <w:color w:val="auto"/>
                <w:kern w:val="0"/>
                <w:highlight w:val="none"/>
              </w:rPr>
            </w:pPr>
            <w:r>
              <w:rPr>
                <w:rFonts w:hint="eastAsia"/>
                <w:snapToGrid w:val="0"/>
                <w:color w:val="auto"/>
                <w:kern w:val="0"/>
                <w:highlight w:val="none"/>
              </w:rPr>
              <w:t>J57</w:t>
            </w:r>
          </w:p>
        </w:tc>
        <w:tc>
          <w:tcPr>
            <w:tcW w:w="1770" w:type="dxa"/>
            <w:tcMar>
              <w:top w:w="0" w:type="dxa"/>
              <w:left w:w="108" w:type="dxa"/>
              <w:bottom w:w="0" w:type="dxa"/>
              <w:right w:w="108" w:type="dxa"/>
            </w:tcMar>
            <w:vAlign w:val="center"/>
          </w:tcPr>
          <w:p w14:paraId="2E557E30">
            <w:pPr>
              <w:widowControl w:val="0"/>
              <w:adjustRightInd w:val="0"/>
              <w:snapToGrid w:val="0"/>
              <w:jc w:val="center"/>
              <w:rPr>
                <w:snapToGrid w:val="0"/>
                <w:color w:val="auto"/>
                <w:kern w:val="0"/>
                <w:highlight w:val="none"/>
              </w:rPr>
            </w:pPr>
            <w:r>
              <w:rPr>
                <w:rFonts w:hint="eastAsia"/>
                <w:snapToGrid w:val="0"/>
                <w:color w:val="auto"/>
                <w:kern w:val="0"/>
                <w:highlight w:val="none"/>
              </w:rPr>
              <w:t>3265984.08</w:t>
            </w:r>
          </w:p>
        </w:tc>
        <w:tc>
          <w:tcPr>
            <w:tcW w:w="1725" w:type="dxa"/>
            <w:tcMar>
              <w:top w:w="0" w:type="dxa"/>
              <w:left w:w="108" w:type="dxa"/>
              <w:bottom w:w="0" w:type="dxa"/>
              <w:right w:w="108" w:type="dxa"/>
            </w:tcMar>
            <w:vAlign w:val="center"/>
          </w:tcPr>
          <w:p w14:paraId="20D6BB66">
            <w:pPr>
              <w:widowControl w:val="0"/>
              <w:adjustRightInd w:val="0"/>
              <w:snapToGrid w:val="0"/>
              <w:jc w:val="center"/>
              <w:rPr>
                <w:snapToGrid w:val="0"/>
                <w:color w:val="auto"/>
                <w:kern w:val="0"/>
                <w:highlight w:val="none"/>
              </w:rPr>
            </w:pPr>
            <w:r>
              <w:rPr>
                <w:rFonts w:hint="eastAsia"/>
                <w:snapToGrid w:val="0"/>
                <w:color w:val="auto"/>
                <w:kern w:val="0"/>
                <w:highlight w:val="none"/>
              </w:rPr>
              <w:t>41398803.38</w:t>
            </w:r>
          </w:p>
        </w:tc>
        <w:tc>
          <w:tcPr>
            <w:tcW w:w="870" w:type="dxa"/>
            <w:tcMar>
              <w:top w:w="0" w:type="dxa"/>
              <w:left w:w="108" w:type="dxa"/>
              <w:bottom w:w="0" w:type="dxa"/>
              <w:right w:w="108" w:type="dxa"/>
            </w:tcMar>
            <w:vAlign w:val="center"/>
          </w:tcPr>
          <w:p w14:paraId="68E0083A">
            <w:pPr>
              <w:widowControl w:val="0"/>
              <w:adjustRightInd w:val="0"/>
              <w:snapToGrid w:val="0"/>
              <w:jc w:val="center"/>
              <w:rPr>
                <w:snapToGrid w:val="0"/>
                <w:color w:val="auto"/>
                <w:kern w:val="0"/>
                <w:highlight w:val="none"/>
              </w:rPr>
            </w:pPr>
            <w:r>
              <w:rPr>
                <w:rFonts w:hint="eastAsia"/>
                <w:snapToGrid w:val="0"/>
                <w:color w:val="auto"/>
                <w:kern w:val="0"/>
                <w:highlight w:val="none"/>
              </w:rPr>
              <w:t>J118</w:t>
            </w:r>
          </w:p>
        </w:tc>
        <w:tc>
          <w:tcPr>
            <w:tcW w:w="1590" w:type="dxa"/>
            <w:tcMar>
              <w:top w:w="0" w:type="dxa"/>
              <w:left w:w="108" w:type="dxa"/>
              <w:bottom w:w="0" w:type="dxa"/>
              <w:right w:w="108" w:type="dxa"/>
            </w:tcMar>
            <w:vAlign w:val="center"/>
          </w:tcPr>
          <w:p w14:paraId="75A8808B">
            <w:pPr>
              <w:widowControl w:val="0"/>
              <w:adjustRightInd w:val="0"/>
              <w:snapToGrid w:val="0"/>
              <w:jc w:val="center"/>
              <w:rPr>
                <w:snapToGrid w:val="0"/>
                <w:color w:val="auto"/>
                <w:kern w:val="0"/>
                <w:highlight w:val="none"/>
              </w:rPr>
            </w:pPr>
            <w:r>
              <w:rPr>
                <w:rFonts w:hint="eastAsia"/>
                <w:snapToGrid w:val="0"/>
                <w:color w:val="auto"/>
                <w:kern w:val="0"/>
                <w:highlight w:val="none"/>
              </w:rPr>
              <w:t>3265766.84</w:t>
            </w:r>
          </w:p>
        </w:tc>
        <w:tc>
          <w:tcPr>
            <w:tcW w:w="1681" w:type="dxa"/>
            <w:tcMar>
              <w:top w:w="0" w:type="dxa"/>
              <w:left w:w="108" w:type="dxa"/>
              <w:bottom w:w="0" w:type="dxa"/>
              <w:right w:w="108" w:type="dxa"/>
            </w:tcMar>
            <w:vAlign w:val="center"/>
          </w:tcPr>
          <w:p w14:paraId="5C584EC7">
            <w:pPr>
              <w:widowControl w:val="0"/>
              <w:adjustRightInd w:val="0"/>
              <w:snapToGrid w:val="0"/>
              <w:jc w:val="center"/>
              <w:rPr>
                <w:snapToGrid w:val="0"/>
                <w:color w:val="auto"/>
                <w:kern w:val="0"/>
                <w:highlight w:val="none"/>
              </w:rPr>
            </w:pPr>
            <w:r>
              <w:rPr>
                <w:rFonts w:hint="eastAsia"/>
                <w:snapToGrid w:val="0"/>
                <w:color w:val="auto"/>
                <w:kern w:val="0"/>
                <w:highlight w:val="none"/>
              </w:rPr>
              <w:t>41398245.62</w:t>
            </w:r>
          </w:p>
        </w:tc>
      </w:tr>
      <w:tr w14:paraId="239F2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3689870E">
            <w:pPr>
              <w:widowControl w:val="0"/>
              <w:adjustRightInd w:val="0"/>
              <w:snapToGrid w:val="0"/>
              <w:jc w:val="center"/>
              <w:rPr>
                <w:snapToGrid w:val="0"/>
                <w:color w:val="auto"/>
                <w:kern w:val="0"/>
                <w:highlight w:val="none"/>
              </w:rPr>
            </w:pPr>
            <w:r>
              <w:rPr>
                <w:rFonts w:hint="eastAsia"/>
                <w:snapToGrid w:val="0"/>
                <w:color w:val="auto"/>
                <w:kern w:val="0"/>
                <w:highlight w:val="none"/>
              </w:rPr>
              <w:t>J58</w:t>
            </w:r>
          </w:p>
        </w:tc>
        <w:tc>
          <w:tcPr>
            <w:tcW w:w="1770" w:type="dxa"/>
            <w:tcMar>
              <w:top w:w="0" w:type="dxa"/>
              <w:left w:w="108" w:type="dxa"/>
              <w:bottom w:w="0" w:type="dxa"/>
              <w:right w:w="108" w:type="dxa"/>
            </w:tcMar>
            <w:vAlign w:val="center"/>
          </w:tcPr>
          <w:p w14:paraId="550EFB14">
            <w:pPr>
              <w:widowControl w:val="0"/>
              <w:adjustRightInd w:val="0"/>
              <w:snapToGrid w:val="0"/>
              <w:jc w:val="center"/>
              <w:rPr>
                <w:snapToGrid w:val="0"/>
                <w:color w:val="auto"/>
                <w:kern w:val="0"/>
                <w:highlight w:val="none"/>
              </w:rPr>
            </w:pPr>
            <w:r>
              <w:rPr>
                <w:rFonts w:hint="eastAsia"/>
                <w:snapToGrid w:val="0"/>
                <w:color w:val="auto"/>
                <w:kern w:val="0"/>
                <w:highlight w:val="none"/>
              </w:rPr>
              <w:t>3265996.42</w:t>
            </w:r>
          </w:p>
        </w:tc>
        <w:tc>
          <w:tcPr>
            <w:tcW w:w="1725" w:type="dxa"/>
            <w:tcMar>
              <w:top w:w="0" w:type="dxa"/>
              <w:left w:w="108" w:type="dxa"/>
              <w:bottom w:w="0" w:type="dxa"/>
              <w:right w:w="108" w:type="dxa"/>
            </w:tcMar>
            <w:vAlign w:val="center"/>
          </w:tcPr>
          <w:p w14:paraId="3AC303AF">
            <w:pPr>
              <w:widowControl w:val="0"/>
              <w:adjustRightInd w:val="0"/>
              <w:snapToGrid w:val="0"/>
              <w:jc w:val="center"/>
              <w:rPr>
                <w:snapToGrid w:val="0"/>
                <w:color w:val="auto"/>
                <w:kern w:val="0"/>
                <w:highlight w:val="none"/>
              </w:rPr>
            </w:pPr>
            <w:r>
              <w:rPr>
                <w:rFonts w:hint="eastAsia"/>
                <w:snapToGrid w:val="0"/>
                <w:color w:val="auto"/>
                <w:kern w:val="0"/>
                <w:highlight w:val="none"/>
              </w:rPr>
              <w:t>41398784.33</w:t>
            </w:r>
          </w:p>
        </w:tc>
        <w:tc>
          <w:tcPr>
            <w:tcW w:w="870" w:type="dxa"/>
            <w:tcMar>
              <w:top w:w="0" w:type="dxa"/>
              <w:left w:w="108" w:type="dxa"/>
              <w:bottom w:w="0" w:type="dxa"/>
              <w:right w:w="108" w:type="dxa"/>
            </w:tcMar>
            <w:vAlign w:val="center"/>
          </w:tcPr>
          <w:p w14:paraId="66712D1C">
            <w:pPr>
              <w:widowControl w:val="0"/>
              <w:adjustRightInd w:val="0"/>
              <w:snapToGrid w:val="0"/>
              <w:jc w:val="center"/>
              <w:rPr>
                <w:snapToGrid w:val="0"/>
                <w:color w:val="auto"/>
                <w:kern w:val="0"/>
                <w:highlight w:val="none"/>
              </w:rPr>
            </w:pPr>
            <w:r>
              <w:rPr>
                <w:rFonts w:hint="eastAsia"/>
                <w:snapToGrid w:val="0"/>
                <w:color w:val="auto"/>
                <w:kern w:val="0"/>
                <w:highlight w:val="none"/>
              </w:rPr>
              <w:t>J119</w:t>
            </w:r>
          </w:p>
        </w:tc>
        <w:tc>
          <w:tcPr>
            <w:tcW w:w="1590" w:type="dxa"/>
            <w:tcMar>
              <w:top w:w="0" w:type="dxa"/>
              <w:left w:w="108" w:type="dxa"/>
              <w:bottom w:w="0" w:type="dxa"/>
              <w:right w:w="108" w:type="dxa"/>
            </w:tcMar>
            <w:vAlign w:val="center"/>
          </w:tcPr>
          <w:p w14:paraId="1EDC7187">
            <w:pPr>
              <w:widowControl w:val="0"/>
              <w:adjustRightInd w:val="0"/>
              <w:snapToGrid w:val="0"/>
              <w:jc w:val="center"/>
              <w:rPr>
                <w:snapToGrid w:val="0"/>
                <w:color w:val="auto"/>
                <w:kern w:val="0"/>
                <w:highlight w:val="none"/>
              </w:rPr>
            </w:pPr>
            <w:r>
              <w:rPr>
                <w:rFonts w:hint="eastAsia"/>
                <w:snapToGrid w:val="0"/>
                <w:color w:val="auto"/>
                <w:kern w:val="0"/>
                <w:highlight w:val="none"/>
              </w:rPr>
              <w:t>3265796.35</w:t>
            </w:r>
          </w:p>
        </w:tc>
        <w:tc>
          <w:tcPr>
            <w:tcW w:w="1681" w:type="dxa"/>
            <w:tcMar>
              <w:top w:w="0" w:type="dxa"/>
              <w:left w:w="108" w:type="dxa"/>
              <w:bottom w:w="0" w:type="dxa"/>
              <w:right w:w="108" w:type="dxa"/>
            </w:tcMar>
            <w:vAlign w:val="center"/>
          </w:tcPr>
          <w:p w14:paraId="09FC002B">
            <w:pPr>
              <w:widowControl w:val="0"/>
              <w:adjustRightInd w:val="0"/>
              <w:snapToGrid w:val="0"/>
              <w:jc w:val="center"/>
              <w:rPr>
                <w:snapToGrid w:val="0"/>
                <w:color w:val="auto"/>
                <w:kern w:val="0"/>
                <w:highlight w:val="none"/>
              </w:rPr>
            </w:pPr>
            <w:r>
              <w:rPr>
                <w:rFonts w:hint="eastAsia"/>
                <w:snapToGrid w:val="0"/>
                <w:color w:val="auto"/>
                <w:kern w:val="0"/>
                <w:highlight w:val="none"/>
              </w:rPr>
              <w:t>41398182.84</w:t>
            </w:r>
          </w:p>
        </w:tc>
      </w:tr>
      <w:tr w14:paraId="4478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2BA6DE86">
            <w:pPr>
              <w:widowControl w:val="0"/>
              <w:adjustRightInd w:val="0"/>
              <w:snapToGrid w:val="0"/>
              <w:jc w:val="center"/>
              <w:rPr>
                <w:snapToGrid w:val="0"/>
                <w:color w:val="auto"/>
                <w:kern w:val="0"/>
                <w:highlight w:val="none"/>
              </w:rPr>
            </w:pPr>
            <w:r>
              <w:rPr>
                <w:rFonts w:hint="eastAsia"/>
                <w:snapToGrid w:val="0"/>
                <w:color w:val="auto"/>
                <w:kern w:val="0"/>
                <w:highlight w:val="none"/>
              </w:rPr>
              <w:t>J59</w:t>
            </w:r>
          </w:p>
        </w:tc>
        <w:tc>
          <w:tcPr>
            <w:tcW w:w="1770" w:type="dxa"/>
            <w:tcMar>
              <w:top w:w="0" w:type="dxa"/>
              <w:left w:w="108" w:type="dxa"/>
              <w:bottom w:w="0" w:type="dxa"/>
              <w:right w:w="108" w:type="dxa"/>
            </w:tcMar>
            <w:vAlign w:val="center"/>
          </w:tcPr>
          <w:p w14:paraId="3BB379C5">
            <w:pPr>
              <w:widowControl w:val="0"/>
              <w:adjustRightInd w:val="0"/>
              <w:snapToGrid w:val="0"/>
              <w:jc w:val="center"/>
              <w:rPr>
                <w:snapToGrid w:val="0"/>
                <w:color w:val="auto"/>
                <w:kern w:val="0"/>
                <w:highlight w:val="none"/>
              </w:rPr>
            </w:pPr>
            <w:r>
              <w:rPr>
                <w:rFonts w:hint="eastAsia"/>
                <w:snapToGrid w:val="0"/>
                <w:color w:val="auto"/>
                <w:kern w:val="0"/>
                <w:highlight w:val="none"/>
              </w:rPr>
              <w:t>3266000.15</w:t>
            </w:r>
          </w:p>
        </w:tc>
        <w:tc>
          <w:tcPr>
            <w:tcW w:w="1725" w:type="dxa"/>
            <w:tcMar>
              <w:top w:w="0" w:type="dxa"/>
              <w:left w:w="108" w:type="dxa"/>
              <w:bottom w:w="0" w:type="dxa"/>
              <w:right w:w="108" w:type="dxa"/>
            </w:tcMar>
            <w:vAlign w:val="center"/>
          </w:tcPr>
          <w:p w14:paraId="6F535228">
            <w:pPr>
              <w:widowControl w:val="0"/>
              <w:adjustRightInd w:val="0"/>
              <w:snapToGrid w:val="0"/>
              <w:jc w:val="center"/>
              <w:rPr>
                <w:snapToGrid w:val="0"/>
                <w:color w:val="auto"/>
                <w:kern w:val="0"/>
                <w:highlight w:val="none"/>
              </w:rPr>
            </w:pPr>
            <w:r>
              <w:rPr>
                <w:rFonts w:hint="eastAsia"/>
                <w:snapToGrid w:val="0"/>
                <w:color w:val="auto"/>
                <w:kern w:val="0"/>
                <w:highlight w:val="none"/>
              </w:rPr>
              <w:t>41398775.98</w:t>
            </w:r>
          </w:p>
        </w:tc>
        <w:tc>
          <w:tcPr>
            <w:tcW w:w="870" w:type="dxa"/>
            <w:tcMar>
              <w:top w:w="0" w:type="dxa"/>
              <w:left w:w="108" w:type="dxa"/>
              <w:bottom w:w="0" w:type="dxa"/>
              <w:right w:w="108" w:type="dxa"/>
            </w:tcMar>
            <w:vAlign w:val="center"/>
          </w:tcPr>
          <w:p w14:paraId="6A83AF55">
            <w:pPr>
              <w:widowControl w:val="0"/>
              <w:adjustRightInd w:val="0"/>
              <w:snapToGrid w:val="0"/>
              <w:jc w:val="center"/>
              <w:rPr>
                <w:snapToGrid w:val="0"/>
                <w:color w:val="auto"/>
                <w:kern w:val="0"/>
                <w:highlight w:val="none"/>
              </w:rPr>
            </w:pPr>
            <w:r>
              <w:rPr>
                <w:rFonts w:hint="eastAsia"/>
                <w:snapToGrid w:val="0"/>
                <w:color w:val="auto"/>
                <w:kern w:val="0"/>
                <w:highlight w:val="none"/>
              </w:rPr>
              <w:t>J120</w:t>
            </w:r>
          </w:p>
        </w:tc>
        <w:tc>
          <w:tcPr>
            <w:tcW w:w="1590" w:type="dxa"/>
            <w:tcMar>
              <w:top w:w="0" w:type="dxa"/>
              <w:left w:w="108" w:type="dxa"/>
              <w:bottom w:w="0" w:type="dxa"/>
              <w:right w:w="108" w:type="dxa"/>
            </w:tcMar>
            <w:vAlign w:val="center"/>
          </w:tcPr>
          <w:p w14:paraId="58EA31CF">
            <w:pPr>
              <w:widowControl w:val="0"/>
              <w:adjustRightInd w:val="0"/>
              <w:snapToGrid w:val="0"/>
              <w:jc w:val="center"/>
              <w:rPr>
                <w:snapToGrid w:val="0"/>
                <w:color w:val="auto"/>
                <w:kern w:val="0"/>
                <w:highlight w:val="none"/>
              </w:rPr>
            </w:pPr>
            <w:r>
              <w:rPr>
                <w:rFonts w:hint="eastAsia"/>
                <w:snapToGrid w:val="0"/>
                <w:color w:val="auto"/>
                <w:kern w:val="0"/>
                <w:highlight w:val="none"/>
              </w:rPr>
              <w:t>3265820.36</w:t>
            </w:r>
          </w:p>
        </w:tc>
        <w:tc>
          <w:tcPr>
            <w:tcW w:w="1681" w:type="dxa"/>
            <w:tcMar>
              <w:top w:w="0" w:type="dxa"/>
              <w:left w:w="108" w:type="dxa"/>
              <w:bottom w:w="0" w:type="dxa"/>
              <w:right w:w="108" w:type="dxa"/>
            </w:tcMar>
            <w:vAlign w:val="center"/>
          </w:tcPr>
          <w:p w14:paraId="2B85BB8D">
            <w:pPr>
              <w:widowControl w:val="0"/>
              <w:adjustRightInd w:val="0"/>
              <w:snapToGrid w:val="0"/>
              <w:jc w:val="center"/>
              <w:rPr>
                <w:snapToGrid w:val="0"/>
                <w:color w:val="auto"/>
                <w:kern w:val="0"/>
                <w:highlight w:val="none"/>
              </w:rPr>
            </w:pPr>
            <w:r>
              <w:rPr>
                <w:rFonts w:hint="eastAsia"/>
                <w:snapToGrid w:val="0"/>
                <w:color w:val="auto"/>
                <w:kern w:val="0"/>
                <w:highlight w:val="none"/>
              </w:rPr>
              <w:t>41398117.77</w:t>
            </w:r>
          </w:p>
        </w:tc>
      </w:tr>
      <w:tr w14:paraId="4EDC3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6A31A217">
            <w:pPr>
              <w:widowControl w:val="0"/>
              <w:adjustRightInd w:val="0"/>
              <w:snapToGrid w:val="0"/>
              <w:jc w:val="center"/>
              <w:rPr>
                <w:snapToGrid w:val="0"/>
                <w:color w:val="auto"/>
                <w:kern w:val="0"/>
                <w:highlight w:val="none"/>
              </w:rPr>
            </w:pPr>
            <w:r>
              <w:rPr>
                <w:rFonts w:hint="eastAsia"/>
                <w:snapToGrid w:val="0"/>
                <w:color w:val="auto"/>
                <w:kern w:val="0"/>
                <w:highlight w:val="none"/>
              </w:rPr>
              <w:t>J60</w:t>
            </w:r>
          </w:p>
        </w:tc>
        <w:tc>
          <w:tcPr>
            <w:tcW w:w="1770" w:type="dxa"/>
            <w:tcMar>
              <w:top w:w="0" w:type="dxa"/>
              <w:left w:w="108" w:type="dxa"/>
              <w:bottom w:w="0" w:type="dxa"/>
              <w:right w:w="108" w:type="dxa"/>
            </w:tcMar>
            <w:vAlign w:val="center"/>
          </w:tcPr>
          <w:p w14:paraId="0D2441C6">
            <w:pPr>
              <w:widowControl w:val="0"/>
              <w:adjustRightInd w:val="0"/>
              <w:snapToGrid w:val="0"/>
              <w:jc w:val="center"/>
              <w:rPr>
                <w:snapToGrid w:val="0"/>
                <w:color w:val="auto"/>
                <w:kern w:val="0"/>
                <w:highlight w:val="none"/>
              </w:rPr>
            </w:pPr>
            <w:r>
              <w:rPr>
                <w:rFonts w:hint="eastAsia"/>
                <w:snapToGrid w:val="0"/>
                <w:color w:val="auto"/>
                <w:kern w:val="0"/>
                <w:highlight w:val="none"/>
              </w:rPr>
              <w:t>3266001.45</w:t>
            </w:r>
          </w:p>
        </w:tc>
        <w:tc>
          <w:tcPr>
            <w:tcW w:w="1725" w:type="dxa"/>
            <w:tcMar>
              <w:top w:w="0" w:type="dxa"/>
              <w:left w:w="108" w:type="dxa"/>
              <w:bottom w:w="0" w:type="dxa"/>
              <w:right w:w="108" w:type="dxa"/>
            </w:tcMar>
            <w:vAlign w:val="center"/>
          </w:tcPr>
          <w:p w14:paraId="42FBEE3E">
            <w:pPr>
              <w:widowControl w:val="0"/>
              <w:adjustRightInd w:val="0"/>
              <w:snapToGrid w:val="0"/>
              <w:jc w:val="center"/>
              <w:rPr>
                <w:snapToGrid w:val="0"/>
                <w:color w:val="auto"/>
                <w:kern w:val="0"/>
                <w:highlight w:val="none"/>
              </w:rPr>
            </w:pPr>
            <w:r>
              <w:rPr>
                <w:rFonts w:hint="eastAsia"/>
                <w:snapToGrid w:val="0"/>
                <w:color w:val="auto"/>
                <w:kern w:val="0"/>
                <w:highlight w:val="none"/>
              </w:rPr>
              <w:t>41398767.92</w:t>
            </w:r>
          </w:p>
        </w:tc>
        <w:tc>
          <w:tcPr>
            <w:tcW w:w="870" w:type="dxa"/>
            <w:tcMar>
              <w:top w:w="0" w:type="dxa"/>
              <w:left w:w="108" w:type="dxa"/>
              <w:bottom w:w="0" w:type="dxa"/>
              <w:right w:w="108" w:type="dxa"/>
            </w:tcMar>
            <w:vAlign w:val="center"/>
          </w:tcPr>
          <w:p w14:paraId="55EFABE5">
            <w:pPr>
              <w:widowControl w:val="0"/>
              <w:adjustRightInd w:val="0"/>
              <w:snapToGrid w:val="0"/>
              <w:jc w:val="center"/>
              <w:rPr>
                <w:snapToGrid w:val="0"/>
                <w:color w:val="auto"/>
                <w:kern w:val="0"/>
                <w:highlight w:val="none"/>
              </w:rPr>
            </w:pPr>
            <w:r>
              <w:rPr>
                <w:rFonts w:hint="eastAsia"/>
                <w:snapToGrid w:val="0"/>
                <w:color w:val="auto"/>
                <w:kern w:val="0"/>
                <w:highlight w:val="none"/>
              </w:rPr>
              <w:t>J121</w:t>
            </w:r>
          </w:p>
        </w:tc>
        <w:tc>
          <w:tcPr>
            <w:tcW w:w="1590" w:type="dxa"/>
            <w:tcMar>
              <w:top w:w="0" w:type="dxa"/>
              <w:left w:w="108" w:type="dxa"/>
              <w:bottom w:w="0" w:type="dxa"/>
              <w:right w:w="108" w:type="dxa"/>
            </w:tcMar>
            <w:vAlign w:val="center"/>
          </w:tcPr>
          <w:p w14:paraId="66A25531">
            <w:pPr>
              <w:widowControl w:val="0"/>
              <w:adjustRightInd w:val="0"/>
              <w:snapToGrid w:val="0"/>
              <w:jc w:val="center"/>
              <w:rPr>
                <w:snapToGrid w:val="0"/>
                <w:color w:val="auto"/>
                <w:kern w:val="0"/>
                <w:highlight w:val="none"/>
              </w:rPr>
            </w:pPr>
            <w:r>
              <w:rPr>
                <w:rFonts w:hint="eastAsia"/>
                <w:snapToGrid w:val="0"/>
                <w:color w:val="auto"/>
                <w:kern w:val="0"/>
                <w:highlight w:val="none"/>
              </w:rPr>
              <w:t>3265826.79</w:t>
            </w:r>
          </w:p>
        </w:tc>
        <w:tc>
          <w:tcPr>
            <w:tcW w:w="1681" w:type="dxa"/>
            <w:tcMar>
              <w:top w:w="0" w:type="dxa"/>
              <w:left w:w="108" w:type="dxa"/>
              <w:bottom w:w="0" w:type="dxa"/>
              <w:right w:w="108" w:type="dxa"/>
            </w:tcMar>
            <w:vAlign w:val="center"/>
          </w:tcPr>
          <w:p w14:paraId="7CAB334E">
            <w:pPr>
              <w:widowControl w:val="0"/>
              <w:adjustRightInd w:val="0"/>
              <w:snapToGrid w:val="0"/>
              <w:jc w:val="center"/>
              <w:rPr>
                <w:snapToGrid w:val="0"/>
                <w:color w:val="auto"/>
                <w:kern w:val="0"/>
                <w:highlight w:val="none"/>
              </w:rPr>
            </w:pPr>
            <w:r>
              <w:rPr>
                <w:rFonts w:hint="eastAsia"/>
                <w:snapToGrid w:val="0"/>
                <w:color w:val="auto"/>
                <w:kern w:val="0"/>
                <w:highlight w:val="none"/>
              </w:rPr>
              <w:t>41398091.58</w:t>
            </w:r>
          </w:p>
        </w:tc>
      </w:tr>
      <w:tr w14:paraId="06026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22" w:type="dxa"/>
            <w:tcMar>
              <w:top w:w="0" w:type="dxa"/>
              <w:left w:w="108" w:type="dxa"/>
              <w:bottom w:w="0" w:type="dxa"/>
              <w:right w:w="108" w:type="dxa"/>
            </w:tcMar>
            <w:vAlign w:val="center"/>
          </w:tcPr>
          <w:p w14:paraId="71319C1E">
            <w:pPr>
              <w:widowControl w:val="0"/>
              <w:adjustRightInd w:val="0"/>
              <w:snapToGrid w:val="0"/>
              <w:jc w:val="center"/>
              <w:rPr>
                <w:snapToGrid w:val="0"/>
                <w:color w:val="auto"/>
                <w:kern w:val="0"/>
                <w:highlight w:val="none"/>
              </w:rPr>
            </w:pPr>
            <w:r>
              <w:rPr>
                <w:rFonts w:hint="eastAsia"/>
                <w:snapToGrid w:val="0"/>
                <w:color w:val="auto"/>
                <w:kern w:val="0"/>
                <w:highlight w:val="none"/>
              </w:rPr>
              <w:t>J61</w:t>
            </w:r>
          </w:p>
        </w:tc>
        <w:tc>
          <w:tcPr>
            <w:tcW w:w="1770" w:type="dxa"/>
            <w:tcMar>
              <w:top w:w="0" w:type="dxa"/>
              <w:left w:w="108" w:type="dxa"/>
              <w:bottom w:w="0" w:type="dxa"/>
              <w:right w:w="108" w:type="dxa"/>
            </w:tcMar>
            <w:vAlign w:val="center"/>
          </w:tcPr>
          <w:p w14:paraId="173F10F4">
            <w:pPr>
              <w:widowControl w:val="0"/>
              <w:adjustRightInd w:val="0"/>
              <w:snapToGrid w:val="0"/>
              <w:jc w:val="center"/>
              <w:rPr>
                <w:snapToGrid w:val="0"/>
                <w:color w:val="auto"/>
                <w:kern w:val="0"/>
                <w:highlight w:val="none"/>
              </w:rPr>
            </w:pPr>
            <w:r>
              <w:rPr>
                <w:rFonts w:hint="eastAsia"/>
                <w:snapToGrid w:val="0"/>
                <w:color w:val="auto"/>
                <w:kern w:val="0"/>
                <w:highlight w:val="none"/>
              </w:rPr>
              <w:t>3266001.96</w:t>
            </w:r>
          </w:p>
        </w:tc>
        <w:tc>
          <w:tcPr>
            <w:tcW w:w="1725" w:type="dxa"/>
            <w:tcMar>
              <w:top w:w="0" w:type="dxa"/>
              <w:left w:w="108" w:type="dxa"/>
              <w:bottom w:w="0" w:type="dxa"/>
              <w:right w:w="108" w:type="dxa"/>
            </w:tcMar>
            <w:vAlign w:val="center"/>
          </w:tcPr>
          <w:p w14:paraId="697A2366">
            <w:pPr>
              <w:widowControl w:val="0"/>
              <w:adjustRightInd w:val="0"/>
              <w:snapToGrid w:val="0"/>
              <w:jc w:val="center"/>
              <w:rPr>
                <w:snapToGrid w:val="0"/>
                <w:color w:val="auto"/>
                <w:kern w:val="0"/>
                <w:highlight w:val="none"/>
              </w:rPr>
            </w:pPr>
            <w:r>
              <w:rPr>
                <w:rFonts w:hint="eastAsia"/>
                <w:snapToGrid w:val="0"/>
                <w:color w:val="auto"/>
                <w:kern w:val="0"/>
                <w:highlight w:val="none"/>
              </w:rPr>
              <w:t>41398755.61</w:t>
            </w:r>
          </w:p>
        </w:tc>
        <w:tc>
          <w:tcPr>
            <w:tcW w:w="870" w:type="dxa"/>
            <w:tcMar>
              <w:top w:w="0" w:type="dxa"/>
              <w:left w:w="108" w:type="dxa"/>
              <w:bottom w:w="0" w:type="dxa"/>
              <w:right w:w="108" w:type="dxa"/>
            </w:tcMar>
            <w:vAlign w:val="center"/>
          </w:tcPr>
          <w:p w14:paraId="0DACFA31">
            <w:pPr>
              <w:widowControl w:val="0"/>
              <w:adjustRightInd w:val="0"/>
              <w:snapToGrid w:val="0"/>
              <w:jc w:val="left"/>
              <w:rPr>
                <w:snapToGrid w:val="0"/>
                <w:color w:val="auto"/>
                <w:kern w:val="0"/>
                <w:highlight w:val="none"/>
              </w:rPr>
            </w:pPr>
          </w:p>
        </w:tc>
        <w:tc>
          <w:tcPr>
            <w:tcW w:w="1590" w:type="dxa"/>
            <w:tcMar>
              <w:top w:w="0" w:type="dxa"/>
              <w:left w:w="108" w:type="dxa"/>
              <w:bottom w:w="0" w:type="dxa"/>
              <w:right w:w="108" w:type="dxa"/>
            </w:tcMar>
            <w:vAlign w:val="center"/>
          </w:tcPr>
          <w:p w14:paraId="4006E020">
            <w:pPr>
              <w:widowControl w:val="0"/>
              <w:adjustRightInd w:val="0"/>
              <w:snapToGrid w:val="0"/>
              <w:jc w:val="left"/>
              <w:rPr>
                <w:snapToGrid w:val="0"/>
                <w:color w:val="auto"/>
                <w:kern w:val="0"/>
                <w:highlight w:val="none"/>
              </w:rPr>
            </w:pPr>
          </w:p>
        </w:tc>
        <w:tc>
          <w:tcPr>
            <w:tcW w:w="1681" w:type="dxa"/>
            <w:tcMar>
              <w:top w:w="0" w:type="dxa"/>
              <w:left w:w="108" w:type="dxa"/>
              <w:bottom w:w="0" w:type="dxa"/>
              <w:right w:w="108" w:type="dxa"/>
            </w:tcMar>
            <w:vAlign w:val="center"/>
          </w:tcPr>
          <w:p w14:paraId="62D0F98C">
            <w:pPr>
              <w:widowControl w:val="0"/>
              <w:adjustRightInd w:val="0"/>
              <w:snapToGrid w:val="0"/>
              <w:jc w:val="left"/>
              <w:rPr>
                <w:snapToGrid w:val="0"/>
                <w:color w:val="auto"/>
                <w:kern w:val="0"/>
                <w:highlight w:val="none"/>
              </w:rPr>
            </w:pPr>
          </w:p>
        </w:tc>
      </w:tr>
      <w:tr w14:paraId="19367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8658" w:type="dxa"/>
            <w:gridSpan w:val="6"/>
            <w:tcMar>
              <w:top w:w="0" w:type="dxa"/>
              <w:left w:w="108" w:type="dxa"/>
              <w:bottom w:w="0" w:type="dxa"/>
              <w:right w:w="108" w:type="dxa"/>
            </w:tcMar>
            <w:vAlign w:val="center"/>
          </w:tcPr>
          <w:p w14:paraId="2607EDB2">
            <w:pPr>
              <w:widowControl w:val="0"/>
              <w:adjustRightInd w:val="0"/>
              <w:snapToGrid w:val="0"/>
              <w:jc w:val="left"/>
              <w:rPr>
                <w:snapToGrid w:val="0"/>
                <w:color w:val="auto"/>
                <w:kern w:val="0"/>
                <w:highlight w:val="none"/>
              </w:rPr>
            </w:pPr>
            <w:r>
              <w:rPr>
                <w:rFonts w:hint="eastAsia"/>
                <w:snapToGrid w:val="0"/>
                <w:color w:val="auto"/>
                <w:kern w:val="0"/>
                <w:highlight w:val="none"/>
              </w:rPr>
              <w:t>矿区面积0.3190平方千米，开采标高自+95.40米至+3.50米，最终边坡角45°</w:t>
            </w:r>
          </w:p>
        </w:tc>
      </w:tr>
    </w:tbl>
    <w:p w14:paraId="5AA6E22E">
      <w:pPr>
        <w:widowControl w:val="0"/>
        <w:adjustRightInd w:val="0"/>
        <w:snapToGrid w:val="0"/>
        <w:rPr>
          <w:color w:val="auto"/>
          <w:highlight w:val="none"/>
        </w:rPr>
      </w:pPr>
    </w:p>
    <w:p w14:paraId="4F3FDA0C">
      <w:pPr>
        <w:widowControl w:val="0"/>
        <w:adjustRightInd w:val="0"/>
        <w:snapToGrid w:val="0"/>
        <w:jc w:val="center"/>
        <w:rPr>
          <w:color w:val="auto"/>
          <w:highlight w:val="none"/>
        </w:rPr>
      </w:pPr>
      <w:r>
        <w:rPr>
          <w:rFonts w:hint="eastAsia"/>
          <w:b/>
          <w:bCs/>
          <w:snapToGrid w:val="0"/>
          <w:color w:val="auto"/>
          <w:kern w:val="0"/>
          <w:sz w:val="24"/>
          <w:highlight w:val="none"/>
          <w:shd w:val="clear" w:color="auto" w:fill="FFFFFF"/>
        </w:rPr>
        <w:t>表1-3 南区范围坐标表（2000国家大地坐标系）</w:t>
      </w:r>
    </w:p>
    <w:p w14:paraId="5F9CE84E">
      <w:pPr>
        <w:widowControl w:val="0"/>
        <w:adjustRightInd w:val="0"/>
        <w:snapToGrid w:val="0"/>
        <w:rPr>
          <w:color w:val="auto"/>
          <w:highlight w:val="none"/>
        </w:rPr>
      </w:pP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16"/>
        <w:gridCol w:w="1745"/>
        <w:gridCol w:w="1710"/>
        <w:gridCol w:w="843"/>
        <w:gridCol w:w="1641"/>
        <w:gridCol w:w="1641"/>
      </w:tblGrid>
      <w:tr w14:paraId="672F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2188F265">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745" w:type="dxa"/>
            <w:tcMar>
              <w:top w:w="0" w:type="dxa"/>
              <w:left w:w="108" w:type="dxa"/>
              <w:bottom w:w="0" w:type="dxa"/>
              <w:right w:w="108" w:type="dxa"/>
            </w:tcMar>
            <w:vAlign w:val="center"/>
          </w:tcPr>
          <w:p w14:paraId="1DC7E269">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710" w:type="dxa"/>
            <w:tcMar>
              <w:top w:w="0" w:type="dxa"/>
              <w:left w:w="108" w:type="dxa"/>
              <w:bottom w:w="0" w:type="dxa"/>
              <w:right w:w="108" w:type="dxa"/>
            </w:tcMar>
            <w:vAlign w:val="center"/>
          </w:tcPr>
          <w:p w14:paraId="1845A832">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c>
          <w:tcPr>
            <w:tcW w:w="843" w:type="dxa"/>
            <w:tcMar>
              <w:top w:w="0" w:type="dxa"/>
              <w:left w:w="108" w:type="dxa"/>
              <w:bottom w:w="0" w:type="dxa"/>
              <w:right w:w="108" w:type="dxa"/>
            </w:tcMar>
            <w:vAlign w:val="center"/>
          </w:tcPr>
          <w:p w14:paraId="435235AB">
            <w:pPr>
              <w:widowControl w:val="0"/>
              <w:adjustRightInd w:val="0"/>
              <w:snapToGrid w:val="0"/>
              <w:jc w:val="center"/>
              <w:rPr>
                <w:snapToGrid w:val="0"/>
                <w:color w:val="auto"/>
                <w:kern w:val="0"/>
                <w:highlight w:val="none"/>
              </w:rPr>
            </w:pPr>
            <w:r>
              <w:rPr>
                <w:rFonts w:hint="eastAsia"/>
                <w:snapToGrid w:val="0"/>
                <w:color w:val="auto"/>
                <w:kern w:val="0"/>
                <w:highlight w:val="none"/>
              </w:rPr>
              <w:t>拐点</w:t>
            </w:r>
          </w:p>
        </w:tc>
        <w:tc>
          <w:tcPr>
            <w:tcW w:w="1641" w:type="dxa"/>
            <w:tcMar>
              <w:top w:w="0" w:type="dxa"/>
              <w:left w:w="108" w:type="dxa"/>
              <w:bottom w:w="0" w:type="dxa"/>
              <w:right w:w="108" w:type="dxa"/>
            </w:tcMar>
            <w:vAlign w:val="center"/>
          </w:tcPr>
          <w:p w14:paraId="43E1C11B">
            <w:pPr>
              <w:widowControl w:val="0"/>
              <w:adjustRightInd w:val="0"/>
              <w:snapToGrid w:val="0"/>
              <w:jc w:val="center"/>
              <w:rPr>
                <w:snapToGrid w:val="0"/>
                <w:color w:val="auto"/>
                <w:kern w:val="0"/>
                <w:highlight w:val="none"/>
              </w:rPr>
            </w:pPr>
            <w:r>
              <w:rPr>
                <w:rFonts w:hint="eastAsia"/>
                <w:snapToGrid w:val="0"/>
                <w:color w:val="auto"/>
                <w:kern w:val="0"/>
                <w:highlight w:val="none"/>
              </w:rPr>
              <w:t>X</w:t>
            </w:r>
          </w:p>
        </w:tc>
        <w:tc>
          <w:tcPr>
            <w:tcW w:w="1641" w:type="dxa"/>
            <w:tcMar>
              <w:top w:w="0" w:type="dxa"/>
              <w:left w:w="108" w:type="dxa"/>
              <w:bottom w:w="0" w:type="dxa"/>
              <w:right w:w="108" w:type="dxa"/>
            </w:tcMar>
            <w:vAlign w:val="center"/>
          </w:tcPr>
          <w:p w14:paraId="46B9F66F">
            <w:pPr>
              <w:widowControl w:val="0"/>
              <w:adjustRightInd w:val="0"/>
              <w:snapToGrid w:val="0"/>
              <w:jc w:val="center"/>
              <w:rPr>
                <w:snapToGrid w:val="0"/>
                <w:color w:val="auto"/>
                <w:kern w:val="0"/>
                <w:highlight w:val="none"/>
              </w:rPr>
            </w:pPr>
            <w:r>
              <w:rPr>
                <w:rFonts w:hint="eastAsia"/>
                <w:snapToGrid w:val="0"/>
                <w:color w:val="auto"/>
                <w:kern w:val="0"/>
                <w:highlight w:val="none"/>
              </w:rPr>
              <w:t>Y</w:t>
            </w:r>
          </w:p>
        </w:tc>
      </w:tr>
      <w:tr w14:paraId="5DD22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32D9C308">
            <w:pPr>
              <w:widowControl w:val="0"/>
              <w:adjustRightInd w:val="0"/>
              <w:snapToGrid w:val="0"/>
              <w:jc w:val="center"/>
              <w:rPr>
                <w:snapToGrid w:val="0"/>
                <w:color w:val="auto"/>
                <w:kern w:val="0"/>
                <w:highlight w:val="none"/>
              </w:rPr>
            </w:pPr>
            <w:r>
              <w:rPr>
                <w:rFonts w:hint="eastAsia"/>
                <w:snapToGrid w:val="0"/>
                <w:color w:val="auto"/>
                <w:kern w:val="0"/>
                <w:highlight w:val="none"/>
              </w:rPr>
              <w:t>J143</w:t>
            </w:r>
          </w:p>
        </w:tc>
        <w:tc>
          <w:tcPr>
            <w:tcW w:w="1745" w:type="dxa"/>
            <w:tcMar>
              <w:top w:w="0" w:type="dxa"/>
              <w:left w:w="108" w:type="dxa"/>
              <w:bottom w:w="0" w:type="dxa"/>
              <w:right w:w="108" w:type="dxa"/>
            </w:tcMar>
            <w:vAlign w:val="center"/>
          </w:tcPr>
          <w:p w14:paraId="671BE7CA">
            <w:pPr>
              <w:widowControl w:val="0"/>
              <w:adjustRightInd w:val="0"/>
              <w:snapToGrid w:val="0"/>
              <w:jc w:val="center"/>
              <w:rPr>
                <w:snapToGrid w:val="0"/>
                <w:color w:val="auto"/>
                <w:kern w:val="0"/>
                <w:highlight w:val="none"/>
              </w:rPr>
            </w:pPr>
            <w:r>
              <w:rPr>
                <w:rFonts w:hint="eastAsia"/>
                <w:snapToGrid w:val="0"/>
                <w:color w:val="auto"/>
                <w:kern w:val="0"/>
                <w:highlight w:val="none"/>
              </w:rPr>
              <w:t>3265710.84</w:t>
            </w:r>
          </w:p>
        </w:tc>
        <w:tc>
          <w:tcPr>
            <w:tcW w:w="1710" w:type="dxa"/>
            <w:tcMar>
              <w:top w:w="0" w:type="dxa"/>
              <w:left w:w="108" w:type="dxa"/>
              <w:bottom w:w="0" w:type="dxa"/>
              <w:right w:w="108" w:type="dxa"/>
            </w:tcMar>
            <w:vAlign w:val="center"/>
          </w:tcPr>
          <w:p w14:paraId="34982113">
            <w:pPr>
              <w:widowControl w:val="0"/>
              <w:adjustRightInd w:val="0"/>
              <w:snapToGrid w:val="0"/>
              <w:jc w:val="center"/>
              <w:rPr>
                <w:snapToGrid w:val="0"/>
                <w:color w:val="auto"/>
                <w:kern w:val="0"/>
                <w:highlight w:val="none"/>
              </w:rPr>
            </w:pPr>
            <w:r>
              <w:rPr>
                <w:rFonts w:hint="eastAsia"/>
                <w:snapToGrid w:val="0"/>
                <w:color w:val="auto"/>
                <w:kern w:val="0"/>
                <w:highlight w:val="none"/>
              </w:rPr>
              <w:t>41398736.96</w:t>
            </w:r>
          </w:p>
        </w:tc>
        <w:tc>
          <w:tcPr>
            <w:tcW w:w="843" w:type="dxa"/>
            <w:tcMar>
              <w:top w:w="0" w:type="dxa"/>
              <w:left w:w="108" w:type="dxa"/>
              <w:bottom w:w="0" w:type="dxa"/>
              <w:right w:w="108" w:type="dxa"/>
            </w:tcMar>
            <w:vAlign w:val="center"/>
          </w:tcPr>
          <w:p w14:paraId="4B39B6EF">
            <w:pPr>
              <w:widowControl w:val="0"/>
              <w:adjustRightInd w:val="0"/>
              <w:snapToGrid w:val="0"/>
              <w:jc w:val="center"/>
              <w:rPr>
                <w:snapToGrid w:val="0"/>
                <w:color w:val="auto"/>
                <w:kern w:val="0"/>
                <w:highlight w:val="none"/>
              </w:rPr>
            </w:pPr>
            <w:r>
              <w:rPr>
                <w:rFonts w:hint="eastAsia"/>
                <w:snapToGrid w:val="0"/>
                <w:color w:val="auto"/>
                <w:kern w:val="0"/>
                <w:highlight w:val="none"/>
              </w:rPr>
              <w:t>J153</w:t>
            </w:r>
          </w:p>
        </w:tc>
        <w:tc>
          <w:tcPr>
            <w:tcW w:w="1641" w:type="dxa"/>
            <w:tcMar>
              <w:top w:w="0" w:type="dxa"/>
              <w:left w:w="108" w:type="dxa"/>
              <w:bottom w:w="0" w:type="dxa"/>
              <w:right w:w="108" w:type="dxa"/>
            </w:tcMar>
            <w:vAlign w:val="center"/>
          </w:tcPr>
          <w:p w14:paraId="002BD149">
            <w:pPr>
              <w:widowControl w:val="0"/>
              <w:adjustRightInd w:val="0"/>
              <w:snapToGrid w:val="0"/>
              <w:jc w:val="center"/>
              <w:rPr>
                <w:snapToGrid w:val="0"/>
                <w:color w:val="auto"/>
                <w:kern w:val="0"/>
                <w:highlight w:val="none"/>
              </w:rPr>
            </w:pPr>
            <w:r>
              <w:rPr>
                <w:rFonts w:hint="eastAsia"/>
                <w:snapToGrid w:val="0"/>
                <w:color w:val="auto"/>
                <w:kern w:val="0"/>
                <w:highlight w:val="none"/>
              </w:rPr>
              <w:t>3265474.10</w:t>
            </w:r>
          </w:p>
        </w:tc>
        <w:tc>
          <w:tcPr>
            <w:tcW w:w="1641" w:type="dxa"/>
            <w:tcMar>
              <w:top w:w="0" w:type="dxa"/>
              <w:left w:w="108" w:type="dxa"/>
              <w:bottom w:w="0" w:type="dxa"/>
              <w:right w:w="108" w:type="dxa"/>
            </w:tcMar>
            <w:vAlign w:val="center"/>
          </w:tcPr>
          <w:p w14:paraId="2C08848F">
            <w:pPr>
              <w:widowControl w:val="0"/>
              <w:adjustRightInd w:val="0"/>
              <w:snapToGrid w:val="0"/>
              <w:jc w:val="center"/>
              <w:rPr>
                <w:snapToGrid w:val="0"/>
                <w:color w:val="auto"/>
                <w:kern w:val="0"/>
                <w:highlight w:val="none"/>
              </w:rPr>
            </w:pPr>
            <w:r>
              <w:rPr>
                <w:rFonts w:hint="eastAsia"/>
                <w:snapToGrid w:val="0"/>
                <w:color w:val="auto"/>
                <w:kern w:val="0"/>
                <w:highlight w:val="none"/>
              </w:rPr>
              <w:t>41398576.41</w:t>
            </w:r>
          </w:p>
        </w:tc>
      </w:tr>
      <w:tr w14:paraId="26BF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63330C9F">
            <w:pPr>
              <w:widowControl w:val="0"/>
              <w:adjustRightInd w:val="0"/>
              <w:snapToGrid w:val="0"/>
              <w:jc w:val="center"/>
              <w:rPr>
                <w:snapToGrid w:val="0"/>
                <w:color w:val="auto"/>
                <w:kern w:val="0"/>
                <w:highlight w:val="none"/>
              </w:rPr>
            </w:pPr>
            <w:r>
              <w:rPr>
                <w:rFonts w:hint="eastAsia"/>
                <w:snapToGrid w:val="0"/>
                <w:color w:val="auto"/>
                <w:kern w:val="0"/>
                <w:highlight w:val="none"/>
              </w:rPr>
              <w:t>J144</w:t>
            </w:r>
          </w:p>
        </w:tc>
        <w:tc>
          <w:tcPr>
            <w:tcW w:w="1745" w:type="dxa"/>
            <w:tcMar>
              <w:top w:w="0" w:type="dxa"/>
              <w:left w:w="108" w:type="dxa"/>
              <w:bottom w:w="0" w:type="dxa"/>
              <w:right w:w="108" w:type="dxa"/>
            </w:tcMar>
            <w:vAlign w:val="center"/>
          </w:tcPr>
          <w:p w14:paraId="38782E17">
            <w:pPr>
              <w:widowControl w:val="0"/>
              <w:adjustRightInd w:val="0"/>
              <w:snapToGrid w:val="0"/>
              <w:jc w:val="center"/>
              <w:rPr>
                <w:snapToGrid w:val="0"/>
                <w:color w:val="auto"/>
                <w:kern w:val="0"/>
                <w:highlight w:val="none"/>
              </w:rPr>
            </w:pPr>
            <w:r>
              <w:rPr>
                <w:rFonts w:hint="eastAsia"/>
                <w:snapToGrid w:val="0"/>
                <w:color w:val="auto"/>
                <w:kern w:val="0"/>
                <w:highlight w:val="none"/>
              </w:rPr>
              <w:t>3265707.53</w:t>
            </w:r>
          </w:p>
        </w:tc>
        <w:tc>
          <w:tcPr>
            <w:tcW w:w="1710" w:type="dxa"/>
            <w:tcMar>
              <w:top w:w="0" w:type="dxa"/>
              <w:left w:w="108" w:type="dxa"/>
              <w:bottom w:w="0" w:type="dxa"/>
              <w:right w:w="108" w:type="dxa"/>
            </w:tcMar>
            <w:vAlign w:val="center"/>
          </w:tcPr>
          <w:p w14:paraId="758D0BA2">
            <w:pPr>
              <w:widowControl w:val="0"/>
              <w:adjustRightInd w:val="0"/>
              <w:snapToGrid w:val="0"/>
              <w:jc w:val="center"/>
              <w:rPr>
                <w:snapToGrid w:val="0"/>
                <w:color w:val="auto"/>
                <w:kern w:val="0"/>
                <w:highlight w:val="none"/>
              </w:rPr>
            </w:pPr>
            <w:r>
              <w:rPr>
                <w:rFonts w:hint="eastAsia"/>
                <w:snapToGrid w:val="0"/>
                <w:color w:val="auto"/>
                <w:kern w:val="0"/>
                <w:highlight w:val="none"/>
              </w:rPr>
              <w:t>41398753.33</w:t>
            </w:r>
          </w:p>
        </w:tc>
        <w:tc>
          <w:tcPr>
            <w:tcW w:w="843" w:type="dxa"/>
            <w:tcMar>
              <w:top w:w="0" w:type="dxa"/>
              <w:left w:w="108" w:type="dxa"/>
              <w:bottom w:w="0" w:type="dxa"/>
              <w:right w:w="108" w:type="dxa"/>
            </w:tcMar>
            <w:vAlign w:val="center"/>
          </w:tcPr>
          <w:p w14:paraId="3F04398B">
            <w:pPr>
              <w:widowControl w:val="0"/>
              <w:adjustRightInd w:val="0"/>
              <w:snapToGrid w:val="0"/>
              <w:jc w:val="center"/>
              <w:rPr>
                <w:snapToGrid w:val="0"/>
                <w:color w:val="auto"/>
                <w:kern w:val="0"/>
                <w:highlight w:val="none"/>
              </w:rPr>
            </w:pPr>
            <w:r>
              <w:rPr>
                <w:rFonts w:hint="eastAsia"/>
                <w:snapToGrid w:val="0"/>
                <w:color w:val="auto"/>
                <w:kern w:val="0"/>
                <w:highlight w:val="none"/>
              </w:rPr>
              <w:t>J154</w:t>
            </w:r>
          </w:p>
        </w:tc>
        <w:tc>
          <w:tcPr>
            <w:tcW w:w="1641" w:type="dxa"/>
            <w:tcMar>
              <w:top w:w="0" w:type="dxa"/>
              <w:left w:w="108" w:type="dxa"/>
              <w:bottom w:w="0" w:type="dxa"/>
              <w:right w:w="108" w:type="dxa"/>
            </w:tcMar>
            <w:vAlign w:val="center"/>
          </w:tcPr>
          <w:p w14:paraId="20204E5C">
            <w:pPr>
              <w:widowControl w:val="0"/>
              <w:adjustRightInd w:val="0"/>
              <w:snapToGrid w:val="0"/>
              <w:jc w:val="center"/>
              <w:rPr>
                <w:snapToGrid w:val="0"/>
                <w:color w:val="auto"/>
                <w:kern w:val="0"/>
                <w:highlight w:val="none"/>
              </w:rPr>
            </w:pPr>
            <w:r>
              <w:rPr>
                <w:rFonts w:hint="eastAsia"/>
                <w:snapToGrid w:val="0"/>
                <w:color w:val="auto"/>
                <w:kern w:val="0"/>
                <w:highlight w:val="none"/>
              </w:rPr>
              <w:t>3265635.90</w:t>
            </w:r>
          </w:p>
        </w:tc>
        <w:tc>
          <w:tcPr>
            <w:tcW w:w="1641" w:type="dxa"/>
            <w:tcMar>
              <w:top w:w="0" w:type="dxa"/>
              <w:left w:w="108" w:type="dxa"/>
              <w:bottom w:w="0" w:type="dxa"/>
              <w:right w:w="108" w:type="dxa"/>
            </w:tcMar>
            <w:vAlign w:val="center"/>
          </w:tcPr>
          <w:p w14:paraId="126AD021">
            <w:pPr>
              <w:widowControl w:val="0"/>
              <w:adjustRightInd w:val="0"/>
              <w:snapToGrid w:val="0"/>
              <w:jc w:val="center"/>
              <w:rPr>
                <w:snapToGrid w:val="0"/>
                <w:color w:val="auto"/>
                <w:kern w:val="0"/>
                <w:highlight w:val="none"/>
              </w:rPr>
            </w:pPr>
            <w:r>
              <w:rPr>
                <w:rFonts w:hint="eastAsia"/>
                <w:snapToGrid w:val="0"/>
                <w:color w:val="auto"/>
                <w:kern w:val="0"/>
                <w:highlight w:val="none"/>
              </w:rPr>
              <w:t>41398519.19</w:t>
            </w:r>
          </w:p>
        </w:tc>
      </w:tr>
      <w:tr w14:paraId="4BB44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10D4A382">
            <w:pPr>
              <w:widowControl w:val="0"/>
              <w:adjustRightInd w:val="0"/>
              <w:snapToGrid w:val="0"/>
              <w:jc w:val="center"/>
              <w:rPr>
                <w:snapToGrid w:val="0"/>
                <w:color w:val="auto"/>
                <w:kern w:val="0"/>
                <w:highlight w:val="none"/>
              </w:rPr>
            </w:pPr>
            <w:r>
              <w:rPr>
                <w:rFonts w:hint="eastAsia"/>
                <w:snapToGrid w:val="0"/>
                <w:color w:val="auto"/>
                <w:kern w:val="0"/>
                <w:highlight w:val="none"/>
              </w:rPr>
              <w:t>J145</w:t>
            </w:r>
          </w:p>
        </w:tc>
        <w:tc>
          <w:tcPr>
            <w:tcW w:w="1745" w:type="dxa"/>
            <w:tcMar>
              <w:top w:w="0" w:type="dxa"/>
              <w:left w:w="108" w:type="dxa"/>
              <w:bottom w:w="0" w:type="dxa"/>
              <w:right w:w="108" w:type="dxa"/>
            </w:tcMar>
            <w:vAlign w:val="center"/>
          </w:tcPr>
          <w:p w14:paraId="48917297">
            <w:pPr>
              <w:widowControl w:val="0"/>
              <w:adjustRightInd w:val="0"/>
              <w:snapToGrid w:val="0"/>
              <w:jc w:val="center"/>
              <w:rPr>
                <w:snapToGrid w:val="0"/>
                <w:color w:val="auto"/>
                <w:kern w:val="0"/>
                <w:highlight w:val="none"/>
              </w:rPr>
            </w:pPr>
            <w:r>
              <w:rPr>
                <w:rFonts w:hint="eastAsia"/>
                <w:snapToGrid w:val="0"/>
                <w:color w:val="auto"/>
                <w:kern w:val="0"/>
                <w:highlight w:val="none"/>
              </w:rPr>
              <w:t>3265716.19</w:t>
            </w:r>
          </w:p>
        </w:tc>
        <w:tc>
          <w:tcPr>
            <w:tcW w:w="1710" w:type="dxa"/>
            <w:tcMar>
              <w:top w:w="0" w:type="dxa"/>
              <w:left w:w="108" w:type="dxa"/>
              <w:bottom w:w="0" w:type="dxa"/>
              <w:right w:w="108" w:type="dxa"/>
            </w:tcMar>
            <w:vAlign w:val="center"/>
          </w:tcPr>
          <w:p w14:paraId="0EE5E5D2">
            <w:pPr>
              <w:widowControl w:val="0"/>
              <w:adjustRightInd w:val="0"/>
              <w:snapToGrid w:val="0"/>
              <w:jc w:val="center"/>
              <w:rPr>
                <w:snapToGrid w:val="0"/>
                <w:color w:val="auto"/>
                <w:kern w:val="0"/>
                <w:highlight w:val="none"/>
              </w:rPr>
            </w:pPr>
            <w:r>
              <w:rPr>
                <w:rFonts w:hint="eastAsia"/>
                <w:snapToGrid w:val="0"/>
                <w:color w:val="auto"/>
                <w:kern w:val="0"/>
                <w:highlight w:val="none"/>
              </w:rPr>
              <w:t>41398830.45</w:t>
            </w:r>
          </w:p>
        </w:tc>
        <w:tc>
          <w:tcPr>
            <w:tcW w:w="843" w:type="dxa"/>
            <w:tcMar>
              <w:top w:w="0" w:type="dxa"/>
              <w:left w:w="108" w:type="dxa"/>
              <w:bottom w:w="0" w:type="dxa"/>
              <w:right w:w="108" w:type="dxa"/>
            </w:tcMar>
            <w:vAlign w:val="center"/>
          </w:tcPr>
          <w:p w14:paraId="24AE7066">
            <w:pPr>
              <w:widowControl w:val="0"/>
              <w:adjustRightInd w:val="0"/>
              <w:snapToGrid w:val="0"/>
              <w:jc w:val="center"/>
              <w:rPr>
                <w:snapToGrid w:val="0"/>
                <w:color w:val="auto"/>
                <w:kern w:val="0"/>
                <w:highlight w:val="none"/>
              </w:rPr>
            </w:pPr>
            <w:r>
              <w:rPr>
                <w:rFonts w:hint="eastAsia"/>
                <w:snapToGrid w:val="0"/>
                <w:color w:val="auto"/>
                <w:kern w:val="0"/>
                <w:highlight w:val="none"/>
              </w:rPr>
              <w:t>J109</w:t>
            </w:r>
          </w:p>
        </w:tc>
        <w:tc>
          <w:tcPr>
            <w:tcW w:w="1641" w:type="dxa"/>
            <w:tcMar>
              <w:top w:w="0" w:type="dxa"/>
              <w:left w:w="108" w:type="dxa"/>
              <w:bottom w:w="0" w:type="dxa"/>
              <w:right w:w="108" w:type="dxa"/>
            </w:tcMar>
            <w:vAlign w:val="center"/>
          </w:tcPr>
          <w:p w14:paraId="531ABAFE">
            <w:pPr>
              <w:widowControl w:val="0"/>
              <w:adjustRightInd w:val="0"/>
              <w:snapToGrid w:val="0"/>
              <w:jc w:val="center"/>
              <w:rPr>
                <w:snapToGrid w:val="0"/>
                <w:color w:val="auto"/>
                <w:kern w:val="0"/>
                <w:highlight w:val="none"/>
              </w:rPr>
            </w:pPr>
            <w:r>
              <w:rPr>
                <w:rFonts w:hint="eastAsia"/>
                <w:snapToGrid w:val="0"/>
                <w:color w:val="auto"/>
                <w:kern w:val="0"/>
                <w:highlight w:val="none"/>
              </w:rPr>
              <w:t>3265662.50</w:t>
            </w:r>
          </w:p>
        </w:tc>
        <w:tc>
          <w:tcPr>
            <w:tcW w:w="1641" w:type="dxa"/>
            <w:tcMar>
              <w:top w:w="0" w:type="dxa"/>
              <w:left w:w="108" w:type="dxa"/>
              <w:bottom w:w="0" w:type="dxa"/>
              <w:right w:w="108" w:type="dxa"/>
            </w:tcMar>
            <w:vAlign w:val="center"/>
          </w:tcPr>
          <w:p w14:paraId="4384761E">
            <w:pPr>
              <w:widowControl w:val="0"/>
              <w:adjustRightInd w:val="0"/>
              <w:snapToGrid w:val="0"/>
              <w:jc w:val="center"/>
              <w:rPr>
                <w:snapToGrid w:val="0"/>
                <w:color w:val="auto"/>
                <w:kern w:val="0"/>
                <w:highlight w:val="none"/>
              </w:rPr>
            </w:pPr>
            <w:r>
              <w:rPr>
                <w:rFonts w:hint="eastAsia"/>
                <w:snapToGrid w:val="0"/>
                <w:color w:val="auto"/>
                <w:kern w:val="0"/>
                <w:highlight w:val="none"/>
              </w:rPr>
              <w:t>41398519.68</w:t>
            </w:r>
          </w:p>
        </w:tc>
      </w:tr>
      <w:tr w14:paraId="39227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5D1D5164">
            <w:pPr>
              <w:widowControl w:val="0"/>
              <w:adjustRightInd w:val="0"/>
              <w:snapToGrid w:val="0"/>
              <w:jc w:val="center"/>
              <w:rPr>
                <w:snapToGrid w:val="0"/>
                <w:color w:val="auto"/>
                <w:kern w:val="0"/>
                <w:highlight w:val="none"/>
              </w:rPr>
            </w:pPr>
            <w:r>
              <w:rPr>
                <w:rFonts w:hint="eastAsia"/>
                <w:snapToGrid w:val="0"/>
                <w:color w:val="auto"/>
                <w:kern w:val="0"/>
                <w:highlight w:val="none"/>
              </w:rPr>
              <w:t>J146</w:t>
            </w:r>
          </w:p>
        </w:tc>
        <w:tc>
          <w:tcPr>
            <w:tcW w:w="1745" w:type="dxa"/>
            <w:tcMar>
              <w:top w:w="0" w:type="dxa"/>
              <w:left w:w="108" w:type="dxa"/>
              <w:bottom w:w="0" w:type="dxa"/>
              <w:right w:w="108" w:type="dxa"/>
            </w:tcMar>
            <w:vAlign w:val="center"/>
          </w:tcPr>
          <w:p w14:paraId="48C83FF2">
            <w:pPr>
              <w:widowControl w:val="0"/>
              <w:adjustRightInd w:val="0"/>
              <w:snapToGrid w:val="0"/>
              <w:jc w:val="center"/>
              <w:rPr>
                <w:snapToGrid w:val="0"/>
                <w:color w:val="auto"/>
                <w:kern w:val="0"/>
                <w:highlight w:val="none"/>
              </w:rPr>
            </w:pPr>
            <w:r>
              <w:rPr>
                <w:rFonts w:hint="eastAsia"/>
                <w:snapToGrid w:val="0"/>
                <w:color w:val="auto"/>
                <w:kern w:val="0"/>
                <w:highlight w:val="none"/>
              </w:rPr>
              <w:t>3265714.01</w:t>
            </w:r>
          </w:p>
        </w:tc>
        <w:tc>
          <w:tcPr>
            <w:tcW w:w="1710" w:type="dxa"/>
            <w:tcMar>
              <w:top w:w="0" w:type="dxa"/>
              <w:left w:w="108" w:type="dxa"/>
              <w:bottom w:w="0" w:type="dxa"/>
              <w:right w:w="108" w:type="dxa"/>
            </w:tcMar>
            <w:vAlign w:val="center"/>
          </w:tcPr>
          <w:p w14:paraId="4549FFDB">
            <w:pPr>
              <w:widowControl w:val="0"/>
              <w:adjustRightInd w:val="0"/>
              <w:snapToGrid w:val="0"/>
              <w:jc w:val="center"/>
              <w:rPr>
                <w:snapToGrid w:val="0"/>
                <w:color w:val="auto"/>
                <w:kern w:val="0"/>
                <w:highlight w:val="none"/>
              </w:rPr>
            </w:pPr>
            <w:r>
              <w:rPr>
                <w:rFonts w:hint="eastAsia"/>
                <w:snapToGrid w:val="0"/>
                <w:color w:val="auto"/>
                <w:kern w:val="0"/>
                <w:highlight w:val="none"/>
              </w:rPr>
              <w:t>41398883.56</w:t>
            </w:r>
          </w:p>
        </w:tc>
        <w:tc>
          <w:tcPr>
            <w:tcW w:w="843" w:type="dxa"/>
            <w:tcMar>
              <w:top w:w="0" w:type="dxa"/>
              <w:left w:w="108" w:type="dxa"/>
              <w:bottom w:w="0" w:type="dxa"/>
              <w:right w:w="108" w:type="dxa"/>
            </w:tcMar>
            <w:vAlign w:val="center"/>
          </w:tcPr>
          <w:p w14:paraId="42E93F56">
            <w:pPr>
              <w:widowControl w:val="0"/>
              <w:adjustRightInd w:val="0"/>
              <w:snapToGrid w:val="0"/>
              <w:jc w:val="center"/>
              <w:rPr>
                <w:snapToGrid w:val="0"/>
                <w:color w:val="auto"/>
                <w:kern w:val="0"/>
                <w:highlight w:val="none"/>
              </w:rPr>
            </w:pPr>
            <w:r>
              <w:rPr>
                <w:rFonts w:hint="eastAsia"/>
                <w:snapToGrid w:val="0"/>
                <w:color w:val="auto"/>
                <w:kern w:val="0"/>
                <w:highlight w:val="none"/>
              </w:rPr>
              <w:t>J108</w:t>
            </w:r>
          </w:p>
        </w:tc>
        <w:tc>
          <w:tcPr>
            <w:tcW w:w="1641" w:type="dxa"/>
            <w:tcMar>
              <w:top w:w="0" w:type="dxa"/>
              <w:left w:w="108" w:type="dxa"/>
              <w:bottom w:w="0" w:type="dxa"/>
              <w:right w:w="108" w:type="dxa"/>
            </w:tcMar>
            <w:vAlign w:val="center"/>
          </w:tcPr>
          <w:p w14:paraId="092FAABA">
            <w:pPr>
              <w:widowControl w:val="0"/>
              <w:adjustRightInd w:val="0"/>
              <w:snapToGrid w:val="0"/>
              <w:jc w:val="center"/>
              <w:rPr>
                <w:snapToGrid w:val="0"/>
                <w:color w:val="auto"/>
                <w:kern w:val="0"/>
                <w:highlight w:val="none"/>
              </w:rPr>
            </w:pPr>
            <w:r>
              <w:rPr>
                <w:rFonts w:hint="eastAsia"/>
                <w:snapToGrid w:val="0"/>
                <w:color w:val="auto"/>
                <w:kern w:val="0"/>
                <w:highlight w:val="none"/>
              </w:rPr>
              <w:t>3265666.50</w:t>
            </w:r>
          </w:p>
        </w:tc>
        <w:tc>
          <w:tcPr>
            <w:tcW w:w="1641" w:type="dxa"/>
            <w:tcMar>
              <w:top w:w="0" w:type="dxa"/>
              <w:left w:w="108" w:type="dxa"/>
              <w:bottom w:w="0" w:type="dxa"/>
              <w:right w:w="108" w:type="dxa"/>
            </w:tcMar>
            <w:vAlign w:val="center"/>
          </w:tcPr>
          <w:p w14:paraId="04B544F1">
            <w:pPr>
              <w:widowControl w:val="0"/>
              <w:adjustRightInd w:val="0"/>
              <w:snapToGrid w:val="0"/>
              <w:jc w:val="center"/>
              <w:rPr>
                <w:snapToGrid w:val="0"/>
                <w:color w:val="auto"/>
                <w:kern w:val="0"/>
                <w:highlight w:val="none"/>
              </w:rPr>
            </w:pPr>
            <w:r>
              <w:rPr>
                <w:rFonts w:hint="eastAsia"/>
                <w:snapToGrid w:val="0"/>
                <w:color w:val="auto"/>
                <w:kern w:val="0"/>
                <w:highlight w:val="none"/>
              </w:rPr>
              <w:t>41398538.48</w:t>
            </w:r>
          </w:p>
        </w:tc>
      </w:tr>
      <w:tr w14:paraId="7CEB8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7ACF40CD">
            <w:pPr>
              <w:widowControl w:val="0"/>
              <w:adjustRightInd w:val="0"/>
              <w:snapToGrid w:val="0"/>
              <w:jc w:val="center"/>
              <w:rPr>
                <w:snapToGrid w:val="0"/>
                <w:color w:val="auto"/>
                <w:kern w:val="0"/>
                <w:highlight w:val="none"/>
              </w:rPr>
            </w:pPr>
            <w:r>
              <w:rPr>
                <w:rFonts w:hint="eastAsia"/>
                <w:snapToGrid w:val="0"/>
                <w:color w:val="auto"/>
                <w:kern w:val="0"/>
                <w:highlight w:val="none"/>
              </w:rPr>
              <w:t>J147</w:t>
            </w:r>
          </w:p>
        </w:tc>
        <w:tc>
          <w:tcPr>
            <w:tcW w:w="1745" w:type="dxa"/>
            <w:tcMar>
              <w:top w:w="0" w:type="dxa"/>
              <w:left w:w="108" w:type="dxa"/>
              <w:bottom w:w="0" w:type="dxa"/>
              <w:right w:w="108" w:type="dxa"/>
            </w:tcMar>
            <w:vAlign w:val="center"/>
          </w:tcPr>
          <w:p w14:paraId="7BF5E93D">
            <w:pPr>
              <w:widowControl w:val="0"/>
              <w:adjustRightInd w:val="0"/>
              <w:snapToGrid w:val="0"/>
              <w:jc w:val="center"/>
              <w:rPr>
                <w:snapToGrid w:val="0"/>
                <w:color w:val="auto"/>
                <w:kern w:val="0"/>
                <w:highlight w:val="none"/>
              </w:rPr>
            </w:pPr>
            <w:r>
              <w:rPr>
                <w:rFonts w:hint="eastAsia"/>
                <w:snapToGrid w:val="0"/>
                <w:color w:val="auto"/>
                <w:kern w:val="0"/>
                <w:highlight w:val="none"/>
              </w:rPr>
              <w:t>3265703.84</w:t>
            </w:r>
          </w:p>
        </w:tc>
        <w:tc>
          <w:tcPr>
            <w:tcW w:w="1710" w:type="dxa"/>
            <w:tcMar>
              <w:top w:w="0" w:type="dxa"/>
              <w:left w:w="108" w:type="dxa"/>
              <w:bottom w:w="0" w:type="dxa"/>
              <w:right w:w="108" w:type="dxa"/>
            </w:tcMar>
            <w:vAlign w:val="center"/>
          </w:tcPr>
          <w:p w14:paraId="2401B13D">
            <w:pPr>
              <w:widowControl w:val="0"/>
              <w:adjustRightInd w:val="0"/>
              <w:snapToGrid w:val="0"/>
              <w:jc w:val="center"/>
              <w:rPr>
                <w:snapToGrid w:val="0"/>
                <w:color w:val="auto"/>
                <w:kern w:val="0"/>
                <w:highlight w:val="none"/>
              </w:rPr>
            </w:pPr>
            <w:r>
              <w:rPr>
                <w:rFonts w:hint="eastAsia"/>
                <w:snapToGrid w:val="0"/>
                <w:color w:val="auto"/>
                <w:kern w:val="0"/>
                <w:highlight w:val="none"/>
              </w:rPr>
              <w:t>41398903.45</w:t>
            </w:r>
          </w:p>
        </w:tc>
        <w:tc>
          <w:tcPr>
            <w:tcW w:w="843" w:type="dxa"/>
            <w:tcMar>
              <w:top w:w="0" w:type="dxa"/>
              <w:left w:w="108" w:type="dxa"/>
              <w:bottom w:w="0" w:type="dxa"/>
              <w:right w:w="108" w:type="dxa"/>
            </w:tcMar>
            <w:vAlign w:val="center"/>
          </w:tcPr>
          <w:p w14:paraId="6FF9302C">
            <w:pPr>
              <w:widowControl w:val="0"/>
              <w:adjustRightInd w:val="0"/>
              <w:snapToGrid w:val="0"/>
              <w:jc w:val="center"/>
              <w:rPr>
                <w:snapToGrid w:val="0"/>
                <w:color w:val="auto"/>
                <w:kern w:val="0"/>
                <w:highlight w:val="none"/>
              </w:rPr>
            </w:pPr>
            <w:r>
              <w:rPr>
                <w:rFonts w:hint="eastAsia"/>
                <w:snapToGrid w:val="0"/>
                <w:color w:val="auto"/>
                <w:kern w:val="0"/>
                <w:highlight w:val="none"/>
              </w:rPr>
              <w:t>J107</w:t>
            </w:r>
          </w:p>
        </w:tc>
        <w:tc>
          <w:tcPr>
            <w:tcW w:w="1641" w:type="dxa"/>
            <w:tcMar>
              <w:top w:w="0" w:type="dxa"/>
              <w:left w:w="108" w:type="dxa"/>
              <w:bottom w:w="0" w:type="dxa"/>
              <w:right w:w="108" w:type="dxa"/>
            </w:tcMar>
            <w:vAlign w:val="center"/>
          </w:tcPr>
          <w:p w14:paraId="45B9FEF8">
            <w:pPr>
              <w:widowControl w:val="0"/>
              <w:adjustRightInd w:val="0"/>
              <w:snapToGrid w:val="0"/>
              <w:jc w:val="center"/>
              <w:rPr>
                <w:snapToGrid w:val="0"/>
                <w:color w:val="auto"/>
                <w:kern w:val="0"/>
                <w:highlight w:val="none"/>
              </w:rPr>
            </w:pPr>
            <w:r>
              <w:rPr>
                <w:rFonts w:hint="eastAsia"/>
                <w:snapToGrid w:val="0"/>
                <w:color w:val="auto"/>
                <w:kern w:val="0"/>
                <w:highlight w:val="none"/>
              </w:rPr>
              <w:t>3265671.98</w:t>
            </w:r>
          </w:p>
        </w:tc>
        <w:tc>
          <w:tcPr>
            <w:tcW w:w="1641" w:type="dxa"/>
            <w:tcMar>
              <w:top w:w="0" w:type="dxa"/>
              <w:left w:w="108" w:type="dxa"/>
              <w:bottom w:w="0" w:type="dxa"/>
              <w:right w:w="108" w:type="dxa"/>
            </w:tcMar>
            <w:vAlign w:val="center"/>
          </w:tcPr>
          <w:p w14:paraId="0B775B05">
            <w:pPr>
              <w:widowControl w:val="0"/>
              <w:adjustRightInd w:val="0"/>
              <w:snapToGrid w:val="0"/>
              <w:jc w:val="center"/>
              <w:rPr>
                <w:snapToGrid w:val="0"/>
                <w:color w:val="auto"/>
                <w:kern w:val="0"/>
                <w:highlight w:val="none"/>
              </w:rPr>
            </w:pPr>
            <w:r>
              <w:rPr>
                <w:rFonts w:hint="eastAsia"/>
                <w:snapToGrid w:val="0"/>
                <w:color w:val="auto"/>
                <w:kern w:val="0"/>
                <w:highlight w:val="none"/>
              </w:rPr>
              <w:t>41398548.51</w:t>
            </w:r>
          </w:p>
        </w:tc>
      </w:tr>
      <w:tr w14:paraId="735AB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731A5B98">
            <w:pPr>
              <w:widowControl w:val="0"/>
              <w:adjustRightInd w:val="0"/>
              <w:snapToGrid w:val="0"/>
              <w:jc w:val="center"/>
              <w:rPr>
                <w:snapToGrid w:val="0"/>
                <w:color w:val="auto"/>
                <w:kern w:val="0"/>
                <w:highlight w:val="none"/>
              </w:rPr>
            </w:pPr>
            <w:r>
              <w:rPr>
                <w:rFonts w:hint="eastAsia"/>
                <w:snapToGrid w:val="0"/>
                <w:color w:val="auto"/>
                <w:kern w:val="0"/>
                <w:highlight w:val="none"/>
              </w:rPr>
              <w:t>J148</w:t>
            </w:r>
          </w:p>
        </w:tc>
        <w:tc>
          <w:tcPr>
            <w:tcW w:w="1745" w:type="dxa"/>
            <w:tcMar>
              <w:top w:w="0" w:type="dxa"/>
              <w:left w:w="108" w:type="dxa"/>
              <w:bottom w:w="0" w:type="dxa"/>
              <w:right w:w="108" w:type="dxa"/>
            </w:tcMar>
            <w:vAlign w:val="center"/>
          </w:tcPr>
          <w:p w14:paraId="5538D393">
            <w:pPr>
              <w:widowControl w:val="0"/>
              <w:adjustRightInd w:val="0"/>
              <w:snapToGrid w:val="0"/>
              <w:jc w:val="center"/>
              <w:rPr>
                <w:snapToGrid w:val="0"/>
                <w:color w:val="auto"/>
                <w:kern w:val="0"/>
                <w:highlight w:val="none"/>
              </w:rPr>
            </w:pPr>
            <w:r>
              <w:rPr>
                <w:rFonts w:hint="eastAsia"/>
                <w:snapToGrid w:val="0"/>
                <w:color w:val="auto"/>
                <w:kern w:val="0"/>
                <w:highlight w:val="none"/>
              </w:rPr>
              <w:t>3265681.98</w:t>
            </w:r>
          </w:p>
        </w:tc>
        <w:tc>
          <w:tcPr>
            <w:tcW w:w="1710" w:type="dxa"/>
            <w:tcMar>
              <w:top w:w="0" w:type="dxa"/>
              <w:left w:w="108" w:type="dxa"/>
              <w:bottom w:w="0" w:type="dxa"/>
              <w:right w:w="108" w:type="dxa"/>
            </w:tcMar>
            <w:vAlign w:val="center"/>
          </w:tcPr>
          <w:p w14:paraId="001983E6">
            <w:pPr>
              <w:widowControl w:val="0"/>
              <w:adjustRightInd w:val="0"/>
              <w:snapToGrid w:val="0"/>
              <w:jc w:val="center"/>
              <w:rPr>
                <w:snapToGrid w:val="0"/>
                <w:color w:val="auto"/>
                <w:kern w:val="0"/>
                <w:highlight w:val="none"/>
              </w:rPr>
            </w:pPr>
            <w:r>
              <w:rPr>
                <w:rFonts w:hint="eastAsia"/>
                <w:snapToGrid w:val="0"/>
                <w:color w:val="auto"/>
                <w:kern w:val="0"/>
                <w:highlight w:val="none"/>
              </w:rPr>
              <w:t>41398909.69</w:t>
            </w:r>
          </w:p>
        </w:tc>
        <w:tc>
          <w:tcPr>
            <w:tcW w:w="843" w:type="dxa"/>
            <w:tcMar>
              <w:top w:w="0" w:type="dxa"/>
              <w:left w:w="108" w:type="dxa"/>
              <w:bottom w:w="0" w:type="dxa"/>
              <w:right w:w="108" w:type="dxa"/>
            </w:tcMar>
            <w:vAlign w:val="center"/>
          </w:tcPr>
          <w:p w14:paraId="6DE5CBB2">
            <w:pPr>
              <w:widowControl w:val="0"/>
              <w:adjustRightInd w:val="0"/>
              <w:snapToGrid w:val="0"/>
              <w:jc w:val="center"/>
              <w:rPr>
                <w:snapToGrid w:val="0"/>
                <w:color w:val="auto"/>
                <w:kern w:val="0"/>
                <w:highlight w:val="none"/>
              </w:rPr>
            </w:pPr>
            <w:r>
              <w:rPr>
                <w:rFonts w:hint="eastAsia"/>
                <w:snapToGrid w:val="0"/>
                <w:color w:val="auto"/>
                <w:kern w:val="0"/>
                <w:highlight w:val="none"/>
              </w:rPr>
              <w:t>J106</w:t>
            </w:r>
          </w:p>
        </w:tc>
        <w:tc>
          <w:tcPr>
            <w:tcW w:w="1641" w:type="dxa"/>
            <w:tcMar>
              <w:top w:w="0" w:type="dxa"/>
              <w:left w:w="108" w:type="dxa"/>
              <w:bottom w:w="0" w:type="dxa"/>
              <w:right w:w="108" w:type="dxa"/>
            </w:tcMar>
            <w:vAlign w:val="center"/>
          </w:tcPr>
          <w:p w14:paraId="23C44DE6">
            <w:pPr>
              <w:widowControl w:val="0"/>
              <w:adjustRightInd w:val="0"/>
              <w:snapToGrid w:val="0"/>
              <w:jc w:val="center"/>
              <w:rPr>
                <w:snapToGrid w:val="0"/>
                <w:color w:val="auto"/>
                <w:kern w:val="0"/>
                <w:highlight w:val="none"/>
              </w:rPr>
            </w:pPr>
            <w:r>
              <w:rPr>
                <w:rFonts w:hint="eastAsia"/>
                <w:snapToGrid w:val="0"/>
                <w:color w:val="auto"/>
                <w:kern w:val="0"/>
                <w:highlight w:val="none"/>
              </w:rPr>
              <w:t>3265678.12</w:t>
            </w:r>
          </w:p>
        </w:tc>
        <w:tc>
          <w:tcPr>
            <w:tcW w:w="1641" w:type="dxa"/>
            <w:tcMar>
              <w:top w:w="0" w:type="dxa"/>
              <w:left w:w="108" w:type="dxa"/>
              <w:bottom w:w="0" w:type="dxa"/>
              <w:right w:w="108" w:type="dxa"/>
            </w:tcMar>
            <w:vAlign w:val="center"/>
          </w:tcPr>
          <w:p w14:paraId="3CED36C3">
            <w:pPr>
              <w:widowControl w:val="0"/>
              <w:adjustRightInd w:val="0"/>
              <w:snapToGrid w:val="0"/>
              <w:jc w:val="center"/>
              <w:rPr>
                <w:snapToGrid w:val="0"/>
                <w:color w:val="auto"/>
                <w:kern w:val="0"/>
                <w:highlight w:val="none"/>
              </w:rPr>
            </w:pPr>
            <w:r>
              <w:rPr>
                <w:rFonts w:hint="eastAsia"/>
                <w:snapToGrid w:val="0"/>
                <w:color w:val="auto"/>
                <w:kern w:val="0"/>
                <w:highlight w:val="none"/>
              </w:rPr>
              <w:t>41398553.86</w:t>
            </w:r>
          </w:p>
        </w:tc>
      </w:tr>
      <w:tr w14:paraId="6E1CB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7A5B27D1">
            <w:pPr>
              <w:widowControl w:val="0"/>
              <w:adjustRightInd w:val="0"/>
              <w:snapToGrid w:val="0"/>
              <w:jc w:val="center"/>
              <w:rPr>
                <w:snapToGrid w:val="0"/>
                <w:color w:val="auto"/>
                <w:kern w:val="0"/>
                <w:highlight w:val="none"/>
              </w:rPr>
            </w:pPr>
            <w:r>
              <w:rPr>
                <w:rFonts w:hint="eastAsia"/>
                <w:snapToGrid w:val="0"/>
                <w:color w:val="auto"/>
                <w:kern w:val="0"/>
                <w:highlight w:val="none"/>
              </w:rPr>
              <w:t>J149</w:t>
            </w:r>
          </w:p>
        </w:tc>
        <w:tc>
          <w:tcPr>
            <w:tcW w:w="1745" w:type="dxa"/>
            <w:tcMar>
              <w:top w:w="0" w:type="dxa"/>
              <w:left w:w="108" w:type="dxa"/>
              <w:bottom w:w="0" w:type="dxa"/>
              <w:right w:w="108" w:type="dxa"/>
            </w:tcMar>
            <w:vAlign w:val="center"/>
          </w:tcPr>
          <w:p w14:paraId="16138287">
            <w:pPr>
              <w:widowControl w:val="0"/>
              <w:adjustRightInd w:val="0"/>
              <w:snapToGrid w:val="0"/>
              <w:jc w:val="center"/>
              <w:rPr>
                <w:snapToGrid w:val="0"/>
                <w:color w:val="auto"/>
                <w:kern w:val="0"/>
                <w:highlight w:val="none"/>
              </w:rPr>
            </w:pPr>
            <w:r>
              <w:rPr>
                <w:rFonts w:hint="eastAsia"/>
                <w:snapToGrid w:val="0"/>
                <w:color w:val="auto"/>
                <w:kern w:val="0"/>
                <w:highlight w:val="none"/>
              </w:rPr>
              <w:t>3265671.33</w:t>
            </w:r>
          </w:p>
        </w:tc>
        <w:tc>
          <w:tcPr>
            <w:tcW w:w="1710" w:type="dxa"/>
            <w:tcMar>
              <w:top w:w="0" w:type="dxa"/>
              <w:left w:w="108" w:type="dxa"/>
              <w:bottom w:w="0" w:type="dxa"/>
              <w:right w:w="108" w:type="dxa"/>
            </w:tcMar>
            <w:vAlign w:val="center"/>
          </w:tcPr>
          <w:p w14:paraId="0583236D">
            <w:pPr>
              <w:widowControl w:val="0"/>
              <w:adjustRightInd w:val="0"/>
              <w:snapToGrid w:val="0"/>
              <w:jc w:val="center"/>
              <w:rPr>
                <w:snapToGrid w:val="0"/>
                <w:color w:val="auto"/>
                <w:kern w:val="0"/>
                <w:highlight w:val="none"/>
              </w:rPr>
            </w:pPr>
            <w:r>
              <w:rPr>
                <w:rFonts w:hint="eastAsia"/>
                <w:snapToGrid w:val="0"/>
                <w:color w:val="auto"/>
                <w:kern w:val="0"/>
                <w:highlight w:val="none"/>
              </w:rPr>
              <w:t>41398834.87</w:t>
            </w:r>
          </w:p>
        </w:tc>
        <w:tc>
          <w:tcPr>
            <w:tcW w:w="843" w:type="dxa"/>
            <w:tcMar>
              <w:top w:w="0" w:type="dxa"/>
              <w:left w:w="108" w:type="dxa"/>
              <w:bottom w:w="0" w:type="dxa"/>
              <w:right w:w="108" w:type="dxa"/>
            </w:tcMar>
            <w:vAlign w:val="center"/>
          </w:tcPr>
          <w:p w14:paraId="12F2D0C9">
            <w:pPr>
              <w:widowControl w:val="0"/>
              <w:adjustRightInd w:val="0"/>
              <w:snapToGrid w:val="0"/>
              <w:jc w:val="center"/>
              <w:rPr>
                <w:snapToGrid w:val="0"/>
                <w:color w:val="auto"/>
                <w:kern w:val="0"/>
                <w:highlight w:val="none"/>
              </w:rPr>
            </w:pPr>
            <w:r>
              <w:rPr>
                <w:rFonts w:hint="eastAsia"/>
                <w:snapToGrid w:val="0"/>
                <w:color w:val="auto"/>
                <w:kern w:val="0"/>
                <w:highlight w:val="none"/>
              </w:rPr>
              <w:t>J105</w:t>
            </w:r>
          </w:p>
        </w:tc>
        <w:tc>
          <w:tcPr>
            <w:tcW w:w="1641" w:type="dxa"/>
            <w:tcMar>
              <w:top w:w="0" w:type="dxa"/>
              <w:left w:w="108" w:type="dxa"/>
              <w:bottom w:w="0" w:type="dxa"/>
              <w:right w:w="108" w:type="dxa"/>
            </w:tcMar>
            <w:vAlign w:val="center"/>
          </w:tcPr>
          <w:p w14:paraId="08406DBD">
            <w:pPr>
              <w:widowControl w:val="0"/>
              <w:adjustRightInd w:val="0"/>
              <w:snapToGrid w:val="0"/>
              <w:jc w:val="center"/>
              <w:rPr>
                <w:snapToGrid w:val="0"/>
                <w:color w:val="auto"/>
                <w:kern w:val="0"/>
                <w:highlight w:val="none"/>
              </w:rPr>
            </w:pPr>
            <w:r>
              <w:rPr>
                <w:rFonts w:hint="eastAsia"/>
                <w:snapToGrid w:val="0"/>
                <w:color w:val="auto"/>
                <w:kern w:val="0"/>
                <w:highlight w:val="none"/>
              </w:rPr>
              <w:t>3265685.42</w:t>
            </w:r>
          </w:p>
        </w:tc>
        <w:tc>
          <w:tcPr>
            <w:tcW w:w="1641" w:type="dxa"/>
            <w:tcMar>
              <w:top w:w="0" w:type="dxa"/>
              <w:left w:w="108" w:type="dxa"/>
              <w:bottom w:w="0" w:type="dxa"/>
              <w:right w:w="108" w:type="dxa"/>
            </w:tcMar>
            <w:vAlign w:val="center"/>
          </w:tcPr>
          <w:p w14:paraId="2ABEA069">
            <w:pPr>
              <w:widowControl w:val="0"/>
              <w:adjustRightInd w:val="0"/>
              <w:snapToGrid w:val="0"/>
              <w:jc w:val="center"/>
              <w:rPr>
                <w:snapToGrid w:val="0"/>
                <w:color w:val="auto"/>
                <w:kern w:val="0"/>
                <w:highlight w:val="none"/>
              </w:rPr>
            </w:pPr>
            <w:r>
              <w:rPr>
                <w:rFonts w:hint="eastAsia"/>
                <w:snapToGrid w:val="0"/>
                <w:color w:val="auto"/>
                <w:kern w:val="0"/>
                <w:highlight w:val="none"/>
              </w:rPr>
              <w:t>41398594.22</w:t>
            </w:r>
          </w:p>
        </w:tc>
      </w:tr>
      <w:tr w14:paraId="65552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5DC65E7E">
            <w:pPr>
              <w:widowControl w:val="0"/>
              <w:adjustRightInd w:val="0"/>
              <w:snapToGrid w:val="0"/>
              <w:jc w:val="center"/>
              <w:rPr>
                <w:snapToGrid w:val="0"/>
                <w:color w:val="auto"/>
                <w:kern w:val="0"/>
                <w:highlight w:val="none"/>
              </w:rPr>
            </w:pPr>
            <w:r>
              <w:rPr>
                <w:rFonts w:hint="eastAsia"/>
                <w:snapToGrid w:val="0"/>
                <w:color w:val="auto"/>
                <w:kern w:val="0"/>
                <w:highlight w:val="none"/>
              </w:rPr>
              <w:t>J150</w:t>
            </w:r>
          </w:p>
        </w:tc>
        <w:tc>
          <w:tcPr>
            <w:tcW w:w="1745" w:type="dxa"/>
            <w:tcMar>
              <w:top w:w="0" w:type="dxa"/>
              <w:left w:w="108" w:type="dxa"/>
              <w:bottom w:w="0" w:type="dxa"/>
              <w:right w:w="108" w:type="dxa"/>
            </w:tcMar>
            <w:vAlign w:val="center"/>
          </w:tcPr>
          <w:p w14:paraId="1E2402E2">
            <w:pPr>
              <w:widowControl w:val="0"/>
              <w:adjustRightInd w:val="0"/>
              <w:snapToGrid w:val="0"/>
              <w:jc w:val="center"/>
              <w:rPr>
                <w:snapToGrid w:val="0"/>
                <w:color w:val="auto"/>
                <w:kern w:val="0"/>
                <w:highlight w:val="none"/>
              </w:rPr>
            </w:pPr>
            <w:r>
              <w:rPr>
                <w:rFonts w:hint="eastAsia"/>
                <w:snapToGrid w:val="0"/>
                <w:color w:val="auto"/>
                <w:kern w:val="0"/>
                <w:highlight w:val="none"/>
              </w:rPr>
              <w:t>3265604.23</w:t>
            </w:r>
          </w:p>
        </w:tc>
        <w:tc>
          <w:tcPr>
            <w:tcW w:w="1710" w:type="dxa"/>
            <w:tcMar>
              <w:top w:w="0" w:type="dxa"/>
              <w:left w:w="108" w:type="dxa"/>
              <w:bottom w:w="0" w:type="dxa"/>
              <w:right w:w="108" w:type="dxa"/>
            </w:tcMar>
            <w:vAlign w:val="center"/>
          </w:tcPr>
          <w:p w14:paraId="668F5C49">
            <w:pPr>
              <w:widowControl w:val="0"/>
              <w:adjustRightInd w:val="0"/>
              <w:snapToGrid w:val="0"/>
              <w:jc w:val="center"/>
              <w:rPr>
                <w:snapToGrid w:val="0"/>
                <w:color w:val="auto"/>
                <w:kern w:val="0"/>
                <w:highlight w:val="none"/>
              </w:rPr>
            </w:pPr>
            <w:r>
              <w:rPr>
                <w:rFonts w:hint="eastAsia"/>
                <w:snapToGrid w:val="0"/>
                <w:color w:val="auto"/>
                <w:kern w:val="0"/>
                <w:highlight w:val="none"/>
              </w:rPr>
              <w:t>41398815.98</w:t>
            </w:r>
          </w:p>
        </w:tc>
        <w:tc>
          <w:tcPr>
            <w:tcW w:w="843" w:type="dxa"/>
            <w:tcMar>
              <w:top w:w="0" w:type="dxa"/>
              <w:left w:w="108" w:type="dxa"/>
              <w:bottom w:w="0" w:type="dxa"/>
              <w:right w:w="108" w:type="dxa"/>
            </w:tcMar>
            <w:vAlign w:val="center"/>
          </w:tcPr>
          <w:p w14:paraId="24D4419A">
            <w:pPr>
              <w:widowControl w:val="0"/>
              <w:adjustRightInd w:val="0"/>
              <w:snapToGrid w:val="0"/>
              <w:jc w:val="center"/>
              <w:rPr>
                <w:snapToGrid w:val="0"/>
                <w:color w:val="auto"/>
                <w:kern w:val="0"/>
                <w:highlight w:val="none"/>
              </w:rPr>
            </w:pPr>
            <w:r>
              <w:rPr>
                <w:rFonts w:hint="eastAsia"/>
                <w:snapToGrid w:val="0"/>
                <w:color w:val="auto"/>
                <w:kern w:val="0"/>
                <w:highlight w:val="none"/>
              </w:rPr>
              <w:t>J104</w:t>
            </w:r>
          </w:p>
        </w:tc>
        <w:tc>
          <w:tcPr>
            <w:tcW w:w="1641" w:type="dxa"/>
            <w:tcMar>
              <w:top w:w="0" w:type="dxa"/>
              <w:left w:w="108" w:type="dxa"/>
              <w:bottom w:w="0" w:type="dxa"/>
              <w:right w:w="108" w:type="dxa"/>
            </w:tcMar>
            <w:vAlign w:val="center"/>
          </w:tcPr>
          <w:p w14:paraId="7DE565B1">
            <w:pPr>
              <w:widowControl w:val="0"/>
              <w:adjustRightInd w:val="0"/>
              <w:snapToGrid w:val="0"/>
              <w:jc w:val="center"/>
              <w:rPr>
                <w:snapToGrid w:val="0"/>
                <w:color w:val="auto"/>
                <w:kern w:val="0"/>
                <w:highlight w:val="none"/>
              </w:rPr>
            </w:pPr>
            <w:r>
              <w:rPr>
                <w:rFonts w:hint="eastAsia"/>
                <w:snapToGrid w:val="0"/>
                <w:color w:val="auto"/>
                <w:kern w:val="0"/>
                <w:highlight w:val="none"/>
              </w:rPr>
              <w:t>3265707.15</w:t>
            </w:r>
          </w:p>
        </w:tc>
        <w:tc>
          <w:tcPr>
            <w:tcW w:w="1641" w:type="dxa"/>
            <w:tcMar>
              <w:top w:w="0" w:type="dxa"/>
              <w:left w:w="108" w:type="dxa"/>
              <w:bottom w:w="0" w:type="dxa"/>
              <w:right w:w="108" w:type="dxa"/>
            </w:tcMar>
            <w:vAlign w:val="center"/>
          </w:tcPr>
          <w:p w14:paraId="647B32B5">
            <w:pPr>
              <w:widowControl w:val="0"/>
              <w:adjustRightInd w:val="0"/>
              <w:snapToGrid w:val="0"/>
              <w:jc w:val="center"/>
              <w:rPr>
                <w:snapToGrid w:val="0"/>
                <w:color w:val="auto"/>
                <w:kern w:val="0"/>
                <w:highlight w:val="none"/>
              </w:rPr>
            </w:pPr>
            <w:r>
              <w:rPr>
                <w:rFonts w:hint="eastAsia"/>
                <w:snapToGrid w:val="0"/>
                <w:color w:val="auto"/>
                <w:kern w:val="0"/>
                <w:highlight w:val="none"/>
              </w:rPr>
              <w:t>41398699.13</w:t>
            </w:r>
          </w:p>
        </w:tc>
      </w:tr>
      <w:tr w14:paraId="350CB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0F34C508">
            <w:pPr>
              <w:widowControl w:val="0"/>
              <w:adjustRightInd w:val="0"/>
              <w:snapToGrid w:val="0"/>
              <w:jc w:val="center"/>
              <w:rPr>
                <w:snapToGrid w:val="0"/>
                <w:color w:val="auto"/>
                <w:kern w:val="0"/>
                <w:highlight w:val="none"/>
              </w:rPr>
            </w:pPr>
            <w:r>
              <w:rPr>
                <w:rFonts w:hint="eastAsia"/>
                <w:snapToGrid w:val="0"/>
                <w:color w:val="auto"/>
                <w:kern w:val="0"/>
                <w:highlight w:val="none"/>
              </w:rPr>
              <w:t>J151</w:t>
            </w:r>
          </w:p>
        </w:tc>
        <w:tc>
          <w:tcPr>
            <w:tcW w:w="1745" w:type="dxa"/>
            <w:tcMar>
              <w:top w:w="0" w:type="dxa"/>
              <w:left w:w="108" w:type="dxa"/>
              <w:bottom w:w="0" w:type="dxa"/>
              <w:right w:w="108" w:type="dxa"/>
            </w:tcMar>
            <w:vAlign w:val="center"/>
          </w:tcPr>
          <w:p w14:paraId="76777608">
            <w:pPr>
              <w:widowControl w:val="0"/>
              <w:adjustRightInd w:val="0"/>
              <w:snapToGrid w:val="0"/>
              <w:jc w:val="center"/>
              <w:rPr>
                <w:snapToGrid w:val="0"/>
                <w:color w:val="auto"/>
                <w:kern w:val="0"/>
                <w:highlight w:val="none"/>
              </w:rPr>
            </w:pPr>
            <w:r>
              <w:rPr>
                <w:rFonts w:hint="eastAsia"/>
                <w:snapToGrid w:val="0"/>
                <w:color w:val="auto"/>
                <w:kern w:val="0"/>
                <w:highlight w:val="none"/>
              </w:rPr>
              <w:t>3265554.07</w:t>
            </w:r>
          </w:p>
        </w:tc>
        <w:tc>
          <w:tcPr>
            <w:tcW w:w="1710" w:type="dxa"/>
            <w:tcMar>
              <w:top w:w="0" w:type="dxa"/>
              <w:left w:w="108" w:type="dxa"/>
              <w:bottom w:w="0" w:type="dxa"/>
              <w:right w:w="108" w:type="dxa"/>
            </w:tcMar>
            <w:vAlign w:val="center"/>
          </w:tcPr>
          <w:p w14:paraId="5FF7FE9A">
            <w:pPr>
              <w:widowControl w:val="0"/>
              <w:adjustRightInd w:val="0"/>
              <w:snapToGrid w:val="0"/>
              <w:jc w:val="center"/>
              <w:rPr>
                <w:snapToGrid w:val="0"/>
                <w:color w:val="auto"/>
                <w:kern w:val="0"/>
                <w:highlight w:val="none"/>
              </w:rPr>
            </w:pPr>
            <w:r>
              <w:rPr>
                <w:rFonts w:hint="eastAsia"/>
                <w:snapToGrid w:val="0"/>
                <w:color w:val="auto"/>
                <w:kern w:val="0"/>
                <w:highlight w:val="none"/>
              </w:rPr>
              <w:t>41398786.89</w:t>
            </w:r>
          </w:p>
        </w:tc>
        <w:tc>
          <w:tcPr>
            <w:tcW w:w="843" w:type="dxa"/>
            <w:tcMar>
              <w:top w:w="0" w:type="dxa"/>
              <w:left w:w="108" w:type="dxa"/>
              <w:bottom w:w="0" w:type="dxa"/>
              <w:right w:w="108" w:type="dxa"/>
            </w:tcMar>
            <w:vAlign w:val="center"/>
          </w:tcPr>
          <w:p w14:paraId="47EF30C9">
            <w:pPr>
              <w:widowControl w:val="0"/>
              <w:adjustRightInd w:val="0"/>
              <w:snapToGrid w:val="0"/>
              <w:jc w:val="center"/>
              <w:rPr>
                <w:snapToGrid w:val="0"/>
                <w:color w:val="auto"/>
                <w:kern w:val="0"/>
                <w:highlight w:val="none"/>
              </w:rPr>
            </w:pPr>
            <w:r>
              <w:rPr>
                <w:rFonts w:hint="eastAsia"/>
                <w:snapToGrid w:val="0"/>
                <w:color w:val="auto"/>
                <w:kern w:val="0"/>
                <w:highlight w:val="none"/>
              </w:rPr>
              <w:t>J103</w:t>
            </w:r>
          </w:p>
        </w:tc>
        <w:tc>
          <w:tcPr>
            <w:tcW w:w="1641" w:type="dxa"/>
            <w:tcMar>
              <w:top w:w="0" w:type="dxa"/>
              <w:left w:w="108" w:type="dxa"/>
              <w:bottom w:w="0" w:type="dxa"/>
              <w:right w:w="108" w:type="dxa"/>
            </w:tcMar>
            <w:vAlign w:val="center"/>
          </w:tcPr>
          <w:p w14:paraId="3E2F7CDD">
            <w:pPr>
              <w:widowControl w:val="0"/>
              <w:adjustRightInd w:val="0"/>
              <w:snapToGrid w:val="0"/>
              <w:jc w:val="center"/>
              <w:rPr>
                <w:snapToGrid w:val="0"/>
                <w:color w:val="auto"/>
                <w:kern w:val="0"/>
                <w:highlight w:val="none"/>
              </w:rPr>
            </w:pPr>
            <w:r>
              <w:rPr>
                <w:rFonts w:hint="eastAsia"/>
                <w:snapToGrid w:val="0"/>
                <w:color w:val="auto"/>
                <w:kern w:val="0"/>
                <w:highlight w:val="none"/>
              </w:rPr>
              <w:t>3265710.15</w:t>
            </w:r>
          </w:p>
        </w:tc>
        <w:tc>
          <w:tcPr>
            <w:tcW w:w="1641" w:type="dxa"/>
            <w:tcMar>
              <w:top w:w="0" w:type="dxa"/>
              <w:left w:w="108" w:type="dxa"/>
              <w:bottom w:w="0" w:type="dxa"/>
              <w:right w:w="108" w:type="dxa"/>
            </w:tcMar>
            <w:vAlign w:val="center"/>
          </w:tcPr>
          <w:p w14:paraId="3ED60F10">
            <w:pPr>
              <w:widowControl w:val="0"/>
              <w:adjustRightInd w:val="0"/>
              <w:snapToGrid w:val="0"/>
              <w:jc w:val="center"/>
              <w:rPr>
                <w:snapToGrid w:val="0"/>
                <w:color w:val="auto"/>
                <w:kern w:val="0"/>
                <w:highlight w:val="none"/>
              </w:rPr>
            </w:pPr>
            <w:r>
              <w:rPr>
                <w:rFonts w:hint="eastAsia"/>
                <w:snapToGrid w:val="0"/>
                <w:color w:val="auto"/>
                <w:kern w:val="0"/>
                <w:highlight w:val="none"/>
              </w:rPr>
              <w:t>41398720.76</w:t>
            </w:r>
          </w:p>
        </w:tc>
      </w:tr>
      <w:tr w14:paraId="3A3C4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1016" w:type="dxa"/>
            <w:tcMar>
              <w:top w:w="0" w:type="dxa"/>
              <w:left w:w="108" w:type="dxa"/>
              <w:bottom w:w="0" w:type="dxa"/>
              <w:right w:w="108" w:type="dxa"/>
            </w:tcMar>
            <w:vAlign w:val="center"/>
          </w:tcPr>
          <w:p w14:paraId="44F1CE09">
            <w:pPr>
              <w:widowControl w:val="0"/>
              <w:adjustRightInd w:val="0"/>
              <w:snapToGrid w:val="0"/>
              <w:jc w:val="center"/>
              <w:rPr>
                <w:snapToGrid w:val="0"/>
                <w:color w:val="auto"/>
                <w:kern w:val="0"/>
                <w:highlight w:val="none"/>
              </w:rPr>
            </w:pPr>
            <w:r>
              <w:rPr>
                <w:rFonts w:hint="eastAsia"/>
                <w:snapToGrid w:val="0"/>
                <w:color w:val="auto"/>
                <w:kern w:val="0"/>
                <w:highlight w:val="none"/>
              </w:rPr>
              <w:t>J152</w:t>
            </w:r>
          </w:p>
        </w:tc>
        <w:tc>
          <w:tcPr>
            <w:tcW w:w="1745" w:type="dxa"/>
            <w:tcMar>
              <w:top w:w="0" w:type="dxa"/>
              <w:left w:w="108" w:type="dxa"/>
              <w:bottom w:w="0" w:type="dxa"/>
              <w:right w:w="108" w:type="dxa"/>
            </w:tcMar>
            <w:vAlign w:val="center"/>
          </w:tcPr>
          <w:p w14:paraId="0B7A0DD5">
            <w:pPr>
              <w:widowControl w:val="0"/>
              <w:adjustRightInd w:val="0"/>
              <w:snapToGrid w:val="0"/>
              <w:jc w:val="center"/>
              <w:rPr>
                <w:snapToGrid w:val="0"/>
                <w:color w:val="auto"/>
                <w:kern w:val="0"/>
                <w:highlight w:val="none"/>
              </w:rPr>
            </w:pPr>
            <w:r>
              <w:rPr>
                <w:rFonts w:hint="eastAsia"/>
                <w:snapToGrid w:val="0"/>
                <w:color w:val="auto"/>
                <w:kern w:val="0"/>
                <w:highlight w:val="none"/>
              </w:rPr>
              <w:t>3265538.94</w:t>
            </w:r>
          </w:p>
        </w:tc>
        <w:tc>
          <w:tcPr>
            <w:tcW w:w="1710" w:type="dxa"/>
            <w:tcMar>
              <w:top w:w="0" w:type="dxa"/>
              <w:left w:w="108" w:type="dxa"/>
              <w:bottom w:w="0" w:type="dxa"/>
              <w:right w:w="108" w:type="dxa"/>
            </w:tcMar>
            <w:vAlign w:val="center"/>
          </w:tcPr>
          <w:p w14:paraId="647160B2">
            <w:pPr>
              <w:widowControl w:val="0"/>
              <w:adjustRightInd w:val="0"/>
              <w:snapToGrid w:val="0"/>
              <w:jc w:val="center"/>
              <w:rPr>
                <w:snapToGrid w:val="0"/>
                <w:color w:val="auto"/>
                <w:kern w:val="0"/>
                <w:highlight w:val="none"/>
              </w:rPr>
            </w:pPr>
            <w:r>
              <w:rPr>
                <w:rFonts w:hint="eastAsia"/>
                <w:snapToGrid w:val="0"/>
                <w:color w:val="auto"/>
                <w:kern w:val="0"/>
                <w:highlight w:val="none"/>
              </w:rPr>
              <w:t>41398729.38</w:t>
            </w:r>
          </w:p>
        </w:tc>
        <w:tc>
          <w:tcPr>
            <w:tcW w:w="843" w:type="dxa"/>
            <w:tcMar>
              <w:top w:w="0" w:type="dxa"/>
              <w:left w:w="108" w:type="dxa"/>
              <w:bottom w:w="0" w:type="dxa"/>
              <w:right w:w="108" w:type="dxa"/>
            </w:tcMar>
            <w:vAlign w:val="center"/>
          </w:tcPr>
          <w:p w14:paraId="6C976EF8">
            <w:pPr>
              <w:widowControl w:val="0"/>
              <w:adjustRightInd w:val="0"/>
              <w:snapToGrid w:val="0"/>
              <w:jc w:val="center"/>
              <w:rPr>
                <w:snapToGrid w:val="0"/>
                <w:color w:val="auto"/>
                <w:kern w:val="0"/>
                <w:highlight w:val="none"/>
              </w:rPr>
            </w:pPr>
            <w:r>
              <w:rPr>
                <w:rFonts w:hint="eastAsia"/>
                <w:snapToGrid w:val="0"/>
                <w:color w:val="auto"/>
                <w:kern w:val="0"/>
                <w:highlight w:val="none"/>
              </w:rPr>
              <w:t>J102</w:t>
            </w:r>
          </w:p>
        </w:tc>
        <w:tc>
          <w:tcPr>
            <w:tcW w:w="1641" w:type="dxa"/>
            <w:tcMar>
              <w:top w:w="0" w:type="dxa"/>
              <w:left w:w="108" w:type="dxa"/>
              <w:bottom w:w="0" w:type="dxa"/>
              <w:right w:w="108" w:type="dxa"/>
            </w:tcMar>
            <w:vAlign w:val="center"/>
          </w:tcPr>
          <w:p w14:paraId="088905ED">
            <w:pPr>
              <w:widowControl w:val="0"/>
              <w:adjustRightInd w:val="0"/>
              <w:snapToGrid w:val="0"/>
              <w:jc w:val="center"/>
              <w:rPr>
                <w:snapToGrid w:val="0"/>
                <w:color w:val="auto"/>
                <w:kern w:val="0"/>
                <w:highlight w:val="none"/>
              </w:rPr>
            </w:pPr>
            <w:r>
              <w:rPr>
                <w:rFonts w:hint="eastAsia"/>
                <w:snapToGrid w:val="0"/>
                <w:color w:val="auto"/>
                <w:kern w:val="0"/>
                <w:highlight w:val="none"/>
              </w:rPr>
              <w:t>3265719.21</w:t>
            </w:r>
          </w:p>
        </w:tc>
        <w:tc>
          <w:tcPr>
            <w:tcW w:w="1641" w:type="dxa"/>
            <w:tcMar>
              <w:top w:w="0" w:type="dxa"/>
              <w:left w:w="108" w:type="dxa"/>
              <w:bottom w:w="0" w:type="dxa"/>
              <w:right w:w="108" w:type="dxa"/>
            </w:tcMar>
            <w:vAlign w:val="center"/>
          </w:tcPr>
          <w:p w14:paraId="0BB502E2">
            <w:pPr>
              <w:widowControl w:val="0"/>
              <w:adjustRightInd w:val="0"/>
              <w:snapToGrid w:val="0"/>
              <w:jc w:val="center"/>
              <w:rPr>
                <w:snapToGrid w:val="0"/>
                <w:color w:val="auto"/>
                <w:kern w:val="0"/>
                <w:highlight w:val="none"/>
              </w:rPr>
            </w:pPr>
            <w:r>
              <w:rPr>
                <w:rFonts w:hint="eastAsia"/>
                <w:snapToGrid w:val="0"/>
                <w:color w:val="auto"/>
                <w:kern w:val="0"/>
                <w:highlight w:val="none"/>
              </w:rPr>
              <w:t>41398729.27</w:t>
            </w:r>
          </w:p>
        </w:tc>
      </w:tr>
      <w:tr w14:paraId="79EA6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0" w:hRule="atLeast"/>
          <w:jc w:val="center"/>
        </w:trPr>
        <w:tc>
          <w:tcPr>
            <w:tcW w:w="8596" w:type="dxa"/>
            <w:gridSpan w:val="6"/>
            <w:tcMar>
              <w:top w:w="0" w:type="dxa"/>
              <w:left w:w="108" w:type="dxa"/>
              <w:bottom w:w="0" w:type="dxa"/>
              <w:right w:w="108" w:type="dxa"/>
            </w:tcMar>
            <w:vAlign w:val="center"/>
          </w:tcPr>
          <w:p w14:paraId="36125F9A">
            <w:pPr>
              <w:widowControl w:val="0"/>
              <w:adjustRightInd w:val="0"/>
              <w:snapToGrid w:val="0"/>
              <w:jc w:val="left"/>
              <w:rPr>
                <w:snapToGrid w:val="0"/>
                <w:color w:val="auto"/>
                <w:kern w:val="0"/>
                <w:highlight w:val="none"/>
              </w:rPr>
            </w:pPr>
            <w:r>
              <w:rPr>
                <w:rFonts w:hint="eastAsia"/>
                <w:snapToGrid w:val="0"/>
                <w:color w:val="auto"/>
                <w:kern w:val="0"/>
                <w:highlight w:val="none"/>
              </w:rPr>
              <w:t>矿区面积0.0533平方千米，现状标高+8.50米至+3.00米，最终边坡角0°</w:t>
            </w:r>
          </w:p>
        </w:tc>
      </w:tr>
    </w:tbl>
    <w:p w14:paraId="31B383AB">
      <w:pPr>
        <w:widowControl w:val="0"/>
        <w:adjustRightInd w:val="0"/>
        <w:snapToGrid w:val="0"/>
        <w:rPr>
          <w:color w:val="auto"/>
          <w:highlight w:val="none"/>
        </w:rPr>
      </w:pPr>
    </w:p>
    <w:p w14:paraId="4ECEFC48">
      <w:pPr>
        <w:pStyle w:val="437"/>
        <w:keepNext w:val="0"/>
        <w:keepLines w:val="0"/>
        <w:adjustRightInd w:val="0"/>
        <w:snapToGrid w:val="0"/>
        <w:ind w:firstLine="480"/>
        <w:jc w:val="both"/>
        <w:rPr>
          <w:color w:val="auto"/>
          <w:sz w:val="24"/>
          <w:szCs w:val="24"/>
          <w:highlight w:val="none"/>
          <w:lang w:val="en-US"/>
        </w:rPr>
      </w:pPr>
      <w:bookmarkStart w:id="74" w:name="_Toc173761962"/>
      <w:r>
        <w:rPr>
          <w:rFonts w:hint="eastAsia"/>
          <w:color w:val="auto"/>
          <w:sz w:val="24"/>
          <w:szCs w:val="24"/>
          <w:highlight w:val="none"/>
          <w:lang w:val="en-US"/>
        </w:rPr>
        <w:t>（四）开采矿种</w:t>
      </w:r>
      <w:bookmarkEnd w:id="74"/>
    </w:p>
    <w:p w14:paraId="75B122BB">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建筑用石料（凝灰岩）。</w:t>
      </w:r>
    </w:p>
    <w:p w14:paraId="278E5233">
      <w:pPr>
        <w:widowControl w:val="0"/>
        <w:adjustRightInd w:val="0"/>
        <w:snapToGrid w:val="0"/>
        <w:rPr>
          <w:color w:val="auto"/>
          <w:highlight w:val="none"/>
        </w:rPr>
      </w:pPr>
    </w:p>
    <w:p w14:paraId="19F44885">
      <w:pPr>
        <w:pStyle w:val="437"/>
        <w:keepNext w:val="0"/>
        <w:keepLines w:val="0"/>
        <w:adjustRightInd w:val="0"/>
        <w:snapToGrid w:val="0"/>
        <w:ind w:firstLine="480"/>
        <w:jc w:val="both"/>
        <w:rPr>
          <w:color w:val="auto"/>
          <w:sz w:val="24"/>
          <w:szCs w:val="24"/>
          <w:highlight w:val="none"/>
          <w:lang w:val="en-US"/>
        </w:rPr>
      </w:pPr>
      <w:bookmarkStart w:id="75" w:name="_Toc173761963"/>
      <w:r>
        <w:rPr>
          <w:rFonts w:hint="eastAsia"/>
          <w:color w:val="auto"/>
          <w:sz w:val="24"/>
          <w:szCs w:val="24"/>
          <w:highlight w:val="none"/>
          <w:lang w:val="en-US"/>
        </w:rPr>
        <w:t>（五）开采方式</w:t>
      </w:r>
      <w:bookmarkEnd w:id="75"/>
    </w:p>
    <w:p w14:paraId="4B8ECF90">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露天开采。</w:t>
      </w:r>
    </w:p>
    <w:p w14:paraId="40BD9876">
      <w:pPr>
        <w:widowControl w:val="0"/>
        <w:adjustRightInd w:val="0"/>
        <w:snapToGrid w:val="0"/>
        <w:rPr>
          <w:color w:val="auto"/>
          <w:highlight w:val="none"/>
        </w:rPr>
      </w:pPr>
    </w:p>
    <w:p w14:paraId="448EB5D7">
      <w:pPr>
        <w:pStyle w:val="437"/>
        <w:keepNext w:val="0"/>
        <w:keepLines w:val="0"/>
        <w:adjustRightInd w:val="0"/>
        <w:snapToGrid w:val="0"/>
        <w:ind w:firstLine="480"/>
        <w:jc w:val="both"/>
        <w:rPr>
          <w:color w:val="auto"/>
          <w:sz w:val="24"/>
          <w:szCs w:val="24"/>
          <w:highlight w:val="none"/>
          <w:lang w:val="en-US"/>
        </w:rPr>
      </w:pPr>
      <w:bookmarkStart w:id="76" w:name="_Toc173761964"/>
      <w:r>
        <w:rPr>
          <w:rFonts w:hint="eastAsia"/>
          <w:color w:val="auto"/>
          <w:sz w:val="24"/>
          <w:szCs w:val="24"/>
          <w:highlight w:val="none"/>
          <w:lang w:val="en-US"/>
        </w:rPr>
        <w:t>（六）矿区资源储量及其他</w:t>
      </w:r>
      <w:bookmarkEnd w:id="76"/>
    </w:p>
    <w:p w14:paraId="68405331">
      <w:pPr>
        <w:pStyle w:val="24"/>
        <w:rPr>
          <w:color w:val="auto"/>
          <w:highlight w:val="none"/>
        </w:rPr>
      </w:pPr>
      <w:r>
        <w:rPr>
          <w:rFonts w:hint="eastAsia"/>
          <w:color w:val="auto"/>
          <w:highlight w:val="none"/>
        </w:rPr>
        <w:t>1、矿区范围内建筑用石料（凝灰岩）控制资源量为996.73万立方米（2581.04万吨），其中建筑用石料（凝灰岩）资源量为960.72万立方米（2497.87万吨），强风化石料资源量为36.01万立方米（83.17万吨）。另剥离量为26.84万立方米。</w:t>
      </w:r>
    </w:p>
    <w:p w14:paraId="53EBD4A5">
      <w:pPr>
        <w:pStyle w:val="24"/>
        <w:rPr>
          <w:color w:val="auto"/>
          <w:highlight w:val="none"/>
        </w:rPr>
      </w:pPr>
      <w:r>
        <w:rPr>
          <w:rFonts w:hint="eastAsia"/>
          <w:color w:val="auto"/>
          <w:highlight w:val="none"/>
        </w:rPr>
        <w:t>2、采购人指定的临近矿区附近约80万吨工程石料（</w:t>
      </w:r>
      <w:r>
        <w:rPr>
          <w:rFonts w:hint="eastAsia"/>
          <w:color w:val="auto"/>
          <w:highlight w:val="none"/>
        </w:rPr>
        <w:t>如有</w:t>
      </w:r>
      <w:r>
        <w:rPr>
          <w:rFonts w:hint="eastAsia"/>
          <w:color w:val="auto"/>
          <w:highlight w:val="none"/>
        </w:rPr>
        <w:t>）。</w:t>
      </w:r>
    </w:p>
    <w:p w14:paraId="306E78F7">
      <w:pPr>
        <w:widowControl w:val="0"/>
        <w:adjustRightInd w:val="0"/>
        <w:snapToGrid w:val="0"/>
        <w:rPr>
          <w:color w:val="auto"/>
          <w:highlight w:val="none"/>
        </w:rPr>
      </w:pPr>
    </w:p>
    <w:p w14:paraId="7D9F1386">
      <w:pPr>
        <w:pStyle w:val="437"/>
        <w:keepNext w:val="0"/>
        <w:keepLines w:val="0"/>
        <w:adjustRightInd w:val="0"/>
        <w:snapToGrid w:val="0"/>
        <w:ind w:firstLine="480"/>
        <w:jc w:val="both"/>
        <w:rPr>
          <w:color w:val="auto"/>
          <w:sz w:val="24"/>
          <w:szCs w:val="24"/>
          <w:highlight w:val="none"/>
          <w:lang w:val="en-US"/>
        </w:rPr>
      </w:pPr>
      <w:bookmarkStart w:id="77" w:name="_Toc173761965"/>
      <w:r>
        <w:rPr>
          <w:rFonts w:hint="eastAsia"/>
          <w:color w:val="auto"/>
          <w:sz w:val="24"/>
          <w:szCs w:val="24"/>
          <w:highlight w:val="none"/>
          <w:lang w:val="en-US"/>
        </w:rPr>
        <w:t>（七）项目批复文件许可情况</w:t>
      </w:r>
      <w:bookmarkEnd w:id="77"/>
    </w:p>
    <w:p w14:paraId="5ABCE567">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浙江省自然资源厅关于进一步做好矿地综合利用开发项目采矿权设置有关工作的通知》（浙自然资发〔2019〕25号）文件、象山县发展和改革局文件《关于象山县爵溪街道小微企业集聚区配套基础设施建设工程项目建议书的批复》（象发改审批〔2020〕291号）、《关于象山县爵溪街道小微企业聚集区矿地综合开发利用项目环境影响报告表的批复》（浙象环许〔2023〕53号）、《象山县人民政府关于同意象山县爵溪街道小微企业聚集区矿地综合开发利用项目立项的批复》（象政复〔2023〕72号）、浙江省象山县爵溪街道小微企业集聚区建筑用石料（凝灰岩）矿采矿许可证（证号：C3302252024057140156835，象山县自然资源和规划局，2024年5月10日）等。</w:t>
      </w:r>
    </w:p>
    <w:p w14:paraId="1BB985A6">
      <w:pPr>
        <w:widowControl w:val="0"/>
        <w:adjustRightInd w:val="0"/>
        <w:snapToGrid w:val="0"/>
        <w:rPr>
          <w:color w:val="auto"/>
          <w:highlight w:val="none"/>
        </w:rPr>
      </w:pPr>
      <w:bookmarkStart w:id="78" w:name="_Toc65041605"/>
    </w:p>
    <w:p w14:paraId="3748F3FE">
      <w:pPr>
        <w:widowControl w:val="0"/>
        <w:adjustRightInd w:val="0"/>
        <w:snapToGrid w:val="0"/>
        <w:rPr>
          <w:color w:val="auto"/>
          <w:highlight w:val="none"/>
        </w:rPr>
      </w:pPr>
    </w:p>
    <w:p w14:paraId="04C52414">
      <w:pPr>
        <w:widowControl w:val="0"/>
        <w:adjustRightInd w:val="0"/>
        <w:snapToGrid w:val="0"/>
        <w:rPr>
          <w:color w:val="auto"/>
          <w:highlight w:val="none"/>
        </w:rPr>
      </w:pPr>
    </w:p>
    <w:p w14:paraId="1A05CDB6">
      <w:pPr>
        <w:pStyle w:val="417"/>
        <w:rPr>
          <w:color w:val="auto"/>
          <w:highlight w:val="none"/>
        </w:rPr>
      </w:pPr>
      <w:bookmarkStart w:id="79" w:name="_Toc173761966"/>
      <w:r>
        <w:rPr>
          <w:rFonts w:hint="eastAsia"/>
          <w:color w:val="auto"/>
          <w:highlight w:val="none"/>
        </w:rPr>
        <w:t>二、矿产资源开发开采基本要求</w:t>
      </w:r>
      <w:bookmarkEnd w:id="78"/>
      <w:bookmarkEnd w:id="79"/>
    </w:p>
    <w:p w14:paraId="6BB18CAA">
      <w:pPr>
        <w:pStyle w:val="437"/>
        <w:keepNext w:val="0"/>
        <w:keepLines w:val="0"/>
        <w:adjustRightInd w:val="0"/>
        <w:snapToGrid w:val="0"/>
        <w:ind w:firstLine="480"/>
        <w:jc w:val="both"/>
        <w:rPr>
          <w:color w:val="auto"/>
          <w:sz w:val="24"/>
          <w:szCs w:val="24"/>
          <w:highlight w:val="none"/>
          <w:lang w:val="en-US"/>
        </w:rPr>
      </w:pPr>
      <w:bookmarkStart w:id="80" w:name="_Toc173761967"/>
      <w:r>
        <w:rPr>
          <w:rFonts w:hint="eastAsia"/>
          <w:color w:val="auto"/>
          <w:sz w:val="24"/>
          <w:szCs w:val="24"/>
          <w:highlight w:val="none"/>
          <w:lang w:val="en-US"/>
        </w:rPr>
        <w:t>（一）计划服务期</w:t>
      </w:r>
      <w:bookmarkEnd w:id="80"/>
    </w:p>
    <w:p w14:paraId="156E55E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合同履行期限（计划服务期）：自采矿许可证颁发之日起5年（含矿区及配套基础设施建设工期，</w:t>
      </w:r>
      <w:r>
        <w:rPr>
          <w:rFonts w:hint="eastAsia" w:hAnsi="宋体"/>
          <w:color w:val="auto"/>
          <w:sz w:val="24"/>
          <w:highlight w:val="none"/>
        </w:rPr>
        <w:t>开采截止时间延长的顺延</w:t>
      </w:r>
      <w:r>
        <w:rPr>
          <w:rFonts w:hint="eastAsia" w:cs="宋体"/>
          <w:snapToGrid w:val="0"/>
          <w:color w:val="auto"/>
          <w:kern w:val="0"/>
          <w:sz w:val="24"/>
          <w:szCs w:val="21"/>
          <w:highlight w:val="none"/>
        </w:rPr>
        <w:t>）。</w:t>
      </w:r>
    </w:p>
    <w:p w14:paraId="44E1B05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其中：</w:t>
      </w:r>
    </w:p>
    <w:p w14:paraId="33F8035D">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1、本项目施工图设计（包括矿山工程、石料生产加工生产线、加工厂房、配套基础设施、安全设施、矿山地质环境保护与土地复垦等）服务期：自中标通知书发出后60天内完成施工图设计。</w:t>
      </w:r>
    </w:p>
    <w:p w14:paraId="21213C05">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2、矿区及配套基础设施施工工期：开工令发出后6个月内完成，且满足整体工程、行业监督部门及采购人需要。</w:t>
      </w:r>
    </w:p>
    <w:p w14:paraId="79BE6A07">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施工工期包括：矿山工程建设、石料生产加工生产线建设（包含机电设备安装、其它地面辅助生产系统、矿区配套公辅工程的建设）、加工厂房、智能化数字监管平台（矿山安全生产监管平台、矿产资源开发利用监管平台等）建设、外部连接道路等建设，试生产后满足竣工验收审核、报批要求并取得安全生产许可证、排污许可证。</w:t>
      </w:r>
    </w:p>
    <w:p w14:paraId="10EA8438">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3、矿山开采后的矿山地质环境保护与土地复垦在开采截止时间同时完成（若开采截止时间延长，则工期顺延）。</w:t>
      </w:r>
    </w:p>
    <w:p w14:paraId="0D284C7E">
      <w:pPr>
        <w:pStyle w:val="20"/>
        <w:adjustRightInd w:val="0"/>
        <w:snapToGrid w:val="0"/>
        <w:spacing w:line="300" w:lineRule="auto"/>
        <w:ind w:firstLine="480" w:firstLineChars="200"/>
        <w:jc w:val="both"/>
        <w:rPr>
          <w:rFonts w:cs="宋体"/>
          <w:b/>
          <w:snapToGrid w:val="0"/>
          <w:color w:val="auto"/>
          <w:kern w:val="0"/>
          <w:sz w:val="24"/>
          <w:szCs w:val="21"/>
          <w:highlight w:val="none"/>
        </w:rPr>
      </w:pPr>
      <w:r>
        <w:rPr>
          <w:rFonts w:hint="eastAsia" w:cs="宋体"/>
          <w:snapToGrid w:val="0"/>
          <w:color w:val="auto"/>
          <w:kern w:val="0"/>
          <w:sz w:val="24"/>
          <w:szCs w:val="21"/>
          <w:highlight w:val="none"/>
        </w:rPr>
        <w:t>4、外运配套码头工程工期要求：须在合同签订后18个月内完成，包括前期工作、初步设计、施工图设计</w:t>
      </w:r>
      <w:r>
        <w:rPr>
          <w:rFonts w:hint="eastAsia" w:cs="宋体"/>
          <w:snapToGrid w:val="0"/>
          <w:color w:val="auto"/>
          <w:kern w:val="0"/>
          <w:sz w:val="24"/>
          <w:szCs w:val="21"/>
          <w:highlight w:val="none"/>
        </w:rPr>
        <w:t>以及具备开工条件的一切行政许可</w:t>
      </w:r>
      <w:r>
        <w:rPr>
          <w:rFonts w:hint="eastAsia" w:cs="宋体"/>
          <w:snapToGrid w:val="0"/>
          <w:color w:val="auto"/>
          <w:kern w:val="0"/>
          <w:sz w:val="24"/>
          <w:szCs w:val="21"/>
          <w:highlight w:val="none"/>
        </w:rPr>
        <w:t>、施工和验收（维护期疏浚视船舶航行情况另行确定）。</w:t>
      </w:r>
    </w:p>
    <w:p w14:paraId="6BEE757A">
      <w:pPr>
        <w:widowControl w:val="0"/>
        <w:adjustRightInd w:val="0"/>
        <w:snapToGrid w:val="0"/>
        <w:rPr>
          <w:color w:val="auto"/>
          <w:highlight w:val="none"/>
        </w:rPr>
      </w:pPr>
    </w:p>
    <w:p w14:paraId="2FF712EE">
      <w:pPr>
        <w:pStyle w:val="437"/>
        <w:keepNext w:val="0"/>
        <w:keepLines w:val="0"/>
        <w:adjustRightInd w:val="0"/>
        <w:snapToGrid w:val="0"/>
        <w:ind w:firstLine="480"/>
        <w:jc w:val="both"/>
        <w:rPr>
          <w:color w:val="auto"/>
          <w:sz w:val="24"/>
          <w:szCs w:val="24"/>
          <w:highlight w:val="none"/>
          <w:lang w:val="en-US"/>
        </w:rPr>
      </w:pPr>
      <w:bookmarkStart w:id="81" w:name="_Toc173761968"/>
      <w:r>
        <w:rPr>
          <w:rFonts w:hint="eastAsia"/>
          <w:color w:val="auto"/>
          <w:sz w:val="24"/>
          <w:szCs w:val="24"/>
          <w:highlight w:val="none"/>
          <w:lang w:val="en-US"/>
        </w:rPr>
        <w:t>（二）生产规模</w:t>
      </w:r>
      <w:bookmarkEnd w:id="81"/>
    </w:p>
    <w:p w14:paraId="65BBAF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1、矿山开采规模：575万吨/年（不含临近矿区附近约80万吨工程石料）。</w:t>
      </w:r>
    </w:p>
    <w:p w14:paraId="4192E6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2、生产加工线建设规模：不少于300万吨/年，其中：</w:t>
      </w:r>
      <w:r>
        <w:rPr>
          <w:rFonts w:hint="eastAsia" w:cs="宋体"/>
          <w:snapToGrid w:val="0"/>
          <w:color w:val="auto"/>
          <w:kern w:val="0"/>
          <w:sz w:val="24"/>
          <w:szCs w:val="21"/>
          <w:highlight w:val="none"/>
        </w:rPr>
        <w:t>水洗碎石</w:t>
      </w:r>
      <w:r>
        <w:rPr>
          <w:rFonts w:hint="eastAsia" w:cs="宋体"/>
          <w:snapToGrid w:val="0"/>
          <w:color w:val="auto"/>
          <w:kern w:val="0"/>
          <w:sz w:val="24"/>
          <w:szCs w:val="21"/>
          <w:highlight w:val="none"/>
          <w:u w:val="single"/>
        </w:rPr>
        <w:t xml:space="preserve"> 不少于200 </w:t>
      </w:r>
      <w:r>
        <w:rPr>
          <w:rFonts w:hint="eastAsia" w:cs="宋体"/>
          <w:snapToGrid w:val="0"/>
          <w:color w:val="auto"/>
          <w:kern w:val="0"/>
          <w:sz w:val="24"/>
          <w:szCs w:val="21"/>
          <w:highlight w:val="none"/>
        </w:rPr>
        <w:t>万吨/年，整形机制砂</w:t>
      </w:r>
      <w:r>
        <w:rPr>
          <w:rFonts w:hint="eastAsia" w:cs="宋体"/>
          <w:snapToGrid w:val="0"/>
          <w:color w:val="auto"/>
          <w:kern w:val="0"/>
          <w:sz w:val="24"/>
          <w:szCs w:val="21"/>
          <w:highlight w:val="none"/>
          <w:u w:val="single"/>
        </w:rPr>
        <w:t xml:space="preserve"> 不少于100 </w:t>
      </w:r>
      <w:r>
        <w:rPr>
          <w:rFonts w:hint="eastAsia" w:cs="宋体"/>
          <w:snapToGrid w:val="0"/>
          <w:color w:val="auto"/>
          <w:kern w:val="0"/>
          <w:sz w:val="24"/>
          <w:szCs w:val="21"/>
          <w:highlight w:val="none"/>
        </w:rPr>
        <w:t>万吨/年。双方协商一致后产品种类比例可调。</w:t>
      </w:r>
    </w:p>
    <w:p w14:paraId="243FEE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3、产品类型：</w:t>
      </w:r>
    </w:p>
    <w:p w14:paraId="5BB9C382">
      <w:pPr>
        <w:pStyle w:val="79"/>
        <w:rPr>
          <w:snapToGrid/>
          <w:color w:val="auto"/>
          <w:highlight w:val="none"/>
        </w:rPr>
      </w:pPr>
      <w:r>
        <w:rPr>
          <w:rFonts w:hint="eastAsia"/>
          <w:snapToGrid/>
          <w:color w:val="auto"/>
          <w:highlight w:val="none"/>
        </w:rPr>
        <w:t>（1）抛海石料：</w:t>
      </w:r>
      <w:r>
        <w:rPr>
          <w:rFonts w:hint="eastAsia"/>
          <w:color w:val="auto"/>
          <w:highlight w:val="none"/>
        </w:rPr>
        <w:t>根据市场需求调整规格。</w:t>
      </w:r>
    </w:p>
    <w:p w14:paraId="321CE3F8">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（2）宕渣：最大块度不大于</w:t>
      </w:r>
      <w:r>
        <w:rPr>
          <w:rFonts w:hint="eastAsia" w:cs="宋体"/>
          <w:snapToGrid w:val="0"/>
          <w:color w:val="auto"/>
          <w:kern w:val="0"/>
          <w:sz w:val="24"/>
          <w:szCs w:val="24"/>
          <w:highlight w:val="none"/>
          <w:u w:val="single"/>
        </w:rPr>
        <w:t xml:space="preserve">  500  </w:t>
      </w:r>
      <w:r>
        <w:rPr>
          <w:rFonts w:hint="eastAsia" w:cs="宋体"/>
          <w:snapToGrid w:val="0"/>
          <w:color w:val="auto"/>
          <w:kern w:val="0"/>
          <w:sz w:val="24"/>
          <w:szCs w:val="24"/>
          <w:highlight w:val="none"/>
        </w:rPr>
        <w:t>mm。</w:t>
      </w:r>
    </w:p>
    <w:p w14:paraId="43B9D9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w:t>
      </w:r>
      <w:r>
        <w:rPr>
          <w:rFonts w:hint="eastAsia" w:cs="宋体"/>
          <w:snapToGrid w:val="0"/>
          <w:color w:val="auto"/>
          <w:kern w:val="0"/>
          <w:sz w:val="24"/>
          <w:szCs w:val="21"/>
          <w:highlight w:val="none"/>
        </w:rPr>
        <w:t>水洗碎石</w:t>
      </w:r>
      <w:r>
        <w:rPr>
          <w:rFonts w:hint="eastAsia" w:cs="宋体"/>
          <w:snapToGrid w:val="0"/>
          <w:color w:val="auto"/>
          <w:kern w:val="0"/>
          <w:sz w:val="24"/>
          <w:szCs w:val="21"/>
          <w:highlight w:val="none"/>
        </w:rPr>
        <w:t>：4.75-9.5mm、9.5-13.5mm、13.5-26.5mm，各档可调。</w:t>
      </w:r>
    </w:p>
    <w:p w14:paraId="10E2026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（4）整形机制砂：0-4.75mm。</w:t>
      </w:r>
    </w:p>
    <w:p w14:paraId="349DF7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注：产品包括并不限于宕碴和砂石料加工，供应商应根据约定标准进行矿产品生产销售，并对相关产品销售负有兜底责任。</w:t>
      </w:r>
    </w:p>
    <w:p w14:paraId="1E04429A">
      <w:pPr>
        <w:pStyle w:val="437"/>
        <w:keepNext w:val="0"/>
        <w:keepLines w:val="0"/>
        <w:adjustRightInd w:val="0"/>
        <w:snapToGrid w:val="0"/>
        <w:ind w:firstLine="480"/>
        <w:jc w:val="both"/>
        <w:rPr>
          <w:color w:val="auto"/>
          <w:sz w:val="24"/>
          <w:szCs w:val="24"/>
          <w:highlight w:val="none"/>
          <w:lang w:val="en-US"/>
        </w:rPr>
      </w:pPr>
      <w:bookmarkStart w:id="82" w:name="_Toc173761969"/>
      <w:r>
        <w:rPr>
          <w:rFonts w:hint="eastAsia"/>
          <w:color w:val="auto"/>
          <w:sz w:val="24"/>
          <w:szCs w:val="24"/>
          <w:highlight w:val="none"/>
          <w:lang w:val="en-US"/>
        </w:rPr>
        <w:t>▲（三）矿山系统安全、环保、开采加工、职业危害防护等基本要求</w:t>
      </w:r>
      <w:bookmarkEnd w:id="82"/>
    </w:p>
    <w:p w14:paraId="2E56D92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按照金属非金属矿山建设相关标准、规范要求，供应商中标后依照矿山预评价报告提出的建议，编制矿山《安全设施设计》和《初步设计》并严格按照评审通过的《安全设施设计》和《初步设计》组织实施矿山建设、矿产资源开发开采和生产加工，并按要求落实各项安全对策措施和防护设施设备，确保安全生产，在6个月内试生产后达到满足竣工验收审核、报批要求并取得安全生产许可证。</w:t>
      </w:r>
    </w:p>
    <w:p w14:paraId="54D61D2A">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按照《浙江省绿色矿山管理办法》（浙自然资规〔2022〕5号）、《浙江省应急管理厅关于印发&lt;浙江省矿山安全生产数字化基础部分建设指南（试行）&gt;等3个文件的通知》（浙应急基础〔2023〕119号）、《关于全面推进矿山数字化建设的通知》（浙自然资函〔2022〕104号）智能化绿色矿山“164”体系等要求进行绿色矿山建设、智能化数字监管平台（矿山安全生产监管平台、矿产资源开发利用监管平台等）建设和矿产资源开发利用，修复改善矿区环境，美化开采区地表景观。矿山正式投产6个月内完成浙江省绿色矿山建设。</w:t>
      </w:r>
    </w:p>
    <w:p w14:paraId="3529A63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按照《建设项目环境影响报告表》及批复组织实施矿山环保设施建设，严格矿山开采和生产加工、矿产品存储、运输等各工艺环节中的环境保护工作，落实《建设项目环境影响报告表》及批复提出的各项污染防治措施，项目竣工验收后须取得排污许可证。矿山合同履行期中严格“三废”管理、危险废物保存、处置等确保符合环保要求。</w:t>
      </w:r>
    </w:p>
    <w:p w14:paraId="19DAF45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4、严格按照《职业危害防治法》的有关要求，定期开展职业危害评价、职业危害检测和从业人员健康体检，职业危害禁忌症员工不得从事本项目相关禁忌工作。</w:t>
      </w:r>
    </w:p>
    <w:p w14:paraId="7FDC44F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严格按照《浙江省矿山粉尘防治技术规范（暂行）》要求，做好矿山粉尘防治。矿山凿岩、机械采掘、石料铲装等环节必须采取喷淋抑尘措施。矿区内装运、振动、破碎、筛分、储运等环节应全程封闭，采用湿式作业。矿区专用道路及成品料堆场必须做到地面硬化、分仓、雨污分流系统畅通。</w:t>
      </w:r>
    </w:p>
    <w:p w14:paraId="404F44C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严格按照评审通过的《施工设计方案》等要求，组织实施矿产资源开发利用和地质环境保护工作。必须严格按照“边开采、边治理、边恢复”的原则对矿区范围内的资源进行开采，在矿山关闭的同时完成矿山地质环境治理恢复和土地复垦工作。在矿山开发开采时需采取地质灾害防治措施，确保不发生地质灾害。</w:t>
      </w:r>
    </w:p>
    <w:p w14:paraId="75FC029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7、合同履行期应进行的安全评价、环保、职业危害检测、安全管理人员、特种作业人员和特种设备定期检定、检测等须严格按照相关要求执行。</w:t>
      </w:r>
    </w:p>
    <w:p w14:paraId="1A7E6D12">
      <w:pPr>
        <w:widowControl w:val="0"/>
        <w:adjustRightInd w:val="0"/>
        <w:snapToGrid w:val="0"/>
        <w:rPr>
          <w:color w:val="auto"/>
          <w:highlight w:val="none"/>
        </w:rPr>
      </w:pPr>
    </w:p>
    <w:p w14:paraId="5FFCA396">
      <w:pPr>
        <w:pStyle w:val="437"/>
        <w:keepNext w:val="0"/>
        <w:keepLines w:val="0"/>
        <w:adjustRightInd w:val="0"/>
        <w:snapToGrid w:val="0"/>
        <w:ind w:firstLine="480"/>
        <w:jc w:val="both"/>
        <w:rPr>
          <w:color w:val="auto"/>
          <w:sz w:val="24"/>
          <w:szCs w:val="24"/>
          <w:highlight w:val="none"/>
          <w:lang w:val="en-US"/>
        </w:rPr>
      </w:pPr>
      <w:bookmarkStart w:id="83" w:name="_Toc173761970"/>
      <w:r>
        <w:rPr>
          <w:rFonts w:hint="eastAsia"/>
          <w:color w:val="auto"/>
          <w:sz w:val="24"/>
          <w:szCs w:val="24"/>
          <w:highlight w:val="none"/>
          <w:lang w:val="en-US"/>
        </w:rPr>
        <w:t>（四）矿山设备、人员组织及管理架构</w:t>
      </w:r>
      <w:bookmarkEnd w:id="83"/>
    </w:p>
    <w:p w14:paraId="070633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snapToGrid w:val="0"/>
          <w:color w:val="auto"/>
          <w:kern w:val="0"/>
          <w:sz w:val="24"/>
          <w:szCs w:val="21"/>
          <w:highlight w:val="none"/>
        </w:rPr>
        <w:t>1、供应商设备的配备应满足年产575万吨的生产需要，设备、设施不能是自然资源部、应急管理部、住建部门明令禁止的设备、设施，人员配备满足年产575万吨的生产需要，安全管理人员、特种作业人员须持证上岗。</w:t>
      </w:r>
    </w:p>
    <w:p w14:paraId="37A664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snapToGrid w:val="0"/>
          <w:color w:val="auto"/>
          <w:kern w:val="0"/>
          <w:sz w:val="24"/>
          <w:szCs w:val="21"/>
          <w:highlight w:val="none"/>
        </w:rPr>
        <w:t>2、主要生产设备配置要求见下表，且必须满足生产要求，矿区内运输车辆、挖掘机、凿岩（钻机）设备等必须符合国家矿山安全、环保、节能等要求。</w:t>
      </w:r>
    </w:p>
    <w:p w14:paraId="05716937">
      <w:pPr>
        <w:widowControl w:val="0"/>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主要生产设备配置要求</w:t>
      </w:r>
    </w:p>
    <w:p w14:paraId="4D1928F9">
      <w:pPr>
        <w:widowControl w:val="0"/>
        <w:adjustRightInd w:val="0"/>
        <w:snapToGrid w:val="0"/>
        <w:rPr>
          <w:color w:val="auto"/>
          <w:highlight w:val="none"/>
        </w:rPr>
      </w:pP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452"/>
        <w:gridCol w:w="1865"/>
        <w:gridCol w:w="1976"/>
        <w:gridCol w:w="1275"/>
        <w:gridCol w:w="2127"/>
      </w:tblGrid>
      <w:tr w14:paraId="0A40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95" w:type="dxa"/>
            <w:vAlign w:val="center"/>
          </w:tcPr>
          <w:p w14:paraId="6ADE1C13">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1452" w:type="dxa"/>
            <w:vAlign w:val="center"/>
          </w:tcPr>
          <w:p w14:paraId="65E7EE79">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设备分类</w:t>
            </w:r>
          </w:p>
        </w:tc>
        <w:tc>
          <w:tcPr>
            <w:tcW w:w="1865" w:type="dxa"/>
            <w:vAlign w:val="center"/>
          </w:tcPr>
          <w:p w14:paraId="0DB4959D">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设备名称</w:t>
            </w:r>
          </w:p>
        </w:tc>
        <w:tc>
          <w:tcPr>
            <w:tcW w:w="1976" w:type="dxa"/>
            <w:vAlign w:val="center"/>
          </w:tcPr>
          <w:p w14:paraId="63DC72F6">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参考规格或型号</w:t>
            </w:r>
          </w:p>
        </w:tc>
        <w:tc>
          <w:tcPr>
            <w:tcW w:w="1275" w:type="dxa"/>
            <w:vAlign w:val="center"/>
          </w:tcPr>
          <w:p w14:paraId="1B3339C9">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数量</w:t>
            </w:r>
          </w:p>
        </w:tc>
        <w:tc>
          <w:tcPr>
            <w:tcW w:w="2127" w:type="dxa"/>
            <w:vAlign w:val="center"/>
          </w:tcPr>
          <w:p w14:paraId="173C9582">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备注</w:t>
            </w:r>
          </w:p>
        </w:tc>
      </w:tr>
      <w:tr w14:paraId="6571F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64940C24">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1452" w:type="dxa"/>
            <w:vMerge w:val="restart"/>
            <w:vAlign w:val="center"/>
          </w:tcPr>
          <w:p w14:paraId="1EA2AF00">
            <w:pPr>
              <w:widowControl w:val="0"/>
              <w:adjustRightInd w:val="0"/>
              <w:snapToGrid w:val="0"/>
              <w:jc w:val="left"/>
              <w:rPr>
                <w:snapToGrid w:val="0"/>
                <w:color w:val="auto"/>
                <w:kern w:val="0"/>
                <w:highlight w:val="none"/>
              </w:rPr>
            </w:pPr>
            <w:r>
              <w:rPr>
                <w:rFonts w:hint="eastAsia"/>
                <w:snapToGrid w:val="0"/>
                <w:color w:val="auto"/>
                <w:kern w:val="0"/>
                <w:highlight w:val="none"/>
              </w:rPr>
              <w:t>穿孔设备</w:t>
            </w:r>
          </w:p>
        </w:tc>
        <w:tc>
          <w:tcPr>
            <w:tcW w:w="1865" w:type="dxa"/>
            <w:vAlign w:val="center"/>
          </w:tcPr>
          <w:p w14:paraId="62205862">
            <w:pPr>
              <w:widowControl w:val="0"/>
              <w:adjustRightInd w:val="0"/>
              <w:snapToGrid w:val="0"/>
              <w:jc w:val="left"/>
              <w:rPr>
                <w:snapToGrid w:val="0"/>
                <w:color w:val="auto"/>
                <w:kern w:val="0"/>
                <w:highlight w:val="none"/>
              </w:rPr>
            </w:pPr>
            <w:r>
              <w:rPr>
                <w:rFonts w:hint="eastAsia"/>
                <w:snapToGrid w:val="0"/>
                <w:color w:val="auto"/>
                <w:kern w:val="0"/>
                <w:highlight w:val="none"/>
              </w:rPr>
              <w:t>潜孔钻机</w:t>
            </w:r>
          </w:p>
        </w:tc>
        <w:tc>
          <w:tcPr>
            <w:tcW w:w="1976" w:type="dxa"/>
            <w:vAlign w:val="center"/>
          </w:tcPr>
          <w:p w14:paraId="0DEB8916">
            <w:pPr>
              <w:widowControl w:val="0"/>
              <w:adjustRightInd w:val="0"/>
              <w:snapToGrid w:val="0"/>
              <w:jc w:val="left"/>
              <w:rPr>
                <w:snapToGrid w:val="0"/>
                <w:color w:val="auto"/>
                <w:kern w:val="0"/>
                <w:highlight w:val="none"/>
              </w:rPr>
            </w:pPr>
            <w:r>
              <w:rPr>
                <w:rFonts w:hint="eastAsia"/>
                <w:snapToGrid w:val="0"/>
                <w:color w:val="auto"/>
                <w:kern w:val="0"/>
                <w:highlight w:val="none"/>
              </w:rPr>
              <w:t>TY-370GN</w:t>
            </w:r>
          </w:p>
        </w:tc>
        <w:tc>
          <w:tcPr>
            <w:tcW w:w="1275" w:type="dxa"/>
            <w:vAlign w:val="center"/>
          </w:tcPr>
          <w:p w14:paraId="1FF6D089">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14:paraId="5AAACC71">
            <w:pPr>
              <w:widowControl w:val="0"/>
              <w:adjustRightInd w:val="0"/>
              <w:snapToGrid w:val="0"/>
              <w:jc w:val="left"/>
              <w:rPr>
                <w:snapToGrid w:val="0"/>
                <w:color w:val="auto"/>
                <w:kern w:val="0"/>
                <w:highlight w:val="none"/>
              </w:rPr>
            </w:pPr>
            <w:r>
              <w:rPr>
                <w:rFonts w:hint="eastAsia"/>
                <w:snapToGrid w:val="0"/>
                <w:color w:val="auto"/>
                <w:kern w:val="0"/>
                <w:highlight w:val="none"/>
              </w:rPr>
              <w:t>符合环保要求</w:t>
            </w:r>
          </w:p>
        </w:tc>
      </w:tr>
      <w:tr w14:paraId="5EA7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1634296">
            <w:pPr>
              <w:widowControl w:val="0"/>
              <w:adjustRightInd w:val="0"/>
              <w:snapToGrid w:val="0"/>
              <w:jc w:val="center"/>
              <w:rPr>
                <w:snapToGrid w:val="0"/>
                <w:color w:val="auto"/>
                <w:kern w:val="0"/>
                <w:highlight w:val="none"/>
              </w:rPr>
            </w:pPr>
          </w:p>
        </w:tc>
        <w:tc>
          <w:tcPr>
            <w:tcW w:w="1452" w:type="dxa"/>
            <w:vMerge w:val="continue"/>
            <w:vAlign w:val="center"/>
          </w:tcPr>
          <w:p w14:paraId="37FE6F13">
            <w:pPr>
              <w:widowControl w:val="0"/>
              <w:adjustRightInd w:val="0"/>
              <w:snapToGrid w:val="0"/>
              <w:jc w:val="left"/>
              <w:rPr>
                <w:snapToGrid w:val="0"/>
                <w:color w:val="auto"/>
                <w:kern w:val="0"/>
                <w:highlight w:val="none"/>
              </w:rPr>
            </w:pPr>
          </w:p>
        </w:tc>
        <w:tc>
          <w:tcPr>
            <w:tcW w:w="1865" w:type="dxa"/>
            <w:vAlign w:val="center"/>
          </w:tcPr>
          <w:p w14:paraId="36F80C09">
            <w:pPr>
              <w:widowControl w:val="0"/>
              <w:adjustRightInd w:val="0"/>
              <w:snapToGrid w:val="0"/>
              <w:jc w:val="left"/>
              <w:rPr>
                <w:snapToGrid w:val="0"/>
                <w:color w:val="auto"/>
                <w:kern w:val="0"/>
                <w:highlight w:val="none"/>
              </w:rPr>
            </w:pPr>
            <w:r>
              <w:rPr>
                <w:rFonts w:hint="eastAsia"/>
                <w:snapToGrid w:val="0"/>
                <w:color w:val="auto"/>
                <w:kern w:val="0"/>
                <w:highlight w:val="none"/>
              </w:rPr>
              <w:t>空压机</w:t>
            </w:r>
          </w:p>
        </w:tc>
        <w:tc>
          <w:tcPr>
            <w:tcW w:w="1976" w:type="dxa"/>
            <w:vAlign w:val="center"/>
          </w:tcPr>
          <w:p w14:paraId="64F290D4">
            <w:pPr>
              <w:widowControl w:val="0"/>
              <w:adjustRightInd w:val="0"/>
              <w:snapToGrid w:val="0"/>
              <w:jc w:val="left"/>
              <w:rPr>
                <w:snapToGrid w:val="0"/>
                <w:color w:val="auto"/>
                <w:kern w:val="0"/>
                <w:highlight w:val="none"/>
              </w:rPr>
            </w:pPr>
            <w:r>
              <w:rPr>
                <w:rFonts w:hint="eastAsia"/>
                <w:snapToGrid w:val="0"/>
                <w:color w:val="auto"/>
                <w:kern w:val="0"/>
                <w:highlight w:val="none"/>
              </w:rPr>
              <w:t>12立方</w:t>
            </w:r>
          </w:p>
        </w:tc>
        <w:tc>
          <w:tcPr>
            <w:tcW w:w="1275" w:type="dxa"/>
            <w:vAlign w:val="center"/>
          </w:tcPr>
          <w:p w14:paraId="48AB13DE">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14:paraId="66261957">
            <w:pPr>
              <w:widowControl w:val="0"/>
              <w:adjustRightInd w:val="0"/>
              <w:snapToGrid w:val="0"/>
              <w:jc w:val="left"/>
              <w:rPr>
                <w:snapToGrid w:val="0"/>
                <w:color w:val="auto"/>
                <w:kern w:val="0"/>
                <w:highlight w:val="none"/>
              </w:rPr>
            </w:pPr>
          </w:p>
        </w:tc>
      </w:tr>
      <w:tr w14:paraId="04349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4BE2C20B">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1452" w:type="dxa"/>
            <w:vMerge w:val="restart"/>
            <w:vAlign w:val="center"/>
          </w:tcPr>
          <w:p w14:paraId="553B04C6">
            <w:pPr>
              <w:widowControl w:val="0"/>
              <w:adjustRightInd w:val="0"/>
              <w:snapToGrid w:val="0"/>
              <w:jc w:val="left"/>
              <w:rPr>
                <w:snapToGrid w:val="0"/>
                <w:color w:val="auto"/>
                <w:kern w:val="0"/>
                <w:highlight w:val="none"/>
              </w:rPr>
            </w:pPr>
            <w:r>
              <w:rPr>
                <w:rFonts w:hint="eastAsia"/>
                <w:snapToGrid w:val="0"/>
                <w:color w:val="auto"/>
                <w:kern w:val="0"/>
                <w:highlight w:val="none"/>
              </w:rPr>
              <w:t>装运设备</w:t>
            </w:r>
          </w:p>
        </w:tc>
        <w:tc>
          <w:tcPr>
            <w:tcW w:w="1865" w:type="dxa"/>
            <w:vMerge w:val="restart"/>
            <w:vAlign w:val="center"/>
          </w:tcPr>
          <w:p w14:paraId="54330588">
            <w:pPr>
              <w:widowControl w:val="0"/>
              <w:adjustRightInd w:val="0"/>
              <w:snapToGrid w:val="0"/>
              <w:jc w:val="left"/>
              <w:rPr>
                <w:snapToGrid w:val="0"/>
                <w:color w:val="auto"/>
                <w:kern w:val="0"/>
                <w:highlight w:val="none"/>
              </w:rPr>
            </w:pPr>
            <w:r>
              <w:rPr>
                <w:rFonts w:hint="eastAsia"/>
                <w:snapToGrid w:val="0"/>
                <w:color w:val="auto"/>
                <w:kern w:val="0"/>
                <w:highlight w:val="none"/>
              </w:rPr>
              <w:t>挖掘机</w:t>
            </w:r>
          </w:p>
        </w:tc>
        <w:tc>
          <w:tcPr>
            <w:tcW w:w="1976" w:type="dxa"/>
            <w:vAlign w:val="center"/>
          </w:tcPr>
          <w:p w14:paraId="446817EF">
            <w:pPr>
              <w:widowControl w:val="0"/>
              <w:adjustRightInd w:val="0"/>
              <w:snapToGrid w:val="0"/>
              <w:jc w:val="left"/>
              <w:rPr>
                <w:snapToGrid w:val="0"/>
                <w:color w:val="auto"/>
                <w:kern w:val="0"/>
                <w:highlight w:val="none"/>
              </w:rPr>
            </w:pPr>
            <w:r>
              <w:rPr>
                <w:rFonts w:hint="eastAsia"/>
                <w:snapToGrid w:val="0"/>
                <w:color w:val="auto"/>
                <w:kern w:val="0"/>
                <w:highlight w:val="none"/>
              </w:rPr>
              <w:t>DH500LC-7</w:t>
            </w:r>
          </w:p>
        </w:tc>
        <w:tc>
          <w:tcPr>
            <w:tcW w:w="1275" w:type="dxa"/>
            <w:vAlign w:val="center"/>
          </w:tcPr>
          <w:p w14:paraId="686B0A62">
            <w:pPr>
              <w:widowControl w:val="0"/>
              <w:adjustRightInd w:val="0"/>
              <w:snapToGrid w:val="0"/>
              <w:jc w:val="center"/>
              <w:rPr>
                <w:snapToGrid w:val="0"/>
                <w:color w:val="auto"/>
                <w:kern w:val="0"/>
                <w:highlight w:val="none"/>
              </w:rPr>
            </w:pPr>
            <w:r>
              <w:rPr>
                <w:rFonts w:hint="eastAsia"/>
                <w:snapToGrid w:val="0"/>
                <w:color w:val="auto"/>
                <w:kern w:val="0"/>
                <w:highlight w:val="none"/>
              </w:rPr>
              <w:t>7台</w:t>
            </w:r>
          </w:p>
        </w:tc>
        <w:tc>
          <w:tcPr>
            <w:tcW w:w="2127" w:type="dxa"/>
            <w:vMerge w:val="restart"/>
            <w:vAlign w:val="center"/>
          </w:tcPr>
          <w:p w14:paraId="6D7A3448">
            <w:pPr>
              <w:widowControl w:val="0"/>
              <w:adjustRightInd w:val="0"/>
              <w:snapToGrid w:val="0"/>
              <w:jc w:val="left"/>
              <w:rPr>
                <w:snapToGrid w:val="0"/>
                <w:color w:val="auto"/>
                <w:kern w:val="0"/>
                <w:highlight w:val="none"/>
              </w:rPr>
            </w:pPr>
            <w:r>
              <w:rPr>
                <w:snapToGrid w:val="0"/>
                <w:color w:val="auto"/>
                <w:kern w:val="0"/>
                <w:highlight w:val="none"/>
              </w:rPr>
              <w:t>配液压破碎锤2只</w:t>
            </w:r>
          </w:p>
        </w:tc>
      </w:tr>
      <w:tr w14:paraId="4A70D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F96E4B1">
            <w:pPr>
              <w:widowControl w:val="0"/>
              <w:adjustRightInd w:val="0"/>
              <w:snapToGrid w:val="0"/>
              <w:jc w:val="center"/>
              <w:rPr>
                <w:snapToGrid w:val="0"/>
                <w:color w:val="auto"/>
                <w:kern w:val="0"/>
                <w:highlight w:val="none"/>
              </w:rPr>
            </w:pPr>
          </w:p>
        </w:tc>
        <w:tc>
          <w:tcPr>
            <w:tcW w:w="1452" w:type="dxa"/>
            <w:vMerge w:val="continue"/>
            <w:vAlign w:val="center"/>
          </w:tcPr>
          <w:p w14:paraId="0AD054BD">
            <w:pPr>
              <w:widowControl w:val="0"/>
              <w:adjustRightInd w:val="0"/>
              <w:snapToGrid w:val="0"/>
              <w:jc w:val="left"/>
              <w:rPr>
                <w:snapToGrid w:val="0"/>
                <w:color w:val="auto"/>
                <w:kern w:val="0"/>
                <w:highlight w:val="none"/>
              </w:rPr>
            </w:pPr>
          </w:p>
        </w:tc>
        <w:tc>
          <w:tcPr>
            <w:tcW w:w="1865" w:type="dxa"/>
            <w:vMerge w:val="continue"/>
            <w:vAlign w:val="center"/>
          </w:tcPr>
          <w:p w14:paraId="754F82A4">
            <w:pPr>
              <w:widowControl w:val="0"/>
              <w:adjustRightInd w:val="0"/>
              <w:snapToGrid w:val="0"/>
              <w:jc w:val="left"/>
              <w:rPr>
                <w:snapToGrid w:val="0"/>
                <w:color w:val="auto"/>
                <w:kern w:val="0"/>
                <w:highlight w:val="none"/>
              </w:rPr>
            </w:pPr>
          </w:p>
        </w:tc>
        <w:tc>
          <w:tcPr>
            <w:tcW w:w="1976" w:type="dxa"/>
            <w:vAlign w:val="center"/>
          </w:tcPr>
          <w:p w14:paraId="0653BF53">
            <w:pPr>
              <w:widowControl w:val="0"/>
              <w:adjustRightInd w:val="0"/>
              <w:snapToGrid w:val="0"/>
              <w:jc w:val="left"/>
              <w:rPr>
                <w:snapToGrid w:val="0"/>
                <w:color w:val="auto"/>
                <w:kern w:val="0"/>
                <w:highlight w:val="none"/>
              </w:rPr>
            </w:pPr>
            <w:r>
              <w:rPr>
                <w:rFonts w:hint="eastAsia"/>
                <w:snapToGrid w:val="0"/>
                <w:color w:val="auto"/>
                <w:kern w:val="0"/>
                <w:highlight w:val="none"/>
              </w:rPr>
              <w:t>PC200-8</w:t>
            </w:r>
          </w:p>
        </w:tc>
        <w:tc>
          <w:tcPr>
            <w:tcW w:w="1275" w:type="dxa"/>
            <w:vAlign w:val="center"/>
          </w:tcPr>
          <w:p w14:paraId="55DF7C70">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Merge w:val="continue"/>
            <w:vAlign w:val="center"/>
          </w:tcPr>
          <w:p w14:paraId="79B5B1BF">
            <w:pPr>
              <w:widowControl w:val="0"/>
              <w:adjustRightInd w:val="0"/>
              <w:snapToGrid w:val="0"/>
              <w:jc w:val="left"/>
              <w:rPr>
                <w:snapToGrid w:val="0"/>
                <w:color w:val="auto"/>
                <w:kern w:val="0"/>
                <w:highlight w:val="none"/>
              </w:rPr>
            </w:pPr>
          </w:p>
        </w:tc>
      </w:tr>
      <w:tr w14:paraId="5D2D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6E1093E">
            <w:pPr>
              <w:widowControl w:val="0"/>
              <w:adjustRightInd w:val="0"/>
              <w:snapToGrid w:val="0"/>
              <w:jc w:val="center"/>
              <w:rPr>
                <w:snapToGrid w:val="0"/>
                <w:color w:val="auto"/>
                <w:kern w:val="0"/>
                <w:highlight w:val="none"/>
              </w:rPr>
            </w:pPr>
          </w:p>
        </w:tc>
        <w:tc>
          <w:tcPr>
            <w:tcW w:w="1452" w:type="dxa"/>
            <w:vMerge w:val="continue"/>
            <w:vAlign w:val="center"/>
          </w:tcPr>
          <w:p w14:paraId="622C74D3">
            <w:pPr>
              <w:widowControl w:val="0"/>
              <w:adjustRightInd w:val="0"/>
              <w:snapToGrid w:val="0"/>
              <w:jc w:val="left"/>
              <w:rPr>
                <w:snapToGrid w:val="0"/>
                <w:color w:val="auto"/>
                <w:kern w:val="0"/>
                <w:highlight w:val="none"/>
              </w:rPr>
            </w:pPr>
          </w:p>
        </w:tc>
        <w:tc>
          <w:tcPr>
            <w:tcW w:w="1865" w:type="dxa"/>
            <w:vAlign w:val="center"/>
          </w:tcPr>
          <w:p w14:paraId="5E8AB2AB">
            <w:pPr>
              <w:widowControl w:val="0"/>
              <w:adjustRightInd w:val="0"/>
              <w:snapToGrid w:val="0"/>
              <w:jc w:val="left"/>
              <w:rPr>
                <w:snapToGrid w:val="0"/>
                <w:color w:val="auto"/>
                <w:kern w:val="0"/>
                <w:highlight w:val="none"/>
              </w:rPr>
            </w:pPr>
            <w:r>
              <w:rPr>
                <w:rFonts w:hint="eastAsia"/>
                <w:snapToGrid w:val="0"/>
                <w:color w:val="auto"/>
                <w:kern w:val="0"/>
                <w:highlight w:val="none"/>
              </w:rPr>
              <w:t>装载机</w:t>
            </w:r>
          </w:p>
        </w:tc>
        <w:tc>
          <w:tcPr>
            <w:tcW w:w="1976" w:type="dxa"/>
            <w:vAlign w:val="center"/>
          </w:tcPr>
          <w:p w14:paraId="09F5392B">
            <w:pPr>
              <w:widowControl w:val="0"/>
              <w:adjustRightInd w:val="0"/>
              <w:snapToGrid w:val="0"/>
              <w:jc w:val="left"/>
              <w:rPr>
                <w:snapToGrid w:val="0"/>
                <w:color w:val="auto"/>
                <w:kern w:val="0"/>
                <w:highlight w:val="none"/>
              </w:rPr>
            </w:pPr>
            <w:r>
              <w:rPr>
                <w:rFonts w:hint="eastAsia"/>
                <w:snapToGrid w:val="0"/>
                <w:color w:val="auto"/>
                <w:kern w:val="0"/>
                <w:highlight w:val="none"/>
              </w:rPr>
              <w:t>ZL50</w:t>
            </w:r>
          </w:p>
        </w:tc>
        <w:tc>
          <w:tcPr>
            <w:tcW w:w="1275" w:type="dxa"/>
            <w:vAlign w:val="center"/>
          </w:tcPr>
          <w:p w14:paraId="1F9EE171">
            <w:pPr>
              <w:widowControl w:val="0"/>
              <w:adjustRightInd w:val="0"/>
              <w:snapToGrid w:val="0"/>
              <w:jc w:val="center"/>
              <w:rPr>
                <w:snapToGrid w:val="0"/>
                <w:color w:val="auto"/>
                <w:kern w:val="0"/>
                <w:highlight w:val="none"/>
              </w:rPr>
            </w:pPr>
            <w:r>
              <w:rPr>
                <w:rFonts w:hint="eastAsia"/>
                <w:snapToGrid w:val="0"/>
                <w:color w:val="auto"/>
                <w:kern w:val="0"/>
                <w:highlight w:val="none"/>
              </w:rPr>
              <w:t>4台</w:t>
            </w:r>
          </w:p>
        </w:tc>
        <w:tc>
          <w:tcPr>
            <w:tcW w:w="2127" w:type="dxa"/>
            <w:vAlign w:val="center"/>
          </w:tcPr>
          <w:p w14:paraId="2D3B7615">
            <w:pPr>
              <w:widowControl w:val="0"/>
              <w:adjustRightInd w:val="0"/>
              <w:snapToGrid w:val="0"/>
              <w:jc w:val="left"/>
              <w:rPr>
                <w:snapToGrid w:val="0"/>
                <w:color w:val="auto"/>
                <w:kern w:val="0"/>
                <w:highlight w:val="none"/>
              </w:rPr>
            </w:pPr>
          </w:p>
        </w:tc>
      </w:tr>
      <w:tr w14:paraId="2D24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407CB9F6">
            <w:pPr>
              <w:widowControl w:val="0"/>
              <w:adjustRightInd w:val="0"/>
              <w:snapToGrid w:val="0"/>
              <w:jc w:val="center"/>
              <w:rPr>
                <w:snapToGrid w:val="0"/>
                <w:color w:val="auto"/>
                <w:kern w:val="0"/>
                <w:highlight w:val="none"/>
              </w:rPr>
            </w:pPr>
          </w:p>
        </w:tc>
        <w:tc>
          <w:tcPr>
            <w:tcW w:w="1452" w:type="dxa"/>
            <w:vMerge w:val="continue"/>
            <w:vAlign w:val="center"/>
          </w:tcPr>
          <w:p w14:paraId="0BF6DE46">
            <w:pPr>
              <w:widowControl w:val="0"/>
              <w:adjustRightInd w:val="0"/>
              <w:snapToGrid w:val="0"/>
              <w:jc w:val="left"/>
              <w:rPr>
                <w:snapToGrid w:val="0"/>
                <w:color w:val="auto"/>
                <w:kern w:val="0"/>
                <w:highlight w:val="none"/>
              </w:rPr>
            </w:pPr>
          </w:p>
        </w:tc>
        <w:tc>
          <w:tcPr>
            <w:tcW w:w="1865" w:type="dxa"/>
            <w:vAlign w:val="center"/>
          </w:tcPr>
          <w:p w14:paraId="18B9D6FC">
            <w:pPr>
              <w:widowControl w:val="0"/>
              <w:adjustRightInd w:val="0"/>
              <w:snapToGrid w:val="0"/>
              <w:jc w:val="left"/>
              <w:rPr>
                <w:snapToGrid w:val="0"/>
                <w:color w:val="auto"/>
                <w:kern w:val="0"/>
                <w:highlight w:val="none"/>
              </w:rPr>
            </w:pPr>
            <w:r>
              <w:rPr>
                <w:rFonts w:hint="eastAsia"/>
                <w:snapToGrid w:val="0"/>
                <w:color w:val="auto"/>
                <w:kern w:val="0"/>
                <w:highlight w:val="none"/>
              </w:rPr>
              <w:t>自卸车</w:t>
            </w:r>
          </w:p>
        </w:tc>
        <w:tc>
          <w:tcPr>
            <w:tcW w:w="1976" w:type="dxa"/>
            <w:vAlign w:val="center"/>
          </w:tcPr>
          <w:p w14:paraId="2C7933D3">
            <w:pPr>
              <w:widowControl w:val="0"/>
              <w:adjustRightInd w:val="0"/>
              <w:snapToGrid w:val="0"/>
              <w:jc w:val="left"/>
              <w:rPr>
                <w:snapToGrid w:val="0"/>
                <w:color w:val="auto"/>
                <w:kern w:val="0"/>
                <w:highlight w:val="none"/>
              </w:rPr>
            </w:pPr>
            <w:r>
              <w:rPr>
                <w:rFonts w:hint="eastAsia"/>
                <w:snapToGrid w:val="0"/>
                <w:color w:val="auto"/>
                <w:kern w:val="0"/>
                <w:highlight w:val="none"/>
              </w:rPr>
              <w:t>30吨</w:t>
            </w:r>
          </w:p>
        </w:tc>
        <w:tc>
          <w:tcPr>
            <w:tcW w:w="1275" w:type="dxa"/>
            <w:vAlign w:val="center"/>
          </w:tcPr>
          <w:p w14:paraId="40C5FAEC">
            <w:pPr>
              <w:widowControl w:val="0"/>
              <w:adjustRightInd w:val="0"/>
              <w:snapToGrid w:val="0"/>
              <w:jc w:val="center"/>
              <w:rPr>
                <w:snapToGrid w:val="0"/>
                <w:color w:val="auto"/>
                <w:kern w:val="0"/>
                <w:highlight w:val="none"/>
              </w:rPr>
            </w:pPr>
            <w:r>
              <w:rPr>
                <w:rFonts w:hint="eastAsia"/>
                <w:snapToGrid w:val="0"/>
                <w:color w:val="auto"/>
                <w:kern w:val="0"/>
                <w:highlight w:val="none"/>
              </w:rPr>
              <w:t>52辆</w:t>
            </w:r>
          </w:p>
        </w:tc>
        <w:tc>
          <w:tcPr>
            <w:tcW w:w="2127" w:type="dxa"/>
            <w:vAlign w:val="center"/>
          </w:tcPr>
          <w:p w14:paraId="0637FE57">
            <w:pPr>
              <w:widowControl w:val="0"/>
              <w:adjustRightInd w:val="0"/>
              <w:snapToGrid w:val="0"/>
              <w:jc w:val="left"/>
              <w:rPr>
                <w:snapToGrid w:val="0"/>
                <w:color w:val="auto"/>
                <w:kern w:val="0"/>
                <w:highlight w:val="none"/>
              </w:rPr>
            </w:pPr>
            <w:r>
              <w:rPr>
                <w:snapToGrid w:val="0"/>
                <w:color w:val="auto"/>
                <w:kern w:val="0"/>
                <w:highlight w:val="none"/>
              </w:rPr>
              <w:t>可租用</w:t>
            </w:r>
          </w:p>
        </w:tc>
      </w:tr>
      <w:tr w14:paraId="5DBDF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7D508CB0">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1452" w:type="dxa"/>
            <w:vMerge w:val="restart"/>
            <w:vAlign w:val="center"/>
          </w:tcPr>
          <w:p w14:paraId="1632450F">
            <w:pPr>
              <w:widowControl w:val="0"/>
              <w:adjustRightInd w:val="0"/>
              <w:snapToGrid w:val="0"/>
              <w:jc w:val="left"/>
              <w:rPr>
                <w:snapToGrid w:val="0"/>
                <w:color w:val="auto"/>
                <w:kern w:val="0"/>
                <w:highlight w:val="none"/>
              </w:rPr>
            </w:pPr>
            <w:r>
              <w:rPr>
                <w:rFonts w:hint="eastAsia"/>
                <w:snapToGrid w:val="0"/>
                <w:color w:val="auto"/>
                <w:kern w:val="0"/>
                <w:highlight w:val="none"/>
              </w:rPr>
              <w:t>破碎筛分设备</w:t>
            </w:r>
          </w:p>
        </w:tc>
        <w:tc>
          <w:tcPr>
            <w:tcW w:w="1865" w:type="dxa"/>
            <w:vAlign w:val="center"/>
          </w:tcPr>
          <w:p w14:paraId="21901383">
            <w:pPr>
              <w:widowControl w:val="0"/>
              <w:adjustRightInd w:val="0"/>
              <w:snapToGrid w:val="0"/>
              <w:jc w:val="left"/>
              <w:rPr>
                <w:snapToGrid w:val="0"/>
                <w:color w:val="auto"/>
                <w:kern w:val="0"/>
                <w:highlight w:val="none"/>
              </w:rPr>
            </w:pPr>
            <w:r>
              <w:rPr>
                <w:rFonts w:hint="eastAsia"/>
                <w:color w:val="auto"/>
                <w:highlight w:val="none"/>
              </w:rPr>
              <w:t>棒条给料机</w:t>
            </w:r>
          </w:p>
        </w:tc>
        <w:tc>
          <w:tcPr>
            <w:tcW w:w="1976" w:type="dxa"/>
            <w:vAlign w:val="center"/>
          </w:tcPr>
          <w:p w14:paraId="2F4951DF">
            <w:pPr>
              <w:widowControl w:val="0"/>
              <w:adjustRightInd w:val="0"/>
              <w:snapToGrid w:val="0"/>
              <w:jc w:val="left"/>
              <w:rPr>
                <w:snapToGrid w:val="0"/>
                <w:color w:val="auto"/>
                <w:kern w:val="0"/>
                <w:highlight w:val="none"/>
              </w:rPr>
            </w:pPr>
            <w:r>
              <w:rPr>
                <w:color w:val="auto"/>
                <w:highlight w:val="none"/>
              </w:rPr>
              <w:t>SJGZ1860</w:t>
            </w:r>
          </w:p>
        </w:tc>
        <w:tc>
          <w:tcPr>
            <w:tcW w:w="1275" w:type="dxa"/>
            <w:vAlign w:val="center"/>
          </w:tcPr>
          <w:p w14:paraId="2AD6A437">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0766A169">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4DBF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5D111A84">
            <w:pPr>
              <w:widowControl w:val="0"/>
              <w:adjustRightInd w:val="0"/>
              <w:snapToGrid w:val="0"/>
              <w:jc w:val="center"/>
              <w:rPr>
                <w:snapToGrid w:val="0"/>
                <w:color w:val="auto"/>
                <w:kern w:val="0"/>
                <w:highlight w:val="none"/>
              </w:rPr>
            </w:pPr>
          </w:p>
        </w:tc>
        <w:tc>
          <w:tcPr>
            <w:tcW w:w="1452" w:type="dxa"/>
            <w:vMerge w:val="continue"/>
            <w:vAlign w:val="center"/>
          </w:tcPr>
          <w:p w14:paraId="743322DA">
            <w:pPr>
              <w:widowControl w:val="0"/>
              <w:adjustRightInd w:val="0"/>
              <w:snapToGrid w:val="0"/>
              <w:jc w:val="left"/>
              <w:rPr>
                <w:snapToGrid w:val="0"/>
                <w:color w:val="auto"/>
                <w:kern w:val="0"/>
                <w:highlight w:val="none"/>
              </w:rPr>
            </w:pPr>
          </w:p>
        </w:tc>
        <w:tc>
          <w:tcPr>
            <w:tcW w:w="1865" w:type="dxa"/>
            <w:vAlign w:val="center"/>
          </w:tcPr>
          <w:p w14:paraId="68CCEA6C">
            <w:pPr>
              <w:widowControl w:val="0"/>
              <w:adjustRightInd w:val="0"/>
              <w:snapToGrid w:val="0"/>
              <w:jc w:val="left"/>
              <w:rPr>
                <w:snapToGrid w:val="0"/>
                <w:color w:val="auto"/>
                <w:kern w:val="0"/>
                <w:highlight w:val="none"/>
              </w:rPr>
            </w:pPr>
            <w:r>
              <w:rPr>
                <w:rFonts w:hint="eastAsia"/>
                <w:color w:val="auto"/>
                <w:highlight w:val="none"/>
              </w:rPr>
              <w:t>颚式破碎机</w:t>
            </w:r>
          </w:p>
        </w:tc>
        <w:tc>
          <w:tcPr>
            <w:tcW w:w="1976" w:type="dxa"/>
            <w:vAlign w:val="center"/>
          </w:tcPr>
          <w:p w14:paraId="184A1A5D">
            <w:pPr>
              <w:widowControl w:val="0"/>
              <w:adjustRightInd w:val="0"/>
              <w:snapToGrid w:val="0"/>
              <w:jc w:val="left"/>
              <w:rPr>
                <w:snapToGrid w:val="0"/>
                <w:color w:val="auto"/>
                <w:kern w:val="0"/>
                <w:highlight w:val="none"/>
              </w:rPr>
            </w:pPr>
            <w:r>
              <w:rPr>
                <w:color w:val="auto"/>
                <w:highlight w:val="none"/>
              </w:rPr>
              <w:t>SJE1316</w:t>
            </w:r>
          </w:p>
        </w:tc>
        <w:tc>
          <w:tcPr>
            <w:tcW w:w="1275" w:type="dxa"/>
            <w:vAlign w:val="center"/>
          </w:tcPr>
          <w:p w14:paraId="6DE20F30">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146DA77D">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28FFB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01382F0C">
            <w:pPr>
              <w:widowControl w:val="0"/>
              <w:adjustRightInd w:val="0"/>
              <w:snapToGrid w:val="0"/>
              <w:jc w:val="center"/>
              <w:rPr>
                <w:snapToGrid w:val="0"/>
                <w:color w:val="auto"/>
                <w:kern w:val="0"/>
                <w:highlight w:val="none"/>
              </w:rPr>
            </w:pPr>
          </w:p>
        </w:tc>
        <w:tc>
          <w:tcPr>
            <w:tcW w:w="1452" w:type="dxa"/>
            <w:vMerge w:val="continue"/>
            <w:vAlign w:val="center"/>
          </w:tcPr>
          <w:p w14:paraId="637192C2">
            <w:pPr>
              <w:widowControl w:val="0"/>
              <w:adjustRightInd w:val="0"/>
              <w:snapToGrid w:val="0"/>
              <w:jc w:val="left"/>
              <w:rPr>
                <w:snapToGrid w:val="0"/>
                <w:color w:val="auto"/>
                <w:kern w:val="0"/>
                <w:highlight w:val="none"/>
              </w:rPr>
            </w:pPr>
          </w:p>
        </w:tc>
        <w:tc>
          <w:tcPr>
            <w:tcW w:w="1865" w:type="dxa"/>
            <w:vAlign w:val="center"/>
          </w:tcPr>
          <w:p w14:paraId="17180D8C">
            <w:pPr>
              <w:widowControl w:val="0"/>
              <w:adjustRightInd w:val="0"/>
              <w:snapToGrid w:val="0"/>
              <w:jc w:val="left"/>
              <w:rPr>
                <w:snapToGrid w:val="0"/>
                <w:color w:val="auto"/>
                <w:kern w:val="0"/>
                <w:highlight w:val="none"/>
              </w:rPr>
            </w:pPr>
            <w:r>
              <w:rPr>
                <w:rFonts w:hint="eastAsia"/>
                <w:color w:val="auto"/>
                <w:highlight w:val="none"/>
              </w:rPr>
              <w:t>旋回破碎机</w:t>
            </w:r>
          </w:p>
        </w:tc>
        <w:tc>
          <w:tcPr>
            <w:tcW w:w="1976" w:type="dxa"/>
            <w:vAlign w:val="center"/>
          </w:tcPr>
          <w:p w14:paraId="10CC7679">
            <w:pPr>
              <w:widowControl w:val="0"/>
              <w:adjustRightInd w:val="0"/>
              <w:snapToGrid w:val="0"/>
              <w:jc w:val="left"/>
              <w:rPr>
                <w:snapToGrid w:val="0"/>
                <w:color w:val="auto"/>
                <w:kern w:val="0"/>
                <w:highlight w:val="none"/>
              </w:rPr>
            </w:pPr>
            <w:r>
              <w:rPr>
                <w:color w:val="auto"/>
                <w:highlight w:val="none"/>
              </w:rPr>
              <w:t>SK5020</w:t>
            </w:r>
          </w:p>
        </w:tc>
        <w:tc>
          <w:tcPr>
            <w:tcW w:w="1275" w:type="dxa"/>
            <w:vAlign w:val="center"/>
          </w:tcPr>
          <w:p w14:paraId="0EE9C5CB">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3955BB50">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74E8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453D98BF">
            <w:pPr>
              <w:widowControl w:val="0"/>
              <w:adjustRightInd w:val="0"/>
              <w:snapToGrid w:val="0"/>
              <w:jc w:val="center"/>
              <w:rPr>
                <w:snapToGrid w:val="0"/>
                <w:color w:val="auto"/>
                <w:kern w:val="0"/>
                <w:highlight w:val="none"/>
              </w:rPr>
            </w:pPr>
          </w:p>
        </w:tc>
        <w:tc>
          <w:tcPr>
            <w:tcW w:w="1452" w:type="dxa"/>
            <w:vMerge w:val="continue"/>
            <w:vAlign w:val="center"/>
          </w:tcPr>
          <w:p w14:paraId="6719B293">
            <w:pPr>
              <w:widowControl w:val="0"/>
              <w:adjustRightInd w:val="0"/>
              <w:snapToGrid w:val="0"/>
              <w:jc w:val="left"/>
              <w:rPr>
                <w:snapToGrid w:val="0"/>
                <w:color w:val="auto"/>
                <w:kern w:val="0"/>
                <w:highlight w:val="none"/>
              </w:rPr>
            </w:pPr>
          </w:p>
        </w:tc>
        <w:tc>
          <w:tcPr>
            <w:tcW w:w="1865" w:type="dxa"/>
            <w:vAlign w:val="center"/>
          </w:tcPr>
          <w:p w14:paraId="5FE48D6A">
            <w:pPr>
              <w:widowControl w:val="0"/>
              <w:adjustRightInd w:val="0"/>
              <w:snapToGrid w:val="0"/>
              <w:jc w:val="left"/>
              <w:rPr>
                <w:snapToGrid w:val="0"/>
                <w:color w:val="auto"/>
                <w:kern w:val="0"/>
                <w:highlight w:val="none"/>
              </w:rPr>
            </w:pPr>
            <w:r>
              <w:rPr>
                <w:rFonts w:hint="eastAsia"/>
                <w:color w:val="auto"/>
                <w:highlight w:val="none"/>
              </w:rPr>
              <w:t>多缸圆锥机</w:t>
            </w:r>
          </w:p>
        </w:tc>
        <w:tc>
          <w:tcPr>
            <w:tcW w:w="1976" w:type="dxa"/>
            <w:vAlign w:val="center"/>
          </w:tcPr>
          <w:p w14:paraId="5E11F771">
            <w:pPr>
              <w:widowControl w:val="0"/>
              <w:adjustRightInd w:val="0"/>
              <w:snapToGrid w:val="0"/>
              <w:jc w:val="left"/>
              <w:rPr>
                <w:snapToGrid w:val="0"/>
                <w:color w:val="auto"/>
                <w:kern w:val="0"/>
                <w:highlight w:val="none"/>
              </w:rPr>
            </w:pPr>
            <w:r>
              <w:rPr>
                <w:color w:val="auto"/>
                <w:highlight w:val="none"/>
              </w:rPr>
              <w:t>SKD1800</w:t>
            </w:r>
          </w:p>
        </w:tc>
        <w:tc>
          <w:tcPr>
            <w:tcW w:w="1275" w:type="dxa"/>
            <w:vAlign w:val="center"/>
          </w:tcPr>
          <w:p w14:paraId="724EA561">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14:paraId="4E2B79B1">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41438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DA547B3">
            <w:pPr>
              <w:widowControl w:val="0"/>
              <w:adjustRightInd w:val="0"/>
              <w:snapToGrid w:val="0"/>
              <w:jc w:val="center"/>
              <w:rPr>
                <w:snapToGrid w:val="0"/>
                <w:color w:val="auto"/>
                <w:kern w:val="0"/>
                <w:highlight w:val="none"/>
              </w:rPr>
            </w:pPr>
          </w:p>
        </w:tc>
        <w:tc>
          <w:tcPr>
            <w:tcW w:w="1452" w:type="dxa"/>
            <w:vMerge w:val="continue"/>
            <w:vAlign w:val="center"/>
          </w:tcPr>
          <w:p w14:paraId="78BC9CCE">
            <w:pPr>
              <w:widowControl w:val="0"/>
              <w:adjustRightInd w:val="0"/>
              <w:snapToGrid w:val="0"/>
              <w:jc w:val="left"/>
              <w:rPr>
                <w:snapToGrid w:val="0"/>
                <w:color w:val="auto"/>
                <w:kern w:val="0"/>
                <w:highlight w:val="none"/>
              </w:rPr>
            </w:pPr>
          </w:p>
        </w:tc>
        <w:tc>
          <w:tcPr>
            <w:tcW w:w="1865" w:type="dxa"/>
            <w:vAlign w:val="center"/>
          </w:tcPr>
          <w:p w14:paraId="76D8718F">
            <w:pPr>
              <w:widowControl w:val="0"/>
              <w:adjustRightInd w:val="0"/>
              <w:snapToGrid w:val="0"/>
              <w:jc w:val="left"/>
              <w:rPr>
                <w:color w:val="auto"/>
                <w:highlight w:val="none"/>
              </w:rPr>
            </w:pPr>
            <w:r>
              <w:rPr>
                <w:rFonts w:hint="eastAsia"/>
                <w:color w:val="auto"/>
                <w:highlight w:val="none"/>
              </w:rPr>
              <w:t>圆振动筛</w:t>
            </w:r>
          </w:p>
        </w:tc>
        <w:tc>
          <w:tcPr>
            <w:tcW w:w="1976" w:type="dxa"/>
            <w:vAlign w:val="center"/>
          </w:tcPr>
          <w:p w14:paraId="68897C59">
            <w:pPr>
              <w:widowControl w:val="0"/>
              <w:adjustRightInd w:val="0"/>
              <w:snapToGrid w:val="0"/>
              <w:jc w:val="left"/>
              <w:rPr>
                <w:color w:val="auto"/>
                <w:highlight w:val="none"/>
              </w:rPr>
            </w:pPr>
            <w:r>
              <w:rPr>
                <w:color w:val="auto"/>
                <w:highlight w:val="none"/>
              </w:rPr>
              <w:t>SJ3YK3680</w:t>
            </w:r>
          </w:p>
        </w:tc>
        <w:tc>
          <w:tcPr>
            <w:tcW w:w="1275" w:type="dxa"/>
            <w:vAlign w:val="center"/>
          </w:tcPr>
          <w:p w14:paraId="7D7456D8">
            <w:pPr>
              <w:widowControl w:val="0"/>
              <w:adjustRightInd w:val="0"/>
              <w:snapToGrid w:val="0"/>
              <w:jc w:val="center"/>
              <w:rPr>
                <w:snapToGrid w:val="0"/>
                <w:color w:val="auto"/>
                <w:kern w:val="0"/>
                <w:highlight w:val="none"/>
              </w:rPr>
            </w:pPr>
            <w:r>
              <w:rPr>
                <w:rFonts w:hint="eastAsia"/>
                <w:snapToGrid w:val="0"/>
                <w:color w:val="auto"/>
                <w:kern w:val="0"/>
                <w:highlight w:val="none"/>
              </w:rPr>
              <w:t>5台</w:t>
            </w:r>
          </w:p>
        </w:tc>
        <w:tc>
          <w:tcPr>
            <w:tcW w:w="2127" w:type="dxa"/>
            <w:vAlign w:val="center"/>
          </w:tcPr>
          <w:p w14:paraId="7334879D">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609B9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1ACBD181">
            <w:pPr>
              <w:widowControl w:val="0"/>
              <w:adjustRightInd w:val="0"/>
              <w:snapToGrid w:val="0"/>
              <w:jc w:val="center"/>
              <w:rPr>
                <w:snapToGrid w:val="0"/>
                <w:color w:val="auto"/>
                <w:kern w:val="0"/>
                <w:highlight w:val="none"/>
              </w:rPr>
            </w:pPr>
          </w:p>
        </w:tc>
        <w:tc>
          <w:tcPr>
            <w:tcW w:w="1452" w:type="dxa"/>
            <w:vMerge w:val="continue"/>
            <w:vAlign w:val="center"/>
          </w:tcPr>
          <w:p w14:paraId="1830F2A5">
            <w:pPr>
              <w:widowControl w:val="0"/>
              <w:adjustRightInd w:val="0"/>
              <w:snapToGrid w:val="0"/>
              <w:jc w:val="left"/>
              <w:rPr>
                <w:snapToGrid w:val="0"/>
                <w:color w:val="auto"/>
                <w:kern w:val="0"/>
                <w:highlight w:val="none"/>
              </w:rPr>
            </w:pPr>
          </w:p>
        </w:tc>
        <w:tc>
          <w:tcPr>
            <w:tcW w:w="1865" w:type="dxa"/>
            <w:vAlign w:val="center"/>
          </w:tcPr>
          <w:p w14:paraId="28D960EF">
            <w:pPr>
              <w:widowControl w:val="0"/>
              <w:adjustRightInd w:val="0"/>
              <w:snapToGrid w:val="0"/>
              <w:jc w:val="left"/>
              <w:rPr>
                <w:color w:val="auto"/>
                <w:highlight w:val="none"/>
              </w:rPr>
            </w:pPr>
            <w:r>
              <w:rPr>
                <w:rFonts w:hint="eastAsia"/>
                <w:color w:val="auto"/>
                <w:highlight w:val="none"/>
              </w:rPr>
              <w:t>立轴破碎整形机</w:t>
            </w:r>
          </w:p>
        </w:tc>
        <w:tc>
          <w:tcPr>
            <w:tcW w:w="1976" w:type="dxa"/>
            <w:vAlign w:val="center"/>
          </w:tcPr>
          <w:p w14:paraId="3668851F">
            <w:pPr>
              <w:widowControl w:val="0"/>
              <w:adjustRightInd w:val="0"/>
              <w:snapToGrid w:val="0"/>
              <w:jc w:val="left"/>
              <w:rPr>
                <w:color w:val="auto"/>
                <w:highlight w:val="none"/>
              </w:rPr>
            </w:pPr>
            <w:r>
              <w:rPr>
                <w:color w:val="auto"/>
                <w:highlight w:val="none"/>
              </w:rPr>
              <w:t>VSI7800</w:t>
            </w:r>
          </w:p>
        </w:tc>
        <w:tc>
          <w:tcPr>
            <w:tcW w:w="1275" w:type="dxa"/>
            <w:vAlign w:val="center"/>
          </w:tcPr>
          <w:p w14:paraId="62C7B6FF">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14:paraId="22C45272">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4BC77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3B4A7D5B">
            <w:pPr>
              <w:widowControl w:val="0"/>
              <w:adjustRightInd w:val="0"/>
              <w:snapToGrid w:val="0"/>
              <w:jc w:val="center"/>
              <w:rPr>
                <w:snapToGrid w:val="0"/>
                <w:color w:val="auto"/>
                <w:kern w:val="0"/>
                <w:highlight w:val="none"/>
              </w:rPr>
            </w:pPr>
          </w:p>
        </w:tc>
        <w:tc>
          <w:tcPr>
            <w:tcW w:w="1452" w:type="dxa"/>
            <w:vMerge w:val="continue"/>
            <w:vAlign w:val="center"/>
          </w:tcPr>
          <w:p w14:paraId="33B7E466">
            <w:pPr>
              <w:widowControl w:val="0"/>
              <w:adjustRightInd w:val="0"/>
              <w:snapToGrid w:val="0"/>
              <w:jc w:val="left"/>
              <w:rPr>
                <w:snapToGrid w:val="0"/>
                <w:color w:val="auto"/>
                <w:kern w:val="0"/>
                <w:highlight w:val="none"/>
              </w:rPr>
            </w:pPr>
          </w:p>
        </w:tc>
        <w:tc>
          <w:tcPr>
            <w:tcW w:w="1865" w:type="dxa"/>
            <w:vAlign w:val="center"/>
          </w:tcPr>
          <w:p w14:paraId="30C1FCD0">
            <w:pPr>
              <w:widowControl w:val="0"/>
              <w:adjustRightInd w:val="0"/>
              <w:snapToGrid w:val="0"/>
              <w:jc w:val="left"/>
              <w:rPr>
                <w:snapToGrid w:val="0"/>
                <w:color w:val="auto"/>
                <w:kern w:val="0"/>
                <w:highlight w:val="none"/>
              </w:rPr>
            </w:pPr>
            <w:r>
              <w:rPr>
                <w:rFonts w:hint="eastAsia"/>
                <w:snapToGrid w:val="0"/>
                <w:color w:val="auto"/>
                <w:kern w:val="0"/>
                <w:highlight w:val="none"/>
              </w:rPr>
              <w:t>高压对辊机</w:t>
            </w:r>
          </w:p>
        </w:tc>
        <w:tc>
          <w:tcPr>
            <w:tcW w:w="1976" w:type="dxa"/>
            <w:vAlign w:val="center"/>
          </w:tcPr>
          <w:p w14:paraId="1D0C96A6">
            <w:pPr>
              <w:widowControl w:val="0"/>
              <w:adjustRightInd w:val="0"/>
              <w:snapToGrid w:val="0"/>
              <w:jc w:val="left"/>
              <w:rPr>
                <w:snapToGrid w:val="0"/>
                <w:color w:val="auto"/>
                <w:kern w:val="0"/>
                <w:highlight w:val="none"/>
              </w:rPr>
            </w:pPr>
            <w:r>
              <w:rPr>
                <w:snapToGrid w:val="0"/>
                <w:color w:val="auto"/>
                <w:kern w:val="0"/>
                <w:highlight w:val="none"/>
              </w:rPr>
              <w:t>DG1250</w:t>
            </w:r>
          </w:p>
        </w:tc>
        <w:tc>
          <w:tcPr>
            <w:tcW w:w="1275" w:type="dxa"/>
            <w:vAlign w:val="center"/>
          </w:tcPr>
          <w:p w14:paraId="06FC250A">
            <w:pPr>
              <w:widowControl w:val="0"/>
              <w:adjustRightInd w:val="0"/>
              <w:snapToGrid w:val="0"/>
              <w:jc w:val="center"/>
              <w:rPr>
                <w:snapToGrid w:val="0"/>
                <w:color w:val="auto"/>
                <w:kern w:val="0"/>
                <w:highlight w:val="none"/>
              </w:rPr>
            </w:pPr>
            <w:r>
              <w:rPr>
                <w:rFonts w:hint="eastAsia"/>
                <w:snapToGrid w:val="0"/>
                <w:color w:val="auto"/>
                <w:kern w:val="0"/>
                <w:highlight w:val="none"/>
              </w:rPr>
              <w:t>1台</w:t>
            </w:r>
          </w:p>
        </w:tc>
        <w:tc>
          <w:tcPr>
            <w:tcW w:w="2127" w:type="dxa"/>
            <w:vAlign w:val="center"/>
          </w:tcPr>
          <w:p w14:paraId="1225B618">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3F8ED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3E72589E">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1452" w:type="dxa"/>
            <w:vAlign w:val="center"/>
          </w:tcPr>
          <w:p w14:paraId="43BE80D0">
            <w:pPr>
              <w:widowControl w:val="0"/>
              <w:adjustRightInd w:val="0"/>
              <w:snapToGrid w:val="0"/>
              <w:jc w:val="left"/>
              <w:rPr>
                <w:snapToGrid w:val="0"/>
                <w:color w:val="auto"/>
                <w:kern w:val="0"/>
                <w:highlight w:val="none"/>
              </w:rPr>
            </w:pPr>
            <w:r>
              <w:rPr>
                <w:rFonts w:hint="eastAsia"/>
                <w:snapToGrid w:val="0"/>
                <w:color w:val="auto"/>
                <w:kern w:val="0"/>
                <w:highlight w:val="none"/>
              </w:rPr>
              <w:t>供电设备</w:t>
            </w:r>
          </w:p>
        </w:tc>
        <w:tc>
          <w:tcPr>
            <w:tcW w:w="1865" w:type="dxa"/>
            <w:vAlign w:val="center"/>
          </w:tcPr>
          <w:p w14:paraId="7E60761D">
            <w:pPr>
              <w:widowControl w:val="0"/>
              <w:adjustRightInd w:val="0"/>
              <w:snapToGrid w:val="0"/>
              <w:jc w:val="left"/>
              <w:rPr>
                <w:snapToGrid w:val="0"/>
                <w:color w:val="auto"/>
                <w:kern w:val="0"/>
                <w:highlight w:val="none"/>
              </w:rPr>
            </w:pPr>
            <w:r>
              <w:rPr>
                <w:rFonts w:hint="eastAsia"/>
                <w:snapToGrid w:val="0"/>
                <w:color w:val="auto"/>
                <w:kern w:val="0"/>
                <w:highlight w:val="none"/>
              </w:rPr>
              <w:t>变压器</w:t>
            </w:r>
          </w:p>
        </w:tc>
        <w:tc>
          <w:tcPr>
            <w:tcW w:w="1976" w:type="dxa"/>
            <w:vAlign w:val="center"/>
          </w:tcPr>
          <w:p w14:paraId="55A02C79">
            <w:pPr>
              <w:widowControl w:val="0"/>
              <w:adjustRightInd w:val="0"/>
              <w:snapToGrid w:val="0"/>
              <w:jc w:val="left"/>
              <w:rPr>
                <w:snapToGrid w:val="0"/>
                <w:color w:val="auto"/>
                <w:kern w:val="0"/>
                <w:highlight w:val="none"/>
              </w:rPr>
            </w:pPr>
            <w:r>
              <w:rPr>
                <w:rFonts w:hint="eastAsia"/>
                <w:snapToGrid w:val="0"/>
                <w:color w:val="auto"/>
                <w:kern w:val="0"/>
                <w:highlight w:val="none"/>
              </w:rPr>
              <w:t>2000kVA</w:t>
            </w:r>
          </w:p>
        </w:tc>
        <w:tc>
          <w:tcPr>
            <w:tcW w:w="1275" w:type="dxa"/>
            <w:vAlign w:val="center"/>
          </w:tcPr>
          <w:p w14:paraId="7CD6F432">
            <w:pPr>
              <w:widowControl w:val="0"/>
              <w:adjustRightInd w:val="0"/>
              <w:snapToGrid w:val="0"/>
              <w:jc w:val="center"/>
              <w:rPr>
                <w:snapToGrid w:val="0"/>
                <w:color w:val="auto"/>
                <w:kern w:val="0"/>
                <w:highlight w:val="none"/>
              </w:rPr>
            </w:pPr>
            <w:r>
              <w:rPr>
                <w:rFonts w:hint="eastAsia"/>
                <w:snapToGrid w:val="0"/>
                <w:color w:val="auto"/>
                <w:kern w:val="0"/>
                <w:highlight w:val="none"/>
              </w:rPr>
              <w:t>2台</w:t>
            </w:r>
          </w:p>
        </w:tc>
        <w:tc>
          <w:tcPr>
            <w:tcW w:w="2127" w:type="dxa"/>
            <w:vAlign w:val="center"/>
          </w:tcPr>
          <w:p w14:paraId="5D6324FD">
            <w:pPr>
              <w:widowControl w:val="0"/>
              <w:adjustRightInd w:val="0"/>
              <w:snapToGrid w:val="0"/>
              <w:jc w:val="left"/>
              <w:rPr>
                <w:b/>
                <w:bCs/>
                <w:snapToGrid w:val="0"/>
                <w:color w:val="auto"/>
                <w:kern w:val="0"/>
                <w:highlight w:val="none"/>
              </w:rPr>
            </w:pPr>
            <w:r>
              <w:rPr>
                <w:rFonts w:hint="eastAsia"/>
                <w:b/>
                <w:bCs/>
                <w:snapToGrid w:val="0"/>
                <w:color w:val="auto"/>
                <w:kern w:val="0"/>
                <w:highlight w:val="none"/>
              </w:rPr>
              <w:t>要求全新</w:t>
            </w:r>
          </w:p>
        </w:tc>
      </w:tr>
      <w:tr w14:paraId="7C29E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restart"/>
            <w:vAlign w:val="center"/>
          </w:tcPr>
          <w:p w14:paraId="66D22897">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1452" w:type="dxa"/>
            <w:vMerge w:val="restart"/>
            <w:vAlign w:val="center"/>
          </w:tcPr>
          <w:p w14:paraId="276C2251">
            <w:pPr>
              <w:widowControl w:val="0"/>
              <w:adjustRightInd w:val="0"/>
              <w:snapToGrid w:val="0"/>
              <w:jc w:val="left"/>
              <w:rPr>
                <w:snapToGrid w:val="0"/>
                <w:color w:val="auto"/>
                <w:kern w:val="0"/>
                <w:highlight w:val="none"/>
              </w:rPr>
            </w:pPr>
            <w:r>
              <w:rPr>
                <w:rFonts w:hint="eastAsia"/>
                <w:snapToGrid w:val="0"/>
                <w:color w:val="auto"/>
                <w:kern w:val="0"/>
                <w:highlight w:val="none"/>
              </w:rPr>
              <w:t>除尘设备</w:t>
            </w:r>
          </w:p>
        </w:tc>
        <w:tc>
          <w:tcPr>
            <w:tcW w:w="1865" w:type="dxa"/>
            <w:vAlign w:val="center"/>
          </w:tcPr>
          <w:p w14:paraId="7A6D41C2">
            <w:pPr>
              <w:widowControl w:val="0"/>
              <w:adjustRightInd w:val="0"/>
              <w:snapToGrid w:val="0"/>
              <w:jc w:val="left"/>
              <w:rPr>
                <w:snapToGrid w:val="0"/>
                <w:color w:val="auto"/>
                <w:kern w:val="0"/>
                <w:highlight w:val="none"/>
              </w:rPr>
            </w:pPr>
            <w:r>
              <w:rPr>
                <w:rFonts w:hint="eastAsia"/>
                <w:snapToGrid w:val="0"/>
                <w:color w:val="auto"/>
                <w:kern w:val="0"/>
                <w:highlight w:val="none"/>
              </w:rPr>
              <w:t>洒水车</w:t>
            </w:r>
          </w:p>
        </w:tc>
        <w:tc>
          <w:tcPr>
            <w:tcW w:w="1976" w:type="dxa"/>
            <w:vAlign w:val="center"/>
          </w:tcPr>
          <w:p w14:paraId="4C80A27E">
            <w:pPr>
              <w:widowControl w:val="0"/>
              <w:adjustRightInd w:val="0"/>
              <w:snapToGrid w:val="0"/>
              <w:jc w:val="left"/>
              <w:rPr>
                <w:snapToGrid w:val="0"/>
                <w:color w:val="auto"/>
                <w:kern w:val="0"/>
                <w:highlight w:val="none"/>
              </w:rPr>
            </w:pPr>
            <w:r>
              <w:rPr>
                <w:rFonts w:hint="eastAsia"/>
                <w:snapToGrid w:val="0"/>
                <w:color w:val="auto"/>
                <w:kern w:val="0"/>
                <w:highlight w:val="none"/>
              </w:rPr>
              <w:t>6t</w:t>
            </w:r>
          </w:p>
        </w:tc>
        <w:tc>
          <w:tcPr>
            <w:tcW w:w="1275" w:type="dxa"/>
            <w:vAlign w:val="center"/>
          </w:tcPr>
          <w:p w14:paraId="7DE68EB7">
            <w:pPr>
              <w:widowControl w:val="0"/>
              <w:adjustRightInd w:val="0"/>
              <w:snapToGrid w:val="0"/>
              <w:jc w:val="center"/>
              <w:rPr>
                <w:snapToGrid w:val="0"/>
                <w:color w:val="auto"/>
                <w:kern w:val="0"/>
                <w:highlight w:val="none"/>
              </w:rPr>
            </w:pPr>
            <w:r>
              <w:rPr>
                <w:rFonts w:hint="eastAsia"/>
                <w:snapToGrid w:val="0"/>
                <w:color w:val="auto"/>
                <w:kern w:val="0"/>
                <w:highlight w:val="none"/>
              </w:rPr>
              <w:t>1辆</w:t>
            </w:r>
          </w:p>
        </w:tc>
        <w:tc>
          <w:tcPr>
            <w:tcW w:w="2127" w:type="dxa"/>
            <w:vAlign w:val="center"/>
          </w:tcPr>
          <w:p w14:paraId="10FE059C">
            <w:pPr>
              <w:widowControl w:val="0"/>
              <w:adjustRightInd w:val="0"/>
              <w:snapToGrid w:val="0"/>
              <w:jc w:val="left"/>
              <w:rPr>
                <w:snapToGrid w:val="0"/>
                <w:color w:val="auto"/>
                <w:kern w:val="0"/>
                <w:highlight w:val="none"/>
              </w:rPr>
            </w:pPr>
          </w:p>
        </w:tc>
      </w:tr>
      <w:tr w14:paraId="7398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Merge w:val="continue"/>
            <w:vAlign w:val="center"/>
          </w:tcPr>
          <w:p w14:paraId="6D90BCC0">
            <w:pPr>
              <w:widowControl w:val="0"/>
              <w:adjustRightInd w:val="0"/>
              <w:snapToGrid w:val="0"/>
              <w:jc w:val="left"/>
              <w:rPr>
                <w:snapToGrid w:val="0"/>
                <w:color w:val="auto"/>
                <w:kern w:val="0"/>
                <w:highlight w:val="none"/>
              </w:rPr>
            </w:pPr>
          </w:p>
        </w:tc>
        <w:tc>
          <w:tcPr>
            <w:tcW w:w="1452" w:type="dxa"/>
            <w:vMerge w:val="continue"/>
            <w:vAlign w:val="center"/>
          </w:tcPr>
          <w:p w14:paraId="64A60CDB">
            <w:pPr>
              <w:widowControl w:val="0"/>
              <w:adjustRightInd w:val="0"/>
              <w:snapToGrid w:val="0"/>
              <w:jc w:val="left"/>
              <w:rPr>
                <w:snapToGrid w:val="0"/>
                <w:color w:val="auto"/>
                <w:kern w:val="0"/>
                <w:highlight w:val="none"/>
              </w:rPr>
            </w:pPr>
          </w:p>
        </w:tc>
        <w:tc>
          <w:tcPr>
            <w:tcW w:w="1865" w:type="dxa"/>
            <w:vAlign w:val="center"/>
          </w:tcPr>
          <w:p w14:paraId="5148182E">
            <w:pPr>
              <w:widowControl w:val="0"/>
              <w:adjustRightInd w:val="0"/>
              <w:snapToGrid w:val="0"/>
              <w:jc w:val="left"/>
              <w:rPr>
                <w:snapToGrid w:val="0"/>
                <w:color w:val="auto"/>
                <w:kern w:val="0"/>
                <w:highlight w:val="none"/>
              </w:rPr>
            </w:pPr>
            <w:r>
              <w:rPr>
                <w:rFonts w:hint="eastAsia"/>
                <w:snapToGrid w:val="0"/>
                <w:color w:val="auto"/>
                <w:kern w:val="0"/>
                <w:highlight w:val="none"/>
              </w:rPr>
              <w:t>破碎筛分设备、生产线除尘装置</w:t>
            </w:r>
          </w:p>
        </w:tc>
        <w:tc>
          <w:tcPr>
            <w:tcW w:w="1976" w:type="dxa"/>
            <w:vAlign w:val="center"/>
          </w:tcPr>
          <w:p w14:paraId="55D488C2">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14:paraId="558F5178">
            <w:pPr>
              <w:widowControl w:val="0"/>
              <w:adjustRightInd w:val="0"/>
              <w:snapToGrid w:val="0"/>
              <w:jc w:val="center"/>
              <w:rPr>
                <w:snapToGrid w:val="0"/>
                <w:color w:val="auto"/>
                <w:kern w:val="0"/>
                <w:highlight w:val="none"/>
              </w:rPr>
            </w:pPr>
            <w:r>
              <w:rPr>
                <w:rFonts w:hint="eastAsia"/>
                <w:snapToGrid w:val="0"/>
                <w:color w:val="auto"/>
                <w:kern w:val="0"/>
                <w:highlight w:val="none"/>
              </w:rPr>
              <w:t>符合要求</w:t>
            </w:r>
          </w:p>
        </w:tc>
        <w:tc>
          <w:tcPr>
            <w:tcW w:w="2127" w:type="dxa"/>
            <w:vAlign w:val="center"/>
          </w:tcPr>
          <w:p w14:paraId="76353E02">
            <w:pPr>
              <w:widowControl w:val="0"/>
              <w:adjustRightInd w:val="0"/>
              <w:snapToGrid w:val="0"/>
              <w:jc w:val="left"/>
              <w:rPr>
                <w:snapToGrid w:val="0"/>
                <w:color w:val="auto"/>
                <w:kern w:val="0"/>
                <w:highlight w:val="none"/>
              </w:rPr>
            </w:pPr>
            <w:r>
              <w:rPr>
                <w:rFonts w:hint="eastAsia"/>
                <w:snapToGrid w:val="0"/>
                <w:color w:val="auto"/>
                <w:kern w:val="0"/>
                <w:highlight w:val="none"/>
              </w:rPr>
              <w:t>根据生产线施工组织设计确定</w:t>
            </w:r>
          </w:p>
        </w:tc>
      </w:tr>
      <w:tr w14:paraId="5566D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1343B99D">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1452" w:type="dxa"/>
            <w:vAlign w:val="center"/>
          </w:tcPr>
          <w:p w14:paraId="283473EF">
            <w:pPr>
              <w:widowControl w:val="0"/>
              <w:adjustRightInd w:val="0"/>
              <w:snapToGrid w:val="0"/>
              <w:jc w:val="left"/>
              <w:rPr>
                <w:snapToGrid w:val="0"/>
                <w:color w:val="auto"/>
                <w:kern w:val="0"/>
                <w:highlight w:val="none"/>
              </w:rPr>
            </w:pPr>
            <w:r>
              <w:rPr>
                <w:rFonts w:hint="eastAsia"/>
                <w:snapToGrid w:val="0"/>
                <w:color w:val="auto"/>
                <w:kern w:val="0"/>
                <w:highlight w:val="none"/>
              </w:rPr>
              <w:t>矿山计量量化设备</w:t>
            </w:r>
          </w:p>
        </w:tc>
        <w:tc>
          <w:tcPr>
            <w:tcW w:w="1865" w:type="dxa"/>
            <w:vAlign w:val="center"/>
          </w:tcPr>
          <w:p w14:paraId="7F505EA1">
            <w:pPr>
              <w:widowControl w:val="0"/>
              <w:adjustRightInd w:val="0"/>
              <w:snapToGrid w:val="0"/>
              <w:jc w:val="left"/>
              <w:rPr>
                <w:snapToGrid w:val="0"/>
                <w:color w:val="auto"/>
                <w:kern w:val="0"/>
                <w:highlight w:val="none"/>
              </w:rPr>
            </w:pPr>
            <w:r>
              <w:rPr>
                <w:rFonts w:hint="eastAsia"/>
                <w:snapToGrid w:val="0"/>
                <w:color w:val="auto"/>
                <w:kern w:val="0"/>
                <w:highlight w:val="none"/>
              </w:rPr>
              <w:t>过磅房</w:t>
            </w:r>
          </w:p>
        </w:tc>
        <w:tc>
          <w:tcPr>
            <w:tcW w:w="1976" w:type="dxa"/>
            <w:vAlign w:val="center"/>
          </w:tcPr>
          <w:p w14:paraId="64FDFAFB">
            <w:pPr>
              <w:widowControl w:val="0"/>
              <w:adjustRightInd w:val="0"/>
              <w:snapToGrid w:val="0"/>
              <w:jc w:val="left"/>
              <w:rPr>
                <w:snapToGrid w:val="0"/>
                <w:color w:val="auto"/>
                <w:kern w:val="0"/>
                <w:highlight w:val="none"/>
              </w:rPr>
            </w:pPr>
            <w:r>
              <w:rPr>
                <w:rFonts w:hint="eastAsia"/>
                <w:snapToGrid w:val="0"/>
                <w:color w:val="auto"/>
                <w:kern w:val="0"/>
                <w:highlight w:val="none"/>
              </w:rPr>
              <w:t>两组</w:t>
            </w:r>
          </w:p>
          <w:p w14:paraId="494B3947">
            <w:pPr>
              <w:widowControl w:val="0"/>
              <w:adjustRightInd w:val="0"/>
              <w:snapToGrid w:val="0"/>
              <w:jc w:val="left"/>
              <w:rPr>
                <w:snapToGrid w:val="0"/>
                <w:color w:val="auto"/>
                <w:kern w:val="0"/>
                <w:highlight w:val="none"/>
              </w:rPr>
            </w:pPr>
            <w:r>
              <w:rPr>
                <w:rFonts w:hint="eastAsia"/>
                <w:snapToGrid w:val="0"/>
                <w:color w:val="auto"/>
                <w:kern w:val="0"/>
                <w:highlight w:val="none"/>
              </w:rPr>
              <w:t>载荷：</w:t>
            </w:r>
            <w:r>
              <w:rPr>
                <w:rFonts w:hint="eastAsia"/>
                <w:snapToGrid w:val="0"/>
                <w:color w:val="auto"/>
                <w:kern w:val="0"/>
                <w:highlight w:val="none"/>
                <w:u w:val="single"/>
              </w:rPr>
              <w:t xml:space="preserve"> </w:t>
            </w:r>
            <w:r>
              <w:rPr>
                <w:rFonts w:hint="eastAsia" w:ascii="宋体" w:hAnsi="宋体"/>
                <w:snapToGrid w:val="0"/>
                <w:color w:val="auto"/>
                <w:kern w:val="0"/>
                <w:highlight w:val="none"/>
                <w:u w:val="single"/>
              </w:rPr>
              <w:t>≥</w:t>
            </w:r>
            <w:r>
              <w:rPr>
                <w:rFonts w:hint="eastAsia"/>
                <w:snapToGrid w:val="0"/>
                <w:color w:val="auto"/>
                <w:kern w:val="0"/>
                <w:highlight w:val="none"/>
                <w:u w:val="single"/>
              </w:rPr>
              <w:t xml:space="preserve">80 </w:t>
            </w:r>
            <w:r>
              <w:rPr>
                <w:rFonts w:hint="eastAsia"/>
                <w:snapToGrid w:val="0"/>
                <w:color w:val="auto"/>
                <w:kern w:val="0"/>
                <w:highlight w:val="none"/>
              </w:rPr>
              <w:t>T</w:t>
            </w:r>
          </w:p>
        </w:tc>
        <w:tc>
          <w:tcPr>
            <w:tcW w:w="1275" w:type="dxa"/>
            <w:vAlign w:val="center"/>
          </w:tcPr>
          <w:p w14:paraId="65E13D1F">
            <w:pPr>
              <w:widowControl w:val="0"/>
              <w:adjustRightInd w:val="0"/>
              <w:snapToGrid w:val="0"/>
              <w:jc w:val="center"/>
              <w:rPr>
                <w:snapToGrid w:val="0"/>
                <w:color w:val="auto"/>
                <w:kern w:val="0"/>
                <w:highlight w:val="none"/>
              </w:rPr>
            </w:pPr>
            <w:r>
              <w:rPr>
                <w:rFonts w:hint="eastAsia"/>
                <w:snapToGrid w:val="0"/>
                <w:color w:val="auto"/>
                <w:kern w:val="0"/>
                <w:highlight w:val="none"/>
              </w:rPr>
              <w:t>4套</w:t>
            </w:r>
          </w:p>
        </w:tc>
        <w:tc>
          <w:tcPr>
            <w:tcW w:w="2127" w:type="dxa"/>
            <w:vAlign w:val="center"/>
          </w:tcPr>
          <w:p w14:paraId="0CF2B06C">
            <w:pPr>
              <w:widowControl w:val="0"/>
              <w:adjustRightInd w:val="0"/>
              <w:snapToGrid w:val="0"/>
              <w:jc w:val="left"/>
              <w:rPr>
                <w:snapToGrid w:val="0"/>
                <w:color w:val="auto"/>
                <w:kern w:val="0"/>
                <w:highlight w:val="none"/>
              </w:rPr>
            </w:pPr>
            <w:r>
              <w:rPr>
                <w:rFonts w:hint="eastAsia"/>
                <w:snapToGrid w:val="0"/>
                <w:color w:val="auto"/>
                <w:kern w:val="0"/>
                <w:highlight w:val="none"/>
              </w:rPr>
              <w:t>配套监控设备</w:t>
            </w:r>
          </w:p>
        </w:tc>
      </w:tr>
      <w:tr w14:paraId="77CE1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6463A526">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1452" w:type="dxa"/>
            <w:vAlign w:val="center"/>
          </w:tcPr>
          <w:p w14:paraId="5DC39A9D">
            <w:pPr>
              <w:widowControl w:val="0"/>
              <w:adjustRightInd w:val="0"/>
              <w:snapToGrid w:val="0"/>
              <w:jc w:val="left"/>
              <w:rPr>
                <w:snapToGrid w:val="0"/>
                <w:color w:val="auto"/>
                <w:kern w:val="0"/>
                <w:highlight w:val="none"/>
              </w:rPr>
            </w:pPr>
            <w:r>
              <w:rPr>
                <w:rFonts w:hint="eastAsia"/>
                <w:snapToGrid w:val="0"/>
                <w:color w:val="auto"/>
                <w:kern w:val="0"/>
                <w:highlight w:val="none"/>
              </w:rPr>
              <w:t>质量检测设备</w:t>
            </w:r>
          </w:p>
        </w:tc>
        <w:tc>
          <w:tcPr>
            <w:tcW w:w="1865" w:type="dxa"/>
            <w:vAlign w:val="center"/>
          </w:tcPr>
          <w:p w14:paraId="340F63E2">
            <w:pPr>
              <w:widowControl w:val="0"/>
              <w:adjustRightInd w:val="0"/>
              <w:snapToGrid w:val="0"/>
              <w:jc w:val="left"/>
              <w:rPr>
                <w:snapToGrid w:val="0"/>
                <w:color w:val="auto"/>
                <w:kern w:val="0"/>
                <w:highlight w:val="none"/>
              </w:rPr>
            </w:pPr>
            <w:r>
              <w:rPr>
                <w:rFonts w:hint="eastAsia"/>
                <w:snapToGrid w:val="0"/>
                <w:color w:val="auto"/>
                <w:kern w:val="0"/>
                <w:highlight w:val="none"/>
              </w:rPr>
              <w:t>试验室</w:t>
            </w:r>
          </w:p>
        </w:tc>
        <w:tc>
          <w:tcPr>
            <w:tcW w:w="1976" w:type="dxa"/>
            <w:vAlign w:val="center"/>
          </w:tcPr>
          <w:p w14:paraId="4D77AFB0">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14:paraId="039BE3EF">
            <w:pPr>
              <w:widowControl w:val="0"/>
              <w:adjustRightInd w:val="0"/>
              <w:snapToGrid w:val="0"/>
              <w:jc w:val="center"/>
              <w:rPr>
                <w:snapToGrid w:val="0"/>
                <w:color w:val="auto"/>
                <w:kern w:val="0"/>
                <w:highlight w:val="none"/>
              </w:rPr>
            </w:pPr>
            <w:r>
              <w:rPr>
                <w:rFonts w:hint="eastAsia"/>
                <w:snapToGrid w:val="0"/>
                <w:color w:val="auto"/>
                <w:kern w:val="0"/>
                <w:highlight w:val="none"/>
              </w:rPr>
              <w:t>1套</w:t>
            </w:r>
          </w:p>
        </w:tc>
        <w:tc>
          <w:tcPr>
            <w:tcW w:w="2127" w:type="dxa"/>
            <w:vAlign w:val="center"/>
          </w:tcPr>
          <w:p w14:paraId="0E83F802">
            <w:pPr>
              <w:widowControl w:val="0"/>
              <w:adjustRightInd w:val="0"/>
              <w:snapToGrid w:val="0"/>
              <w:jc w:val="left"/>
              <w:rPr>
                <w:snapToGrid w:val="0"/>
                <w:color w:val="auto"/>
                <w:kern w:val="0"/>
                <w:highlight w:val="none"/>
              </w:rPr>
            </w:pPr>
            <w:r>
              <w:rPr>
                <w:rFonts w:hint="eastAsia"/>
                <w:snapToGrid w:val="0"/>
                <w:color w:val="auto"/>
                <w:kern w:val="0"/>
                <w:highlight w:val="none"/>
              </w:rPr>
              <w:t>配备矿石化学成分分析、物理性能、机制砂质量及碎石质量检测仪器、设备</w:t>
            </w:r>
          </w:p>
        </w:tc>
      </w:tr>
      <w:tr w14:paraId="637BC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5DF94EA2">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1452" w:type="dxa"/>
            <w:vAlign w:val="center"/>
          </w:tcPr>
          <w:p w14:paraId="404A8D8C">
            <w:pPr>
              <w:widowControl w:val="0"/>
              <w:adjustRightInd w:val="0"/>
              <w:snapToGrid w:val="0"/>
              <w:jc w:val="left"/>
              <w:rPr>
                <w:snapToGrid w:val="0"/>
                <w:color w:val="auto"/>
                <w:kern w:val="0"/>
                <w:highlight w:val="none"/>
              </w:rPr>
            </w:pPr>
            <w:r>
              <w:rPr>
                <w:rFonts w:hint="eastAsia"/>
                <w:snapToGrid w:val="0"/>
                <w:color w:val="auto"/>
                <w:kern w:val="0"/>
                <w:highlight w:val="none"/>
              </w:rPr>
              <w:t>防排水系统</w:t>
            </w:r>
          </w:p>
        </w:tc>
        <w:tc>
          <w:tcPr>
            <w:tcW w:w="1865" w:type="dxa"/>
            <w:vAlign w:val="center"/>
          </w:tcPr>
          <w:p w14:paraId="07250589">
            <w:pPr>
              <w:widowControl w:val="0"/>
              <w:adjustRightInd w:val="0"/>
              <w:snapToGrid w:val="0"/>
              <w:jc w:val="left"/>
              <w:rPr>
                <w:snapToGrid w:val="0"/>
                <w:color w:val="auto"/>
                <w:kern w:val="0"/>
                <w:highlight w:val="none"/>
              </w:rPr>
            </w:pPr>
            <w:r>
              <w:rPr>
                <w:rFonts w:hint="eastAsia"/>
                <w:snapToGrid w:val="0"/>
                <w:color w:val="auto"/>
                <w:kern w:val="0"/>
                <w:highlight w:val="none"/>
              </w:rPr>
              <w:t>料场雨污分流系统、潜水泵</w:t>
            </w:r>
          </w:p>
        </w:tc>
        <w:tc>
          <w:tcPr>
            <w:tcW w:w="1976" w:type="dxa"/>
            <w:vAlign w:val="center"/>
          </w:tcPr>
          <w:p w14:paraId="32520BCC">
            <w:pPr>
              <w:widowControl w:val="0"/>
              <w:adjustRightInd w:val="0"/>
              <w:snapToGrid w:val="0"/>
              <w:jc w:val="left"/>
              <w:rPr>
                <w:snapToGrid w:val="0"/>
                <w:color w:val="auto"/>
                <w:kern w:val="0"/>
                <w:highlight w:val="none"/>
              </w:rPr>
            </w:pPr>
          </w:p>
        </w:tc>
        <w:tc>
          <w:tcPr>
            <w:tcW w:w="1275" w:type="dxa"/>
            <w:vAlign w:val="center"/>
          </w:tcPr>
          <w:p w14:paraId="109B5F56">
            <w:pPr>
              <w:widowControl w:val="0"/>
              <w:adjustRightInd w:val="0"/>
              <w:snapToGrid w:val="0"/>
              <w:jc w:val="center"/>
              <w:rPr>
                <w:snapToGrid w:val="0"/>
                <w:color w:val="auto"/>
                <w:kern w:val="0"/>
                <w:highlight w:val="none"/>
              </w:rPr>
            </w:pPr>
            <w:r>
              <w:rPr>
                <w:rFonts w:hint="eastAsia"/>
                <w:snapToGrid w:val="0"/>
                <w:color w:val="auto"/>
                <w:kern w:val="0"/>
                <w:highlight w:val="none"/>
              </w:rPr>
              <w:t>符合要求</w:t>
            </w:r>
          </w:p>
        </w:tc>
        <w:tc>
          <w:tcPr>
            <w:tcW w:w="2127" w:type="dxa"/>
            <w:vAlign w:val="center"/>
          </w:tcPr>
          <w:p w14:paraId="33A531FF">
            <w:pPr>
              <w:widowControl w:val="0"/>
              <w:adjustRightInd w:val="0"/>
              <w:snapToGrid w:val="0"/>
              <w:jc w:val="left"/>
              <w:rPr>
                <w:snapToGrid w:val="0"/>
                <w:color w:val="auto"/>
                <w:kern w:val="0"/>
                <w:highlight w:val="none"/>
              </w:rPr>
            </w:pPr>
          </w:p>
        </w:tc>
      </w:tr>
      <w:tr w14:paraId="21AAD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5" w:type="dxa"/>
            <w:vAlign w:val="center"/>
          </w:tcPr>
          <w:p w14:paraId="1FD89AEB">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1452" w:type="dxa"/>
            <w:vAlign w:val="center"/>
          </w:tcPr>
          <w:p w14:paraId="53BBFDE4">
            <w:pPr>
              <w:widowControl w:val="0"/>
              <w:adjustRightInd w:val="0"/>
              <w:snapToGrid w:val="0"/>
              <w:jc w:val="left"/>
              <w:rPr>
                <w:snapToGrid w:val="0"/>
                <w:color w:val="auto"/>
                <w:kern w:val="0"/>
                <w:highlight w:val="none"/>
              </w:rPr>
            </w:pPr>
            <w:r>
              <w:rPr>
                <w:rFonts w:hint="eastAsia"/>
                <w:snapToGrid w:val="0"/>
                <w:color w:val="auto"/>
                <w:kern w:val="0"/>
                <w:highlight w:val="none"/>
              </w:rPr>
              <w:t>数字化监控平台</w:t>
            </w:r>
          </w:p>
        </w:tc>
        <w:tc>
          <w:tcPr>
            <w:tcW w:w="1865" w:type="dxa"/>
            <w:vAlign w:val="center"/>
          </w:tcPr>
          <w:p w14:paraId="6E07E978">
            <w:pPr>
              <w:widowControl w:val="0"/>
              <w:adjustRightInd w:val="0"/>
              <w:snapToGrid w:val="0"/>
              <w:jc w:val="left"/>
              <w:rPr>
                <w:snapToGrid w:val="0"/>
                <w:color w:val="auto"/>
                <w:kern w:val="0"/>
                <w:highlight w:val="none"/>
              </w:rPr>
            </w:pPr>
            <w:r>
              <w:rPr>
                <w:rFonts w:hint="eastAsia"/>
                <w:snapToGrid w:val="0"/>
                <w:color w:val="auto"/>
                <w:kern w:val="0"/>
                <w:highlight w:val="none"/>
              </w:rPr>
              <w:t>中控监控室</w:t>
            </w:r>
          </w:p>
        </w:tc>
        <w:tc>
          <w:tcPr>
            <w:tcW w:w="1976" w:type="dxa"/>
            <w:vAlign w:val="center"/>
          </w:tcPr>
          <w:p w14:paraId="40949209">
            <w:pPr>
              <w:widowControl w:val="0"/>
              <w:adjustRightInd w:val="0"/>
              <w:snapToGrid w:val="0"/>
              <w:jc w:val="left"/>
              <w:rPr>
                <w:snapToGrid w:val="0"/>
                <w:color w:val="auto"/>
                <w:kern w:val="0"/>
                <w:highlight w:val="none"/>
              </w:rPr>
            </w:pPr>
            <w:r>
              <w:rPr>
                <w:rFonts w:hint="eastAsia"/>
                <w:snapToGrid w:val="0"/>
                <w:color w:val="auto"/>
                <w:kern w:val="0"/>
                <w:highlight w:val="none"/>
              </w:rPr>
              <w:t>/</w:t>
            </w:r>
          </w:p>
        </w:tc>
        <w:tc>
          <w:tcPr>
            <w:tcW w:w="1275" w:type="dxa"/>
            <w:vAlign w:val="center"/>
          </w:tcPr>
          <w:p w14:paraId="1EB33D69">
            <w:pPr>
              <w:widowControl w:val="0"/>
              <w:adjustRightInd w:val="0"/>
              <w:snapToGrid w:val="0"/>
              <w:jc w:val="center"/>
              <w:rPr>
                <w:snapToGrid w:val="0"/>
                <w:color w:val="auto"/>
                <w:kern w:val="0"/>
                <w:highlight w:val="none"/>
              </w:rPr>
            </w:pPr>
            <w:r>
              <w:rPr>
                <w:rFonts w:hint="eastAsia"/>
                <w:snapToGrid w:val="0"/>
                <w:color w:val="auto"/>
                <w:kern w:val="0"/>
                <w:highlight w:val="none"/>
              </w:rPr>
              <w:t>1套</w:t>
            </w:r>
          </w:p>
        </w:tc>
        <w:tc>
          <w:tcPr>
            <w:tcW w:w="2127" w:type="dxa"/>
            <w:vAlign w:val="center"/>
          </w:tcPr>
          <w:p w14:paraId="5D47AC53">
            <w:pPr>
              <w:widowControl w:val="0"/>
              <w:adjustRightInd w:val="0"/>
              <w:snapToGrid w:val="0"/>
              <w:jc w:val="left"/>
              <w:rPr>
                <w:snapToGrid w:val="0"/>
                <w:color w:val="auto"/>
                <w:kern w:val="0"/>
                <w:highlight w:val="none"/>
              </w:rPr>
            </w:pPr>
            <w:r>
              <w:rPr>
                <w:rFonts w:hint="eastAsia"/>
                <w:snapToGrid w:val="0"/>
                <w:color w:val="auto"/>
                <w:kern w:val="0"/>
                <w:highlight w:val="none"/>
              </w:rPr>
              <w:t>矿山安全生产监管平台、矿产资源开发利用监管平台，</w:t>
            </w:r>
            <w:r>
              <w:rPr>
                <w:rFonts w:hint="eastAsia"/>
                <w:snapToGrid w:val="0"/>
                <w:color w:val="auto"/>
                <w:kern w:val="0"/>
                <w:highlight w:val="none"/>
              </w:rPr>
              <w:t>软件部分由采购人提供</w:t>
            </w:r>
          </w:p>
        </w:tc>
      </w:tr>
    </w:tbl>
    <w:p w14:paraId="4948418D">
      <w:pPr>
        <w:widowControl w:val="0"/>
        <w:adjustRightInd w:val="0"/>
        <w:snapToGrid w:val="0"/>
        <w:ind w:firstLine="420" w:firstLineChars="200"/>
        <w:rPr>
          <w:color w:val="auto"/>
          <w:highlight w:val="none"/>
        </w:rPr>
      </w:pPr>
      <w:r>
        <w:rPr>
          <w:rFonts w:hint="eastAsia"/>
          <w:color w:val="auto"/>
          <w:highlight w:val="none"/>
        </w:rPr>
        <w:t>说明：</w:t>
      </w:r>
    </w:p>
    <w:p w14:paraId="398A4799">
      <w:pPr>
        <w:widowControl w:val="0"/>
        <w:adjustRightInd w:val="0"/>
        <w:snapToGrid w:val="0"/>
        <w:ind w:firstLine="420" w:firstLineChars="200"/>
        <w:rPr>
          <w:color w:val="auto"/>
          <w:highlight w:val="none"/>
        </w:rPr>
      </w:pPr>
      <w:r>
        <w:rPr>
          <w:rFonts w:hint="eastAsia"/>
          <w:color w:val="auto"/>
          <w:highlight w:val="none"/>
        </w:rPr>
        <w:t>（1）本表</w:t>
      </w:r>
      <w:r>
        <w:rPr>
          <w:rFonts w:hint="eastAsia"/>
          <w:color w:val="auto"/>
          <w:highlight w:val="none"/>
        </w:rPr>
        <w:t>可</w:t>
      </w:r>
      <w:r>
        <w:rPr>
          <w:rFonts w:hint="eastAsia"/>
          <w:color w:val="auto"/>
          <w:highlight w:val="none"/>
        </w:rPr>
        <w:t>以承诺的形式响应招标文件要求。</w:t>
      </w:r>
    </w:p>
    <w:p w14:paraId="0614AA2F">
      <w:pPr>
        <w:widowControl w:val="0"/>
        <w:adjustRightInd w:val="0"/>
        <w:snapToGrid w:val="0"/>
        <w:ind w:firstLine="420" w:firstLineChars="200"/>
        <w:rPr>
          <w:color w:val="auto"/>
          <w:highlight w:val="none"/>
        </w:rPr>
      </w:pPr>
      <w:r>
        <w:rPr>
          <w:rFonts w:hint="eastAsia"/>
          <w:color w:val="auto"/>
          <w:highlight w:val="none"/>
        </w:rPr>
        <w:t>（2）上述的设备要求为采购人认为须满足产能要求至少应配备的，供应商应根据自身生产方案进行深化、细化设备投资，并不得低于采购需求及生产需要。</w:t>
      </w:r>
    </w:p>
    <w:p w14:paraId="43AE35CA">
      <w:pPr>
        <w:widowControl w:val="0"/>
        <w:adjustRightInd w:val="0"/>
        <w:snapToGrid w:val="0"/>
        <w:ind w:firstLine="420" w:firstLineChars="200"/>
        <w:rPr>
          <w:color w:val="auto"/>
          <w:highlight w:val="none"/>
        </w:rPr>
      </w:pPr>
      <w:r>
        <w:rPr>
          <w:rFonts w:hint="eastAsia"/>
          <w:color w:val="auto"/>
          <w:highlight w:val="none"/>
        </w:rPr>
        <w:t>（3）如生产、加工过程中，发生产品结构（各成品石料产出比列）、地质条件及产品质量调整，由此造成的设备投资调整，供应商应在投标报价中综合考虑，采购人后期不再另行支付费用（合同有约定的除外）。</w:t>
      </w:r>
    </w:p>
    <w:p w14:paraId="42EB7806">
      <w:pPr>
        <w:widowControl w:val="0"/>
        <w:adjustRightInd w:val="0"/>
        <w:snapToGrid w:val="0"/>
        <w:ind w:firstLine="420" w:firstLineChars="200"/>
        <w:rPr>
          <w:color w:val="auto"/>
          <w:highlight w:val="none"/>
        </w:rPr>
      </w:pPr>
      <w:r>
        <w:rPr>
          <w:rFonts w:hint="eastAsia"/>
          <w:color w:val="auto"/>
          <w:highlight w:val="none"/>
        </w:rPr>
        <w:t>（4）正式投产后因政策性强制要求技改，导致设备技改费用累计增加300万元以上的，增加超过300万元以外部分费用由双方另行协商解决。</w:t>
      </w:r>
    </w:p>
    <w:p w14:paraId="410306EE">
      <w:pPr>
        <w:widowControl w:val="0"/>
        <w:adjustRightInd w:val="0"/>
        <w:snapToGrid w:val="0"/>
        <w:rPr>
          <w:color w:val="auto"/>
          <w:highlight w:val="none"/>
        </w:rPr>
      </w:pPr>
    </w:p>
    <w:p w14:paraId="20D653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3、人员配置最低要求</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1"/>
        <w:gridCol w:w="883"/>
        <w:gridCol w:w="2723"/>
        <w:gridCol w:w="992"/>
        <w:gridCol w:w="4111"/>
      </w:tblGrid>
      <w:tr w14:paraId="5FFE5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81" w:type="dxa"/>
            <w:vAlign w:val="center"/>
          </w:tcPr>
          <w:p w14:paraId="5945F51B">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序号</w:t>
            </w:r>
          </w:p>
        </w:tc>
        <w:tc>
          <w:tcPr>
            <w:tcW w:w="3606" w:type="dxa"/>
            <w:gridSpan w:val="2"/>
            <w:vAlign w:val="center"/>
          </w:tcPr>
          <w:p w14:paraId="6BD8F8A1">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岗位（工种）</w:t>
            </w:r>
          </w:p>
        </w:tc>
        <w:tc>
          <w:tcPr>
            <w:tcW w:w="992" w:type="dxa"/>
            <w:vAlign w:val="center"/>
          </w:tcPr>
          <w:p w14:paraId="7DC720EF">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人数</w:t>
            </w:r>
          </w:p>
        </w:tc>
        <w:tc>
          <w:tcPr>
            <w:tcW w:w="4111" w:type="dxa"/>
            <w:vAlign w:val="center"/>
          </w:tcPr>
          <w:p w14:paraId="5B47791E">
            <w:pPr>
              <w:widowControl w:val="0"/>
              <w:adjustRightInd w:val="0"/>
              <w:snapToGrid w:val="0"/>
              <w:jc w:val="center"/>
              <w:rPr>
                <w:b/>
                <w:bCs/>
                <w:snapToGrid w:val="0"/>
                <w:color w:val="auto"/>
                <w:kern w:val="0"/>
                <w:highlight w:val="none"/>
              </w:rPr>
            </w:pPr>
            <w:r>
              <w:rPr>
                <w:rFonts w:hint="eastAsia"/>
                <w:b/>
                <w:bCs/>
                <w:snapToGrid w:val="0"/>
                <w:color w:val="auto"/>
                <w:kern w:val="0"/>
                <w:highlight w:val="none"/>
              </w:rPr>
              <w:t>备注</w:t>
            </w:r>
          </w:p>
        </w:tc>
      </w:tr>
      <w:tr w14:paraId="236D1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restart"/>
            <w:vAlign w:val="center"/>
          </w:tcPr>
          <w:p w14:paraId="3C4F026F">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883" w:type="dxa"/>
            <w:vMerge w:val="restart"/>
            <w:vAlign w:val="center"/>
          </w:tcPr>
          <w:p w14:paraId="3E1D2887">
            <w:pPr>
              <w:widowControl w:val="0"/>
              <w:adjustRightInd w:val="0"/>
              <w:snapToGrid w:val="0"/>
              <w:jc w:val="left"/>
              <w:rPr>
                <w:snapToGrid w:val="0"/>
                <w:color w:val="auto"/>
                <w:kern w:val="0"/>
                <w:highlight w:val="none"/>
              </w:rPr>
            </w:pPr>
            <w:r>
              <w:rPr>
                <w:rFonts w:hint="eastAsia"/>
                <w:snapToGrid w:val="0"/>
                <w:color w:val="auto"/>
                <w:kern w:val="0"/>
                <w:highlight w:val="none"/>
              </w:rPr>
              <w:t>项目管理团队</w:t>
            </w:r>
          </w:p>
        </w:tc>
        <w:tc>
          <w:tcPr>
            <w:tcW w:w="2723" w:type="dxa"/>
            <w:vAlign w:val="center"/>
          </w:tcPr>
          <w:p w14:paraId="3054178F">
            <w:pPr>
              <w:widowControl w:val="0"/>
              <w:adjustRightInd w:val="0"/>
              <w:snapToGrid w:val="0"/>
              <w:jc w:val="left"/>
              <w:rPr>
                <w:snapToGrid w:val="0"/>
                <w:color w:val="auto"/>
                <w:kern w:val="0"/>
                <w:highlight w:val="none"/>
              </w:rPr>
            </w:pPr>
            <w:r>
              <w:rPr>
                <w:rFonts w:hint="eastAsia"/>
                <w:snapToGrid w:val="0"/>
                <w:color w:val="auto"/>
                <w:kern w:val="0"/>
                <w:highlight w:val="none"/>
              </w:rPr>
              <w:t>项目负责人</w:t>
            </w:r>
          </w:p>
        </w:tc>
        <w:tc>
          <w:tcPr>
            <w:tcW w:w="992" w:type="dxa"/>
            <w:vAlign w:val="center"/>
          </w:tcPr>
          <w:p w14:paraId="7FA89277">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0107CDC1">
            <w:pPr>
              <w:widowControl w:val="0"/>
              <w:adjustRightInd w:val="0"/>
              <w:snapToGrid w:val="0"/>
              <w:jc w:val="left"/>
              <w:rPr>
                <w:snapToGrid w:val="0"/>
                <w:color w:val="auto"/>
                <w:kern w:val="0"/>
                <w:highlight w:val="none"/>
              </w:rPr>
            </w:pPr>
            <w:r>
              <w:rPr>
                <w:rFonts w:hint="eastAsia"/>
                <w:snapToGrid w:val="0"/>
                <w:color w:val="auto"/>
                <w:kern w:val="0"/>
                <w:highlight w:val="none"/>
              </w:rPr>
              <w:t>/</w:t>
            </w:r>
          </w:p>
        </w:tc>
      </w:tr>
      <w:tr w14:paraId="302B6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729DCBD9">
            <w:pPr>
              <w:widowControl w:val="0"/>
              <w:adjustRightInd w:val="0"/>
              <w:snapToGrid w:val="0"/>
              <w:jc w:val="center"/>
              <w:rPr>
                <w:snapToGrid w:val="0"/>
                <w:color w:val="auto"/>
                <w:kern w:val="0"/>
                <w:highlight w:val="none"/>
              </w:rPr>
            </w:pPr>
          </w:p>
        </w:tc>
        <w:tc>
          <w:tcPr>
            <w:tcW w:w="883" w:type="dxa"/>
            <w:vMerge w:val="continue"/>
            <w:vAlign w:val="center"/>
          </w:tcPr>
          <w:p w14:paraId="2AA22E3B">
            <w:pPr>
              <w:widowControl w:val="0"/>
              <w:adjustRightInd w:val="0"/>
              <w:snapToGrid w:val="0"/>
              <w:jc w:val="left"/>
              <w:rPr>
                <w:snapToGrid w:val="0"/>
                <w:color w:val="auto"/>
                <w:kern w:val="0"/>
                <w:highlight w:val="none"/>
              </w:rPr>
            </w:pPr>
          </w:p>
        </w:tc>
        <w:tc>
          <w:tcPr>
            <w:tcW w:w="2723" w:type="dxa"/>
            <w:vAlign w:val="center"/>
          </w:tcPr>
          <w:p w14:paraId="507C5BA0">
            <w:pPr>
              <w:widowControl w:val="0"/>
              <w:adjustRightInd w:val="0"/>
              <w:snapToGrid w:val="0"/>
              <w:jc w:val="left"/>
              <w:rPr>
                <w:snapToGrid w:val="0"/>
                <w:color w:val="auto"/>
                <w:kern w:val="0"/>
                <w:highlight w:val="none"/>
              </w:rPr>
            </w:pPr>
            <w:r>
              <w:rPr>
                <w:rFonts w:hint="eastAsia"/>
                <w:snapToGrid w:val="0"/>
                <w:color w:val="auto"/>
                <w:kern w:val="0"/>
                <w:highlight w:val="none"/>
              </w:rPr>
              <w:t>矿山工程施工负责人</w:t>
            </w:r>
          </w:p>
        </w:tc>
        <w:tc>
          <w:tcPr>
            <w:tcW w:w="992" w:type="dxa"/>
            <w:vAlign w:val="center"/>
          </w:tcPr>
          <w:p w14:paraId="2AD46494">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31233EC2">
            <w:pPr>
              <w:rPr>
                <w:color w:val="auto"/>
                <w:highlight w:val="none"/>
              </w:rPr>
            </w:pPr>
            <w:r>
              <w:rPr>
                <w:rFonts w:hint="eastAsia"/>
                <w:color w:val="auto"/>
                <w:highlight w:val="none"/>
              </w:rPr>
              <w:t>具有注册建造师（矿业工程）一级和建设行政主管部门颁发的合格有效的安全生产考核合格证书（B证），无在建工程</w:t>
            </w:r>
          </w:p>
        </w:tc>
      </w:tr>
      <w:tr w14:paraId="23CA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7E6958CC">
            <w:pPr>
              <w:widowControl w:val="0"/>
              <w:adjustRightInd w:val="0"/>
              <w:snapToGrid w:val="0"/>
              <w:jc w:val="center"/>
              <w:rPr>
                <w:snapToGrid w:val="0"/>
                <w:color w:val="auto"/>
                <w:kern w:val="0"/>
                <w:highlight w:val="none"/>
              </w:rPr>
            </w:pPr>
          </w:p>
        </w:tc>
        <w:tc>
          <w:tcPr>
            <w:tcW w:w="883" w:type="dxa"/>
            <w:vMerge w:val="continue"/>
            <w:vAlign w:val="center"/>
          </w:tcPr>
          <w:p w14:paraId="2A8091E2">
            <w:pPr>
              <w:widowControl w:val="0"/>
              <w:adjustRightInd w:val="0"/>
              <w:snapToGrid w:val="0"/>
              <w:jc w:val="left"/>
              <w:rPr>
                <w:snapToGrid w:val="0"/>
                <w:color w:val="auto"/>
                <w:kern w:val="0"/>
                <w:highlight w:val="none"/>
              </w:rPr>
            </w:pPr>
          </w:p>
        </w:tc>
        <w:tc>
          <w:tcPr>
            <w:tcW w:w="2723" w:type="dxa"/>
            <w:vAlign w:val="center"/>
          </w:tcPr>
          <w:p w14:paraId="3FEFC19F">
            <w:pPr>
              <w:widowControl w:val="0"/>
              <w:adjustRightInd w:val="0"/>
              <w:snapToGrid w:val="0"/>
              <w:jc w:val="left"/>
              <w:rPr>
                <w:snapToGrid w:val="0"/>
                <w:color w:val="auto"/>
                <w:kern w:val="0"/>
                <w:highlight w:val="none"/>
              </w:rPr>
            </w:pPr>
            <w:r>
              <w:rPr>
                <w:rFonts w:hint="eastAsia"/>
                <w:snapToGrid w:val="0"/>
                <w:color w:val="auto"/>
                <w:kern w:val="0"/>
                <w:highlight w:val="none"/>
              </w:rPr>
              <w:t>外运配套码头施工负责人</w:t>
            </w:r>
          </w:p>
        </w:tc>
        <w:tc>
          <w:tcPr>
            <w:tcW w:w="992" w:type="dxa"/>
            <w:vAlign w:val="center"/>
          </w:tcPr>
          <w:p w14:paraId="216943AD">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5E55FCA4">
            <w:pPr>
              <w:widowControl w:val="0"/>
              <w:adjustRightInd w:val="0"/>
              <w:snapToGrid w:val="0"/>
              <w:jc w:val="left"/>
              <w:rPr>
                <w:snapToGrid w:val="0"/>
                <w:color w:val="auto"/>
                <w:kern w:val="0"/>
                <w:highlight w:val="none"/>
              </w:rPr>
            </w:pPr>
            <w:r>
              <w:rPr>
                <w:rFonts w:hint="eastAsia"/>
                <w:snapToGrid w:val="0"/>
                <w:color w:val="auto"/>
                <w:kern w:val="0"/>
                <w:highlight w:val="none"/>
              </w:rPr>
              <w:t>具有注册建造师（港口与航道工程）一级和交通运输行政主管部门颁发的合格有效的安全生产考核合格证书（B证），无在建工程</w:t>
            </w:r>
          </w:p>
        </w:tc>
      </w:tr>
      <w:tr w14:paraId="17A19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46B9CDE7">
            <w:pPr>
              <w:widowControl w:val="0"/>
              <w:adjustRightInd w:val="0"/>
              <w:snapToGrid w:val="0"/>
              <w:jc w:val="center"/>
              <w:rPr>
                <w:snapToGrid w:val="0"/>
                <w:color w:val="auto"/>
                <w:kern w:val="0"/>
                <w:highlight w:val="none"/>
              </w:rPr>
            </w:pPr>
          </w:p>
        </w:tc>
        <w:tc>
          <w:tcPr>
            <w:tcW w:w="883" w:type="dxa"/>
            <w:vMerge w:val="continue"/>
            <w:vAlign w:val="center"/>
          </w:tcPr>
          <w:p w14:paraId="611D0091">
            <w:pPr>
              <w:widowControl w:val="0"/>
              <w:adjustRightInd w:val="0"/>
              <w:snapToGrid w:val="0"/>
              <w:jc w:val="left"/>
              <w:rPr>
                <w:snapToGrid w:val="0"/>
                <w:color w:val="auto"/>
                <w:kern w:val="0"/>
                <w:highlight w:val="none"/>
              </w:rPr>
            </w:pPr>
          </w:p>
        </w:tc>
        <w:tc>
          <w:tcPr>
            <w:tcW w:w="2723" w:type="dxa"/>
            <w:vAlign w:val="center"/>
          </w:tcPr>
          <w:p w14:paraId="293824C8">
            <w:pPr>
              <w:widowControl w:val="0"/>
              <w:adjustRightInd w:val="0"/>
              <w:snapToGrid w:val="0"/>
              <w:jc w:val="left"/>
              <w:rPr>
                <w:snapToGrid w:val="0"/>
                <w:color w:val="auto"/>
                <w:kern w:val="0"/>
                <w:highlight w:val="none"/>
              </w:rPr>
            </w:pPr>
            <w:r>
              <w:rPr>
                <w:rFonts w:hint="eastAsia"/>
                <w:snapToGrid w:val="0"/>
                <w:color w:val="auto"/>
                <w:kern w:val="0"/>
                <w:highlight w:val="none"/>
              </w:rPr>
              <w:t>项目技术负责人</w:t>
            </w:r>
          </w:p>
        </w:tc>
        <w:tc>
          <w:tcPr>
            <w:tcW w:w="992" w:type="dxa"/>
            <w:vAlign w:val="center"/>
          </w:tcPr>
          <w:p w14:paraId="30AB98DD">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42141620">
            <w:pPr>
              <w:widowControl w:val="0"/>
              <w:adjustRightInd w:val="0"/>
              <w:snapToGrid w:val="0"/>
              <w:jc w:val="left"/>
              <w:rPr>
                <w:snapToGrid w:val="0"/>
                <w:color w:val="auto"/>
                <w:kern w:val="0"/>
                <w:highlight w:val="none"/>
              </w:rPr>
            </w:pPr>
            <w:r>
              <w:rPr>
                <w:rFonts w:hint="eastAsia"/>
                <w:snapToGrid w:val="0"/>
                <w:color w:val="auto"/>
                <w:kern w:val="0"/>
                <w:highlight w:val="none"/>
              </w:rPr>
              <w:t>具有爆破工程技术人员（高级/B）及以上证书和采矿（或爆破）类相关专业高级工程师及以上职称</w:t>
            </w:r>
          </w:p>
        </w:tc>
      </w:tr>
      <w:tr w14:paraId="32654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2DA46DF1">
            <w:pPr>
              <w:widowControl w:val="0"/>
              <w:adjustRightInd w:val="0"/>
              <w:snapToGrid w:val="0"/>
              <w:jc w:val="center"/>
              <w:rPr>
                <w:snapToGrid w:val="0"/>
                <w:color w:val="auto"/>
                <w:kern w:val="0"/>
                <w:highlight w:val="none"/>
              </w:rPr>
            </w:pPr>
          </w:p>
        </w:tc>
        <w:tc>
          <w:tcPr>
            <w:tcW w:w="883" w:type="dxa"/>
            <w:vMerge w:val="continue"/>
            <w:vAlign w:val="center"/>
          </w:tcPr>
          <w:p w14:paraId="181A75DE">
            <w:pPr>
              <w:widowControl w:val="0"/>
              <w:adjustRightInd w:val="0"/>
              <w:snapToGrid w:val="0"/>
              <w:jc w:val="left"/>
              <w:rPr>
                <w:snapToGrid w:val="0"/>
                <w:color w:val="auto"/>
                <w:kern w:val="0"/>
                <w:highlight w:val="none"/>
              </w:rPr>
            </w:pPr>
          </w:p>
        </w:tc>
        <w:tc>
          <w:tcPr>
            <w:tcW w:w="2723" w:type="dxa"/>
            <w:vAlign w:val="center"/>
          </w:tcPr>
          <w:p w14:paraId="02C9EDE4">
            <w:pPr>
              <w:widowControl w:val="0"/>
              <w:adjustRightInd w:val="0"/>
              <w:snapToGrid w:val="0"/>
              <w:jc w:val="left"/>
              <w:rPr>
                <w:snapToGrid w:val="0"/>
                <w:color w:val="auto"/>
                <w:kern w:val="0"/>
                <w:highlight w:val="none"/>
              </w:rPr>
            </w:pPr>
            <w:r>
              <w:rPr>
                <w:rFonts w:hint="eastAsia"/>
                <w:snapToGrid w:val="0"/>
                <w:color w:val="auto"/>
                <w:kern w:val="0"/>
                <w:highlight w:val="none"/>
              </w:rPr>
              <w:t>安全负责人</w:t>
            </w:r>
          </w:p>
        </w:tc>
        <w:tc>
          <w:tcPr>
            <w:tcW w:w="992" w:type="dxa"/>
            <w:vAlign w:val="center"/>
          </w:tcPr>
          <w:p w14:paraId="4A288BC8">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10875219">
            <w:pPr>
              <w:widowControl w:val="0"/>
              <w:adjustRightInd w:val="0"/>
              <w:snapToGrid w:val="0"/>
              <w:jc w:val="left"/>
              <w:rPr>
                <w:snapToGrid w:val="0"/>
                <w:color w:val="auto"/>
                <w:kern w:val="0"/>
                <w:highlight w:val="none"/>
              </w:rPr>
            </w:pPr>
            <w:r>
              <w:rPr>
                <w:rFonts w:hint="eastAsia"/>
                <w:snapToGrid w:val="0"/>
                <w:color w:val="auto"/>
                <w:kern w:val="0"/>
                <w:highlight w:val="none"/>
              </w:rPr>
              <w:t>具有金属非金属矿山安全中级注册安全工程师证</w:t>
            </w:r>
          </w:p>
        </w:tc>
      </w:tr>
      <w:tr w14:paraId="278F2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Merge w:val="continue"/>
            <w:vAlign w:val="center"/>
          </w:tcPr>
          <w:p w14:paraId="5AA27280">
            <w:pPr>
              <w:widowControl w:val="0"/>
              <w:adjustRightInd w:val="0"/>
              <w:snapToGrid w:val="0"/>
              <w:jc w:val="center"/>
              <w:rPr>
                <w:snapToGrid w:val="0"/>
                <w:color w:val="auto"/>
                <w:kern w:val="0"/>
                <w:highlight w:val="none"/>
              </w:rPr>
            </w:pPr>
          </w:p>
        </w:tc>
        <w:tc>
          <w:tcPr>
            <w:tcW w:w="883" w:type="dxa"/>
            <w:vMerge w:val="continue"/>
            <w:vAlign w:val="center"/>
          </w:tcPr>
          <w:p w14:paraId="250F6F45">
            <w:pPr>
              <w:widowControl w:val="0"/>
              <w:adjustRightInd w:val="0"/>
              <w:snapToGrid w:val="0"/>
              <w:jc w:val="left"/>
              <w:rPr>
                <w:snapToGrid w:val="0"/>
                <w:color w:val="auto"/>
                <w:kern w:val="0"/>
                <w:highlight w:val="none"/>
              </w:rPr>
            </w:pPr>
          </w:p>
        </w:tc>
        <w:tc>
          <w:tcPr>
            <w:tcW w:w="2723" w:type="dxa"/>
            <w:vAlign w:val="center"/>
          </w:tcPr>
          <w:p w14:paraId="5C2C6A94">
            <w:pPr>
              <w:widowControl w:val="0"/>
              <w:adjustRightInd w:val="0"/>
              <w:snapToGrid w:val="0"/>
              <w:jc w:val="left"/>
              <w:rPr>
                <w:snapToGrid w:val="0"/>
                <w:color w:val="auto"/>
                <w:kern w:val="0"/>
                <w:highlight w:val="none"/>
              </w:rPr>
            </w:pPr>
            <w:r>
              <w:rPr>
                <w:rFonts w:hint="eastAsia"/>
                <w:snapToGrid w:val="0"/>
                <w:color w:val="auto"/>
                <w:kern w:val="0"/>
                <w:highlight w:val="none"/>
              </w:rPr>
              <w:t>外运配套码头施工安全负责人</w:t>
            </w:r>
          </w:p>
        </w:tc>
        <w:tc>
          <w:tcPr>
            <w:tcW w:w="992" w:type="dxa"/>
            <w:vAlign w:val="center"/>
          </w:tcPr>
          <w:p w14:paraId="2F0198AB">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6B4A96FC">
            <w:pPr>
              <w:widowControl w:val="0"/>
              <w:adjustRightInd w:val="0"/>
              <w:snapToGrid w:val="0"/>
              <w:jc w:val="left"/>
              <w:rPr>
                <w:snapToGrid w:val="0"/>
                <w:color w:val="auto"/>
                <w:kern w:val="0"/>
                <w:highlight w:val="none"/>
              </w:rPr>
            </w:pPr>
            <w:r>
              <w:rPr>
                <w:rFonts w:hint="eastAsia"/>
                <w:snapToGrid w:val="0"/>
                <w:color w:val="auto"/>
                <w:kern w:val="0"/>
                <w:highlight w:val="none"/>
              </w:rPr>
              <w:t>具有有效期内的公路水运工程施工企业主要负责人和安全生产管理人员安全生产考核合格证书（C类）</w:t>
            </w:r>
          </w:p>
        </w:tc>
      </w:tr>
      <w:tr w14:paraId="3F52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2AE22FB4">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3606" w:type="dxa"/>
            <w:gridSpan w:val="2"/>
            <w:vAlign w:val="center"/>
          </w:tcPr>
          <w:p w14:paraId="424CD64F">
            <w:pPr>
              <w:widowControl w:val="0"/>
              <w:adjustRightInd w:val="0"/>
              <w:snapToGrid w:val="0"/>
              <w:jc w:val="left"/>
              <w:rPr>
                <w:snapToGrid w:val="0"/>
                <w:color w:val="auto"/>
                <w:kern w:val="0"/>
                <w:highlight w:val="none"/>
              </w:rPr>
            </w:pPr>
            <w:r>
              <w:rPr>
                <w:snapToGrid w:val="0"/>
                <w:color w:val="auto"/>
                <w:kern w:val="0"/>
                <w:highlight w:val="none"/>
              </w:rPr>
              <w:t>行政管理人员</w:t>
            </w:r>
          </w:p>
        </w:tc>
        <w:tc>
          <w:tcPr>
            <w:tcW w:w="992" w:type="dxa"/>
            <w:vAlign w:val="center"/>
          </w:tcPr>
          <w:p w14:paraId="18C66297">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4111" w:type="dxa"/>
            <w:vAlign w:val="center"/>
          </w:tcPr>
          <w:p w14:paraId="0DC0FA66">
            <w:pPr>
              <w:widowControl w:val="0"/>
              <w:adjustRightInd w:val="0"/>
              <w:snapToGrid w:val="0"/>
              <w:jc w:val="left"/>
              <w:rPr>
                <w:snapToGrid w:val="0"/>
                <w:color w:val="auto"/>
                <w:kern w:val="0"/>
                <w:highlight w:val="none"/>
              </w:rPr>
            </w:pPr>
            <w:r>
              <w:rPr>
                <w:rFonts w:hint="eastAsia"/>
                <w:snapToGrid w:val="0"/>
                <w:color w:val="auto"/>
                <w:kern w:val="0"/>
                <w:highlight w:val="none"/>
              </w:rPr>
              <w:t>要求至少配置1名档案</w:t>
            </w:r>
          </w:p>
        </w:tc>
      </w:tr>
      <w:tr w14:paraId="00ABB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66F80702">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3606" w:type="dxa"/>
            <w:gridSpan w:val="2"/>
            <w:vAlign w:val="center"/>
          </w:tcPr>
          <w:p w14:paraId="5431BBE8">
            <w:pPr>
              <w:widowControl w:val="0"/>
              <w:adjustRightInd w:val="0"/>
              <w:snapToGrid w:val="0"/>
              <w:jc w:val="left"/>
              <w:rPr>
                <w:snapToGrid w:val="0"/>
                <w:color w:val="auto"/>
                <w:kern w:val="0"/>
                <w:highlight w:val="none"/>
              </w:rPr>
            </w:pPr>
            <w:r>
              <w:rPr>
                <w:snapToGrid w:val="0"/>
                <w:color w:val="auto"/>
                <w:kern w:val="0"/>
                <w:highlight w:val="none"/>
              </w:rPr>
              <w:t>技术人员</w:t>
            </w:r>
          </w:p>
        </w:tc>
        <w:tc>
          <w:tcPr>
            <w:tcW w:w="992" w:type="dxa"/>
            <w:vAlign w:val="center"/>
          </w:tcPr>
          <w:p w14:paraId="13028781">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14:paraId="631519A2">
            <w:pPr>
              <w:widowControl w:val="0"/>
              <w:adjustRightInd w:val="0"/>
              <w:snapToGrid w:val="0"/>
              <w:jc w:val="left"/>
              <w:rPr>
                <w:snapToGrid w:val="0"/>
                <w:color w:val="auto"/>
                <w:kern w:val="0"/>
                <w:highlight w:val="none"/>
              </w:rPr>
            </w:pPr>
            <w:r>
              <w:rPr>
                <w:rFonts w:hint="eastAsia"/>
                <w:snapToGrid w:val="0"/>
                <w:color w:val="auto"/>
                <w:kern w:val="0"/>
                <w:highlight w:val="none"/>
              </w:rPr>
              <w:t>采矿、地质、测量、机电、爆破工程专业各1名技术人员</w:t>
            </w:r>
          </w:p>
        </w:tc>
      </w:tr>
      <w:tr w14:paraId="1F5CA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5671E555">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3606" w:type="dxa"/>
            <w:gridSpan w:val="2"/>
            <w:vAlign w:val="center"/>
          </w:tcPr>
          <w:p w14:paraId="6A77C4B8">
            <w:pPr>
              <w:widowControl w:val="0"/>
              <w:adjustRightInd w:val="0"/>
              <w:snapToGrid w:val="0"/>
              <w:jc w:val="left"/>
              <w:rPr>
                <w:snapToGrid w:val="0"/>
                <w:color w:val="auto"/>
                <w:kern w:val="0"/>
                <w:highlight w:val="none"/>
              </w:rPr>
            </w:pPr>
            <w:r>
              <w:rPr>
                <w:snapToGrid w:val="0"/>
                <w:color w:val="auto"/>
                <w:kern w:val="0"/>
                <w:highlight w:val="none"/>
              </w:rPr>
              <w:t>专职安全生产管理人员</w:t>
            </w:r>
          </w:p>
        </w:tc>
        <w:tc>
          <w:tcPr>
            <w:tcW w:w="992" w:type="dxa"/>
            <w:vAlign w:val="center"/>
          </w:tcPr>
          <w:p w14:paraId="0FC2C028">
            <w:pPr>
              <w:widowControl w:val="0"/>
              <w:adjustRightInd w:val="0"/>
              <w:snapToGrid w:val="0"/>
              <w:jc w:val="center"/>
              <w:rPr>
                <w:snapToGrid w:val="0"/>
                <w:color w:val="auto"/>
                <w:kern w:val="0"/>
                <w:highlight w:val="none"/>
              </w:rPr>
            </w:pPr>
            <w:r>
              <w:rPr>
                <w:rFonts w:hint="eastAsia"/>
                <w:snapToGrid w:val="0"/>
                <w:color w:val="auto"/>
                <w:kern w:val="0"/>
                <w:highlight w:val="none"/>
              </w:rPr>
              <w:t>3</w:t>
            </w:r>
          </w:p>
        </w:tc>
        <w:tc>
          <w:tcPr>
            <w:tcW w:w="4111" w:type="dxa"/>
            <w:vAlign w:val="center"/>
          </w:tcPr>
          <w:p w14:paraId="3D5274EE">
            <w:pPr>
              <w:widowControl w:val="0"/>
              <w:adjustRightInd w:val="0"/>
              <w:snapToGrid w:val="0"/>
              <w:jc w:val="left"/>
              <w:rPr>
                <w:snapToGrid w:val="0"/>
                <w:color w:val="auto"/>
                <w:kern w:val="0"/>
                <w:highlight w:val="none"/>
              </w:rPr>
            </w:pPr>
            <w:r>
              <w:rPr>
                <w:rFonts w:hint="eastAsia"/>
                <w:snapToGrid w:val="0"/>
                <w:color w:val="auto"/>
                <w:kern w:val="0"/>
                <w:highlight w:val="none"/>
              </w:rPr>
              <w:t>生产期间配备矿山、码头安全管理人员、爆破安全员证书</w:t>
            </w:r>
          </w:p>
        </w:tc>
      </w:tr>
      <w:tr w14:paraId="38B5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3FF3AC2E">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3606" w:type="dxa"/>
            <w:gridSpan w:val="2"/>
            <w:vAlign w:val="center"/>
          </w:tcPr>
          <w:p w14:paraId="02213D8D">
            <w:pPr>
              <w:widowControl w:val="0"/>
              <w:adjustRightInd w:val="0"/>
              <w:snapToGrid w:val="0"/>
              <w:jc w:val="left"/>
              <w:rPr>
                <w:snapToGrid w:val="0"/>
                <w:color w:val="auto"/>
                <w:kern w:val="0"/>
                <w:highlight w:val="none"/>
              </w:rPr>
            </w:pPr>
            <w:r>
              <w:rPr>
                <w:snapToGrid w:val="0"/>
                <w:color w:val="auto"/>
                <w:kern w:val="0"/>
                <w:highlight w:val="none"/>
              </w:rPr>
              <w:t>潜孔钻机司机</w:t>
            </w:r>
          </w:p>
        </w:tc>
        <w:tc>
          <w:tcPr>
            <w:tcW w:w="992" w:type="dxa"/>
            <w:vAlign w:val="center"/>
          </w:tcPr>
          <w:p w14:paraId="5042FFB9">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4111" w:type="dxa"/>
            <w:vAlign w:val="center"/>
          </w:tcPr>
          <w:p w14:paraId="35592A36">
            <w:pPr>
              <w:widowControl w:val="0"/>
              <w:adjustRightInd w:val="0"/>
              <w:snapToGrid w:val="0"/>
              <w:jc w:val="left"/>
              <w:rPr>
                <w:snapToGrid w:val="0"/>
                <w:color w:val="auto"/>
                <w:kern w:val="0"/>
                <w:highlight w:val="none"/>
              </w:rPr>
            </w:pPr>
            <w:r>
              <w:rPr>
                <w:snapToGrid w:val="0"/>
                <w:color w:val="auto"/>
                <w:kern w:val="0"/>
                <w:highlight w:val="none"/>
              </w:rPr>
              <w:t>包括维护和简单检修</w:t>
            </w:r>
          </w:p>
        </w:tc>
      </w:tr>
      <w:tr w14:paraId="5D82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18B7F5DF">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3606" w:type="dxa"/>
            <w:gridSpan w:val="2"/>
            <w:vAlign w:val="center"/>
          </w:tcPr>
          <w:p w14:paraId="6460263B">
            <w:pPr>
              <w:widowControl w:val="0"/>
              <w:adjustRightInd w:val="0"/>
              <w:snapToGrid w:val="0"/>
              <w:jc w:val="left"/>
              <w:rPr>
                <w:snapToGrid w:val="0"/>
                <w:color w:val="auto"/>
                <w:kern w:val="0"/>
                <w:highlight w:val="none"/>
              </w:rPr>
            </w:pPr>
            <w:r>
              <w:rPr>
                <w:snapToGrid w:val="0"/>
                <w:color w:val="auto"/>
                <w:kern w:val="0"/>
                <w:highlight w:val="none"/>
              </w:rPr>
              <w:t>挖掘机、装载机司机</w:t>
            </w:r>
          </w:p>
        </w:tc>
        <w:tc>
          <w:tcPr>
            <w:tcW w:w="992" w:type="dxa"/>
            <w:vAlign w:val="center"/>
          </w:tcPr>
          <w:p w14:paraId="57A78471">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4111" w:type="dxa"/>
            <w:vAlign w:val="center"/>
          </w:tcPr>
          <w:p w14:paraId="5090C92D">
            <w:pPr>
              <w:widowControl w:val="0"/>
              <w:adjustRightInd w:val="0"/>
              <w:snapToGrid w:val="0"/>
              <w:jc w:val="left"/>
              <w:rPr>
                <w:snapToGrid w:val="0"/>
                <w:color w:val="auto"/>
                <w:kern w:val="0"/>
                <w:highlight w:val="none"/>
              </w:rPr>
            </w:pPr>
            <w:r>
              <w:rPr>
                <w:snapToGrid w:val="0"/>
                <w:color w:val="auto"/>
                <w:kern w:val="0"/>
                <w:highlight w:val="none"/>
              </w:rPr>
              <w:t>包括维护和简单检修</w:t>
            </w:r>
          </w:p>
        </w:tc>
      </w:tr>
      <w:tr w14:paraId="4F30B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7A2505F4">
            <w:pPr>
              <w:widowControl w:val="0"/>
              <w:adjustRightInd w:val="0"/>
              <w:snapToGrid w:val="0"/>
              <w:jc w:val="center"/>
              <w:rPr>
                <w:snapToGrid w:val="0"/>
                <w:color w:val="auto"/>
                <w:kern w:val="0"/>
                <w:highlight w:val="none"/>
              </w:rPr>
            </w:pPr>
            <w:r>
              <w:rPr>
                <w:rFonts w:hint="eastAsia"/>
                <w:snapToGrid w:val="0"/>
                <w:color w:val="auto"/>
                <w:kern w:val="0"/>
                <w:highlight w:val="none"/>
              </w:rPr>
              <w:t>7</w:t>
            </w:r>
          </w:p>
        </w:tc>
        <w:tc>
          <w:tcPr>
            <w:tcW w:w="3606" w:type="dxa"/>
            <w:gridSpan w:val="2"/>
            <w:vAlign w:val="center"/>
          </w:tcPr>
          <w:p w14:paraId="79626D4E">
            <w:pPr>
              <w:widowControl w:val="0"/>
              <w:adjustRightInd w:val="0"/>
              <w:snapToGrid w:val="0"/>
              <w:jc w:val="left"/>
              <w:rPr>
                <w:snapToGrid w:val="0"/>
                <w:color w:val="auto"/>
                <w:kern w:val="0"/>
                <w:highlight w:val="none"/>
              </w:rPr>
            </w:pPr>
            <w:r>
              <w:rPr>
                <w:snapToGrid w:val="0"/>
                <w:color w:val="auto"/>
                <w:kern w:val="0"/>
                <w:highlight w:val="none"/>
              </w:rPr>
              <w:t>矿山汽车、洒水车、通勤车、工具车、行政车驾驶员</w:t>
            </w:r>
          </w:p>
        </w:tc>
        <w:tc>
          <w:tcPr>
            <w:tcW w:w="992" w:type="dxa"/>
            <w:vAlign w:val="center"/>
          </w:tcPr>
          <w:p w14:paraId="5008395A">
            <w:pPr>
              <w:widowControl w:val="0"/>
              <w:adjustRightInd w:val="0"/>
              <w:snapToGrid w:val="0"/>
              <w:jc w:val="center"/>
              <w:rPr>
                <w:snapToGrid w:val="0"/>
                <w:color w:val="auto"/>
                <w:kern w:val="0"/>
                <w:highlight w:val="none"/>
              </w:rPr>
            </w:pPr>
            <w:r>
              <w:rPr>
                <w:rFonts w:hint="eastAsia"/>
                <w:snapToGrid w:val="0"/>
                <w:color w:val="auto"/>
                <w:kern w:val="0"/>
                <w:highlight w:val="none"/>
              </w:rPr>
              <w:t>若干</w:t>
            </w:r>
          </w:p>
        </w:tc>
        <w:tc>
          <w:tcPr>
            <w:tcW w:w="4111" w:type="dxa"/>
            <w:vAlign w:val="center"/>
          </w:tcPr>
          <w:p w14:paraId="668D20D0">
            <w:pPr>
              <w:widowControl w:val="0"/>
              <w:adjustRightInd w:val="0"/>
              <w:snapToGrid w:val="0"/>
              <w:jc w:val="left"/>
              <w:rPr>
                <w:snapToGrid w:val="0"/>
                <w:color w:val="auto"/>
                <w:kern w:val="0"/>
                <w:highlight w:val="none"/>
              </w:rPr>
            </w:pPr>
            <w:r>
              <w:rPr>
                <w:rFonts w:hint="eastAsia"/>
                <w:snapToGrid w:val="0"/>
                <w:color w:val="auto"/>
                <w:kern w:val="0"/>
                <w:highlight w:val="none"/>
              </w:rPr>
              <w:t>根据生产需要配置</w:t>
            </w:r>
          </w:p>
        </w:tc>
      </w:tr>
      <w:tr w14:paraId="7E2A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1A6B3964">
            <w:pPr>
              <w:widowControl w:val="0"/>
              <w:adjustRightInd w:val="0"/>
              <w:snapToGrid w:val="0"/>
              <w:jc w:val="center"/>
              <w:rPr>
                <w:snapToGrid w:val="0"/>
                <w:color w:val="auto"/>
                <w:kern w:val="0"/>
                <w:highlight w:val="none"/>
              </w:rPr>
            </w:pPr>
            <w:r>
              <w:rPr>
                <w:rFonts w:hint="eastAsia"/>
                <w:snapToGrid w:val="0"/>
                <w:color w:val="auto"/>
                <w:kern w:val="0"/>
                <w:highlight w:val="none"/>
              </w:rPr>
              <w:t>8</w:t>
            </w:r>
          </w:p>
        </w:tc>
        <w:tc>
          <w:tcPr>
            <w:tcW w:w="3606" w:type="dxa"/>
            <w:gridSpan w:val="2"/>
            <w:vAlign w:val="center"/>
          </w:tcPr>
          <w:p w14:paraId="1E8576DD">
            <w:pPr>
              <w:widowControl w:val="0"/>
              <w:adjustRightInd w:val="0"/>
              <w:snapToGrid w:val="0"/>
              <w:jc w:val="left"/>
              <w:rPr>
                <w:snapToGrid w:val="0"/>
                <w:color w:val="auto"/>
                <w:kern w:val="0"/>
                <w:highlight w:val="none"/>
              </w:rPr>
            </w:pPr>
            <w:r>
              <w:rPr>
                <w:snapToGrid w:val="0"/>
                <w:color w:val="auto"/>
                <w:kern w:val="0"/>
                <w:highlight w:val="none"/>
              </w:rPr>
              <w:t>凿岩工</w:t>
            </w:r>
          </w:p>
        </w:tc>
        <w:tc>
          <w:tcPr>
            <w:tcW w:w="992" w:type="dxa"/>
            <w:vAlign w:val="center"/>
          </w:tcPr>
          <w:p w14:paraId="012DC558">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14:paraId="53F87844">
            <w:pPr>
              <w:widowControl w:val="0"/>
              <w:adjustRightInd w:val="0"/>
              <w:snapToGrid w:val="0"/>
              <w:jc w:val="left"/>
              <w:rPr>
                <w:snapToGrid w:val="0"/>
                <w:color w:val="auto"/>
                <w:kern w:val="0"/>
                <w:highlight w:val="none"/>
              </w:rPr>
            </w:pPr>
            <w:r>
              <w:rPr>
                <w:snapToGrid w:val="0"/>
                <w:color w:val="auto"/>
                <w:kern w:val="0"/>
                <w:highlight w:val="none"/>
              </w:rPr>
              <w:t>包括日常维护和修理</w:t>
            </w:r>
          </w:p>
        </w:tc>
      </w:tr>
      <w:tr w14:paraId="137C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44F54845">
            <w:pPr>
              <w:widowControl w:val="0"/>
              <w:adjustRightInd w:val="0"/>
              <w:snapToGrid w:val="0"/>
              <w:jc w:val="center"/>
              <w:rPr>
                <w:snapToGrid w:val="0"/>
                <w:color w:val="auto"/>
                <w:kern w:val="0"/>
                <w:highlight w:val="none"/>
              </w:rPr>
            </w:pPr>
            <w:r>
              <w:rPr>
                <w:rFonts w:hint="eastAsia"/>
                <w:snapToGrid w:val="0"/>
                <w:color w:val="auto"/>
                <w:kern w:val="0"/>
                <w:highlight w:val="none"/>
              </w:rPr>
              <w:t>9</w:t>
            </w:r>
          </w:p>
        </w:tc>
        <w:tc>
          <w:tcPr>
            <w:tcW w:w="3606" w:type="dxa"/>
            <w:gridSpan w:val="2"/>
            <w:vAlign w:val="center"/>
          </w:tcPr>
          <w:p w14:paraId="10E25876">
            <w:pPr>
              <w:widowControl w:val="0"/>
              <w:adjustRightInd w:val="0"/>
              <w:snapToGrid w:val="0"/>
              <w:jc w:val="left"/>
              <w:rPr>
                <w:snapToGrid w:val="0"/>
                <w:color w:val="auto"/>
                <w:kern w:val="0"/>
                <w:highlight w:val="none"/>
              </w:rPr>
            </w:pPr>
            <w:r>
              <w:rPr>
                <w:snapToGrid w:val="0"/>
                <w:color w:val="auto"/>
                <w:kern w:val="0"/>
                <w:highlight w:val="none"/>
              </w:rPr>
              <w:t>爆破</w:t>
            </w:r>
            <w:r>
              <w:rPr>
                <w:rFonts w:hint="eastAsia"/>
                <w:snapToGrid w:val="0"/>
                <w:color w:val="auto"/>
                <w:kern w:val="0"/>
                <w:highlight w:val="none"/>
              </w:rPr>
              <w:t>人员</w:t>
            </w:r>
          </w:p>
        </w:tc>
        <w:tc>
          <w:tcPr>
            <w:tcW w:w="992" w:type="dxa"/>
            <w:vAlign w:val="center"/>
          </w:tcPr>
          <w:p w14:paraId="56684EBA">
            <w:pPr>
              <w:widowControl w:val="0"/>
              <w:adjustRightInd w:val="0"/>
              <w:snapToGrid w:val="0"/>
              <w:jc w:val="center"/>
              <w:rPr>
                <w:snapToGrid w:val="0"/>
                <w:color w:val="auto"/>
                <w:kern w:val="0"/>
                <w:highlight w:val="none"/>
              </w:rPr>
            </w:pPr>
            <w:r>
              <w:rPr>
                <w:rFonts w:hint="eastAsia"/>
                <w:snapToGrid w:val="0"/>
                <w:color w:val="auto"/>
                <w:kern w:val="0"/>
                <w:highlight w:val="none"/>
              </w:rPr>
              <w:t>4</w:t>
            </w:r>
          </w:p>
        </w:tc>
        <w:tc>
          <w:tcPr>
            <w:tcW w:w="4111" w:type="dxa"/>
            <w:vAlign w:val="center"/>
          </w:tcPr>
          <w:p w14:paraId="7AA127AF">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0324B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241F300B">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3606" w:type="dxa"/>
            <w:gridSpan w:val="2"/>
            <w:vAlign w:val="center"/>
          </w:tcPr>
          <w:p w14:paraId="5B82D216">
            <w:pPr>
              <w:widowControl w:val="0"/>
              <w:adjustRightInd w:val="0"/>
              <w:snapToGrid w:val="0"/>
              <w:jc w:val="left"/>
              <w:rPr>
                <w:snapToGrid w:val="0"/>
                <w:color w:val="auto"/>
                <w:kern w:val="0"/>
                <w:highlight w:val="none"/>
              </w:rPr>
            </w:pPr>
            <w:r>
              <w:rPr>
                <w:snapToGrid w:val="0"/>
                <w:color w:val="auto"/>
                <w:kern w:val="0"/>
                <w:highlight w:val="none"/>
              </w:rPr>
              <w:t>生产辅助工</w:t>
            </w:r>
          </w:p>
        </w:tc>
        <w:tc>
          <w:tcPr>
            <w:tcW w:w="992" w:type="dxa"/>
            <w:vAlign w:val="center"/>
          </w:tcPr>
          <w:p w14:paraId="44C289C2">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762BA34D">
            <w:pPr>
              <w:widowControl w:val="0"/>
              <w:adjustRightInd w:val="0"/>
              <w:snapToGrid w:val="0"/>
              <w:jc w:val="left"/>
              <w:rPr>
                <w:snapToGrid w:val="0"/>
                <w:color w:val="auto"/>
                <w:kern w:val="0"/>
                <w:highlight w:val="none"/>
              </w:rPr>
            </w:pPr>
            <w:r>
              <w:rPr>
                <w:snapToGrid w:val="0"/>
                <w:color w:val="auto"/>
                <w:kern w:val="0"/>
                <w:highlight w:val="none"/>
              </w:rPr>
              <w:t>道路养护、排水、机械维修等</w:t>
            </w:r>
          </w:p>
        </w:tc>
      </w:tr>
      <w:tr w14:paraId="3E27A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330B38FE">
            <w:pPr>
              <w:widowControl w:val="0"/>
              <w:adjustRightInd w:val="0"/>
              <w:snapToGrid w:val="0"/>
              <w:jc w:val="center"/>
              <w:rPr>
                <w:snapToGrid w:val="0"/>
                <w:color w:val="auto"/>
                <w:kern w:val="0"/>
                <w:highlight w:val="none"/>
              </w:rPr>
            </w:pPr>
            <w:r>
              <w:rPr>
                <w:rFonts w:hint="eastAsia"/>
                <w:snapToGrid w:val="0"/>
                <w:color w:val="auto"/>
                <w:kern w:val="0"/>
                <w:highlight w:val="none"/>
              </w:rPr>
              <w:t>11</w:t>
            </w:r>
          </w:p>
        </w:tc>
        <w:tc>
          <w:tcPr>
            <w:tcW w:w="3606" w:type="dxa"/>
            <w:gridSpan w:val="2"/>
            <w:vAlign w:val="center"/>
          </w:tcPr>
          <w:p w14:paraId="50964423">
            <w:pPr>
              <w:widowControl w:val="0"/>
              <w:adjustRightInd w:val="0"/>
              <w:snapToGrid w:val="0"/>
              <w:jc w:val="left"/>
              <w:rPr>
                <w:snapToGrid w:val="0"/>
                <w:color w:val="auto"/>
                <w:kern w:val="0"/>
                <w:highlight w:val="none"/>
              </w:rPr>
            </w:pPr>
            <w:r>
              <w:rPr>
                <w:snapToGrid w:val="0"/>
                <w:color w:val="auto"/>
                <w:kern w:val="0"/>
                <w:highlight w:val="none"/>
              </w:rPr>
              <w:t>电焊工</w:t>
            </w:r>
          </w:p>
        </w:tc>
        <w:tc>
          <w:tcPr>
            <w:tcW w:w="992" w:type="dxa"/>
            <w:vAlign w:val="center"/>
          </w:tcPr>
          <w:p w14:paraId="2FC0D7B8">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142081FE">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79006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1134D897">
            <w:pPr>
              <w:widowControl w:val="0"/>
              <w:adjustRightInd w:val="0"/>
              <w:snapToGrid w:val="0"/>
              <w:jc w:val="center"/>
              <w:rPr>
                <w:snapToGrid w:val="0"/>
                <w:color w:val="auto"/>
                <w:kern w:val="0"/>
                <w:highlight w:val="none"/>
              </w:rPr>
            </w:pPr>
            <w:r>
              <w:rPr>
                <w:rFonts w:hint="eastAsia"/>
                <w:snapToGrid w:val="0"/>
                <w:color w:val="auto"/>
                <w:kern w:val="0"/>
                <w:highlight w:val="none"/>
              </w:rPr>
              <w:t>12</w:t>
            </w:r>
          </w:p>
        </w:tc>
        <w:tc>
          <w:tcPr>
            <w:tcW w:w="3606" w:type="dxa"/>
            <w:gridSpan w:val="2"/>
            <w:vAlign w:val="center"/>
          </w:tcPr>
          <w:p w14:paraId="3365CA9C">
            <w:pPr>
              <w:widowControl w:val="0"/>
              <w:adjustRightInd w:val="0"/>
              <w:snapToGrid w:val="0"/>
              <w:jc w:val="left"/>
              <w:rPr>
                <w:snapToGrid w:val="0"/>
                <w:color w:val="auto"/>
                <w:kern w:val="0"/>
                <w:highlight w:val="none"/>
              </w:rPr>
            </w:pPr>
            <w:r>
              <w:rPr>
                <w:snapToGrid w:val="0"/>
                <w:color w:val="auto"/>
                <w:kern w:val="0"/>
                <w:highlight w:val="none"/>
              </w:rPr>
              <w:t>破碎加工人员</w:t>
            </w:r>
          </w:p>
        </w:tc>
        <w:tc>
          <w:tcPr>
            <w:tcW w:w="992" w:type="dxa"/>
            <w:vAlign w:val="center"/>
          </w:tcPr>
          <w:p w14:paraId="631A8D86">
            <w:pPr>
              <w:widowControl w:val="0"/>
              <w:adjustRightInd w:val="0"/>
              <w:snapToGrid w:val="0"/>
              <w:jc w:val="center"/>
              <w:rPr>
                <w:snapToGrid w:val="0"/>
                <w:color w:val="auto"/>
                <w:kern w:val="0"/>
                <w:highlight w:val="none"/>
              </w:rPr>
            </w:pPr>
            <w:r>
              <w:rPr>
                <w:rFonts w:hint="eastAsia"/>
                <w:snapToGrid w:val="0"/>
                <w:color w:val="auto"/>
                <w:kern w:val="0"/>
                <w:highlight w:val="none"/>
              </w:rPr>
              <w:t>10</w:t>
            </w:r>
          </w:p>
        </w:tc>
        <w:tc>
          <w:tcPr>
            <w:tcW w:w="4111" w:type="dxa"/>
            <w:vAlign w:val="center"/>
          </w:tcPr>
          <w:p w14:paraId="0CB43921">
            <w:pPr>
              <w:widowControl w:val="0"/>
              <w:adjustRightInd w:val="0"/>
              <w:snapToGrid w:val="0"/>
              <w:jc w:val="left"/>
              <w:rPr>
                <w:snapToGrid w:val="0"/>
                <w:color w:val="auto"/>
                <w:kern w:val="0"/>
                <w:highlight w:val="none"/>
              </w:rPr>
            </w:pPr>
            <w:r>
              <w:rPr>
                <w:snapToGrid w:val="0"/>
                <w:color w:val="auto"/>
                <w:kern w:val="0"/>
                <w:highlight w:val="none"/>
              </w:rPr>
              <w:t>经专业培训</w:t>
            </w:r>
          </w:p>
        </w:tc>
      </w:tr>
      <w:tr w14:paraId="49AC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2052F99C">
            <w:pPr>
              <w:widowControl w:val="0"/>
              <w:adjustRightInd w:val="0"/>
              <w:snapToGrid w:val="0"/>
              <w:jc w:val="center"/>
              <w:rPr>
                <w:snapToGrid w:val="0"/>
                <w:color w:val="auto"/>
                <w:kern w:val="0"/>
                <w:highlight w:val="none"/>
              </w:rPr>
            </w:pPr>
            <w:r>
              <w:rPr>
                <w:rFonts w:hint="eastAsia"/>
                <w:snapToGrid w:val="0"/>
                <w:color w:val="auto"/>
                <w:kern w:val="0"/>
                <w:highlight w:val="none"/>
              </w:rPr>
              <w:t>13</w:t>
            </w:r>
          </w:p>
        </w:tc>
        <w:tc>
          <w:tcPr>
            <w:tcW w:w="3606" w:type="dxa"/>
            <w:gridSpan w:val="2"/>
            <w:vAlign w:val="center"/>
          </w:tcPr>
          <w:p w14:paraId="2A3E88D9">
            <w:pPr>
              <w:widowControl w:val="0"/>
              <w:adjustRightInd w:val="0"/>
              <w:snapToGrid w:val="0"/>
              <w:jc w:val="left"/>
              <w:rPr>
                <w:snapToGrid w:val="0"/>
                <w:color w:val="auto"/>
                <w:kern w:val="0"/>
                <w:highlight w:val="none"/>
              </w:rPr>
            </w:pPr>
            <w:r>
              <w:rPr>
                <w:snapToGrid w:val="0"/>
                <w:color w:val="auto"/>
                <w:kern w:val="0"/>
                <w:highlight w:val="none"/>
              </w:rPr>
              <w:t>后勤服务人员</w:t>
            </w:r>
          </w:p>
        </w:tc>
        <w:tc>
          <w:tcPr>
            <w:tcW w:w="992" w:type="dxa"/>
            <w:vAlign w:val="center"/>
          </w:tcPr>
          <w:p w14:paraId="3C14C8FF">
            <w:pPr>
              <w:widowControl w:val="0"/>
              <w:adjustRightInd w:val="0"/>
              <w:snapToGrid w:val="0"/>
              <w:jc w:val="center"/>
              <w:rPr>
                <w:snapToGrid w:val="0"/>
                <w:color w:val="auto"/>
                <w:kern w:val="0"/>
                <w:highlight w:val="none"/>
              </w:rPr>
            </w:pPr>
            <w:r>
              <w:rPr>
                <w:rFonts w:hint="eastAsia"/>
                <w:snapToGrid w:val="0"/>
                <w:color w:val="auto"/>
                <w:kern w:val="0"/>
                <w:highlight w:val="none"/>
              </w:rPr>
              <w:t>5</w:t>
            </w:r>
          </w:p>
        </w:tc>
        <w:tc>
          <w:tcPr>
            <w:tcW w:w="4111" w:type="dxa"/>
            <w:vAlign w:val="center"/>
          </w:tcPr>
          <w:p w14:paraId="046FA227">
            <w:pPr>
              <w:widowControl w:val="0"/>
              <w:adjustRightInd w:val="0"/>
              <w:snapToGrid w:val="0"/>
              <w:jc w:val="left"/>
              <w:rPr>
                <w:snapToGrid w:val="0"/>
                <w:color w:val="auto"/>
                <w:kern w:val="0"/>
                <w:highlight w:val="none"/>
              </w:rPr>
            </w:pPr>
          </w:p>
        </w:tc>
      </w:tr>
      <w:tr w14:paraId="06665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73CD333E">
            <w:pPr>
              <w:widowControl w:val="0"/>
              <w:adjustRightInd w:val="0"/>
              <w:snapToGrid w:val="0"/>
              <w:jc w:val="center"/>
              <w:rPr>
                <w:snapToGrid w:val="0"/>
                <w:color w:val="auto"/>
                <w:kern w:val="0"/>
                <w:highlight w:val="none"/>
              </w:rPr>
            </w:pPr>
            <w:r>
              <w:rPr>
                <w:rFonts w:hint="eastAsia"/>
                <w:snapToGrid w:val="0"/>
                <w:color w:val="auto"/>
                <w:kern w:val="0"/>
                <w:highlight w:val="none"/>
              </w:rPr>
              <w:t>14</w:t>
            </w:r>
          </w:p>
        </w:tc>
        <w:tc>
          <w:tcPr>
            <w:tcW w:w="3606" w:type="dxa"/>
            <w:gridSpan w:val="2"/>
            <w:vAlign w:val="center"/>
          </w:tcPr>
          <w:p w14:paraId="2233C990">
            <w:pPr>
              <w:widowControl w:val="0"/>
              <w:adjustRightInd w:val="0"/>
              <w:snapToGrid w:val="0"/>
              <w:jc w:val="left"/>
              <w:rPr>
                <w:snapToGrid w:val="0"/>
                <w:color w:val="auto"/>
                <w:kern w:val="0"/>
                <w:highlight w:val="none"/>
              </w:rPr>
            </w:pPr>
            <w:r>
              <w:rPr>
                <w:rFonts w:hint="eastAsia"/>
                <w:snapToGrid w:val="0"/>
                <w:color w:val="auto"/>
                <w:kern w:val="0"/>
                <w:highlight w:val="none"/>
              </w:rPr>
              <w:t>电工</w:t>
            </w:r>
          </w:p>
        </w:tc>
        <w:tc>
          <w:tcPr>
            <w:tcW w:w="992" w:type="dxa"/>
            <w:vAlign w:val="center"/>
          </w:tcPr>
          <w:p w14:paraId="37C84C7D">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1A2B3393">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0F078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4A96C824">
            <w:pPr>
              <w:widowControl w:val="0"/>
              <w:adjustRightInd w:val="0"/>
              <w:snapToGrid w:val="0"/>
              <w:jc w:val="center"/>
              <w:rPr>
                <w:snapToGrid w:val="0"/>
                <w:color w:val="auto"/>
                <w:kern w:val="0"/>
                <w:highlight w:val="none"/>
              </w:rPr>
            </w:pPr>
            <w:r>
              <w:rPr>
                <w:rFonts w:hint="eastAsia"/>
                <w:snapToGrid w:val="0"/>
                <w:color w:val="auto"/>
                <w:kern w:val="0"/>
                <w:highlight w:val="none"/>
              </w:rPr>
              <w:t>15</w:t>
            </w:r>
          </w:p>
        </w:tc>
        <w:tc>
          <w:tcPr>
            <w:tcW w:w="3606" w:type="dxa"/>
            <w:gridSpan w:val="2"/>
            <w:vAlign w:val="center"/>
          </w:tcPr>
          <w:p w14:paraId="1588FB4D">
            <w:pPr>
              <w:widowControl w:val="0"/>
              <w:adjustRightInd w:val="0"/>
              <w:snapToGrid w:val="0"/>
              <w:jc w:val="left"/>
              <w:rPr>
                <w:snapToGrid w:val="0"/>
                <w:color w:val="auto"/>
                <w:kern w:val="0"/>
                <w:highlight w:val="none"/>
              </w:rPr>
            </w:pPr>
            <w:r>
              <w:rPr>
                <w:rFonts w:hint="eastAsia"/>
                <w:snapToGrid w:val="0"/>
                <w:color w:val="auto"/>
                <w:kern w:val="0"/>
                <w:highlight w:val="none"/>
              </w:rPr>
              <w:t>高空作业人员</w:t>
            </w:r>
          </w:p>
        </w:tc>
        <w:tc>
          <w:tcPr>
            <w:tcW w:w="992" w:type="dxa"/>
            <w:vAlign w:val="center"/>
          </w:tcPr>
          <w:p w14:paraId="431D73DE">
            <w:pPr>
              <w:widowControl w:val="0"/>
              <w:adjustRightInd w:val="0"/>
              <w:snapToGrid w:val="0"/>
              <w:jc w:val="center"/>
              <w:rPr>
                <w:snapToGrid w:val="0"/>
                <w:color w:val="auto"/>
                <w:kern w:val="0"/>
                <w:highlight w:val="none"/>
              </w:rPr>
            </w:pPr>
            <w:r>
              <w:rPr>
                <w:rFonts w:hint="eastAsia"/>
                <w:snapToGrid w:val="0"/>
                <w:color w:val="auto"/>
                <w:kern w:val="0"/>
                <w:highlight w:val="none"/>
              </w:rPr>
              <w:t>1</w:t>
            </w:r>
          </w:p>
        </w:tc>
        <w:tc>
          <w:tcPr>
            <w:tcW w:w="4111" w:type="dxa"/>
            <w:vAlign w:val="center"/>
          </w:tcPr>
          <w:p w14:paraId="5BF2DCA5">
            <w:pPr>
              <w:widowControl w:val="0"/>
              <w:adjustRightInd w:val="0"/>
              <w:snapToGrid w:val="0"/>
              <w:jc w:val="left"/>
              <w:rPr>
                <w:snapToGrid w:val="0"/>
                <w:color w:val="auto"/>
                <w:kern w:val="0"/>
                <w:highlight w:val="none"/>
              </w:rPr>
            </w:pPr>
            <w:r>
              <w:rPr>
                <w:snapToGrid w:val="0"/>
                <w:color w:val="auto"/>
                <w:kern w:val="0"/>
                <w:highlight w:val="none"/>
              </w:rPr>
              <w:t>经专业培训、</w:t>
            </w:r>
            <w:r>
              <w:rPr>
                <w:rFonts w:hint="eastAsia"/>
                <w:snapToGrid w:val="0"/>
                <w:color w:val="auto"/>
                <w:kern w:val="0"/>
                <w:highlight w:val="none"/>
              </w:rPr>
              <w:t>持证</w:t>
            </w:r>
            <w:r>
              <w:rPr>
                <w:snapToGrid w:val="0"/>
                <w:color w:val="auto"/>
                <w:kern w:val="0"/>
                <w:highlight w:val="none"/>
              </w:rPr>
              <w:t>上岗</w:t>
            </w:r>
          </w:p>
        </w:tc>
      </w:tr>
      <w:tr w14:paraId="44924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0F632CE3">
            <w:pPr>
              <w:widowControl w:val="0"/>
              <w:adjustRightInd w:val="0"/>
              <w:snapToGrid w:val="0"/>
              <w:jc w:val="center"/>
              <w:rPr>
                <w:snapToGrid w:val="0"/>
                <w:color w:val="auto"/>
                <w:kern w:val="0"/>
                <w:highlight w:val="none"/>
              </w:rPr>
            </w:pPr>
            <w:r>
              <w:rPr>
                <w:rFonts w:hint="eastAsia"/>
                <w:snapToGrid w:val="0"/>
                <w:color w:val="auto"/>
                <w:kern w:val="0"/>
                <w:highlight w:val="none"/>
              </w:rPr>
              <w:t>16</w:t>
            </w:r>
          </w:p>
        </w:tc>
        <w:tc>
          <w:tcPr>
            <w:tcW w:w="3606" w:type="dxa"/>
            <w:gridSpan w:val="2"/>
            <w:vAlign w:val="center"/>
          </w:tcPr>
          <w:p w14:paraId="6ABDBCDB">
            <w:pPr>
              <w:widowControl w:val="0"/>
              <w:adjustRightInd w:val="0"/>
              <w:snapToGrid w:val="0"/>
              <w:jc w:val="left"/>
              <w:rPr>
                <w:snapToGrid w:val="0"/>
                <w:color w:val="auto"/>
                <w:kern w:val="0"/>
                <w:highlight w:val="none"/>
              </w:rPr>
            </w:pPr>
            <w:r>
              <w:rPr>
                <w:rFonts w:hint="eastAsia"/>
                <w:snapToGrid w:val="0"/>
                <w:color w:val="auto"/>
                <w:kern w:val="0"/>
                <w:highlight w:val="none"/>
              </w:rPr>
              <w:t>实验室机制砂、碎石检验检测人员</w:t>
            </w:r>
          </w:p>
        </w:tc>
        <w:tc>
          <w:tcPr>
            <w:tcW w:w="992" w:type="dxa"/>
            <w:vAlign w:val="center"/>
          </w:tcPr>
          <w:p w14:paraId="0C0306D6">
            <w:pPr>
              <w:widowControl w:val="0"/>
              <w:adjustRightInd w:val="0"/>
              <w:snapToGrid w:val="0"/>
              <w:jc w:val="center"/>
              <w:rPr>
                <w:snapToGrid w:val="0"/>
                <w:color w:val="auto"/>
                <w:kern w:val="0"/>
                <w:highlight w:val="none"/>
              </w:rPr>
            </w:pPr>
            <w:r>
              <w:rPr>
                <w:rFonts w:hint="eastAsia"/>
                <w:snapToGrid w:val="0"/>
                <w:color w:val="auto"/>
                <w:kern w:val="0"/>
                <w:highlight w:val="none"/>
              </w:rPr>
              <w:t>2</w:t>
            </w:r>
          </w:p>
        </w:tc>
        <w:tc>
          <w:tcPr>
            <w:tcW w:w="4111" w:type="dxa"/>
            <w:vAlign w:val="center"/>
          </w:tcPr>
          <w:p w14:paraId="6B29FB15">
            <w:pPr>
              <w:widowControl w:val="0"/>
              <w:adjustRightInd w:val="0"/>
              <w:snapToGrid w:val="0"/>
              <w:jc w:val="left"/>
              <w:rPr>
                <w:snapToGrid w:val="0"/>
                <w:color w:val="auto"/>
                <w:kern w:val="0"/>
                <w:highlight w:val="none"/>
              </w:rPr>
            </w:pPr>
            <w:r>
              <w:rPr>
                <w:rFonts w:hint="eastAsia"/>
                <w:snapToGrid w:val="0"/>
                <w:color w:val="auto"/>
                <w:kern w:val="0"/>
                <w:highlight w:val="none"/>
              </w:rPr>
              <w:t>经专业培训、持证上岗</w:t>
            </w:r>
          </w:p>
        </w:tc>
      </w:tr>
      <w:tr w14:paraId="1AEF8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1" w:type="dxa"/>
            <w:vAlign w:val="center"/>
          </w:tcPr>
          <w:p w14:paraId="3BEEADD9">
            <w:pPr>
              <w:widowControl w:val="0"/>
              <w:adjustRightInd w:val="0"/>
              <w:snapToGrid w:val="0"/>
              <w:jc w:val="center"/>
              <w:rPr>
                <w:snapToGrid w:val="0"/>
                <w:color w:val="auto"/>
                <w:kern w:val="0"/>
                <w:highlight w:val="none"/>
              </w:rPr>
            </w:pPr>
            <w:r>
              <w:rPr>
                <w:rFonts w:hint="eastAsia"/>
                <w:snapToGrid w:val="0"/>
                <w:color w:val="auto"/>
                <w:kern w:val="0"/>
                <w:highlight w:val="none"/>
              </w:rPr>
              <w:t>17</w:t>
            </w:r>
          </w:p>
        </w:tc>
        <w:tc>
          <w:tcPr>
            <w:tcW w:w="3606" w:type="dxa"/>
            <w:gridSpan w:val="2"/>
            <w:vAlign w:val="center"/>
          </w:tcPr>
          <w:p w14:paraId="4E903858">
            <w:pPr>
              <w:widowControl w:val="0"/>
              <w:adjustRightInd w:val="0"/>
              <w:snapToGrid w:val="0"/>
              <w:jc w:val="left"/>
              <w:rPr>
                <w:snapToGrid w:val="0"/>
                <w:color w:val="auto"/>
                <w:kern w:val="0"/>
                <w:highlight w:val="none"/>
              </w:rPr>
            </w:pPr>
            <w:r>
              <w:rPr>
                <w:rFonts w:hint="eastAsia"/>
                <w:snapToGrid w:val="0"/>
                <w:color w:val="auto"/>
                <w:kern w:val="0"/>
                <w:highlight w:val="none"/>
              </w:rPr>
              <w:t>码头、航道施工管理人员</w:t>
            </w:r>
          </w:p>
        </w:tc>
        <w:tc>
          <w:tcPr>
            <w:tcW w:w="992" w:type="dxa"/>
            <w:vAlign w:val="center"/>
          </w:tcPr>
          <w:p w14:paraId="0DCE71FF">
            <w:pPr>
              <w:widowControl w:val="0"/>
              <w:adjustRightInd w:val="0"/>
              <w:snapToGrid w:val="0"/>
              <w:jc w:val="center"/>
              <w:rPr>
                <w:snapToGrid w:val="0"/>
                <w:color w:val="auto"/>
                <w:kern w:val="0"/>
                <w:highlight w:val="none"/>
              </w:rPr>
            </w:pPr>
            <w:r>
              <w:rPr>
                <w:rFonts w:hint="eastAsia"/>
                <w:snapToGrid w:val="0"/>
                <w:color w:val="auto"/>
                <w:kern w:val="0"/>
                <w:highlight w:val="none"/>
              </w:rPr>
              <w:t>6</w:t>
            </w:r>
          </w:p>
        </w:tc>
        <w:tc>
          <w:tcPr>
            <w:tcW w:w="4111" w:type="dxa"/>
            <w:vAlign w:val="center"/>
          </w:tcPr>
          <w:p w14:paraId="43F7F7F0">
            <w:pPr>
              <w:widowControl w:val="0"/>
              <w:adjustRightInd w:val="0"/>
              <w:snapToGrid w:val="0"/>
              <w:jc w:val="left"/>
              <w:rPr>
                <w:snapToGrid w:val="0"/>
                <w:color w:val="auto"/>
                <w:kern w:val="0"/>
                <w:highlight w:val="none"/>
              </w:rPr>
            </w:pPr>
            <w:r>
              <w:rPr>
                <w:rFonts w:hint="eastAsia"/>
                <w:snapToGrid w:val="0"/>
                <w:color w:val="auto"/>
                <w:kern w:val="0"/>
                <w:highlight w:val="none"/>
              </w:rPr>
              <w:t>经专业培训</w:t>
            </w:r>
          </w:p>
        </w:tc>
      </w:tr>
    </w:tbl>
    <w:p w14:paraId="36CAC60D">
      <w:pPr>
        <w:widowControl w:val="0"/>
        <w:adjustRightInd w:val="0"/>
        <w:snapToGrid w:val="0"/>
        <w:ind w:firstLine="420" w:firstLineChars="200"/>
        <w:rPr>
          <w:color w:val="auto"/>
          <w:highlight w:val="none"/>
        </w:rPr>
      </w:pPr>
      <w:r>
        <w:rPr>
          <w:rFonts w:hint="eastAsia"/>
          <w:color w:val="auto"/>
          <w:highlight w:val="none"/>
        </w:rPr>
        <w:t>说明：</w:t>
      </w:r>
    </w:p>
    <w:p w14:paraId="6DB7B39C">
      <w:pPr>
        <w:widowControl w:val="0"/>
        <w:adjustRightInd w:val="0"/>
        <w:snapToGrid w:val="0"/>
        <w:ind w:firstLine="420" w:firstLineChars="200"/>
        <w:rPr>
          <w:color w:val="auto"/>
          <w:highlight w:val="none"/>
        </w:rPr>
      </w:pPr>
      <w:r>
        <w:rPr>
          <w:rFonts w:hint="eastAsia"/>
          <w:color w:val="auto"/>
          <w:highlight w:val="none"/>
        </w:rPr>
        <w:t>▲（1）项目管理团队的6人，在投标文件中提供身份证、相应资格要求的证书以及社保部门出具的近三个月任意一个月社保证明，其他人员以承诺的形式响应招标文件要求。</w:t>
      </w:r>
    </w:p>
    <w:p w14:paraId="6B7F3603">
      <w:pPr>
        <w:widowControl w:val="0"/>
        <w:adjustRightInd w:val="0"/>
        <w:snapToGrid w:val="0"/>
        <w:ind w:firstLine="420" w:firstLineChars="200"/>
        <w:rPr>
          <w:color w:val="auto"/>
          <w:highlight w:val="none"/>
        </w:rPr>
      </w:pPr>
      <w:r>
        <w:rPr>
          <w:rFonts w:hint="eastAsia"/>
          <w:color w:val="auto"/>
          <w:highlight w:val="none"/>
        </w:rPr>
        <w:t>（2）以上人员中学历教育：专业技术人员、安全管理人员、试验室人员至少为大专以上，其他作业人员要求至少初中以上毕业。</w:t>
      </w:r>
    </w:p>
    <w:p w14:paraId="0A480F1F">
      <w:pPr>
        <w:widowControl w:val="0"/>
        <w:adjustRightInd w:val="0"/>
        <w:snapToGrid w:val="0"/>
        <w:ind w:firstLine="420" w:firstLineChars="200"/>
        <w:rPr>
          <w:color w:val="auto"/>
          <w:highlight w:val="none"/>
        </w:rPr>
      </w:pPr>
      <w:r>
        <w:rPr>
          <w:rFonts w:hint="eastAsia"/>
          <w:color w:val="auto"/>
          <w:highlight w:val="none"/>
        </w:rPr>
        <w:t>（3）为确保工程如期完成，必须建立健全生产组织机构，在项目负责人的统一组织和协调下进行生产、确保矿山、码头生产安全，项目部须配备有丰富安全专业知识和安全生产管理经验的安全生产管理人员。矿山生产主要由采矿组、安全管理组、铲装运输组、设备维修组、破碎加工组、后勤组等组成。</w:t>
      </w:r>
    </w:p>
    <w:p w14:paraId="0978DFD2">
      <w:pPr>
        <w:widowControl w:val="0"/>
        <w:adjustRightInd w:val="0"/>
        <w:snapToGrid w:val="0"/>
        <w:ind w:firstLine="420" w:firstLineChars="200"/>
        <w:rPr>
          <w:color w:val="auto"/>
          <w:highlight w:val="none"/>
        </w:rPr>
      </w:pPr>
      <w:r>
        <w:rPr>
          <w:rFonts w:hint="eastAsia"/>
          <w:color w:val="auto"/>
          <w:highlight w:val="none"/>
        </w:rPr>
        <w:t>（3）上述的人员要求，为采购人认为须满足产能要求至少应配备的，供应商应根据自身生产方案及相关规范（强制性标准）要求进行深化、细化人员投入，并不得低于采购需求及生产需要。</w:t>
      </w:r>
    </w:p>
    <w:p w14:paraId="5ABA9B77">
      <w:pPr>
        <w:widowControl w:val="0"/>
        <w:adjustRightInd w:val="0"/>
        <w:snapToGrid w:val="0"/>
        <w:rPr>
          <w:color w:val="auto"/>
          <w:highlight w:val="none"/>
        </w:rPr>
      </w:pPr>
    </w:p>
    <w:p w14:paraId="69F6B30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4、成交供应商须对其所有工作人员缴纳工伤保险和安全生产责任保险。</w:t>
      </w:r>
    </w:p>
    <w:p w14:paraId="1B616F3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成交供应商应建立健全安全管理体系，成立企业安全生产领导小组，搭建项目应急领导和应急救援队伍建设机构，项目主要负责人任组长，并配备专职技术负责人和安全负责人，对承包的项目实施统一组织、统一管理，做到统一标准尺度、统一工作流程。项目管理团队人员在服务期间内原则上不得更换。</w:t>
      </w:r>
    </w:p>
    <w:p w14:paraId="03F4DEBD">
      <w:pPr>
        <w:widowControl w:val="0"/>
        <w:adjustRightInd w:val="0"/>
        <w:snapToGrid w:val="0"/>
        <w:rPr>
          <w:color w:val="auto"/>
          <w:highlight w:val="none"/>
        </w:rPr>
      </w:pPr>
    </w:p>
    <w:p w14:paraId="6411A3E4">
      <w:pPr>
        <w:pStyle w:val="437"/>
        <w:keepNext w:val="0"/>
        <w:keepLines w:val="0"/>
        <w:adjustRightInd w:val="0"/>
        <w:snapToGrid w:val="0"/>
        <w:ind w:firstLine="480"/>
        <w:jc w:val="both"/>
        <w:rPr>
          <w:color w:val="auto"/>
          <w:sz w:val="24"/>
          <w:szCs w:val="24"/>
          <w:highlight w:val="none"/>
          <w:lang w:val="en-US"/>
        </w:rPr>
      </w:pPr>
      <w:bookmarkStart w:id="84" w:name="_Toc173761971"/>
      <w:r>
        <w:rPr>
          <w:rFonts w:hint="eastAsia"/>
          <w:color w:val="auto"/>
          <w:sz w:val="24"/>
          <w:szCs w:val="24"/>
          <w:highlight w:val="none"/>
          <w:lang w:val="en-US"/>
        </w:rPr>
        <w:t>▲（五）矿山必要基础设施建设要求</w:t>
      </w:r>
      <w:bookmarkEnd w:id="84"/>
    </w:p>
    <w:p w14:paraId="13C95A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包括但不限于：</w:t>
      </w:r>
    </w:p>
    <w:p w14:paraId="36C2C5B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1、矿山工程：包含清表、基建区剥离、基建采准工作面准备、矿山公路（矿山汽车运输开拓系统、内外部运输道路）、一破卸料口、消防高位水池、将上述剥离料（废料、剥离土、宕渣料等）运至指定的区域、道路建设（通往生产加工区域、外运配套码头连接线路）、满足矿山工程废土堆存场所（前期）防护及排水、截水沟、沉淀池、安全设施等的矿山工程。上述工程一次单独验收，按完成安全生产设施竣工验收、取得安全生产许可证为节点。</w:t>
      </w:r>
    </w:p>
    <w:p w14:paraId="6928A36C">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2、碎石及机制砂加工生产线建设工程：包括建设完成1条产能不低于1000吨每小时的碎石、机制砂（湿法）生产线、环保设施（污水循环系统、淤泥压滤机等）、10万吨料场建设，上述工程一次单独验收、按完成安全生产设施、环保、节能、职业卫生三同时投入竣工验收，并取得环保、排污许可等相关证照为节点。砂石生产线须由有相应设计资质的单位进行施工图设计，并按图施工建设。</w:t>
      </w:r>
    </w:p>
    <w:p w14:paraId="5712562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3、按要求完成智能化数字监管平台（矿山安全生产监管平台、矿产资源开发利用监管平台等）建设及省级绿色矿山建设，并通过验收，平台须保证接入政府监管平台和采购人平台，信息可靠、完整、清晰，并在矿山合同履行期可持续运行。智能化数字监管平台软件部分由采购人提供，主要硬件设备推荐品牌为海康、大华或宇视。</w:t>
      </w:r>
    </w:p>
    <w:p w14:paraId="7580E46C">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4、地磅设施：至少须配备2组地磅设施（每组两套、载荷不得低于80吨），且必须具备物料识别功能，并要求进行间隔期≤2个月/次的保养和维护。</w:t>
      </w:r>
    </w:p>
    <w:p w14:paraId="6CC7E889">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5、配套管理用房不少于1500平方米</w:t>
      </w:r>
      <w:r>
        <w:rPr>
          <w:rFonts w:hint="eastAsia"/>
          <w:snapToGrid w:val="0"/>
          <w:color w:val="auto"/>
          <w:kern w:val="0"/>
          <w:sz w:val="24"/>
          <w:szCs w:val="21"/>
          <w:highlight w:val="none"/>
        </w:rPr>
        <w:t>（</w:t>
      </w:r>
      <w:r>
        <w:rPr>
          <w:rFonts w:hint="eastAsia" w:cs="宋体"/>
          <w:bCs/>
          <w:snapToGrid w:val="0"/>
          <w:color w:val="auto"/>
          <w:kern w:val="0"/>
          <w:sz w:val="24"/>
          <w:szCs w:val="21"/>
          <w:highlight w:val="none"/>
        </w:rPr>
        <w:t>档案室不少于50平方米，档案材料能够保存至少10年）</w:t>
      </w:r>
      <w:r>
        <w:rPr>
          <w:rFonts w:hint="eastAsia" w:cs="宋体"/>
          <w:bCs/>
          <w:snapToGrid w:val="0"/>
          <w:color w:val="auto"/>
          <w:kern w:val="0"/>
          <w:sz w:val="24"/>
          <w:szCs w:val="21"/>
          <w:highlight w:val="none"/>
        </w:rPr>
        <w:t>，</w:t>
      </w:r>
      <w:r>
        <w:rPr>
          <w:rFonts w:hint="eastAsia"/>
          <w:snapToGrid w:val="0"/>
          <w:color w:val="auto"/>
          <w:kern w:val="0"/>
          <w:sz w:val="24"/>
          <w:szCs w:val="21"/>
          <w:highlight w:val="none"/>
        </w:rPr>
        <w:t>其中给采购人办公用房不少于200平方米，并配置必要的办公家具等设备。</w:t>
      </w:r>
    </w:p>
    <w:p w14:paraId="4C30BFC9">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6、厂房、管理用房：根据项目需求须建设的厂房、管理用房等，全部由供应商负责办理相关审批工作，并须由相应设计资质、施工资质的单位承建，如供应商无相关设计或施工资质的，允许分包，分包人须经采购人认可。厂房、管理用房建设完成后需按相关规定进行验收，以验收通过为节点。</w:t>
      </w:r>
    </w:p>
    <w:p w14:paraId="6B434D8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snapToGrid w:val="0"/>
          <w:color w:val="auto"/>
          <w:kern w:val="0"/>
          <w:sz w:val="24"/>
          <w:szCs w:val="21"/>
          <w:highlight w:val="none"/>
        </w:rPr>
        <w:t>7、供水供电设施建设：应具有满足矿山生产、生活用水用电等基本设施。</w:t>
      </w:r>
    </w:p>
    <w:p w14:paraId="546E75B2">
      <w:pPr>
        <w:widowControl w:val="0"/>
        <w:adjustRightInd w:val="0"/>
        <w:snapToGrid w:val="0"/>
        <w:rPr>
          <w:color w:val="auto"/>
          <w:highlight w:val="none"/>
        </w:rPr>
      </w:pPr>
    </w:p>
    <w:p w14:paraId="54751666">
      <w:pPr>
        <w:pStyle w:val="437"/>
        <w:keepNext w:val="0"/>
        <w:keepLines w:val="0"/>
        <w:adjustRightInd w:val="0"/>
        <w:snapToGrid w:val="0"/>
        <w:ind w:firstLine="480"/>
        <w:jc w:val="both"/>
        <w:rPr>
          <w:color w:val="auto"/>
          <w:sz w:val="24"/>
          <w:szCs w:val="24"/>
          <w:highlight w:val="none"/>
          <w:lang w:val="en-US"/>
        </w:rPr>
      </w:pPr>
      <w:bookmarkStart w:id="85" w:name="_Toc173761972"/>
      <w:r>
        <w:rPr>
          <w:rFonts w:hint="eastAsia"/>
          <w:color w:val="auto"/>
          <w:sz w:val="24"/>
          <w:szCs w:val="24"/>
          <w:highlight w:val="none"/>
          <w:lang w:val="en-US"/>
        </w:rPr>
        <w:t>▲（六）销售管理要求</w:t>
      </w:r>
      <w:bookmarkEnd w:id="85"/>
    </w:p>
    <w:p w14:paraId="1FA0C3A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w:t>
      </w:r>
      <w:r>
        <w:rPr>
          <w:rFonts w:hint="eastAsia" w:cs="宋体"/>
          <w:snapToGrid w:val="0"/>
          <w:color w:val="auto"/>
          <w:kern w:val="0"/>
          <w:sz w:val="24"/>
          <w:szCs w:val="21"/>
          <w:highlight w:val="none"/>
        </w:rPr>
        <w:t>须</w:t>
      </w:r>
      <w:r>
        <w:rPr>
          <w:rFonts w:hint="eastAsia" w:cs="宋体"/>
          <w:snapToGrid w:val="0"/>
          <w:color w:val="auto"/>
          <w:kern w:val="0"/>
          <w:sz w:val="24"/>
          <w:szCs w:val="21"/>
          <w:highlight w:val="none"/>
        </w:rPr>
        <w:t>承诺销售矿产品总产量80%以上（全年不得小于460万吨），具体比例根据采购人计划确定，采购人具有优先分配权，供应商应有固定的销售客户</w:t>
      </w:r>
      <w:r>
        <w:rPr>
          <w:rFonts w:hint="eastAsia" w:cs="宋体"/>
          <w:snapToGrid w:val="0"/>
          <w:color w:val="auto"/>
          <w:kern w:val="0"/>
          <w:sz w:val="24"/>
          <w:szCs w:val="21"/>
          <w:highlight w:val="none"/>
        </w:rPr>
        <w:t>（除成交供应商及成交供应商有</w:t>
      </w:r>
      <w:r>
        <w:rPr>
          <w:rFonts w:hint="eastAsia" w:cs="宋体"/>
          <w:snapToGrid w:val="0"/>
          <w:color w:val="auto"/>
          <w:kern w:val="0"/>
          <w:sz w:val="24"/>
          <w:szCs w:val="21"/>
          <w:highlight w:val="none"/>
        </w:rPr>
        <w:t>10%以上（含本数）股权投资关系的关联公司以外，不得在象山县境内销售</w:t>
      </w:r>
      <w:r>
        <w:rPr>
          <w:rFonts w:hint="eastAsia" w:cs="宋体"/>
          <w:snapToGrid w:val="0"/>
          <w:color w:val="auto"/>
          <w:kern w:val="0"/>
          <w:sz w:val="24"/>
          <w:szCs w:val="21"/>
          <w:highlight w:val="none"/>
        </w:rPr>
        <w:t>）</w:t>
      </w:r>
      <w:r>
        <w:rPr>
          <w:rFonts w:hint="eastAsia" w:cs="宋体"/>
          <w:snapToGrid w:val="0"/>
          <w:color w:val="auto"/>
          <w:kern w:val="0"/>
          <w:sz w:val="24"/>
          <w:szCs w:val="21"/>
          <w:highlight w:val="none"/>
        </w:rPr>
        <w:t>，并开拓多元化市场的销售渠道</w:t>
      </w:r>
      <w:r>
        <w:rPr>
          <w:rFonts w:hint="eastAsia" w:cs="宋体"/>
          <w:b/>
          <w:bCs/>
          <w:snapToGrid w:val="0"/>
          <w:color w:val="auto"/>
          <w:kern w:val="0"/>
          <w:sz w:val="24"/>
          <w:szCs w:val="21"/>
          <w:highlight w:val="none"/>
        </w:rPr>
        <w:t>（供应商必须提供承诺函，放入商务技术部分，格式如下）</w:t>
      </w:r>
      <w:r>
        <w:rPr>
          <w:rFonts w:hint="eastAsia" w:cs="宋体"/>
          <w:snapToGrid w:val="0"/>
          <w:color w:val="auto"/>
          <w:kern w:val="0"/>
          <w:sz w:val="24"/>
          <w:szCs w:val="21"/>
          <w:highlight w:val="none"/>
        </w:rPr>
        <w:t>。</w:t>
      </w:r>
    </w:p>
    <w:p w14:paraId="519266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如有象山县县域内政府投资项目需本项目保障的，应优先保供。</w:t>
      </w:r>
    </w:p>
    <w:p w14:paraId="08CC23C5">
      <w:pPr>
        <w:widowControl w:val="0"/>
        <w:adjustRightInd w:val="0"/>
        <w:snapToGrid w:val="0"/>
        <w:rPr>
          <w:color w:val="auto"/>
          <w:highlight w:val="none"/>
        </w:rPr>
      </w:pP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0A6E3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58" w:type="dxa"/>
          </w:tcPr>
          <w:p w14:paraId="2AF0E61C">
            <w:pPr>
              <w:widowControl w:val="0"/>
              <w:adjustRightInd w:val="0"/>
              <w:snapToGrid w:val="0"/>
              <w:rPr>
                <w:color w:val="auto"/>
                <w:highlight w:val="none"/>
              </w:rPr>
            </w:pPr>
          </w:p>
          <w:p w14:paraId="76B89570">
            <w:pPr>
              <w:widowControl w:val="0"/>
              <w:adjustRightInd w:val="0"/>
              <w:snapToGrid w:val="0"/>
              <w:jc w:val="center"/>
              <w:rPr>
                <w:b/>
                <w:bCs/>
                <w:color w:val="auto"/>
                <w:highlight w:val="none"/>
              </w:rPr>
            </w:pPr>
            <w:r>
              <w:rPr>
                <w:rFonts w:hint="eastAsia"/>
                <w:b/>
                <w:bCs/>
                <w:color w:val="auto"/>
                <w:highlight w:val="none"/>
              </w:rPr>
              <w:t>承诺函</w:t>
            </w:r>
          </w:p>
          <w:p w14:paraId="2249DEA7">
            <w:pPr>
              <w:widowControl w:val="0"/>
              <w:adjustRightInd w:val="0"/>
              <w:snapToGrid w:val="0"/>
              <w:rPr>
                <w:color w:val="auto"/>
                <w:highlight w:val="none"/>
              </w:rPr>
            </w:pPr>
          </w:p>
          <w:p w14:paraId="06EF74FA">
            <w:pPr>
              <w:widowControl w:val="0"/>
              <w:adjustRightInd w:val="0"/>
              <w:snapToGrid w:val="0"/>
              <w:rPr>
                <w:color w:val="auto"/>
                <w:highlight w:val="none"/>
              </w:rPr>
            </w:pPr>
            <w:r>
              <w:rPr>
                <w:rFonts w:hint="eastAsia"/>
                <w:color w:val="auto"/>
                <w:highlight w:val="none"/>
              </w:rPr>
              <w:t>宁波交运资源开发有限公司：</w:t>
            </w:r>
          </w:p>
          <w:p w14:paraId="2B67592A">
            <w:pPr>
              <w:widowControl w:val="0"/>
              <w:adjustRightInd w:val="0"/>
              <w:snapToGrid w:val="0"/>
              <w:rPr>
                <w:color w:val="auto"/>
                <w:highlight w:val="none"/>
              </w:rPr>
            </w:pPr>
          </w:p>
          <w:p w14:paraId="36D45888">
            <w:pPr>
              <w:widowControl w:val="0"/>
              <w:adjustRightInd w:val="0"/>
              <w:snapToGrid w:val="0"/>
              <w:ind w:firstLine="420" w:firstLineChars="200"/>
              <w:rPr>
                <w:color w:val="auto"/>
                <w:highlight w:val="none"/>
              </w:rPr>
            </w:pPr>
            <w:r>
              <w:rPr>
                <w:rFonts w:hint="eastAsia"/>
                <w:color w:val="auto"/>
                <w:highlight w:val="none"/>
              </w:rPr>
              <w:t>若我方中标，我</w:t>
            </w:r>
            <w:r>
              <w:rPr>
                <w:rFonts w:hint="eastAsia"/>
                <w:color w:val="auto"/>
                <w:highlight w:val="none"/>
              </w:rPr>
              <w:t>方承诺总产量</w:t>
            </w:r>
            <w:r>
              <w:rPr>
                <w:rFonts w:hint="eastAsia"/>
                <w:color w:val="auto"/>
                <w:highlight w:val="none"/>
                <w:u w:val="single"/>
              </w:rPr>
              <w:t xml:space="preserve">      </w:t>
            </w:r>
            <w:r>
              <w:rPr>
                <w:rFonts w:hint="eastAsia"/>
                <w:color w:val="auto"/>
                <w:highlight w:val="none"/>
              </w:rPr>
              <w:t>的矿产品</w:t>
            </w:r>
            <w:r>
              <w:rPr>
                <w:rFonts w:hint="eastAsia"/>
                <w:color w:val="auto"/>
                <w:highlight w:val="none"/>
              </w:rPr>
              <w:t>（全年不小于</w:t>
            </w:r>
            <w:r>
              <w:rPr>
                <w:rFonts w:hint="eastAsia"/>
                <w:color w:val="auto"/>
                <w:highlight w:val="none"/>
                <w:u w:val="single"/>
              </w:rPr>
              <w:t xml:space="preserve">      </w:t>
            </w:r>
            <w:r>
              <w:rPr>
                <w:rFonts w:hint="eastAsia"/>
                <w:color w:val="auto"/>
                <w:highlight w:val="none"/>
              </w:rPr>
              <w:t>万吨）由我方负责销售，具体比例根据贵方计划确定，贵方具有优先分配权，除我方及我方有10%以上（含本数）股权投资关系的关联公司以外，不得在象山县境内销售。</w:t>
            </w:r>
          </w:p>
          <w:p w14:paraId="0B551CB2">
            <w:pPr>
              <w:widowControl w:val="0"/>
              <w:adjustRightInd w:val="0"/>
              <w:snapToGrid w:val="0"/>
              <w:ind w:firstLine="420" w:firstLineChars="200"/>
              <w:rPr>
                <w:color w:val="auto"/>
                <w:highlight w:val="none"/>
              </w:rPr>
            </w:pPr>
            <w:r>
              <w:rPr>
                <w:rFonts w:hint="eastAsia"/>
                <w:color w:val="auto"/>
                <w:highlight w:val="none"/>
              </w:rPr>
              <w:t>若我方未完成上述承诺的销售</w:t>
            </w:r>
            <w:r>
              <w:rPr>
                <w:rFonts w:hint="eastAsia"/>
                <w:color w:val="auto"/>
                <w:highlight w:val="none"/>
              </w:rPr>
              <w:t>量</w:t>
            </w:r>
            <w:r>
              <w:rPr>
                <w:rFonts w:hint="eastAsia"/>
                <w:color w:val="auto"/>
                <w:highlight w:val="none"/>
              </w:rPr>
              <w:t>，我方同意贵方没收我方剩余的预缴货款、销售担保和履约保证金，并按合同约定承担相应责任。</w:t>
            </w:r>
          </w:p>
          <w:p w14:paraId="5B3A907C">
            <w:pPr>
              <w:widowControl w:val="0"/>
              <w:adjustRightInd w:val="0"/>
              <w:snapToGrid w:val="0"/>
              <w:rPr>
                <w:color w:val="auto"/>
                <w:highlight w:val="none"/>
              </w:rPr>
            </w:pPr>
          </w:p>
          <w:p w14:paraId="70C5CB3F">
            <w:pPr>
              <w:widowControl w:val="0"/>
              <w:adjustRightInd w:val="0"/>
              <w:snapToGrid w:val="0"/>
              <w:ind w:firstLine="3780" w:firstLineChars="1800"/>
              <w:rPr>
                <w:color w:val="auto"/>
                <w:highlight w:val="none"/>
              </w:rPr>
            </w:pPr>
            <w:r>
              <w:rPr>
                <w:rFonts w:hint="eastAsia"/>
                <w:color w:val="auto"/>
                <w:highlight w:val="none"/>
              </w:rPr>
              <w:t>承诺单位（盖章）：</w:t>
            </w:r>
          </w:p>
          <w:p w14:paraId="6F1326CC">
            <w:pPr>
              <w:widowControl w:val="0"/>
              <w:adjustRightInd w:val="0"/>
              <w:snapToGrid w:val="0"/>
              <w:ind w:firstLine="3780" w:firstLineChars="1800"/>
              <w:rPr>
                <w:color w:val="auto"/>
                <w:highlight w:val="none"/>
              </w:rPr>
            </w:pPr>
            <w:r>
              <w:rPr>
                <w:rFonts w:hint="eastAsia"/>
                <w:color w:val="auto"/>
                <w:highlight w:val="none"/>
              </w:rPr>
              <w:t>法定代表人（签字或盖章）：</w:t>
            </w:r>
          </w:p>
          <w:p w14:paraId="4CC44423">
            <w:pPr>
              <w:widowControl w:val="0"/>
              <w:adjustRightInd w:val="0"/>
              <w:snapToGrid w:val="0"/>
              <w:ind w:firstLine="3780" w:firstLineChars="1800"/>
              <w:rPr>
                <w:color w:val="auto"/>
                <w:highlight w:val="none"/>
              </w:rPr>
            </w:pPr>
            <w:r>
              <w:rPr>
                <w:rFonts w:hint="eastAsia"/>
                <w:color w:val="auto"/>
                <w:highlight w:val="none"/>
              </w:rPr>
              <w:t>日期：</w:t>
            </w:r>
          </w:p>
          <w:p w14:paraId="610EA8CA">
            <w:pPr>
              <w:widowControl w:val="0"/>
              <w:adjustRightInd w:val="0"/>
              <w:snapToGrid w:val="0"/>
              <w:rPr>
                <w:color w:val="auto"/>
                <w:highlight w:val="none"/>
              </w:rPr>
            </w:pPr>
          </w:p>
        </w:tc>
      </w:tr>
    </w:tbl>
    <w:p w14:paraId="304AE91B">
      <w:pPr>
        <w:widowControl w:val="0"/>
        <w:adjustRightInd w:val="0"/>
        <w:snapToGrid w:val="0"/>
        <w:rPr>
          <w:color w:val="auto"/>
          <w:highlight w:val="none"/>
        </w:rPr>
      </w:pPr>
    </w:p>
    <w:p w14:paraId="30BE313A">
      <w:pPr>
        <w:widowControl w:val="0"/>
        <w:adjustRightInd w:val="0"/>
        <w:snapToGrid w:val="0"/>
        <w:spacing w:line="300" w:lineRule="auto"/>
        <w:ind w:firstLine="480" w:firstLineChars="200"/>
        <w:rPr>
          <w:rFonts w:cs="宋体"/>
          <w:snapToGrid w:val="0"/>
          <w:color w:val="auto"/>
          <w:kern w:val="0"/>
          <w:sz w:val="24"/>
          <w:szCs w:val="21"/>
          <w:highlight w:val="none"/>
        </w:rPr>
      </w:pPr>
      <w:bookmarkStart w:id="86" w:name="_Hlk166457496"/>
      <w:r>
        <w:rPr>
          <w:rFonts w:hint="eastAsia" w:cs="宋体"/>
          <w:snapToGrid w:val="0"/>
          <w:color w:val="auto"/>
          <w:kern w:val="0"/>
          <w:sz w:val="24"/>
          <w:szCs w:val="21"/>
          <w:highlight w:val="none"/>
        </w:rPr>
        <w:t>2、本项目按照先款后货进行自提销售。成交供应商必须在签订合同后，销售前预缴货款2000万元（支付到甲方指定账户），当预缴货款低于200万元时，下一次提货前须补足2000万元的预缴货款。未补足2000万元预缴货款的，采购人禁止成交供应商提货，若继续提货的，采购人按矿产品双倍销售指导价的单价在销售担保中向成交供应商追索货款。2000万元的预缴货款及销售担保6000万元不足时，成交供应商须在15天内补足。</w:t>
      </w:r>
    </w:p>
    <w:bookmarkEnd w:id="86"/>
    <w:p w14:paraId="726571F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w:t>
      </w:r>
      <w:r>
        <w:rPr>
          <w:rFonts w:hint="eastAsia" w:cs="宋体"/>
          <w:snapToGrid w:val="0"/>
          <w:color w:val="auto"/>
          <w:kern w:val="0"/>
          <w:sz w:val="24"/>
          <w:szCs w:val="21"/>
          <w:highlight w:val="none"/>
        </w:rPr>
        <w:t>成交供应商不得低于销售指导价销售，若低于销售指导价销售的，差额部分由成交供应商承担（每月核算一次，每季度结算一次），从预缴货款中扣除。</w:t>
      </w:r>
    </w:p>
    <w:p w14:paraId="604E765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成交供应商实际销售价超过销售指导价的，则按照约定比例分成，奖励给供应商的分成每个月核算一次并先予以挂账，按季度兑现。</w:t>
      </w:r>
    </w:p>
    <w:p w14:paraId="3D1F520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r>
        <w:rPr>
          <w:rFonts w:hint="eastAsia" w:cs="宋体"/>
          <w:bCs/>
          <w:snapToGrid w:val="0"/>
          <w:color w:val="auto"/>
          <w:kern w:val="0"/>
          <w:sz w:val="24"/>
          <w:szCs w:val="21"/>
          <w:highlight w:val="none"/>
        </w:rPr>
        <w:t>。</w:t>
      </w:r>
    </w:p>
    <w:p w14:paraId="2829DCC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sz w:val="24"/>
          <w:szCs w:val="21"/>
          <w:highlight w:val="none"/>
        </w:rPr>
        <w:t>5、</w:t>
      </w:r>
      <w:r>
        <w:rPr>
          <w:rFonts w:hint="eastAsia" w:cs="宋体"/>
          <w:snapToGrid w:val="0"/>
          <w:color w:val="auto"/>
          <w:kern w:val="0"/>
          <w:sz w:val="24"/>
          <w:szCs w:val="21"/>
          <w:highlight w:val="none"/>
        </w:rPr>
        <w:t>矿产品销售受国家政策调控影响或县域内重大项目保障需要的，采购人根据需求调整生产计划，双方协商解决。矿产品销售受市场行情影响，可能有较大波动，采购人根据市场需求调整生产计划，供应商须无条件服从，不得以此为理由向采购人进行费用索赔。</w:t>
      </w:r>
    </w:p>
    <w:p w14:paraId="74B3EA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6、定价机制</w:t>
      </w:r>
    </w:p>
    <w:p w14:paraId="3532BA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设立定价领导小组，根据需要对矿产品（包括宕渣产品、各类型石料产品）销售指导价进行定价，小组组长由象山交通集团分管领导担任，小组成员包括采购人负责人、采购人销售负责人、采购人法务、供应商项目负责人、供应商销售负责人、采购人委托的第三方咨询公司人员组成，销售指导价经由定价领导小组形成初审意见，报象山交通集团定价委员会审核批准执行。</w:t>
      </w:r>
    </w:p>
    <w:p w14:paraId="1DFFAD8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指导价遵循以实际市场成交价为定价原则，成交供应商每月30日前提交定价申请报告，采购人视市场行情变动情况提交定价申请报告，报告中需说明市场行情、定价理由、销售区域、运输方式等内容，第三方咨询公司出具定价报告，提交定价领导小组初审，象山交通集团定价委员会对销售指导价有最终决定权。</w:t>
      </w:r>
    </w:p>
    <w:p w14:paraId="3AA90C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（3）最终确定的销售指导价不得低于按以下办法计算的价格：</w:t>
      </w:r>
    </w:p>
    <w:p w14:paraId="2A8805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①</w:t>
      </w:r>
      <w:r>
        <w:rPr>
          <w:rFonts w:hint="eastAsia" w:cs="宋体"/>
          <w:snapToGrid w:val="0"/>
          <w:color w:val="auto"/>
          <w:kern w:val="0"/>
          <w:sz w:val="24"/>
          <w:szCs w:val="21"/>
          <w:highlight w:val="none"/>
        </w:rPr>
        <w:t>当月《宁波建设工程造价信息综合版》（市区）发布的</w:t>
      </w:r>
      <w:r>
        <w:rPr>
          <w:rFonts w:hint="eastAsia"/>
          <w:snapToGrid w:val="0"/>
          <w:color w:val="auto"/>
          <w:kern w:val="0"/>
          <w:sz w:val="24"/>
          <w:highlight w:val="none"/>
        </w:rPr>
        <w:t>塘碴、碎石（综合）、机制砂（中）除税信息价减25元/吨后分别乘以78%、75%、69%（四舍五入保留小数点2位）的</w:t>
      </w:r>
      <w:r>
        <w:rPr>
          <w:rFonts w:hint="eastAsia" w:cs="宋体"/>
          <w:snapToGrid w:val="0"/>
          <w:color w:val="auto"/>
          <w:kern w:val="0"/>
          <w:sz w:val="24"/>
          <w:szCs w:val="21"/>
          <w:highlight w:val="none"/>
        </w:rPr>
        <w:t>价格</w:t>
      </w:r>
      <w:r>
        <w:rPr>
          <w:rFonts w:hint="eastAsia" w:cs="宋体"/>
          <w:snapToGrid w:val="0"/>
          <w:color w:val="auto"/>
          <w:kern w:val="0"/>
          <w:sz w:val="24"/>
          <w:szCs w:val="21"/>
          <w:highlight w:val="none"/>
        </w:rPr>
        <w:t>（含3%的增值税）</w:t>
      </w:r>
      <w:r>
        <w:rPr>
          <w:rFonts w:hint="eastAsia" w:cs="宋体"/>
          <w:snapToGrid w:val="0"/>
          <w:color w:val="auto"/>
          <w:kern w:val="0"/>
          <w:sz w:val="24"/>
          <w:szCs w:val="21"/>
          <w:highlight w:val="none"/>
        </w:rPr>
        <w:t>。</w:t>
      </w:r>
    </w:p>
    <w:p w14:paraId="0652E99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②若上述</w:t>
      </w:r>
      <w:r>
        <w:rPr>
          <w:rFonts w:hint="eastAsia" w:cs="宋体"/>
          <w:snapToGrid w:val="0"/>
          <w:color w:val="auto"/>
          <w:kern w:val="0"/>
          <w:sz w:val="24"/>
          <w:szCs w:val="21"/>
          <w:highlight w:val="none"/>
        </w:rPr>
        <w:t>①的价格</w:t>
      </w:r>
      <w:r>
        <w:rPr>
          <w:rFonts w:hint="eastAsia" w:cs="宋体"/>
          <w:snapToGrid w:val="0"/>
          <w:color w:val="auto"/>
          <w:kern w:val="0"/>
          <w:sz w:val="24"/>
          <w:szCs w:val="21"/>
          <w:highlight w:val="none"/>
        </w:rPr>
        <w:t>高于</w:t>
      </w:r>
      <w:r>
        <w:rPr>
          <w:rFonts w:hint="eastAsia" w:cs="宋体"/>
          <w:snapToGrid w:val="0"/>
          <w:color w:val="auto"/>
          <w:kern w:val="0"/>
          <w:sz w:val="24"/>
          <w:szCs w:val="21"/>
          <w:highlight w:val="none"/>
        </w:rPr>
        <w:t>采购人后续可能持有的卢家山或雷公山矿产品外销价格时，则参照卢家山或雷公山矿产品外销的价格确定。</w:t>
      </w:r>
    </w:p>
    <w:p w14:paraId="338BFB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（4）若上述①的价格用于计算成交供应商应承担的差额部分时，此价格适用于上月21日至当月20日的销售量。</w:t>
      </w:r>
    </w:p>
    <w:p w14:paraId="7CA52B5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（5）销售月份中成交供应商或采购人均未提交定价申请报告的，则沿用最新审核批准的销售指导价。</w:t>
      </w:r>
    </w:p>
    <w:p w14:paraId="3BC25016">
      <w:pPr>
        <w:widowControl w:val="0"/>
        <w:adjustRightInd w:val="0"/>
        <w:snapToGrid w:val="0"/>
        <w:rPr>
          <w:color w:val="auto"/>
          <w:highlight w:val="none"/>
        </w:rPr>
      </w:pPr>
    </w:p>
    <w:p w14:paraId="7807D99C">
      <w:pPr>
        <w:pStyle w:val="437"/>
        <w:keepNext w:val="0"/>
        <w:keepLines w:val="0"/>
        <w:adjustRightInd w:val="0"/>
        <w:snapToGrid w:val="0"/>
        <w:ind w:firstLine="480"/>
        <w:jc w:val="both"/>
        <w:rPr>
          <w:color w:val="auto"/>
          <w:sz w:val="24"/>
          <w:szCs w:val="24"/>
          <w:highlight w:val="none"/>
          <w:lang w:val="en-US"/>
        </w:rPr>
      </w:pPr>
      <w:bookmarkStart w:id="87" w:name="_Toc173761973"/>
      <w:r>
        <w:rPr>
          <w:rFonts w:hint="eastAsia"/>
          <w:color w:val="auto"/>
          <w:sz w:val="24"/>
          <w:szCs w:val="24"/>
          <w:highlight w:val="none"/>
          <w:lang w:val="en-US"/>
        </w:rPr>
        <w:t>（七）外运配套码头建设及运营管理基本要求</w:t>
      </w:r>
      <w:bookmarkEnd w:id="87"/>
    </w:p>
    <w:p w14:paraId="1B371AE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外运配套码头建设内容包括码头、航道疏浚、码头水域疏浚和维护期疏浚，至少须配套建设2000吨级及以上货运码头，船舶位4个，供应商应根据采购人提供的外运配套码头建设初步方案，进一步细化初步设计并向有关部门报批码头建设许可（包含海上施工许可证、废弃物海洋倾倒许可证）、组织码头建设、验收。码头建设完成及航道须满足供应商承诺的年销售量的出运、由供应商负责码头的运营管理和保证码头的正常运行，并符合采购人和行业主管部门的基本要求。</w:t>
      </w:r>
    </w:p>
    <w:p w14:paraId="47CAB1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建设前期工作（包括维护期疏浚分阶段的前期工作）涉及的包括但不限于项目建议书及可行性研究报告、专项研究、岸线使用申请、海域使用论证、环境影响评价、航道通航条件影响评价、通航安全咨询、地形测量、地质勘察、现场水文试验、海洋环境调查、潮流泥沙数模研究、波浪数模研究、岸滩稳定及回淤研究、施工期悬沙扩散与溢油数模研究、初步设计及审查、施工图阶段勘察、施工图设计及审查、施工图预算等报告编制、专项研究、基础资料提供及相关报批报建所有一切工作全部由供应商负责完成，采购人予以协助。</w:t>
      </w:r>
    </w:p>
    <w:p w14:paraId="442F27A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上述前期工作的费用以协议或正式发票进入实际结算价，有相应收费标准的，不得高于收费标准的8折，前期工作所有费用经第三方咨询机构审定并报采购人审批后实施。</w:t>
      </w:r>
    </w:p>
    <w:p w14:paraId="60765B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初步方案、初步设计（含概算）、施工图设计经采购人审批后才可进行下一步骤（概算需第三方咨询机构审定）。</w:t>
      </w:r>
    </w:p>
    <w:p w14:paraId="3592E6F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3、外运配套码头工程最高结算价为</w:t>
      </w:r>
      <w:r>
        <w:rPr>
          <w:rFonts w:cs="宋体"/>
          <w:snapToGrid w:val="0"/>
          <w:color w:val="auto"/>
          <w:kern w:val="0"/>
          <w:sz w:val="24"/>
          <w:szCs w:val="21"/>
          <w:highlight w:val="none"/>
        </w:rPr>
        <w:t>6785.652</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749.7</w:t>
      </w:r>
      <w:r>
        <w:rPr>
          <w:rFonts w:hint="eastAsia" w:cs="宋体"/>
          <w:snapToGrid w:val="0"/>
          <w:color w:val="auto"/>
          <w:kern w:val="0"/>
          <w:sz w:val="24"/>
          <w:szCs w:val="21"/>
          <w:highlight w:val="none"/>
        </w:rPr>
        <w:t>万元，码头工程建安工程费最高结算价为</w:t>
      </w:r>
      <w:r>
        <w:rPr>
          <w:rFonts w:cs="宋体"/>
          <w:snapToGrid w:val="0"/>
          <w:color w:val="auto"/>
          <w:kern w:val="0"/>
          <w:sz w:val="24"/>
          <w:szCs w:val="21"/>
          <w:highlight w:val="none"/>
        </w:rPr>
        <w:t>1644.55</w:t>
      </w:r>
      <w:r>
        <w:rPr>
          <w:rFonts w:hint="eastAsia" w:cs="宋体"/>
          <w:snapToGrid w:val="0"/>
          <w:color w:val="auto"/>
          <w:kern w:val="0"/>
          <w:sz w:val="24"/>
          <w:szCs w:val="21"/>
          <w:highlight w:val="none"/>
        </w:rPr>
        <w:t>2万元，航道疏浚建安工程费最高结算价为2100万元，码头水域疏浚建安工程费最高结算价为</w:t>
      </w:r>
      <w:r>
        <w:rPr>
          <w:rFonts w:cs="宋体"/>
          <w:snapToGrid w:val="0"/>
          <w:color w:val="auto"/>
          <w:kern w:val="0"/>
          <w:sz w:val="24"/>
          <w:szCs w:val="21"/>
          <w:highlight w:val="none"/>
        </w:rPr>
        <w:t>1278</w:t>
      </w:r>
      <w:r>
        <w:rPr>
          <w:rFonts w:hint="eastAsia" w:cs="宋体"/>
          <w:snapToGrid w:val="0"/>
          <w:color w:val="auto"/>
          <w:kern w:val="0"/>
          <w:sz w:val="24"/>
          <w:szCs w:val="21"/>
          <w:highlight w:val="none"/>
        </w:rPr>
        <w:t>万元，维护期疏浚建安工程费最高结算价为</w:t>
      </w:r>
      <w:r>
        <w:rPr>
          <w:rFonts w:cs="宋体"/>
          <w:snapToGrid w:val="0"/>
          <w:color w:val="auto"/>
          <w:kern w:val="0"/>
          <w:sz w:val="24"/>
          <w:szCs w:val="21"/>
          <w:highlight w:val="none"/>
        </w:rPr>
        <w:t>1013.4</w:t>
      </w:r>
      <w:r>
        <w:rPr>
          <w:rFonts w:hint="eastAsia" w:cs="宋体"/>
          <w:snapToGrid w:val="0"/>
          <w:color w:val="auto"/>
          <w:kern w:val="0"/>
          <w:sz w:val="24"/>
          <w:szCs w:val="21"/>
          <w:highlight w:val="none"/>
        </w:rPr>
        <w:t>万元），成交供应商应确保限额设计，实际结算价（指各分项，下同）高于最高结算价的，以最高结算价作为限额，超出部分由成交供应商承担不予调整，实际结算价低于最高结算价的按实调整。结算价由前期工作费用与建安工程费组成，结算方法按《外运配套码头等工程设计施工合同》约定执行。</w:t>
      </w:r>
      <w:r>
        <w:rPr>
          <w:rFonts w:hint="eastAsia" w:cs="宋体"/>
          <w:snapToGrid w:val="0"/>
          <w:color w:val="auto"/>
          <w:kern w:val="0"/>
          <w:sz w:val="24"/>
          <w:szCs w:val="21"/>
          <w:highlight w:val="none"/>
        </w:rPr>
        <w:t>航道疏浚施工过程中如发现有必须处理的暗礁，暗礁处理费用另行结算，不受最高结算价约束。</w:t>
      </w:r>
      <w:r>
        <w:rPr>
          <w:rFonts w:hint="eastAsia" w:cs="宋体"/>
          <w:snapToGrid w:val="0"/>
          <w:color w:val="auto"/>
          <w:kern w:val="0"/>
          <w:sz w:val="24"/>
          <w:szCs w:val="21"/>
          <w:highlight w:val="none"/>
        </w:rPr>
        <w:t>维护期疏浚，如因台风、地震等不可抗力因素，造成航道、港池大面积淤积，无法正常通航的，由发包人另行委托处理，不纳入实际结算价、最高结算价。</w:t>
      </w:r>
    </w:p>
    <w:p w14:paraId="58C724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运营管理：在外运配套码头运营期间，中标供应商负有运营、管理、保管、养护、维修等运营期间的全部责任，确保码头的正常使用和出货要求，除不可抗力因素【地震、海啸、火山爆发、泥石流、暴雨（雪）、台风、龙卷风、水灾等自然灾害、战争、骚乱、暴动（但纯属供应商或其分包人派遣与雇用的人员由于本合同建设原因引起者除外）、核反应、辐射或放射性污染、空中飞行物体坠落或非采购人或供应商责任造成的爆炸（及火灾）、瘟疫等】以外，码头运营期间涉及的所有运营、管理、保管、维护、维修等所有费用均由中标供应商自行承担，采购人不再另行支付。因不可抗力因素造成外运配套码头损失的，由采购人及供应商各自承担50%的损失费用（损失费用不包括保险公司赔偿的费用，也不包括过错方责任造成的扩大损失）。</w:t>
      </w:r>
    </w:p>
    <w:p w14:paraId="07EADEEB">
      <w:pPr>
        <w:widowControl w:val="0"/>
        <w:adjustRightInd w:val="0"/>
        <w:snapToGrid w:val="0"/>
        <w:rPr>
          <w:color w:val="auto"/>
          <w:highlight w:val="none"/>
        </w:rPr>
      </w:pPr>
    </w:p>
    <w:p w14:paraId="6E11EF8B">
      <w:pPr>
        <w:pStyle w:val="437"/>
        <w:keepNext w:val="0"/>
        <w:keepLines w:val="0"/>
        <w:adjustRightInd w:val="0"/>
        <w:snapToGrid w:val="0"/>
        <w:ind w:firstLine="480"/>
        <w:jc w:val="both"/>
        <w:rPr>
          <w:color w:val="auto"/>
          <w:sz w:val="24"/>
          <w:szCs w:val="24"/>
          <w:highlight w:val="none"/>
          <w:lang w:val="en-US"/>
        </w:rPr>
      </w:pPr>
      <w:bookmarkStart w:id="88" w:name="_Toc173761974"/>
      <w:r>
        <w:rPr>
          <w:rFonts w:hint="eastAsia"/>
          <w:color w:val="auto"/>
          <w:sz w:val="24"/>
          <w:szCs w:val="24"/>
          <w:highlight w:val="none"/>
          <w:lang w:val="en-US"/>
        </w:rPr>
        <w:t>（八）其他要求</w:t>
      </w:r>
      <w:bookmarkEnd w:id="88"/>
    </w:p>
    <w:p w14:paraId="411FA6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1、涉及矿山开采所需要的水、电、道路、加工堆放场地、办公及生活场所等，由供应商根据需要与当地政府协商解决，相关费用由供应商自行承担。</w:t>
      </w:r>
    </w:p>
    <w:p w14:paraId="4B31AE3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另矿区红线内有约376.7亩租赁的矿区用地（其中10亩土地租赁期限为2023年12月7日至2028年12月6日；36亩土地租赁期限为2023年2月22日至2028年2月21日；126亩土地租赁期限为2023年1月1日至2027年12月31日；7.7亩土地租赁期限为2023年4月1日至2028年3月31日；197亩土地租赁期限为2023年4月1日至2028年3月31日；以上约376.7亩土地租赁费均为5000元/亩/年）权属属于第三方，因矿山开采及生产需要而承租，采购人仅有租赁合同约定的租赁期限内的使用权，若本矿山项目合同履行期超过了土地租赁期限，则超过期限的土地续租由供应商根据需要与当地政府和土地权属人进行协商，租赁费及相关费用由供应商自行承担。</w:t>
      </w:r>
    </w:p>
    <w:p w14:paraId="6FE1C33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2、矿山地质环境保护与土地复垦最高结算价为</w:t>
      </w:r>
      <w:r>
        <w:rPr>
          <w:rFonts w:cs="宋体"/>
          <w:snapToGrid w:val="0"/>
          <w:color w:val="auto"/>
          <w:kern w:val="0"/>
          <w:sz w:val="24"/>
          <w:szCs w:val="21"/>
          <w:highlight w:val="none"/>
        </w:rPr>
        <w:t>691.8704</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34</w:t>
      </w:r>
      <w:r>
        <w:rPr>
          <w:rFonts w:hint="eastAsia" w:cs="宋体"/>
          <w:snapToGrid w:val="0"/>
          <w:color w:val="auto"/>
          <w:kern w:val="0"/>
          <w:sz w:val="24"/>
          <w:szCs w:val="21"/>
          <w:highlight w:val="none"/>
        </w:rPr>
        <w:t>.</w:t>
      </w:r>
      <w:r>
        <w:rPr>
          <w:rFonts w:cs="宋体"/>
          <w:snapToGrid w:val="0"/>
          <w:color w:val="auto"/>
          <w:kern w:val="0"/>
          <w:sz w:val="24"/>
          <w:szCs w:val="21"/>
          <w:highlight w:val="none"/>
        </w:rPr>
        <w:t>7051</w:t>
      </w:r>
      <w:r>
        <w:rPr>
          <w:rFonts w:hint="eastAsia" w:cs="宋体"/>
          <w:snapToGrid w:val="0"/>
          <w:color w:val="auto"/>
          <w:kern w:val="0"/>
          <w:sz w:val="24"/>
          <w:szCs w:val="21"/>
          <w:highlight w:val="none"/>
        </w:rPr>
        <w:t>万元，监测费最高结算价为</w:t>
      </w:r>
      <w:r>
        <w:rPr>
          <w:rFonts w:cs="宋体"/>
          <w:snapToGrid w:val="0"/>
          <w:color w:val="auto"/>
          <w:kern w:val="0"/>
          <w:sz w:val="24"/>
          <w:szCs w:val="21"/>
          <w:highlight w:val="none"/>
        </w:rPr>
        <w:t>58</w:t>
      </w:r>
      <w:r>
        <w:rPr>
          <w:rFonts w:hint="eastAsia" w:cs="宋体"/>
          <w:snapToGrid w:val="0"/>
          <w:color w:val="auto"/>
          <w:kern w:val="0"/>
          <w:sz w:val="24"/>
          <w:szCs w:val="21"/>
          <w:highlight w:val="none"/>
        </w:rPr>
        <w:t>.</w:t>
      </w:r>
      <w:r>
        <w:rPr>
          <w:rFonts w:cs="宋体"/>
          <w:snapToGrid w:val="0"/>
          <w:color w:val="auto"/>
          <w:kern w:val="0"/>
          <w:sz w:val="24"/>
          <w:szCs w:val="21"/>
          <w:highlight w:val="none"/>
        </w:rPr>
        <w:t>0459</w:t>
      </w:r>
      <w:r>
        <w:rPr>
          <w:rFonts w:hint="eastAsia" w:cs="宋体"/>
          <w:snapToGrid w:val="0"/>
          <w:color w:val="auto"/>
          <w:kern w:val="0"/>
          <w:sz w:val="24"/>
          <w:szCs w:val="21"/>
          <w:highlight w:val="none"/>
        </w:rPr>
        <w:t>万元，竣工验收费最高结算价为</w:t>
      </w:r>
      <w:r>
        <w:rPr>
          <w:rFonts w:cs="宋体"/>
          <w:snapToGrid w:val="0"/>
          <w:color w:val="auto"/>
          <w:kern w:val="0"/>
          <w:sz w:val="24"/>
          <w:szCs w:val="21"/>
          <w:highlight w:val="none"/>
        </w:rPr>
        <w:t>17</w:t>
      </w:r>
      <w:r>
        <w:rPr>
          <w:rFonts w:hint="eastAsia" w:cs="宋体"/>
          <w:snapToGrid w:val="0"/>
          <w:color w:val="auto"/>
          <w:kern w:val="0"/>
          <w:sz w:val="24"/>
          <w:szCs w:val="21"/>
          <w:highlight w:val="none"/>
        </w:rPr>
        <w:t>.</w:t>
      </w:r>
      <w:r>
        <w:rPr>
          <w:rFonts w:cs="宋体"/>
          <w:snapToGrid w:val="0"/>
          <w:color w:val="auto"/>
          <w:kern w:val="0"/>
          <w:sz w:val="24"/>
          <w:szCs w:val="21"/>
          <w:highlight w:val="none"/>
        </w:rPr>
        <w:t>3526</w:t>
      </w:r>
      <w:r>
        <w:rPr>
          <w:rFonts w:hint="eastAsia" w:cs="宋体"/>
          <w:snapToGrid w:val="0"/>
          <w:color w:val="auto"/>
          <w:kern w:val="0"/>
          <w:sz w:val="24"/>
          <w:szCs w:val="21"/>
          <w:highlight w:val="none"/>
        </w:rPr>
        <w:t>万元，工程施工费最高结算价为</w:t>
      </w:r>
      <w:r>
        <w:rPr>
          <w:rFonts w:cs="宋体"/>
          <w:snapToGrid w:val="0"/>
          <w:color w:val="auto"/>
          <w:kern w:val="0"/>
          <w:sz w:val="24"/>
          <w:szCs w:val="21"/>
          <w:highlight w:val="none"/>
        </w:rPr>
        <w:t>581.7668</w:t>
      </w:r>
      <w:r>
        <w:rPr>
          <w:rFonts w:hint="eastAsia" w:cs="宋体"/>
          <w:snapToGrid w:val="0"/>
          <w:color w:val="auto"/>
          <w:kern w:val="0"/>
          <w:sz w:val="24"/>
          <w:szCs w:val="21"/>
          <w:highlight w:val="none"/>
        </w:rPr>
        <w:t>万元），成交供应商应确保限额设计，实际结算价（指各分项，下同）高于最高结算价的，以最高结算价作为限额，超出部分由成交供应商承担不予调整，实际结算价低于最高结算价的按实调整。结算价由前期工作费、监测费、验收费和工程施工费组成，结算方法按《外运配套码头等工程设计施工合同》约定执行。</w:t>
      </w:r>
    </w:p>
    <w:p w14:paraId="4B23462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前期工作费、监测费、验收费以协议或正式发票进入实际结算价，有相应收费标准的，不得高于收费标准的8折，费用经第三方咨询机构审定并报采购人审批后实施。</w:t>
      </w:r>
    </w:p>
    <w:p w14:paraId="100BDB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初步方案、初步设计（含概算）、施工图设计经采购人审批后才可进行下一步骤（概算需第三方咨询机构审定）。</w:t>
      </w:r>
    </w:p>
    <w:p w14:paraId="763212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3、供应商不得在矿区及周边范围内新建与采矿生产无关的建筑物、构筑物等设施。</w:t>
      </w:r>
    </w:p>
    <w:p w14:paraId="7A0125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本采矿权或合同终止后，供应商应在三个月内自行拆除矿区内生产加工设备及设施，组织开展相关闭矿准备工作并须通过相关部门验收。如未及时拆除，采购人将委托第三方处置，产生的相关费用由供应商承担。</w:t>
      </w:r>
      <w:r>
        <w:rPr>
          <w:rFonts w:hint="eastAsia" w:cs="宋体"/>
          <w:snapToGrid w:val="0"/>
          <w:color w:val="auto"/>
          <w:kern w:val="0"/>
          <w:sz w:val="24"/>
          <w:szCs w:val="21"/>
          <w:highlight w:val="none"/>
        </w:rPr>
        <w:t>本条采购人决定保留的除外。</w:t>
      </w:r>
    </w:p>
    <w:p w14:paraId="190FDF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应在料场边坡设置监测设施并定期进行测量监测，并定期将安全监测成果提交采购人。在安全监测过程中，若发现监测数据异常，危及施工安全时应立即停止施工，撤离人员、设备，并及时进行防护。完成安全防护后，根据监测成果证明已达到继续施工的安全要求后才能继续施工。</w:t>
      </w:r>
    </w:p>
    <w:p w14:paraId="10FF0AFF">
      <w:pPr>
        <w:pStyle w:val="24"/>
        <w:rPr>
          <w:color w:val="auto"/>
          <w:highlight w:val="none"/>
        </w:rPr>
      </w:pPr>
      <w:r>
        <w:rPr>
          <w:rFonts w:hint="eastAsia"/>
          <w:color w:val="auto"/>
          <w:highlight w:val="none"/>
        </w:rPr>
        <w:t>6、供应商负责提供砂石等成品石料的检验检测实验室及配备检测检验人员（持证上岗），并按采购人和销售（客户）及相关规定要求提供产品合格证或检测检验报告（包括型式检验检测）；由供应商负责申领机制砂生产销售涉及的“宁波市建设用砂生产经营企业登记备案证”及相关报批工作，并承担机制砂生产经营涉及的“宁波市地方建筑材料全过程在线监管平台”的线上运营管理。</w:t>
      </w:r>
    </w:p>
    <w:p w14:paraId="4F9BB65E">
      <w:pPr>
        <w:pStyle w:val="24"/>
        <w:rPr>
          <w:color w:val="auto"/>
          <w:highlight w:val="none"/>
        </w:rPr>
      </w:pPr>
      <w:r>
        <w:rPr>
          <w:rFonts w:hint="eastAsia"/>
          <w:color w:val="auto"/>
          <w:highlight w:val="none"/>
        </w:rPr>
        <w:t>7、涉及矿山开采的采矿许可证及安全生产许可证延期办理、矿山安全评价、边坡检测、隐蔽致灾因素普查、建筑物防雷检测、特种设备定期检定、地磅定期检定、爆破震动监测、环保监测、职业危害因素检测等相关报告类事项，均由供应商负责委托、资料准备，负责开采过程中因供应商原因造成的政策问题处理、周边环境纠纷处置等事项，相关费用由成交供应商承担。</w:t>
      </w:r>
    </w:p>
    <w:p w14:paraId="3161910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负责矿山开采加工阶段的各类技术报告的编制和组织落实，包括但不限于：节能报告编制（包括报批及验收）、卫生三同时（包括职业病危害预评价、防护设计及职业病危害控制效果评价）、水土保持（包括水土保持方案编制、检测实施及验收）、竣工环保验收、矿山边坡稳定性分析评估等所有相关工作和延伸工作，并承担相关费用。</w:t>
      </w:r>
    </w:p>
    <w:p w14:paraId="2355A1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9、涉及本矿山开采加工及配套码头施工运营阶段的安全生产、环境保护、绿色矿山、各类计量结算账单、各类技术资料等所有资料均由供应商安排专人负责编制或整理及保管，项目结束后交由采购人存档。</w:t>
      </w:r>
    </w:p>
    <w:p w14:paraId="270F0220">
      <w:pPr>
        <w:pStyle w:val="437"/>
        <w:keepNext w:val="0"/>
        <w:keepLines w:val="0"/>
        <w:adjustRightInd w:val="0"/>
        <w:snapToGrid w:val="0"/>
        <w:ind w:firstLine="480"/>
        <w:jc w:val="both"/>
        <w:rPr>
          <w:color w:val="auto"/>
          <w:sz w:val="24"/>
          <w:szCs w:val="24"/>
          <w:highlight w:val="none"/>
          <w:lang w:val="en-US"/>
        </w:rPr>
      </w:pPr>
      <w:bookmarkStart w:id="89" w:name="_Toc173761975"/>
      <w:r>
        <w:rPr>
          <w:rFonts w:hint="eastAsia"/>
          <w:color w:val="auto"/>
          <w:sz w:val="24"/>
          <w:szCs w:val="24"/>
          <w:highlight w:val="none"/>
          <w:lang w:val="en-US"/>
        </w:rPr>
        <w:t>（九）特别要求</w:t>
      </w:r>
      <w:bookmarkEnd w:id="89"/>
    </w:p>
    <w:p w14:paraId="4705DCB2">
      <w:pPr>
        <w:pStyle w:val="829"/>
        <w:adjustRightInd w:val="0"/>
        <w:snapToGrid w:val="0"/>
        <w:spacing w:line="300" w:lineRule="auto"/>
        <w:ind w:firstLine="480" w:firstLineChars="200"/>
        <w:rPr>
          <w:rFonts w:cs="宋体"/>
          <w:b/>
          <w:bCs/>
          <w:snapToGrid w:val="0"/>
          <w:color w:val="auto"/>
          <w:kern w:val="0"/>
          <w:sz w:val="24"/>
          <w:szCs w:val="21"/>
          <w:highlight w:val="none"/>
        </w:rPr>
      </w:pPr>
      <w:r>
        <w:rPr>
          <w:rFonts w:hint="eastAsia" w:cs="宋体"/>
          <w:snapToGrid w:val="0"/>
          <w:color w:val="auto"/>
          <w:kern w:val="0"/>
          <w:sz w:val="24"/>
          <w:szCs w:val="21"/>
          <w:highlight w:val="none"/>
        </w:rPr>
        <w:t>1、联合体投标供应商：供应商如为联合体形式中标的，根据相关部门要求，矿山主体工程的建设、矿石开采、加工等工作只能由一家具备相关资质的成员承建，不允许肢解拆分给其他联合体成员实施或者进行分包，</w:t>
      </w:r>
      <w:r>
        <w:rPr>
          <w:rFonts w:hint="eastAsia" w:cs="宋体"/>
          <w:snapToGrid w:val="0"/>
          <w:color w:val="auto"/>
          <w:kern w:val="0"/>
          <w:sz w:val="24"/>
          <w:szCs w:val="21"/>
          <w:highlight w:val="none"/>
        </w:rPr>
        <w:t>爆破、外运配套码头（含</w:t>
      </w:r>
      <w:r>
        <w:rPr>
          <w:rFonts w:cs="宋体"/>
          <w:snapToGrid w:val="0"/>
          <w:color w:val="auto"/>
          <w:kern w:val="0"/>
          <w:sz w:val="24"/>
          <w:szCs w:val="21"/>
          <w:highlight w:val="none"/>
        </w:rPr>
        <w:t>疏浚</w:t>
      </w:r>
      <w:r>
        <w:rPr>
          <w:rFonts w:hint="eastAsia" w:cs="宋体"/>
          <w:snapToGrid w:val="0"/>
          <w:color w:val="auto"/>
          <w:kern w:val="0"/>
          <w:sz w:val="24"/>
          <w:szCs w:val="21"/>
          <w:highlight w:val="none"/>
        </w:rPr>
        <w:t>）建设不允许分包</w:t>
      </w:r>
      <w:r>
        <w:rPr>
          <w:rFonts w:hint="eastAsia" w:cs="宋体"/>
          <w:b/>
          <w:bCs/>
          <w:snapToGrid w:val="0"/>
          <w:color w:val="auto"/>
          <w:kern w:val="0"/>
          <w:sz w:val="24"/>
          <w:szCs w:val="21"/>
          <w:highlight w:val="none"/>
        </w:rPr>
        <w:t>（供应商需要提供承诺函，格式自拟）</w:t>
      </w:r>
      <w:r>
        <w:rPr>
          <w:rFonts w:hint="eastAsia" w:cs="宋体"/>
          <w:snapToGrid w:val="0"/>
          <w:color w:val="auto"/>
          <w:kern w:val="0"/>
          <w:sz w:val="24"/>
          <w:szCs w:val="21"/>
          <w:highlight w:val="none"/>
        </w:rPr>
        <w:t>。</w:t>
      </w:r>
    </w:p>
    <w:p w14:paraId="46F080E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2、采矿权有效期未满，若因政策性或社会公共利益需要提前关闭矿山，造成合同实际无法履行的，采购人有权解除合同，供应商的损失只计直接损失，直接损失原则上按剩余开采量</w:t>
      </w:r>
      <w:r>
        <w:rPr>
          <w:rFonts w:hint="eastAsia" w:cs="宋体"/>
          <w:snapToGrid w:val="0"/>
          <w:color w:val="auto"/>
          <w:kern w:val="0"/>
          <w:sz w:val="24"/>
          <w:szCs w:val="21"/>
          <w:highlight w:val="none"/>
        </w:rPr>
        <w:t>（不含矿区附近可能存在的80万吨开采量）</w:t>
      </w:r>
      <w:r>
        <w:rPr>
          <w:rFonts w:hint="eastAsia" w:cs="宋体"/>
          <w:snapToGrid w:val="0"/>
          <w:color w:val="auto"/>
          <w:kern w:val="0"/>
          <w:sz w:val="24"/>
          <w:szCs w:val="21"/>
          <w:highlight w:val="none"/>
        </w:rPr>
        <w:t>协商处理。</w:t>
      </w:r>
    </w:p>
    <w:p w14:paraId="138D77B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3、采矿权期限届满的处理：《采矿许可证》有效期届满，矿区范围内尚有资源可供开采。根据办理延续登记的情况按以下方式处置：</w:t>
      </w:r>
    </w:p>
    <w:p w14:paraId="35361C2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（1）若延续登记获得批准，供应商须按采购人要求继续开采，相关费用按中标单价执行，采购人不再支付其他任何费用；</w:t>
      </w:r>
    </w:p>
    <w:p w14:paraId="77E3670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若延续登记未获批准，采购人有权终止合同，供应商需及时采取措施消除安全隐患，完成矿区地质环境和生态环境的治理恢复，并通过验收。在3个月内无条件自行清场完毕。且供应商不得因此向采购人提出索赔。</w:t>
      </w:r>
    </w:p>
    <w:p w14:paraId="69F537D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4、本项目禁止转包，主体项目禁止分包，未经采购人同意禁止非主体项目分包。采购人发现供应商违反规定的，有权单方面解除合同，取消供应商的项目实施资格。</w:t>
      </w:r>
    </w:p>
    <w:p w14:paraId="7F6CE08A">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5、供应商必须依法合理开发开采石料，不得损害、破坏周围自然生态环境或设施。因开采施工过程中使国家或他人遭受损失的，供应商应当负责赔偿。</w:t>
      </w:r>
    </w:p>
    <w:p w14:paraId="0EEF045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供应商在采矿过程中发现安全生产隐患、地质灾害隐患或造成矿山地质环境破坏的，应当立即停止作业，及时向采购人报告，做好矿区安全隐患的整改和矿山地质环境治理工作。</w:t>
      </w:r>
    </w:p>
    <w:p w14:paraId="02877C4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6、在采矿过程中发现具有重要科学文化价值的文物及地质遗迹时，应立即停止施工，并及时报告采购人及相关主管部门。</w:t>
      </w:r>
    </w:p>
    <w:p w14:paraId="22B708A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7、本项目矿区按合同签订时的现状移交，供应商可自行前往现场踏勘。</w:t>
      </w:r>
    </w:p>
    <w:p w14:paraId="62D4DC1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8、供应商中标后，须在项目所在地设立分公司，并配有行政管理人员，负责项目的整体运营，</w:t>
      </w:r>
      <w:r>
        <w:rPr>
          <w:rFonts w:hint="eastAsia" w:cs="宋体"/>
          <w:bCs/>
          <w:snapToGrid w:val="0"/>
          <w:color w:val="auto"/>
          <w:kern w:val="0"/>
          <w:sz w:val="24"/>
          <w:szCs w:val="21"/>
          <w:highlight w:val="none"/>
        </w:rPr>
        <w:t>应在项目所在地设有办公地点（办公地址距离采购人、市县级应急管理部门、其他职能部门车程不超过1小时），配备有办公设施、员工生活场所，需常驻至少3名以上本项目专职人员开展工作，办公地点面积需满足《办公建筑设计标准》（JGJ/T 67-2019）4.2.3中普通办公室每人使用面积不应小于6m²要求。按照应急管理要求配备至少1辆应急车辆，车辆不得长期挪做他用。</w:t>
      </w:r>
    </w:p>
    <w:p w14:paraId="713C066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9、若在合同工期内，符合相关规定及满足可行性要求的情况下，采购人鉴于开发石料新产品的需要，要求供应商增加石料新产品的生产加工（或要求供应商变更开采工艺），供应商应无条件执行，相关</w:t>
      </w:r>
      <w:r>
        <w:rPr>
          <w:rFonts w:hint="eastAsia" w:cs="宋体"/>
          <w:snapToGrid w:val="0"/>
          <w:color w:val="auto"/>
          <w:kern w:val="0"/>
          <w:sz w:val="24"/>
          <w:szCs w:val="21"/>
          <w:highlight w:val="none"/>
        </w:rPr>
        <w:t>费用</w:t>
      </w:r>
      <w:r>
        <w:rPr>
          <w:rFonts w:hint="eastAsia" w:cs="宋体"/>
          <w:snapToGrid w:val="0"/>
          <w:color w:val="auto"/>
          <w:kern w:val="0"/>
          <w:sz w:val="24"/>
          <w:szCs w:val="21"/>
          <w:highlight w:val="none"/>
        </w:rPr>
        <w:t>以后续双方商定为准。</w:t>
      </w:r>
    </w:p>
    <w:p w14:paraId="5C51533C">
      <w:pPr>
        <w:widowControl w:val="0"/>
        <w:adjustRightInd w:val="0"/>
        <w:snapToGrid w:val="0"/>
        <w:rPr>
          <w:color w:val="auto"/>
          <w:highlight w:val="none"/>
        </w:rPr>
      </w:pPr>
    </w:p>
    <w:p w14:paraId="26C72CBE">
      <w:pPr>
        <w:widowControl w:val="0"/>
        <w:adjustRightInd w:val="0"/>
        <w:snapToGrid w:val="0"/>
        <w:rPr>
          <w:color w:val="auto"/>
          <w:highlight w:val="none"/>
        </w:rPr>
      </w:pPr>
    </w:p>
    <w:p w14:paraId="43F8BFC3">
      <w:pPr>
        <w:widowControl w:val="0"/>
        <w:adjustRightInd w:val="0"/>
        <w:snapToGrid w:val="0"/>
        <w:rPr>
          <w:color w:val="auto"/>
          <w:highlight w:val="none"/>
        </w:rPr>
      </w:pPr>
    </w:p>
    <w:p w14:paraId="22B73E49">
      <w:pPr>
        <w:widowControl w:val="0"/>
        <w:adjustRightInd w:val="0"/>
        <w:snapToGrid w:val="0"/>
        <w:rPr>
          <w:color w:val="auto"/>
          <w:highlight w:val="none"/>
        </w:rPr>
      </w:pPr>
    </w:p>
    <w:p w14:paraId="04AB59EB">
      <w:pPr>
        <w:pStyle w:val="417"/>
        <w:rPr>
          <w:color w:val="auto"/>
          <w:highlight w:val="none"/>
        </w:rPr>
      </w:pPr>
      <w:bookmarkStart w:id="90" w:name="_Toc173761976"/>
      <w:r>
        <w:rPr>
          <w:rFonts w:hint="eastAsia"/>
          <w:color w:val="auto"/>
          <w:highlight w:val="none"/>
        </w:rPr>
        <w:t>三、工作内容和服务要求</w:t>
      </w:r>
      <w:bookmarkEnd w:id="90"/>
    </w:p>
    <w:p w14:paraId="0759797C">
      <w:pPr>
        <w:pStyle w:val="437"/>
        <w:keepNext w:val="0"/>
        <w:keepLines w:val="0"/>
        <w:adjustRightInd w:val="0"/>
        <w:snapToGrid w:val="0"/>
        <w:ind w:firstLine="480"/>
        <w:jc w:val="both"/>
        <w:rPr>
          <w:color w:val="auto"/>
          <w:sz w:val="24"/>
          <w:szCs w:val="24"/>
          <w:highlight w:val="none"/>
          <w:lang w:val="en-US"/>
        </w:rPr>
      </w:pPr>
      <w:bookmarkStart w:id="91" w:name="_Toc173761977"/>
      <w:r>
        <w:rPr>
          <w:rFonts w:hint="eastAsia"/>
          <w:color w:val="auto"/>
          <w:sz w:val="24"/>
          <w:szCs w:val="24"/>
          <w:highlight w:val="none"/>
          <w:lang w:val="en-US"/>
        </w:rPr>
        <w:t>（一）供应商须保障的可量化的服务指标</w:t>
      </w:r>
      <w:bookmarkEnd w:id="91"/>
    </w:p>
    <w:p w14:paraId="36D31F70">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1、省级绿色矿山建设服务要求</w:t>
      </w:r>
    </w:p>
    <w:p w14:paraId="5C69E62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1.1基本要求</w:t>
      </w:r>
    </w:p>
    <w:p w14:paraId="65AE3CA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（1）矿区环境建设</w:t>
      </w:r>
    </w:p>
    <w:p w14:paraId="685ABDF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按照《浙江省绿色矿山建设管理办法（试行）》要求，将生产加工区、设备维修保养区、办公场所、生活区与矿山爆破区域进行合理分开，办公场所、生活区域朝向按照规划设计建设，减少爆破震动、矿山开采、加工粉尘对该区域的影响。矿山功能区域分区布局合理、矿区应做到亮化、绿化，矿山采区规范开采、生产加工区作业环境做到5S管理。</w:t>
      </w:r>
    </w:p>
    <w:p w14:paraId="7C37B0D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（2）矿产资源开发方式</w:t>
      </w:r>
    </w:p>
    <w:p w14:paraId="7F88BDD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实现资源开发与环境保护、资源保护和城乡建设相协调，最大限度的减少对自然环境的扰动和破坏，选择集约化、自动化、智能化的采掘、生产加工设备，做到边开采、边治理、边恢复。</w:t>
      </w:r>
    </w:p>
    <w:p w14:paraId="3BE8AE5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（3）资源综合利用</w:t>
      </w:r>
    </w:p>
    <w:p w14:paraId="6874039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按照减量化、资源化、再利用的原则，对生产工艺合理优化设计，提高成品率、充分利用山皮土、风化矿、石粉、泥饼等副产品，提高资源综合利用水平，生产工艺技术和设备符合自然资源管理部门《矿产资源节约和综合利用、限制和淘汰技术目录》、应急管理部门《金属非金属矿山禁止使用的设备及工艺目录》（第一批和第二批）要求。</w:t>
      </w:r>
    </w:p>
    <w:p w14:paraId="45BB5BA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（4）节能减排</w:t>
      </w:r>
    </w:p>
    <w:p w14:paraId="3FB6EEC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建立能耗核算体系，采取节能减排措施，降低砂石生产能耗和设备损耗，使“三废”、噪声、呼吸性粉尘、危险固体废弃物等符合有关环保、职业健康要求。</w:t>
      </w:r>
    </w:p>
    <w:p w14:paraId="67F41AF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（5）科技创新及数字化矿山建设</w:t>
      </w:r>
    </w:p>
    <w:p w14:paraId="1ABB768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稳定矿山工程科技人员队伍，推广转化科技成果，加大技术创新及技术改造力度，推动产业绿色升级、建立智能化数字监管平台（矿山安全生产监管平台、矿产资源开发利用监管平台等）建设实现矿山生产、经营、管理信息化。</w:t>
      </w:r>
    </w:p>
    <w:p w14:paraId="24BF227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1.2指标要求</w:t>
      </w:r>
    </w:p>
    <w:p w14:paraId="058382F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实现指标主要有：矿产资源利用率、废弃物处置率、三率、数控率、数字化监管平台、矿区绿化覆盖面积占可绿化区域面积的百分率、主要运输道路硬化率、防排水系统通畅率、每年研发资金占上年度主营业务收入的百分比、环境指标等方面为合格。具体指标数如下：</w:t>
      </w:r>
    </w:p>
    <w:p w14:paraId="4B1E6507">
      <w:pPr>
        <w:widowControl w:val="0"/>
        <w:adjustRightInd w:val="0"/>
        <w:snapToGrid w:val="0"/>
        <w:rPr>
          <w:color w:val="auto"/>
          <w:highlight w:val="none"/>
        </w:rPr>
      </w:pPr>
    </w:p>
    <w:p w14:paraId="2143FFD2">
      <w:pPr>
        <w:pStyle w:val="829"/>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绿色矿山建设主要指标</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1347"/>
        <w:gridCol w:w="1255"/>
        <w:gridCol w:w="291"/>
        <w:gridCol w:w="3595"/>
        <w:gridCol w:w="2301"/>
      </w:tblGrid>
      <w:tr w14:paraId="7563B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01" w:type="dxa"/>
            <w:vAlign w:val="center"/>
          </w:tcPr>
          <w:p w14:paraId="0EE7541D">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序号</w:t>
            </w:r>
          </w:p>
        </w:tc>
        <w:tc>
          <w:tcPr>
            <w:tcW w:w="6488" w:type="dxa"/>
            <w:gridSpan w:val="4"/>
            <w:vAlign w:val="center"/>
          </w:tcPr>
          <w:p w14:paraId="5B929089">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指标内容</w:t>
            </w:r>
          </w:p>
        </w:tc>
        <w:tc>
          <w:tcPr>
            <w:tcW w:w="2301" w:type="dxa"/>
            <w:vAlign w:val="center"/>
          </w:tcPr>
          <w:p w14:paraId="20BFB3DC">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要求</w:t>
            </w:r>
          </w:p>
        </w:tc>
      </w:tr>
      <w:tr w14:paraId="338C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0E1B9515">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w:t>
            </w:r>
          </w:p>
        </w:tc>
        <w:tc>
          <w:tcPr>
            <w:tcW w:w="6488" w:type="dxa"/>
            <w:gridSpan w:val="4"/>
            <w:vAlign w:val="center"/>
          </w:tcPr>
          <w:p w14:paraId="5332F9C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矿产资源（综合）利用率</w:t>
            </w:r>
          </w:p>
        </w:tc>
        <w:tc>
          <w:tcPr>
            <w:tcW w:w="2301" w:type="dxa"/>
            <w:vAlign w:val="center"/>
          </w:tcPr>
          <w:p w14:paraId="65A62FF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99%</w:t>
            </w:r>
          </w:p>
        </w:tc>
      </w:tr>
      <w:tr w14:paraId="1C8E5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24A0F552">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2</w:t>
            </w:r>
          </w:p>
        </w:tc>
        <w:tc>
          <w:tcPr>
            <w:tcW w:w="2602" w:type="dxa"/>
            <w:gridSpan w:val="2"/>
            <w:vMerge w:val="restart"/>
            <w:vAlign w:val="center"/>
          </w:tcPr>
          <w:p w14:paraId="4DEFFE4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废物处置率</w:t>
            </w:r>
          </w:p>
        </w:tc>
        <w:tc>
          <w:tcPr>
            <w:tcW w:w="3886" w:type="dxa"/>
            <w:gridSpan w:val="2"/>
            <w:vAlign w:val="center"/>
          </w:tcPr>
          <w:p w14:paraId="0AFA486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危险废弃物妥善处置率（处置协议）</w:t>
            </w:r>
          </w:p>
        </w:tc>
        <w:tc>
          <w:tcPr>
            <w:tcW w:w="2301" w:type="dxa"/>
            <w:vAlign w:val="center"/>
          </w:tcPr>
          <w:p w14:paraId="3EB7644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12270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1B104037">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597C49F5">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102E1CE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固体废弃物处置率</w:t>
            </w:r>
          </w:p>
        </w:tc>
        <w:tc>
          <w:tcPr>
            <w:tcW w:w="2301" w:type="dxa"/>
            <w:vAlign w:val="center"/>
          </w:tcPr>
          <w:p w14:paraId="541704F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687D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7F31DBE0">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3</w:t>
            </w:r>
          </w:p>
        </w:tc>
        <w:tc>
          <w:tcPr>
            <w:tcW w:w="2602" w:type="dxa"/>
            <w:gridSpan w:val="2"/>
            <w:vMerge w:val="restart"/>
            <w:vAlign w:val="center"/>
          </w:tcPr>
          <w:p w14:paraId="36CD20B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三率指标</w:t>
            </w:r>
          </w:p>
        </w:tc>
        <w:tc>
          <w:tcPr>
            <w:tcW w:w="3886" w:type="dxa"/>
            <w:gridSpan w:val="2"/>
            <w:vAlign w:val="center"/>
          </w:tcPr>
          <w:p w14:paraId="766D5F4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开采回收率</w:t>
            </w:r>
          </w:p>
        </w:tc>
        <w:tc>
          <w:tcPr>
            <w:tcW w:w="2301" w:type="dxa"/>
            <w:vAlign w:val="center"/>
          </w:tcPr>
          <w:p w14:paraId="5CEC18B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99%</w:t>
            </w:r>
          </w:p>
        </w:tc>
      </w:tr>
      <w:tr w14:paraId="33C69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32F57278">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0D352B35">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4BC739E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贫化损失率</w:t>
            </w:r>
          </w:p>
        </w:tc>
        <w:tc>
          <w:tcPr>
            <w:tcW w:w="2301" w:type="dxa"/>
            <w:vAlign w:val="center"/>
          </w:tcPr>
          <w:p w14:paraId="35059F8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w:t>
            </w:r>
          </w:p>
        </w:tc>
      </w:tr>
      <w:tr w14:paraId="76A9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650F9BB0">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22D4A208">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5258C06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矿石回收率</w:t>
            </w:r>
          </w:p>
        </w:tc>
        <w:tc>
          <w:tcPr>
            <w:tcW w:w="2301" w:type="dxa"/>
            <w:vAlign w:val="center"/>
          </w:tcPr>
          <w:p w14:paraId="31D94146">
            <w:pPr>
              <w:pStyle w:val="15"/>
              <w:snapToGrid w:val="0"/>
              <w:spacing w:line="240" w:lineRule="atLeast"/>
              <w:ind w:firstLine="0"/>
              <w:jc w:val="left"/>
              <w:rPr>
                <w:rFonts w:cs="宋体"/>
                <w:snapToGrid w:val="0"/>
                <w:color w:val="auto"/>
                <w:sz w:val="21"/>
                <w:szCs w:val="21"/>
                <w:highlight w:val="none"/>
              </w:rPr>
            </w:pPr>
            <w:r>
              <w:rPr>
                <w:rFonts w:ascii="宋体" w:hAnsi="宋体" w:cs="Arial"/>
                <w:snapToGrid w:val="0"/>
                <w:color w:val="auto"/>
                <w:sz w:val="21"/>
                <w:szCs w:val="21"/>
                <w:highlight w:val="none"/>
              </w:rPr>
              <w:t>≥</w:t>
            </w:r>
            <w:r>
              <w:rPr>
                <w:rFonts w:hint="eastAsia" w:cs="宋体"/>
                <w:snapToGrid w:val="0"/>
                <w:color w:val="auto"/>
                <w:sz w:val="21"/>
                <w:szCs w:val="21"/>
                <w:highlight w:val="none"/>
              </w:rPr>
              <w:t>95</w:t>
            </w:r>
          </w:p>
        </w:tc>
      </w:tr>
      <w:tr w14:paraId="4FDF7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70FB8D83">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4</w:t>
            </w:r>
          </w:p>
        </w:tc>
        <w:tc>
          <w:tcPr>
            <w:tcW w:w="2602" w:type="dxa"/>
            <w:gridSpan w:val="2"/>
            <w:vAlign w:val="center"/>
          </w:tcPr>
          <w:p w14:paraId="7D70CCB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数控化率</w:t>
            </w:r>
          </w:p>
        </w:tc>
        <w:tc>
          <w:tcPr>
            <w:tcW w:w="3886" w:type="dxa"/>
            <w:gridSpan w:val="2"/>
            <w:vAlign w:val="center"/>
          </w:tcPr>
          <w:p w14:paraId="6B6A07C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关键生产工艺流程数控化率</w:t>
            </w:r>
          </w:p>
        </w:tc>
        <w:tc>
          <w:tcPr>
            <w:tcW w:w="2301" w:type="dxa"/>
            <w:vAlign w:val="center"/>
          </w:tcPr>
          <w:p w14:paraId="5DBA51C3">
            <w:pPr>
              <w:pStyle w:val="15"/>
              <w:snapToGrid w:val="0"/>
              <w:spacing w:line="240" w:lineRule="atLeast"/>
              <w:ind w:firstLine="0"/>
              <w:jc w:val="left"/>
              <w:rPr>
                <w:rFonts w:cs="宋体"/>
                <w:snapToGrid w:val="0"/>
                <w:color w:val="auto"/>
                <w:sz w:val="21"/>
                <w:szCs w:val="21"/>
                <w:highlight w:val="none"/>
              </w:rPr>
            </w:pPr>
            <w:r>
              <w:rPr>
                <w:rFonts w:ascii="宋体" w:hAnsi="宋体" w:cs="Arial"/>
                <w:snapToGrid w:val="0"/>
                <w:color w:val="auto"/>
                <w:sz w:val="21"/>
                <w:szCs w:val="21"/>
                <w:highlight w:val="none"/>
              </w:rPr>
              <w:t>≥</w:t>
            </w:r>
            <w:r>
              <w:rPr>
                <w:rFonts w:hint="eastAsia" w:cs="Arial"/>
                <w:snapToGrid w:val="0"/>
                <w:color w:val="auto"/>
                <w:sz w:val="21"/>
                <w:szCs w:val="21"/>
                <w:highlight w:val="none"/>
              </w:rPr>
              <w:t>80</w:t>
            </w:r>
          </w:p>
        </w:tc>
      </w:tr>
      <w:tr w14:paraId="5A84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4BD60C05">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5</w:t>
            </w:r>
          </w:p>
        </w:tc>
        <w:tc>
          <w:tcPr>
            <w:tcW w:w="2602" w:type="dxa"/>
            <w:gridSpan w:val="2"/>
            <w:vMerge w:val="restart"/>
            <w:vAlign w:val="center"/>
          </w:tcPr>
          <w:p w14:paraId="6D9805F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智能化数字监管平台</w:t>
            </w:r>
          </w:p>
        </w:tc>
        <w:tc>
          <w:tcPr>
            <w:tcW w:w="3886" w:type="dxa"/>
            <w:gridSpan w:val="2"/>
            <w:vAlign w:val="center"/>
          </w:tcPr>
          <w:p w14:paraId="7C2AA38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矿山安全生产监管平台建设率</w:t>
            </w:r>
          </w:p>
        </w:tc>
        <w:tc>
          <w:tcPr>
            <w:tcW w:w="2301" w:type="dxa"/>
            <w:vAlign w:val="center"/>
          </w:tcPr>
          <w:p w14:paraId="0ACFA1F3">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58CBF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2B34BB2B">
            <w:pPr>
              <w:pStyle w:val="15"/>
              <w:snapToGrid w:val="0"/>
              <w:spacing w:line="240" w:lineRule="atLeast"/>
              <w:ind w:firstLine="0"/>
              <w:jc w:val="center"/>
              <w:rPr>
                <w:rFonts w:cs="宋体"/>
                <w:snapToGrid w:val="0"/>
                <w:color w:val="auto"/>
                <w:sz w:val="21"/>
                <w:szCs w:val="21"/>
                <w:highlight w:val="none"/>
              </w:rPr>
            </w:pPr>
          </w:p>
        </w:tc>
        <w:tc>
          <w:tcPr>
            <w:tcW w:w="2602" w:type="dxa"/>
            <w:gridSpan w:val="2"/>
            <w:vMerge w:val="continue"/>
            <w:vAlign w:val="center"/>
          </w:tcPr>
          <w:p w14:paraId="20FD2508">
            <w:pPr>
              <w:pStyle w:val="15"/>
              <w:snapToGrid w:val="0"/>
              <w:spacing w:line="240" w:lineRule="atLeast"/>
              <w:ind w:firstLine="0"/>
              <w:jc w:val="left"/>
              <w:rPr>
                <w:rFonts w:cs="宋体"/>
                <w:snapToGrid w:val="0"/>
                <w:color w:val="auto"/>
                <w:sz w:val="21"/>
                <w:szCs w:val="21"/>
                <w:highlight w:val="none"/>
              </w:rPr>
            </w:pPr>
          </w:p>
        </w:tc>
        <w:tc>
          <w:tcPr>
            <w:tcW w:w="3886" w:type="dxa"/>
            <w:gridSpan w:val="2"/>
            <w:vAlign w:val="center"/>
          </w:tcPr>
          <w:p w14:paraId="2A82778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矿产资源开发利用监管平台建设率</w:t>
            </w:r>
          </w:p>
        </w:tc>
        <w:tc>
          <w:tcPr>
            <w:tcW w:w="2301" w:type="dxa"/>
            <w:vAlign w:val="center"/>
          </w:tcPr>
          <w:p w14:paraId="6A3044C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3BDD5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23A5E781">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6</w:t>
            </w:r>
          </w:p>
        </w:tc>
        <w:tc>
          <w:tcPr>
            <w:tcW w:w="2602" w:type="dxa"/>
            <w:gridSpan w:val="2"/>
            <w:vAlign w:val="center"/>
          </w:tcPr>
          <w:p w14:paraId="2EAEFD0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单位能耗指标</w:t>
            </w:r>
          </w:p>
        </w:tc>
        <w:tc>
          <w:tcPr>
            <w:tcW w:w="3886" w:type="dxa"/>
            <w:gridSpan w:val="2"/>
            <w:vAlign w:val="center"/>
          </w:tcPr>
          <w:p w14:paraId="0A2CF19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千克标准煤/吨，kgce/t</w:t>
            </w:r>
          </w:p>
        </w:tc>
        <w:tc>
          <w:tcPr>
            <w:tcW w:w="2301" w:type="dxa"/>
            <w:vAlign w:val="center"/>
          </w:tcPr>
          <w:p w14:paraId="793D3313">
            <w:pPr>
              <w:pStyle w:val="15"/>
              <w:snapToGrid w:val="0"/>
              <w:spacing w:line="240" w:lineRule="atLeast"/>
              <w:ind w:firstLine="0"/>
              <w:jc w:val="left"/>
              <w:rPr>
                <w:rFonts w:cs="宋体"/>
                <w:snapToGrid w:val="0"/>
                <w:color w:val="auto"/>
                <w:sz w:val="21"/>
                <w:szCs w:val="21"/>
                <w:highlight w:val="none"/>
              </w:rPr>
            </w:pPr>
            <w:r>
              <w:rPr>
                <w:rFonts w:hint="eastAsia" w:ascii="宋体" w:hAnsi="宋体" w:cs="Arial"/>
                <w:snapToGrid w:val="0"/>
                <w:color w:val="auto"/>
                <w:sz w:val="21"/>
                <w:szCs w:val="21"/>
                <w:highlight w:val="none"/>
              </w:rPr>
              <w:t>≤</w:t>
            </w:r>
            <w:r>
              <w:rPr>
                <w:rFonts w:hint="eastAsia" w:cs="宋体"/>
                <w:snapToGrid w:val="0"/>
                <w:color w:val="auto"/>
                <w:sz w:val="21"/>
                <w:szCs w:val="21"/>
                <w:highlight w:val="none"/>
              </w:rPr>
              <w:t>2.0</w:t>
            </w:r>
          </w:p>
        </w:tc>
      </w:tr>
      <w:tr w14:paraId="1C146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367D8067">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7</w:t>
            </w:r>
          </w:p>
        </w:tc>
        <w:tc>
          <w:tcPr>
            <w:tcW w:w="6488" w:type="dxa"/>
            <w:gridSpan w:val="4"/>
            <w:vAlign w:val="center"/>
          </w:tcPr>
          <w:p w14:paraId="07B3B75A">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矿区绿化覆盖面积占可绿化区域面积的百分率</w:t>
            </w:r>
          </w:p>
        </w:tc>
        <w:tc>
          <w:tcPr>
            <w:tcW w:w="2301" w:type="dxa"/>
            <w:vAlign w:val="center"/>
          </w:tcPr>
          <w:p w14:paraId="148DB98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3ED1E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5712D96D">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8</w:t>
            </w:r>
          </w:p>
        </w:tc>
        <w:tc>
          <w:tcPr>
            <w:tcW w:w="6488" w:type="dxa"/>
            <w:gridSpan w:val="4"/>
            <w:vAlign w:val="center"/>
          </w:tcPr>
          <w:p w14:paraId="092C1A65">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主要运输道路硬化率</w:t>
            </w:r>
          </w:p>
        </w:tc>
        <w:tc>
          <w:tcPr>
            <w:tcW w:w="2301" w:type="dxa"/>
            <w:vAlign w:val="center"/>
          </w:tcPr>
          <w:p w14:paraId="7BFD487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40C98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16289D5A">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9</w:t>
            </w:r>
          </w:p>
        </w:tc>
        <w:tc>
          <w:tcPr>
            <w:tcW w:w="1347" w:type="dxa"/>
            <w:vMerge w:val="restart"/>
            <w:vAlign w:val="center"/>
          </w:tcPr>
          <w:p w14:paraId="5C15B80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环境指标</w:t>
            </w:r>
          </w:p>
        </w:tc>
        <w:tc>
          <w:tcPr>
            <w:tcW w:w="1546" w:type="dxa"/>
            <w:gridSpan w:val="2"/>
            <w:vMerge w:val="restart"/>
            <w:vAlign w:val="center"/>
          </w:tcPr>
          <w:p w14:paraId="484304D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大气环境</w:t>
            </w:r>
          </w:p>
        </w:tc>
        <w:tc>
          <w:tcPr>
            <w:tcW w:w="3595" w:type="dxa"/>
            <w:vAlign w:val="center"/>
          </w:tcPr>
          <w:p w14:paraId="4E1DB3C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颗粒物（ug/m2）</w:t>
            </w:r>
          </w:p>
        </w:tc>
        <w:tc>
          <w:tcPr>
            <w:tcW w:w="2301" w:type="dxa"/>
            <w:vAlign w:val="center"/>
          </w:tcPr>
          <w:p w14:paraId="64879770">
            <w:pPr>
              <w:pStyle w:val="15"/>
              <w:snapToGrid w:val="0"/>
              <w:spacing w:line="240" w:lineRule="atLeast"/>
              <w:ind w:firstLine="0"/>
              <w:jc w:val="left"/>
              <w:rPr>
                <w:rFonts w:cs="宋体"/>
                <w:snapToGrid w:val="0"/>
                <w:color w:val="auto"/>
                <w:sz w:val="21"/>
                <w:szCs w:val="21"/>
                <w:highlight w:val="none"/>
              </w:rPr>
            </w:pPr>
          </w:p>
        </w:tc>
      </w:tr>
      <w:tr w14:paraId="14DA6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0E4BA56C">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0715E519">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6E02A0C8">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75DF1B6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其他（ug/m2）</w:t>
            </w:r>
          </w:p>
        </w:tc>
        <w:tc>
          <w:tcPr>
            <w:tcW w:w="2301" w:type="dxa"/>
            <w:vAlign w:val="center"/>
          </w:tcPr>
          <w:p w14:paraId="0B2B3D46">
            <w:pPr>
              <w:pStyle w:val="15"/>
              <w:snapToGrid w:val="0"/>
              <w:spacing w:line="240" w:lineRule="atLeast"/>
              <w:ind w:firstLine="0"/>
              <w:jc w:val="left"/>
              <w:rPr>
                <w:rFonts w:cs="宋体"/>
                <w:snapToGrid w:val="0"/>
                <w:color w:val="auto"/>
                <w:sz w:val="21"/>
                <w:szCs w:val="21"/>
                <w:highlight w:val="none"/>
              </w:rPr>
            </w:pPr>
          </w:p>
        </w:tc>
      </w:tr>
      <w:tr w14:paraId="1749F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1AB4888E">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1AE772F3">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restart"/>
            <w:vAlign w:val="center"/>
          </w:tcPr>
          <w:p w14:paraId="3C31931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水环境</w:t>
            </w:r>
          </w:p>
        </w:tc>
        <w:tc>
          <w:tcPr>
            <w:tcW w:w="3595" w:type="dxa"/>
            <w:vAlign w:val="center"/>
          </w:tcPr>
          <w:p w14:paraId="54E3D54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地表水（mg/L）</w:t>
            </w:r>
          </w:p>
        </w:tc>
        <w:tc>
          <w:tcPr>
            <w:tcW w:w="2301" w:type="dxa"/>
            <w:vAlign w:val="center"/>
          </w:tcPr>
          <w:p w14:paraId="437915E6">
            <w:pPr>
              <w:pStyle w:val="15"/>
              <w:snapToGrid w:val="0"/>
              <w:spacing w:line="240" w:lineRule="atLeast"/>
              <w:ind w:firstLine="0"/>
              <w:jc w:val="left"/>
              <w:rPr>
                <w:rFonts w:cs="宋体"/>
                <w:snapToGrid w:val="0"/>
                <w:color w:val="auto"/>
                <w:sz w:val="21"/>
                <w:szCs w:val="21"/>
                <w:highlight w:val="none"/>
              </w:rPr>
            </w:pPr>
          </w:p>
        </w:tc>
      </w:tr>
      <w:tr w14:paraId="4098D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0BE1D2FC">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7167D58D">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3778716B">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22A3DEA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污水（mg/L）</w:t>
            </w:r>
          </w:p>
        </w:tc>
        <w:tc>
          <w:tcPr>
            <w:tcW w:w="2301" w:type="dxa"/>
            <w:vAlign w:val="center"/>
          </w:tcPr>
          <w:p w14:paraId="03A08848">
            <w:pPr>
              <w:pStyle w:val="15"/>
              <w:snapToGrid w:val="0"/>
              <w:spacing w:line="240" w:lineRule="atLeast"/>
              <w:ind w:firstLine="0"/>
              <w:jc w:val="left"/>
              <w:rPr>
                <w:rFonts w:cs="宋体"/>
                <w:snapToGrid w:val="0"/>
                <w:color w:val="auto"/>
                <w:sz w:val="21"/>
                <w:szCs w:val="21"/>
                <w:highlight w:val="none"/>
              </w:rPr>
            </w:pPr>
          </w:p>
        </w:tc>
      </w:tr>
      <w:tr w14:paraId="36F2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41B1ABED">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581D6C27">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7BCAF1D3">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33AC2DC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水的循环利用</w:t>
            </w:r>
          </w:p>
        </w:tc>
        <w:tc>
          <w:tcPr>
            <w:tcW w:w="2301" w:type="dxa"/>
            <w:vAlign w:val="center"/>
          </w:tcPr>
          <w:p w14:paraId="6F65FEF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3AF52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0854BE0B">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360B694A">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restart"/>
            <w:vAlign w:val="center"/>
          </w:tcPr>
          <w:p w14:paraId="6ED305A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声环境</w:t>
            </w:r>
          </w:p>
        </w:tc>
        <w:tc>
          <w:tcPr>
            <w:tcW w:w="3595" w:type="dxa"/>
            <w:vAlign w:val="center"/>
          </w:tcPr>
          <w:p w14:paraId="308E078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矿区内（DB）</w:t>
            </w:r>
          </w:p>
        </w:tc>
        <w:tc>
          <w:tcPr>
            <w:tcW w:w="2301" w:type="dxa"/>
            <w:vAlign w:val="center"/>
          </w:tcPr>
          <w:p w14:paraId="53C4AB86">
            <w:pPr>
              <w:widowControl w:val="0"/>
              <w:adjustRightInd w:val="0"/>
              <w:snapToGrid w:val="0"/>
              <w:jc w:val="left"/>
              <w:rPr>
                <w:rFonts w:cs="宋体"/>
                <w:snapToGrid w:val="0"/>
                <w:color w:val="auto"/>
                <w:kern w:val="0"/>
                <w:szCs w:val="21"/>
                <w:highlight w:val="none"/>
              </w:rPr>
            </w:pPr>
            <w:r>
              <w:rPr>
                <w:snapToGrid w:val="0"/>
                <w:color w:val="auto"/>
                <w:kern w:val="0"/>
                <w:szCs w:val="21"/>
                <w:highlight w:val="none"/>
              </w:rPr>
              <w:t>&lt;</w:t>
            </w:r>
            <w:r>
              <w:rPr>
                <w:rFonts w:hint="eastAsia" w:cs="宋体"/>
                <w:snapToGrid w:val="0"/>
                <w:color w:val="auto"/>
                <w:kern w:val="0"/>
                <w:szCs w:val="21"/>
                <w:highlight w:val="none"/>
              </w:rPr>
              <w:t>70</w:t>
            </w:r>
          </w:p>
        </w:tc>
      </w:tr>
      <w:tr w14:paraId="110B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699270C4">
            <w:pPr>
              <w:pStyle w:val="15"/>
              <w:snapToGrid w:val="0"/>
              <w:spacing w:line="240" w:lineRule="atLeast"/>
              <w:ind w:firstLine="0"/>
              <w:jc w:val="center"/>
              <w:rPr>
                <w:rFonts w:cs="宋体"/>
                <w:snapToGrid w:val="0"/>
                <w:color w:val="auto"/>
                <w:sz w:val="21"/>
                <w:szCs w:val="21"/>
                <w:highlight w:val="none"/>
              </w:rPr>
            </w:pPr>
          </w:p>
        </w:tc>
        <w:tc>
          <w:tcPr>
            <w:tcW w:w="1347" w:type="dxa"/>
            <w:vMerge w:val="continue"/>
            <w:vAlign w:val="center"/>
          </w:tcPr>
          <w:p w14:paraId="31FCFF4C">
            <w:pPr>
              <w:pStyle w:val="15"/>
              <w:snapToGrid w:val="0"/>
              <w:spacing w:line="240" w:lineRule="atLeast"/>
              <w:ind w:firstLine="0"/>
              <w:jc w:val="left"/>
              <w:rPr>
                <w:rFonts w:cs="宋体"/>
                <w:snapToGrid w:val="0"/>
                <w:color w:val="auto"/>
                <w:sz w:val="21"/>
                <w:szCs w:val="21"/>
                <w:highlight w:val="none"/>
              </w:rPr>
            </w:pPr>
          </w:p>
        </w:tc>
        <w:tc>
          <w:tcPr>
            <w:tcW w:w="1546" w:type="dxa"/>
            <w:gridSpan w:val="2"/>
            <w:vMerge w:val="continue"/>
            <w:vAlign w:val="center"/>
          </w:tcPr>
          <w:p w14:paraId="51DAD642">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535A7F0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矿区外（DB）</w:t>
            </w:r>
          </w:p>
        </w:tc>
        <w:tc>
          <w:tcPr>
            <w:tcW w:w="2301" w:type="dxa"/>
            <w:vAlign w:val="center"/>
          </w:tcPr>
          <w:p w14:paraId="51C86D09">
            <w:pPr>
              <w:widowControl w:val="0"/>
              <w:adjustRightInd w:val="0"/>
              <w:snapToGrid w:val="0"/>
              <w:jc w:val="left"/>
              <w:rPr>
                <w:rFonts w:cs="宋体"/>
                <w:snapToGrid w:val="0"/>
                <w:color w:val="auto"/>
                <w:kern w:val="0"/>
                <w:szCs w:val="21"/>
                <w:highlight w:val="none"/>
              </w:rPr>
            </w:pPr>
            <w:r>
              <w:rPr>
                <w:snapToGrid w:val="0"/>
                <w:color w:val="auto"/>
                <w:kern w:val="0"/>
                <w:szCs w:val="21"/>
                <w:highlight w:val="none"/>
              </w:rPr>
              <w:t>&lt;</w:t>
            </w:r>
            <w:r>
              <w:rPr>
                <w:rFonts w:hint="eastAsia" w:cs="宋体"/>
                <w:snapToGrid w:val="0"/>
                <w:color w:val="auto"/>
                <w:kern w:val="0"/>
                <w:szCs w:val="21"/>
                <w:highlight w:val="none"/>
              </w:rPr>
              <w:t>55</w:t>
            </w:r>
          </w:p>
        </w:tc>
      </w:tr>
      <w:tr w14:paraId="19B3E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restart"/>
            <w:vAlign w:val="center"/>
          </w:tcPr>
          <w:p w14:paraId="0EC16768">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10</w:t>
            </w:r>
          </w:p>
        </w:tc>
        <w:tc>
          <w:tcPr>
            <w:tcW w:w="2893" w:type="dxa"/>
            <w:gridSpan w:val="3"/>
            <w:vMerge w:val="restart"/>
            <w:vAlign w:val="center"/>
          </w:tcPr>
          <w:p w14:paraId="2CA8A83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防排水系统</w:t>
            </w:r>
          </w:p>
        </w:tc>
        <w:tc>
          <w:tcPr>
            <w:tcW w:w="3595" w:type="dxa"/>
            <w:vAlign w:val="center"/>
          </w:tcPr>
          <w:p w14:paraId="5D494E7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采矿境界外截、排洪沟建设、完好性</w:t>
            </w:r>
          </w:p>
        </w:tc>
        <w:tc>
          <w:tcPr>
            <w:tcW w:w="2301" w:type="dxa"/>
            <w:vAlign w:val="center"/>
          </w:tcPr>
          <w:p w14:paraId="6054364C">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按设计100%</w:t>
            </w:r>
          </w:p>
        </w:tc>
      </w:tr>
      <w:tr w14:paraId="32C1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24AE942D">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14:paraId="58773A2B">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70FF69D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采矿境内、运输道路排水</w:t>
            </w:r>
          </w:p>
        </w:tc>
        <w:tc>
          <w:tcPr>
            <w:tcW w:w="2301" w:type="dxa"/>
            <w:vAlign w:val="center"/>
          </w:tcPr>
          <w:p w14:paraId="118B9434">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各开采水平无积水、运输道路无坑塘积水</w:t>
            </w:r>
          </w:p>
        </w:tc>
      </w:tr>
      <w:tr w14:paraId="373AF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3CA2D03C">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14:paraId="4D1B4FCF">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2BD1930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料场雨污分离系统建设</w:t>
            </w:r>
          </w:p>
        </w:tc>
        <w:tc>
          <w:tcPr>
            <w:tcW w:w="2301" w:type="dxa"/>
            <w:vAlign w:val="center"/>
          </w:tcPr>
          <w:p w14:paraId="2201B9A0">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按设计100%</w:t>
            </w:r>
          </w:p>
        </w:tc>
      </w:tr>
      <w:tr w14:paraId="0CFE0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Merge w:val="continue"/>
            <w:vAlign w:val="center"/>
          </w:tcPr>
          <w:p w14:paraId="6C7AF86E">
            <w:pPr>
              <w:pStyle w:val="15"/>
              <w:snapToGrid w:val="0"/>
              <w:spacing w:line="240" w:lineRule="atLeast"/>
              <w:ind w:firstLine="0"/>
              <w:jc w:val="center"/>
              <w:rPr>
                <w:rFonts w:cs="宋体"/>
                <w:snapToGrid w:val="0"/>
                <w:color w:val="auto"/>
                <w:sz w:val="21"/>
                <w:szCs w:val="21"/>
                <w:highlight w:val="none"/>
              </w:rPr>
            </w:pPr>
          </w:p>
        </w:tc>
        <w:tc>
          <w:tcPr>
            <w:tcW w:w="2893" w:type="dxa"/>
            <w:gridSpan w:val="3"/>
            <w:vMerge w:val="continue"/>
            <w:vAlign w:val="center"/>
          </w:tcPr>
          <w:p w14:paraId="44997EA9">
            <w:pPr>
              <w:pStyle w:val="15"/>
              <w:snapToGrid w:val="0"/>
              <w:spacing w:line="240" w:lineRule="atLeast"/>
              <w:ind w:firstLine="0"/>
              <w:jc w:val="left"/>
              <w:rPr>
                <w:rFonts w:cs="宋体"/>
                <w:snapToGrid w:val="0"/>
                <w:color w:val="auto"/>
                <w:sz w:val="21"/>
                <w:szCs w:val="21"/>
                <w:highlight w:val="none"/>
              </w:rPr>
            </w:pPr>
          </w:p>
        </w:tc>
        <w:tc>
          <w:tcPr>
            <w:tcW w:w="3595" w:type="dxa"/>
            <w:vAlign w:val="center"/>
          </w:tcPr>
          <w:p w14:paraId="4F9CE60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料场矿堆之间</w:t>
            </w:r>
          </w:p>
        </w:tc>
        <w:tc>
          <w:tcPr>
            <w:tcW w:w="2301" w:type="dxa"/>
            <w:vAlign w:val="center"/>
          </w:tcPr>
          <w:p w14:paraId="51322D3B">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无积水</w:t>
            </w:r>
          </w:p>
        </w:tc>
      </w:tr>
    </w:tbl>
    <w:p w14:paraId="2F97CB14">
      <w:pPr>
        <w:widowControl w:val="0"/>
        <w:adjustRightInd w:val="0"/>
        <w:snapToGrid w:val="0"/>
        <w:rPr>
          <w:color w:val="auto"/>
          <w:highlight w:val="none"/>
        </w:rPr>
      </w:pPr>
    </w:p>
    <w:p w14:paraId="7AE9882E">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2、企业管理体系建设及企业形象</w:t>
      </w:r>
    </w:p>
    <w:p w14:paraId="6C1A593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建立项目组织机构和安全生产领导小组，制定矿山资源保全、企业安全责任制、企业安全文化、文明施工等各项管理制度，建立质量管理体系、环境管理体系、职业危害管理体系、双重预防机制体系，确保质量、安全、环保、职业健康、属地</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项目共建等有序运行。安全生产管理基本原则为：安全第一、预防为主、综合治理。具体指标要求如下。</w:t>
      </w:r>
    </w:p>
    <w:p w14:paraId="77C65692">
      <w:pPr>
        <w:widowControl w:val="0"/>
        <w:adjustRightInd w:val="0"/>
        <w:snapToGrid w:val="0"/>
        <w:rPr>
          <w:color w:val="auto"/>
          <w:highlight w:val="none"/>
        </w:rPr>
      </w:pPr>
    </w:p>
    <w:p w14:paraId="1F916C5C">
      <w:pPr>
        <w:pStyle w:val="829"/>
        <w:adjustRightInd w:val="0"/>
        <w:snapToGrid w:val="0"/>
        <w:spacing w:line="300" w:lineRule="auto"/>
        <w:jc w:val="center"/>
        <w:rPr>
          <w:rFonts w:cs="宋体"/>
          <w:b/>
          <w:bCs/>
          <w:snapToGrid w:val="0"/>
          <w:color w:val="auto"/>
          <w:kern w:val="0"/>
          <w:sz w:val="24"/>
          <w:szCs w:val="21"/>
          <w:highlight w:val="none"/>
        </w:rPr>
      </w:pPr>
      <w:r>
        <w:rPr>
          <w:rFonts w:hint="eastAsia" w:cs="宋体"/>
          <w:b/>
          <w:bCs/>
          <w:snapToGrid w:val="0"/>
          <w:color w:val="auto"/>
          <w:kern w:val="0"/>
          <w:sz w:val="24"/>
          <w:szCs w:val="21"/>
          <w:highlight w:val="none"/>
        </w:rPr>
        <w:t>安全管理目标及指标</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1077"/>
        <w:gridCol w:w="4855"/>
        <w:gridCol w:w="2682"/>
      </w:tblGrid>
      <w:tr w14:paraId="77297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876" w:type="dxa"/>
            <w:vAlign w:val="center"/>
          </w:tcPr>
          <w:p w14:paraId="70B8A0E6">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序号</w:t>
            </w:r>
          </w:p>
        </w:tc>
        <w:tc>
          <w:tcPr>
            <w:tcW w:w="5932" w:type="dxa"/>
            <w:gridSpan w:val="2"/>
            <w:vAlign w:val="center"/>
          </w:tcPr>
          <w:p w14:paraId="760186AC">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内容</w:t>
            </w:r>
          </w:p>
        </w:tc>
        <w:tc>
          <w:tcPr>
            <w:tcW w:w="2682" w:type="dxa"/>
            <w:vAlign w:val="center"/>
          </w:tcPr>
          <w:p w14:paraId="33985CB6">
            <w:pPr>
              <w:pStyle w:val="15"/>
              <w:snapToGrid w:val="0"/>
              <w:spacing w:line="240" w:lineRule="atLeast"/>
              <w:ind w:firstLine="0"/>
              <w:jc w:val="center"/>
              <w:rPr>
                <w:rFonts w:cs="宋体"/>
                <w:b/>
                <w:bCs/>
                <w:snapToGrid w:val="0"/>
                <w:color w:val="auto"/>
                <w:sz w:val="21"/>
                <w:szCs w:val="21"/>
                <w:highlight w:val="none"/>
              </w:rPr>
            </w:pPr>
            <w:r>
              <w:rPr>
                <w:rFonts w:hint="eastAsia" w:cs="宋体"/>
                <w:b/>
                <w:bCs/>
                <w:snapToGrid w:val="0"/>
                <w:color w:val="auto"/>
                <w:sz w:val="21"/>
                <w:szCs w:val="21"/>
                <w:highlight w:val="none"/>
              </w:rPr>
              <w:t>要求</w:t>
            </w:r>
          </w:p>
        </w:tc>
      </w:tr>
      <w:tr w14:paraId="20674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restart"/>
            <w:vAlign w:val="center"/>
          </w:tcPr>
          <w:p w14:paraId="7A2B4507">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1</w:t>
            </w:r>
          </w:p>
        </w:tc>
        <w:tc>
          <w:tcPr>
            <w:tcW w:w="1077" w:type="dxa"/>
            <w:vMerge w:val="restart"/>
            <w:vAlign w:val="center"/>
          </w:tcPr>
          <w:p w14:paraId="582E9C96">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安全控制指标</w:t>
            </w:r>
          </w:p>
        </w:tc>
        <w:tc>
          <w:tcPr>
            <w:tcW w:w="4855" w:type="dxa"/>
            <w:vAlign w:val="center"/>
          </w:tcPr>
          <w:p w14:paraId="0F3A1B6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重伤、死亡事故</w:t>
            </w:r>
          </w:p>
        </w:tc>
        <w:tc>
          <w:tcPr>
            <w:tcW w:w="2682" w:type="dxa"/>
            <w:vMerge w:val="restart"/>
            <w:vAlign w:val="center"/>
          </w:tcPr>
          <w:p w14:paraId="412E184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杜绝发生</w:t>
            </w:r>
          </w:p>
        </w:tc>
      </w:tr>
      <w:tr w14:paraId="7C4A4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55F7EA4">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2B8A2196">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6D374052">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重大车辆伤害事故</w:t>
            </w:r>
          </w:p>
        </w:tc>
        <w:tc>
          <w:tcPr>
            <w:tcW w:w="2682" w:type="dxa"/>
            <w:vMerge w:val="continue"/>
            <w:vAlign w:val="center"/>
          </w:tcPr>
          <w:p w14:paraId="7BAB78E8">
            <w:pPr>
              <w:pStyle w:val="15"/>
              <w:snapToGrid w:val="0"/>
              <w:spacing w:line="240" w:lineRule="atLeast"/>
              <w:ind w:firstLine="0"/>
              <w:jc w:val="left"/>
              <w:rPr>
                <w:rFonts w:cs="宋体"/>
                <w:snapToGrid w:val="0"/>
                <w:color w:val="auto"/>
                <w:sz w:val="21"/>
                <w:szCs w:val="21"/>
                <w:highlight w:val="none"/>
              </w:rPr>
            </w:pPr>
          </w:p>
        </w:tc>
      </w:tr>
      <w:tr w14:paraId="6C802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832FC2E">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6701392A">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34FAF2E6">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职业病发生</w:t>
            </w:r>
          </w:p>
        </w:tc>
        <w:tc>
          <w:tcPr>
            <w:tcW w:w="2682" w:type="dxa"/>
            <w:vMerge w:val="continue"/>
            <w:vAlign w:val="center"/>
          </w:tcPr>
          <w:p w14:paraId="1A4537F3">
            <w:pPr>
              <w:pStyle w:val="15"/>
              <w:snapToGrid w:val="0"/>
              <w:spacing w:line="240" w:lineRule="atLeast"/>
              <w:ind w:firstLine="0"/>
              <w:jc w:val="left"/>
              <w:rPr>
                <w:rFonts w:cs="宋体"/>
                <w:snapToGrid w:val="0"/>
                <w:color w:val="auto"/>
                <w:sz w:val="21"/>
                <w:szCs w:val="21"/>
                <w:highlight w:val="none"/>
              </w:rPr>
            </w:pPr>
          </w:p>
        </w:tc>
      </w:tr>
      <w:tr w14:paraId="39E2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BBDB935">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0876E353">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53FB9C0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重大火灾事故</w:t>
            </w:r>
          </w:p>
        </w:tc>
        <w:tc>
          <w:tcPr>
            <w:tcW w:w="2682" w:type="dxa"/>
            <w:vMerge w:val="continue"/>
            <w:vAlign w:val="center"/>
          </w:tcPr>
          <w:p w14:paraId="769E81B3">
            <w:pPr>
              <w:pStyle w:val="15"/>
              <w:snapToGrid w:val="0"/>
              <w:spacing w:line="240" w:lineRule="atLeast"/>
              <w:ind w:firstLine="0"/>
              <w:jc w:val="left"/>
              <w:rPr>
                <w:rFonts w:cs="宋体"/>
                <w:snapToGrid w:val="0"/>
                <w:color w:val="auto"/>
                <w:sz w:val="21"/>
                <w:szCs w:val="21"/>
                <w:highlight w:val="none"/>
              </w:rPr>
            </w:pPr>
          </w:p>
        </w:tc>
      </w:tr>
      <w:tr w14:paraId="0DF5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841FC99">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26844F27">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3CDD4F47">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重大设备事故</w:t>
            </w:r>
          </w:p>
        </w:tc>
        <w:tc>
          <w:tcPr>
            <w:tcW w:w="2682" w:type="dxa"/>
            <w:vMerge w:val="continue"/>
            <w:vAlign w:val="center"/>
          </w:tcPr>
          <w:p w14:paraId="113734E8">
            <w:pPr>
              <w:pStyle w:val="15"/>
              <w:snapToGrid w:val="0"/>
              <w:spacing w:line="240" w:lineRule="atLeast"/>
              <w:ind w:firstLine="0"/>
              <w:jc w:val="left"/>
              <w:rPr>
                <w:rFonts w:cs="宋体"/>
                <w:snapToGrid w:val="0"/>
                <w:color w:val="auto"/>
                <w:sz w:val="21"/>
                <w:szCs w:val="21"/>
                <w:highlight w:val="none"/>
              </w:rPr>
            </w:pPr>
          </w:p>
        </w:tc>
      </w:tr>
      <w:tr w14:paraId="7583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199CE9D7">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3C39A53">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20424F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码头船舶安全事故</w:t>
            </w:r>
          </w:p>
        </w:tc>
        <w:tc>
          <w:tcPr>
            <w:tcW w:w="2682" w:type="dxa"/>
            <w:vMerge w:val="continue"/>
            <w:vAlign w:val="center"/>
          </w:tcPr>
          <w:p w14:paraId="240BD8A6">
            <w:pPr>
              <w:pStyle w:val="15"/>
              <w:snapToGrid w:val="0"/>
              <w:spacing w:line="240" w:lineRule="atLeast"/>
              <w:ind w:firstLine="0"/>
              <w:jc w:val="left"/>
              <w:rPr>
                <w:rFonts w:cs="宋体"/>
                <w:snapToGrid w:val="0"/>
                <w:color w:val="auto"/>
                <w:sz w:val="21"/>
                <w:szCs w:val="21"/>
                <w:highlight w:val="none"/>
              </w:rPr>
            </w:pPr>
          </w:p>
        </w:tc>
      </w:tr>
      <w:tr w14:paraId="7AFEF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4F9892F">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4109ED3">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CA9DAD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重大边坡坍塌、滑坡事故</w:t>
            </w:r>
          </w:p>
        </w:tc>
        <w:tc>
          <w:tcPr>
            <w:tcW w:w="2682" w:type="dxa"/>
            <w:vMerge w:val="continue"/>
            <w:vAlign w:val="center"/>
          </w:tcPr>
          <w:p w14:paraId="1B3C7FC9">
            <w:pPr>
              <w:pStyle w:val="15"/>
              <w:snapToGrid w:val="0"/>
              <w:spacing w:line="240" w:lineRule="atLeast"/>
              <w:ind w:firstLine="0"/>
              <w:jc w:val="left"/>
              <w:rPr>
                <w:rFonts w:cs="宋体"/>
                <w:snapToGrid w:val="0"/>
                <w:color w:val="auto"/>
                <w:sz w:val="21"/>
                <w:szCs w:val="21"/>
                <w:highlight w:val="none"/>
              </w:rPr>
            </w:pPr>
          </w:p>
        </w:tc>
      </w:tr>
      <w:tr w14:paraId="56EE7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23928A00">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47C4D660">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6560F97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重大爆破施工事故</w:t>
            </w:r>
          </w:p>
        </w:tc>
        <w:tc>
          <w:tcPr>
            <w:tcW w:w="2682" w:type="dxa"/>
            <w:vMerge w:val="continue"/>
            <w:vAlign w:val="center"/>
          </w:tcPr>
          <w:p w14:paraId="544E325A">
            <w:pPr>
              <w:pStyle w:val="15"/>
              <w:snapToGrid w:val="0"/>
              <w:spacing w:line="240" w:lineRule="atLeast"/>
              <w:ind w:firstLine="0"/>
              <w:jc w:val="left"/>
              <w:rPr>
                <w:rFonts w:cs="宋体"/>
                <w:snapToGrid w:val="0"/>
                <w:color w:val="auto"/>
                <w:sz w:val="21"/>
                <w:szCs w:val="21"/>
                <w:highlight w:val="none"/>
              </w:rPr>
            </w:pPr>
          </w:p>
        </w:tc>
      </w:tr>
      <w:tr w14:paraId="46B8B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restart"/>
            <w:vAlign w:val="center"/>
          </w:tcPr>
          <w:p w14:paraId="15B4C5BB">
            <w:pPr>
              <w:pStyle w:val="15"/>
              <w:snapToGrid w:val="0"/>
              <w:spacing w:line="240" w:lineRule="atLeast"/>
              <w:ind w:firstLine="0"/>
              <w:jc w:val="center"/>
              <w:rPr>
                <w:rFonts w:cs="宋体"/>
                <w:snapToGrid w:val="0"/>
                <w:color w:val="auto"/>
                <w:sz w:val="21"/>
                <w:szCs w:val="21"/>
                <w:highlight w:val="none"/>
              </w:rPr>
            </w:pPr>
            <w:r>
              <w:rPr>
                <w:rFonts w:hint="eastAsia" w:cs="宋体"/>
                <w:snapToGrid w:val="0"/>
                <w:color w:val="auto"/>
                <w:sz w:val="21"/>
                <w:szCs w:val="21"/>
                <w:highlight w:val="none"/>
              </w:rPr>
              <w:t>2</w:t>
            </w:r>
          </w:p>
        </w:tc>
        <w:tc>
          <w:tcPr>
            <w:tcW w:w="1077" w:type="dxa"/>
            <w:vMerge w:val="restart"/>
            <w:vAlign w:val="center"/>
          </w:tcPr>
          <w:p w14:paraId="531251D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安全管理目标</w:t>
            </w:r>
          </w:p>
        </w:tc>
        <w:tc>
          <w:tcPr>
            <w:tcW w:w="4855" w:type="dxa"/>
            <w:vAlign w:val="center"/>
          </w:tcPr>
          <w:p w14:paraId="00DA0304">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轻伤伤害人数或伤害率</w:t>
            </w:r>
          </w:p>
        </w:tc>
        <w:tc>
          <w:tcPr>
            <w:tcW w:w="2682" w:type="dxa"/>
            <w:vAlign w:val="center"/>
          </w:tcPr>
          <w:p w14:paraId="46B2717E">
            <w:pPr>
              <w:pStyle w:val="15"/>
              <w:snapToGrid w:val="0"/>
              <w:spacing w:line="240" w:lineRule="atLeast"/>
              <w:ind w:firstLine="0"/>
              <w:jc w:val="left"/>
              <w:rPr>
                <w:rFonts w:cs="宋体"/>
                <w:snapToGrid w:val="0"/>
                <w:color w:val="auto"/>
                <w:sz w:val="21"/>
                <w:szCs w:val="21"/>
                <w:highlight w:val="none"/>
              </w:rPr>
            </w:pPr>
            <w:r>
              <w:rPr>
                <w:rFonts w:hint="eastAsia" w:ascii="宋体" w:hAnsi="宋体" w:cs="Arial"/>
                <w:snapToGrid w:val="0"/>
                <w:color w:val="auto"/>
                <w:sz w:val="21"/>
                <w:szCs w:val="21"/>
                <w:highlight w:val="none"/>
              </w:rPr>
              <w:t>≤</w:t>
            </w:r>
            <w:r>
              <w:rPr>
                <w:rFonts w:hint="eastAsia" w:cs="宋体"/>
                <w:snapToGrid w:val="0"/>
                <w:color w:val="auto"/>
                <w:sz w:val="21"/>
                <w:szCs w:val="21"/>
                <w:highlight w:val="none"/>
              </w:rPr>
              <w:t>2%</w:t>
            </w:r>
          </w:p>
        </w:tc>
      </w:tr>
      <w:tr w14:paraId="12E59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806A26A">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7191A029">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ABA350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采场放炮伤人事故</w:t>
            </w:r>
          </w:p>
        </w:tc>
        <w:tc>
          <w:tcPr>
            <w:tcW w:w="2682" w:type="dxa"/>
            <w:vAlign w:val="center"/>
          </w:tcPr>
          <w:p w14:paraId="54927D8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0</w:t>
            </w:r>
          </w:p>
        </w:tc>
      </w:tr>
      <w:tr w14:paraId="786B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DE55B76">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2F2783D">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1AFB82B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新项目、新员工、“四新”三级安全教育培训率</w:t>
            </w:r>
          </w:p>
        </w:tc>
        <w:tc>
          <w:tcPr>
            <w:tcW w:w="2682" w:type="dxa"/>
            <w:vAlign w:val="center"/>
          </w:tcPr>
          <w:p w14:paraId="3DD390E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5C72F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CAAA57D">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799B8EF0">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5FC787EB">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主要负责人、安全管理人员持证上岗率</w:t>
            </w:r>
          </w:p>
        </w:tc>
        <w:tc>
          <w:tcPr>
            <w:tcW w:w="2682" w:type="dxa"/>
            <w:vAlign w:val="center"/>
          </w:tcPr>
          <w:p w14:paraId="04B6309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0EA4B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40BF1388">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7D5D2FCE">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AFFE526">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特种作业人员持证上岗率</w:t>
            </w:r>
          </w:p>
        </w:tc>
        <w:tc>
          <w:tcPr>
            <w:tcW w:w="2682" w:type="dxa"/>
            <w:vAlign w:val="center"/>
          </w:tcPr>
          <w:p w14:paraId="4606D1A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6092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5F862CAE">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96CF57D">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241293E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特种设备定期检测检验率</w:t>
            </w:r>
          </w:p>
        </w:tc>
        <w:tc>
          <w:tcPr>
            <w:tcW w:w="2682" w:type="dxa"/>
            <w:vAlign w:val="center"/>
          </w:tcPr>
          <w:p w14:paraId="77C1CAEE">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63E9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06E74B8">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28806441">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6092C7F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隐患整改、闭环率</w:t>
            </w:r>
          </w:p>
        </w:tc>
        <w:tc>
          <w:tcPr>
            <w:tcW w:w="2682" w:type="dxa"/>
            <w:vAlign w:val="center"/>
          </w:tcPr>
          <w:p w14:paraId="7A0D1B9C">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259FE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5850331">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5AD8116B">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2E210C9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应急预案演练</w:t>
            </w:r>
          </w:p>
        </w:tc>
        <w:tc>
          <w:tcPr>
            <w:tcW w:w="2682" w:type="dxa"/>
            <w:vAlign w:val="center"/>
          </w:tcPr>
          <w:p w14:paraId="44EBD039">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上下半年至少一次</w:t>
            </w:r>
          </w:p>
        </w:tc>
      </w:tr>
      <w:tr w14:paraId="08A50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019591A5">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620106C9">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5C6E2E6D">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安全责任书、安全承诺</w:t>
            </w:r>
          </w:p>
        </w:tc>
        <w:tc>
          <w:tcPr>
            <w:tcW w:w="2682" w:type="dxa"/>
            <w:vAlign w:val="center"/>
          </w:tcPr>
          <w:p w14:paraId="09F7F60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100%</w:t>
            </w:r>
          </w:p>
        </w:tc>
      </w:tr>
      <w:tr w14:paraId="438D5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3F34CBA6">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67757399">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1FE09BB0">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职业危害因素检查、职工健康体检、申报</w:t>
            </w:r>
          </w:p>
        </w:tc>
        <w:tc>
          <w:tcPr>
            <w:tcW w:w="2682" w:type="dxa"/>
            <w:vAlign w:val="center"/>
          </w:tcPr>
          <w:p w14:paraId="06C16005">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按规定100%落实</w:t>
            </w:r>
          </w:p>
        </w:tc>
      </w:tr>
      <w:tr w14:paraId="2B25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1F9BD79A">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38AAF12F">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10F3616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三级安全标准化体系创建</w:t>
            </w:r>
          </w:p>
        </w:tc>
        <w:tc>
          <w:tcPr>
            <w:tcW w:w="2682" w:type="dxa"/>
            <w:vAlign w:val="center"/>
          </w:tcPr>
          <w:p w14:paraId="63ED8C2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一年内完成</w:t>
            </w:r>
          </w:p>
        </w:tc>
      </w:tr>
      <w:tr w14:paraId="4B972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6236588F">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59F05F8E">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758EC338">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村（街道）企业共建</w:t>
            </w:r>
          </w:p>
        </w:tc>
        <w:tc>
          <w:tcPr>
            <w:tcW w:w="2682" w:type="dxa"/>
            <w:vAlign w:val="center"/>
          </w:tcPr>
          <w:p w14:paraId="00E4261F">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无社会面负面报道</w:t>
            </w:r>
          </w:p>
        </w:tc>
      </w:tr>
      <w:tr w14:paraId="720E1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6" w:type="dxa"/>
            <w:vMerge w:val="continue"/>
            <w:vAlign w:val="center"/>
          </w:tcPr>
          <w:p w14:paraId="7FCA3CEF">
            <w:pPr>
              <w:pStyle w:val="15"/>
              <w:snapToGrid w:val="0"/>
              <w:spacing w:line="240" w:lineRule="atLeast"/>
              <w:ind w:firstLine="0"/>
              <w:jc w:val="center"/>
              <w:rPr>
                <w:rFonts w:cs="宋体"/>
                <w:snapToGrid w:val="0"/>
                <w:color w:val="auto"/>
                <w:sz w:val="21"/>
                <w:szCs w:val="21"/>
                <w:highlight w:val="none"/>
              </w:rPr>
            </w:pPr>
          </w:p>
        </w:tc>
        <w:tc>
          <w:tcPr>
            <w:tcW w:w="1077" w:type="dxa"/>
            <w:vMerge w:val="continue"/>
            <w:vAlign w:val="center"/>
          </w:tcPr>
          <w:p w14:paraId="0C90A0B4">
            <w:pPr>
              <w:pStyle w:val="15"/>
              <w:snapToGrid w:val="0"/>
              <w:spacing w:line="240" w:lineRule="atLeast"/>
              <w:ind w:firstLine="0"/>
              <w:jc w:val="left"/>
              <w:rPr>
                <w:rFonts w:cs="宋体"/>
                <w:snapToGrid w:val="0"/>
                <w:color w:val="auto"/>
                <w:sz w:val="21"/>
                <w:szCs w:val="21"/>
                <w:highlight w:val="none"/>
              </w:rPr>
            </w:pPr>
          </w:p>
        </w:tc>
        <w:tc>
          <w:tcPr>
            <w:tcW w:w="4855" w:type="dxa"/>
            <w:vAlign w:val="center"/>
          </w:tcPr>
          <w:p w14:paraId="2371C0E1">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矿山安全现状评价、边坡及隐蔽工程监测</w:t>
            </w:r>
          </w:p>
        </w:tc>
        <w:tc>
          <w:tcPr>
            <w:tcW w:w="2682" w:type="dxa"/>
            <w:vAlign w:val="center"/>
          </w:tcPr>
          <w:p w14:paraId="5E014703">
            <w:pPr>
              <w:pStyle w:val="15"/>
              <w:snapToGrid w:val="0"/>
              <w:spacing w:line="240" w:lineRule="atLeast"/>
              <w:ind w:firstLine="0"/>
              <w:jc w:val="left"/>
              <w:rPr>
                <w:rFonts w:cs="宋体"/>
                <w:snapToGrid w:val="0"/>
                <w:color w:val="auto"/>
                <w:sz w:val="21"/>
                <w:szCs w:val="21"/>
                <w:highlight w:val="none"/>
              </w:rPr>
            </w:pPr>
            <w:r>
              <w:rPr>
                <w:rFonts w:hint="eastAsia" w:cs="宋体"/>
                <w:snapToGrid w:val="0"/>
                <w:color w:val="auto"/>
                <w:sz w:val="21"/>
                <w:szCs w:val="21"/>
                <w:highlight w:val="none"/>
              </w:rPr>
              <w:t>至少三年一次</w:t>
            </w:r>
          </w:p>
        </w:tc>
      </w:tr>
    </w:tbl>
    <w:p w14:paraId="197111E2">
      <w:pPr>
        <w:widowControl w:val="0"/>
        <w:adjustRightInd w:val="0"/>
        <w:snapToGrid w:val="0"/>
        <w:rPr>
          <w:color w:val="auto"/>
          <w:highlight w:val="none"/>
        </w:rPr>
      </w:pPr>
    </w:p>
    <w:p w14:paraId="46E8C9BE">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3、采掘、加工产品质量要求</w:t>
      </w:r>
    </w:p>
    <w:p w14:paraId="0D4CE4D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（1）矿山基建施工一次性验收合格。矿山工程通过竣工验收并取得安全生产许可证、</w:t>
      </w:r>
      <w:r>
        <w:rPr>
          <w:rFonts w:hint="eastAsia" w:hAnsi="宋体"/>
          <w:color w:val="auto"/>
          <w:sz w:val="24"/>
          <w:highlight w:val="none"/>
        </w:rPr>
        <w:t>智能化数字监管平台（矿山安全生产监管平台、矿产资源开发利用监管平台等）</w:t>
      </w:r>
      <w:r>
        <w:rPr>
          <w:rFonts w:hint="eastAsia" w:cs="宋体"/>
          <w:snapToGrid w:val="0"/>
          <w:color w:val="auto"/>
          <w:kern w:val="0"/>
          <w:sz w:val="24"/>
          <w:szCs w:val="21"/>
          <w:highlight w:val="none"/>
        </w:rPr>
        <w:t>投入运行；加工厂房、生产线、设备安装通过消防环保、节能、卫生三同时验收，并取得排污许可证、消防验收合格证等相关证照为标准。确保达到《浙江省智能化绿色矿山（露采）建设与评价标准》（T/ZMA 001-2023）相关要求。</w:t>
      </w:r>
    </w:p>
    <w:p w14:paraId="5723060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（2）强风化层及山体表土剥离干净，开采爆破后石料粒径不大于500mm（抛海石除外），&lt;5mm物料含量不大于2%。</w:t>
      </w:r>
    </w:p>
    <w:p w14:paraId="04E019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采掘施工过程：设备、材料及工程质量100%合格，产能及产品调试达标，满足《金属非金属矿山安全规程》、《爆破安全规程》及浙江省、宁波市有关安全、环保要求，矿山整体建设应符合《加快建设绿色矿山的实施意见》（国土资规</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2017</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号）中《非金属矿行业绿色矿山建设要求》和《砂石行业绿色矿山建设规范》（DZ/T0316-2018）、《机制砂石骨料工厂设计规范》、《职业健康安全管理体系要求》（GB/T28001-2011）等标准，还要满足《企业安全生产费用提取和使用管理办法》（财资〔2022〕136号）、《道路交通标》（GB5768）、《安全色》（GB2893）、《安全标志》（GB2894）等安全及相关规定，上述如有新标准及规范的，按最新标准及规范执行。</w:t>
      </w:r>
    </w:p>
    <w:p w14:paraId="243D1D9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（4）矿产品质量要求：</w:t>
      </w:r>
    </w:p>
    <w:p w14:paraId="2F6C032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1）宕渣质量要求</w:t>
      </w:r>
      <w:r>
        <w:rPr>
          <w:rFonts w:hint="eastAsia" w:cs="宋体"/>
          <w:snapToGrid w:val="0"/>
          <w:color w:val="auto"/>
          <w:kern w:val="0"/>
          <w:sz w:val="24"/>
          <w:szCs w:val="21"/>
          <w:highlight w:val="none"/>
        </w:rPr>
        <w:t>：粒经（最长内径）不大于500mm（抛海石除外），无剥离残留物。</w:t>
      </w:r>
    </w:p>
    <w:p w14:paraId="57A4979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u w:val="single"/>
        </w:rPr>
        <w:t>2）</w:t>
      </w:r>
      <w:r>
        <w:rPr>
          <w:rFonts w:hint="eastAsia" w:cs="宋体"/>
          <w:snapToGrid w:val="0"/>
          <w:color w:val="auto"/>
          <w:kern w:val="0"/>
          <w:sz w:val="24"/>
          <w:szCs w:val="24"/>
          <w:highlight w:val="none"/>
          <w:u w:val="single"/>
        </w:rPr>
        <w:t>整形</w:t>
      </w:r>
      <w:r>
        <w:rPr>
          <w:rFonts w:cs="宋体"/>
          <w:snapToGrid w:val="0"/>
          <w:color w:val="auto"/>
          <w:kern w:val="0"/>
          <w:sz w:val="24"/>
          <w:szCs w:val="24"/>
          <w:highlight w:val="none"/>
          <w:u w:val="single"/>
        </w:rPr>
        <w:t>机制砂质量要求</w:t>
      </w:r>
      <w:r>
        <w:rPr>
          <w:rFonts w:cs="宋体"/>
          <w:snapToGrid w:val="0"/>
          <w:color w:val="auto"/>
          <w:kern w:val="0"/>
          <w:sz w:val="24"/>
          <w:szCs w:val="24"/>
          <w:highlight w:val="none"/>
        </w:rPr>
        <w:t>：经整形</w:t>
      </w:r>
      <w:r>
        <w:rPr>
          <w:rFonts w:hint="eastAsia" w:cs="宋体"/>
          <w:snapToGrid w:val="0"/>
          <w:color w:val="auto"/>
          <w:kern w:val="0"/>
          <w:sz w:val="24"/>
          <w:szCs w:val="24"/>
          <w:highlight w:val="none"/>
        </w:rPr>
        <w:t>，</w:t>
      </w:r>
      <w:r>
        <w:rPr>
          <w:rFonts w:cs="宋体"/>
          <w:snapToGrid w:val="0"/>
          <w:color w:val="auto"/>
          <w:kern w:val="0"/>
          <w:sz w:val="24"/>
          <w:szCs w:val="24"/>
          <w:highlight w:val="none"/>
        </w:rPr>
        <w:t>规格：0-4.75mm；细度模数：2.6及以下；氯离子含量：＜0.003%；含水率</w:t>
      </w:r>
      <w:r>
        <w:rPr>
          <w:rFonts w:cs="宋体"/>
          <w:snapToGrid w:val="0"/>
          <w:color w:val="auto"/>
          <w:kern w:val="0"/>
          <w:sz w:val="24"/>
          <w:szCs w:val="24"/>
          <w:highlight w:val="none"/>
          <w:u w:val="single"/>
        </w:rPr>
        <w:t xml:space="preserve">  </w:t>
      </w:r>
      <w:r>
        <w:rPr>
          <w:rFonts w:ascii="宋体" w:hAnsi="宋体" w:cs="宋体"/>
          <w:snapToGrid w:val="0"/>
          <w:color w:val="auto"/>
          <w:kern w:val="0"/>
          <w:sz w:val="24"/>
          <w:szCs w:val="24"/>
          <w:highlight w:val="none"/>
          <w:u w:val="single"/>
        </w:rPr>
        <w:t>≤</w:t>
      </w:r>
      <w:r>
        <w:rPr>
          <w:rFonts w:cs="宋体"/>
          <w:snapToGrid w:val="0"/>
          <w:color w:val="auto"/>
          <w:kern w:val="0"/>
          <w:sz w:val="24"/>
          <w:szCs w:val="24"/>
          <w:highlight w:val="none"/>
          <w:u w:val="single"/>
        </w:rPr>
        <w:t xml:space="preserve">10  </w:t>
      </w:r>
      <w:r>
        <w:rPr>
          <w:rFonts w:cs="宋体"/>
          <w:snapToGrid w:val="0"/>
          <w:color w:val="auto"/>
          <w:kern w:val="0"/>
          <w:sz w:val="24"/>
          <w:szCs w:val="24"/>
          <w:highlight w:val="none"/>
        </w:rPr>
        <w:t>%。</w:t>
      </w:r>
    </w:p>
    <w:p w14:paraId="6057AFF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①除上述质量指标外，</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还要满足（符合）国家、省市、行业相关规定，其余质量指标需达到《建设用砂》（GB/T14684-2022）I类砂标准（或最高质量类别）要求，并达到《宁波市机制砂生产技术规程》（甬DX/JS017-2022）、浙江省《机制砂应用技术规程》（DBJ33/T1297-2023）I类砂标准（或最高质量类别）要求，同时机制砂的质量需满足《宁波市预拌混凝土管理暂行规定》（甬建发〔2022〕2号）规定的各强度等级的预拌混凝土对机制砂的使用要求和销售市场的需方要求。</w:t>
      </w:r>
    </w:p>
    <w:p w14:paraId="1F05FD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②若工期（合同期限）之内，有新的质量或技术标准发布，供应商应按新的质量或技术标准执行以符合其质量、技术最高要求。</w:t>
      </w:r>
    </w:p>
    <w:p w14:paraId="43D7497C">
      <w:pPr>
        <w:widowControl w:val="0"/>
        <w:adjustRightInd w:val="0"/>
        <w:snapToGrid w:val="0"/>
        <w:spacing w:line="300" w:lineRule="auto"/>
        <w:ind w:firstLine="480" w:firstLineChars="200"/>
        <w:rPr>
          <w:rFonts w:cs="宋体"/>
          <w:snapToGrid w:val="0"/>
          <w:color w:val="auto"/>
          <w:kern w:val="0"/>
          <w:sz w:val="24"/>
          <w:szCs w:val="24"/>
          <w:highlight w:val="none"/>
        </w:rPr>
      </w:pPr>
      <w:r>
        <w:rPr>
          <w:rFonts w:ascii="宋体" w:hAnsi="宋体" w:cs="宋体"/>
          <w:snapToGrid w:val="0"/>
          <w:color w:val="auto"/>
          <w:kern w:val="0"/>
          <w:sz w:val="24"/>
          <w:szCs w:val="24"/>
          <w:highlight w:val="none"/>
        </w:rPr>
        <w:t>③</w:t>
      </w:r>
      <w:r>
        <w:rPr>
          <w:rFonts w:cs="宋体"/>
          <w:snapToGrid w:val="0"/>
          <w:color w:val="auto"/>
          <w:kern w:val="0"/>
          <w:sz w:val="24"/>
          <w:szCs w:val="24"/>
          <w:highlight w:val="none"/>
        </w:rPr>
        <w:t>若生产过程中采购人应市场需求对</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机制砂的质量、规格等进行调整，采购人将在生产计划中予以明确，供应商应无条件执行。</w:t>
      </w:r>
    </w:p>
    <w:p w14:paraId="352AF78F">
      <w:pPr>
        <w:widowControl w:val="0"/>
        <w:adjustRightInd w:val="0"/>
        <w:snapToGrid w:val="0"/>
        <w:spacing w:line="300" w:lineRule="auto"/>
        <w:ind w:firstLine="480" w:firstLineChars="200"/>
        <w:rPr>
          <w:rFonts w:cs="宋体"/>
          <w:snapToGrid w:val="0"/>
          <w:color w:val="auto"/>
          <w:kern w:val="0"/>
          <w:sz w:val="24"/>
          <w:szCs w:val="24"/>
          <w:highlight w:val="none"/>
        </w:rPr>
      </w:pPr>
      <w:r>
        <w:rPr>
          <w:rFonts w:ascii="宋体" w:hAnsi="宋体" w:cs="宋体"/>
          <w:snapToGrid w:val="0"/>
          <w:color w:val="auto"/>
          <w:kern w:val="0"/>
          <w:sz w:val="24"/>
          <w:szCs w:val="24"/>
          <w:highlight w:val="none"/>
        </w:rPr>
        <w:t>④</w:t>
      </w:r>
      <w:r>
        <w:rPr>
          <w:rFonts w:cs="宋体"/>
          <w:snapToGrid w:val="0"/>
          <w:color w:val="auto"/>
          <w:kern w:val="0"/>
          <w:sz w:val="24"/>
          <w:szCs w:val="24"/>
          <w:highlight w:val="none"/>
        </w:rPr>
        <w:t>如</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质量未达到要求，或造成采购人无法销售的，采购人有权要求供应商暂停生产并要求供应商改进生产线，直至产品质量符合要求为止，由此造成的产量进度、销量进度违约，由供应商承担。投资建设增加的费用由供应商承担，不予另行结算。</w:t>
      </w:r>
    </w:p>
    <w:p w14:paraId="332B8BE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⑤整形机制砂销售所需的检测检验（包括型式检验）报告及合格证由供应商负责提供。</w:t>
      </w:r>
    </w:p>
    <w:p w14:paraId="4C67F6C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3）水洗碎石质量要求</w:t>
      </w:r>
      <w:r>
        <w:rPr>
          <w:rFonts w:hint="eastAsia" w:cs="宋体"/>
          <w:snapToGrid w:val="0"/>
          <w:color w:val="auto"/>
          <w:kern w:val="0"/>
          <w:sz w:val="24"/>
          <w:szCs w:val="21"/>
          <w:highlight w:val="none"/>
        </w:rPr>
        <w:t>：经整形，水洗碎石：4.75-9.5mm、9.5-13.5mm、13.5-26.5mm，各档可调。</w:t>
      </w:r>
    </w:p>
    <w:p w14:paraId="4B73E5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①供应商提供的生产线须满足同时生产上述二种及以上规格的要求，且同时可以按采购人的要求进行切换，对于规格的要求采购人将在每期的生产计划中予以明确。</w:t>
      </w:r>
    </w:p>
    <w:p w14:paraId="3841B0F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除上述整形和规格（粒级）质量指标外，水洗碎石其余质量指标需达到《建设用卵石、碎石》（GB/T14685-2022）Ⅰ类质量指标要求，同时水洗碎石的质量需满足《公路路面基层施工技术细则》（JTG/TF20-2015）、《公路沥青路面施工技术规范》（JTGF40-2004）、《公路桥涵施工技术规范》（JTG/T 3650-2020）规定的最高等级公路（高速公路）的公路路面基层施工、公路沥青路面施工、公路桥涵施工对所使用的碎石质量要求。</w:t>
      </w:r>
    </w:p>
    <w:p w14:paraId="4B2EF91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③水洗碎石的质量还要满足（符合）国家、省市、行业相关规定；若工期（合同期限）之内，有新的质量或技术标准发布，供应商应按新的质量或技术标准执行以符合其质量、技术的最高要求。</w:t>
      </w:r>
    </w:p>
    <w:p w14:paraId="641740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④若生产过程中采购人应市场需求对水洗碎石的规格进行调整，除相互调整以上规格之外，采购人也可以要求供应商生产其他规格的水洗碎石，供应商应无条件执行，采购人将在生产计划中予以明确。</w:t>
      </w:r>
    </w:p>
    <w:p w14:paraId="6B1510F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⑤如水洗碎石质量未达到要求，或造成采购人无法销售的，采购人有权要求供应商暂停生产并要求供应商改进生产线，直至产品质量符合要求为止，由此造成的产量进度、销量进度违约，由供应商承担。投资建设增加的费用由供应商承担，不予另行结算。</w:t>
      </w:r>
    </w:p>
    <w:p w14:paraId="0691E7A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⑥水洗碎石销售所需的检测检验报告及合格证由供应商负责提供。</w:t>
      </w:r>
    </w:p>
    <w:p w14:paraId="70DA8C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4）其它新增石料产品（若有）质量要求</w:t>
      </w:r>
      <w:r>
        <w:rPr>
          <w:rFonts w:hint="eastAsia" w:cs="宋体"/>
          <w:snapToGrid w:val="0"/>
          <w:color w:val="auto"/>
          <w:kern w:val="0"/>
          <w:sz w:val="24"/>
          <w:szCs w:val="21"/>
          <w:highlight w:val="none"/>
        </w:rPr>
        <w:t>：按采购人要求和相关规定执行。</w:t>
      </w:r>
    </w:p>
    <w:p w14:paraId="5E740D0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（5）场内运输要求：矿区场内运输按相关部门管理要求，相应证件必须齐全。</w:t>
      </w:r>
    </w:p>
    <w:p w14:paraId="148728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（6）运输要求：供应商针对石料场外运输业务，需由取得《道路运输经营许可证》的单位负责运输，且须符合采购人当地综合行政执法局、路政、交警等职能部门对道路运输的相关规定。</w:t>
      </w:r>
      <w:r>
        <w:rPr>
          <w:rFonts w:hint="eastAsia" w:cs="宋体"/>
          <w:snapToGrid w:val="0"/>
          <w:color w:val="auto"/>
          <w:kern w:val="0"/>
          <w:sz w:val="24"/>
          <w:szCs w:val="21"/>
          <w:highlight w:val="none"/>
        </w:rPr>
        <w:t>供应商针对砂石料场外海上运输业务，需符合《国内水路运输管理条例》、《国内水路运输管理规定》等相关规定。</w:t>
      </w:r>
    </w:p>
    <w:p w14:paraId="518FC6F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（7）污水处理产生的泥粉达到除水并现场压制成“泥饼”的要求，“泥饼”含水率不超过25%。</w:t>
      </w:r>
    </w:p>
    <w:p w14:paraId="0A5CEB85">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4、项目总体进度节点控制</w:t>
      </w:r>
    </w:p>
    <w:p w14:paraId="29C3FDC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（1）自项目主体合同签订、矿山建设项目允许动工之日起，6个月内，矿山采场具备连续出矿、生产加工线具备加工合格石料生产能力。</w:t>
      </w:r>
    </w:p>
    <w:p w14:paraId="5EEC429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（2）自项目主体合同签订、码头建设项目允许动工之日起，18个月内，码头具备连续出运石料条件。</w:t>
      </w:r>
    </w:p>
    <w:p w14:paraId="28C37FA3">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5、矿山及配套工程开工建设前重点工作安排</w:t>
      </w:r>
    </w:p>
    <w:p w14:paraId="6F044F7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（1）委托第三方编制《矿山安全设施设计》、《矿山初步设计》、《爆破施工设计》、《绿色矿山建设方案设计》、《智能化矿山建设平台设计》及评审、备案、审批事项。</w:t>
      </w:r>
    </w:p>
    <w:p w14:paraId="1368FAAC">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（2）外运配套码头工程建设前期准备，按照国家、省、市及行业规定编制各项报告，并完成评审、备案、审批事项。</w:t>
      </w:r>
    </w:p>
    <w:p w14:paraId="3D6550C2">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（3）办理矿山建设工程及外运配套码头建设工程开工建设许可后入场施工。</w:t>
      </w:r>
    </w:p>
    <w:p w14:paraId="03D46BA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（4）以上事项采购人均进行全过程跟踪管理，相关费用应经第三方咨询机构审核，并报采购人备案后实施。</w:t>
      </w:r>
    </w:p>
    <w:p w14:paraId="2AF92AE3">
      <w:pPr>
        <w:widowControl w:val="0"/>
        <w:adjustRightInd w:val="0"/>
        <w:snapToGrid w:val="0"/>
        <w:rPr>
          <w:color w:val="auto"/>
          <w:highlight w:val="none"/>
        </w:rPr>
      </w:pPr>
    </w:p>
    <w:p w14:paraId="3CA54325">
      <w:pPr>
        <w:pStyle w:val="437"/>
        <w:keepNext w:val="0"/>
        <w:keepLines w:val="0"/>
        <w:adjustRightInd w:val="0"/>
        <w:snapToGrid w:val="0"/>
        <w:ind w:firstLine="480"/>
        <w:jc w:val="both"/>
        <w:rPr>
          <w:color w:val="auto"/>
          <w:sz w:val="24"/>
          <w:szCs w:val="24"/>
          <w:highlight w:val="none"/>
          <w:lang w:val="en-US"/>
        </w:rPr>
      </w:pPr>
      <w:bookmarkStart w:id="92" w:name="_Toc173761978"/>
      <w:r>
        <w:rPr>
          <w:rFonts w:hint="eastAsia"/>
          <w:color w:val="auto"/>
          <w:sz w:val="24"/>
          <w:szCs w:val="24"/>
          <w:highlight w:val="none"/>
          <w:lang w:val="en-US"/>
        </w:rPr>
        <w:t>（二）组织实施方案</w:t>
      </w:r>
      <w:bookmarkEnd w:id="92"/>
    </w:p>
    <w:p w14:paraId="093756B8">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成交供应商应提供详细的组织实施方案，报采购人审批：</w:t>
      </w:r>
    </w:p>
    <w:p w14:paraId="2B0DB3D1">
      <w:pPr>
        <w:widowControl w:val="0"/>
        <w:adjustRightInd w:val="0"/>
        <w:snapToGrid w:val="0"/>
        <w:spacing w:line="300" w:lineRule="auto"/>
        <w:ind w:firstLine="482" w:firstLineChars="200"/>
        <w:rPr>
          <w:snapToGrid w:val="0"/>
          <w:color w:val="auto"/>
          <w:kern w:val="0"/>
          <w:sz w:val="24"/>
          <w:szCs w:val="21"/>
          <w:highlight w:val="none"/>
        </w:rPr>
      </w:pPr>
      <w:r>
        <w:rPr>
          <w:rFonts w:hint="eastAsia"/>
          <w:b/>
          <w:bCs/>
          <w:snapToGrid w:val="0"/>
          <w:color w:val="auto"/>
          <w:kern w:val="0"/>
          <w:sz w:val="24"/>
          <w:szCs w:val="21"/>
          <w:highlight w:val="none"/>
        </w:rPr>
        <w:t>1、项目需求分析方案：</w:t>
      </w:r>
      <w:r>
        <w:rPr>
          <w:rFonts w:hint="eastAsia"/>
          <w:snapToGrid w:val="0"/>
          <w:color w:val="auto"/>
          <w:kern w:val="0"/>
          <w:sz w:val="24"/>
          <w:szCs w:val="21"/>
          <w:highlight w:val="none"/>
        </w:rPr>
        <w:t>包括矿山开采区域、项目总平面布局、项目周边环境、现状风险识别、未来市场拓展、重难点分析及应对策略等。</w:t>
      </w:r>
    </w:p>
    <w:p w14:paraId="349BA9AB">
      <w:pPr>
        <w:widowControl w:val="0"/>
        <w:adjustRightInd w:val="0"/>
        <w:snapToGrid w:val="0"/>
        <w:spacing w:line="300" w:lineRule="auto"/>
        <w:ind w:firstLine="482" w:firstLineChars="200"/>
        <w:rPr>
          <w:snapToGrid w:val="0"/>
          <w:color w:val="auto"/>
          <w:kern w:val="0"/>
          <w:sz w:val="24"/>
          <w:szCs w:val="21"/>
          <w:highlight w:val="none"/>
        </w:rPr>
      </w:pPr>
      <w:r>
        <w:rPr>
          <w:rFonts w:hint="eastAsia"/>
          <w:b/>
          <w:bCs/>
          <w:snapToGrid w:val="0"/>
          <w:color w:val="auto"/>
          <w:kern w:val="0"/>
          <w:sz w:val="24"/>
          <w:szCs w:val="21"/>
          <w:highlight w:val="none"/>
        </w:rPr>
        <w:t>2、项目建设施工方案：</w:t>
      </w:r>
      <w:r>
        <w:rPr>
          <w:rFonts w:hint="eastAsia"/>
          <w:snapToGrid w:val="0"/>
          <w:color w:val="auto"/>
          <w:kern w:val="0"/>
          <w:sz w:val="24"/>
          <w:szCs w:val="21"/>
          <w:highlight w:val="none"/>
        </w:rPr>
        <w:t>包括矿山工程建设方案、生产加工系统建设施工方案（包含总图等公辅设施）、露天矿山生产组织（包括爆破区域、机采区域施工组织方案）、石料加工生产组织、外运配套码头施工组织方案、省级绿色矿山建设方案、</w:t>
      </w:r>
      <w:r>
        <w:rPr>
          <w:rFonts w:hint="eastAsia" w:hAnsi="宋体"/>
          <w:color w:val="auto"/>
          <w:sz w:val="24"/>
          <w:highlight w:val="none"/>
        </w:rPr>
        <w:t>矿山地质环境保护与土地复垦</w:t>
      </w:r>
      <w:r>
        <w:rPr>
          <w:rFonts w:hint="eastAsia"/>
          <w:snapToGrid w:val="0"/>
          <w:color w:val="auto"/>
          <w:kern w:val="0"/>
          <w:sz w:val="24"/>
          <w:szCs w:val="21"/>
          <w:highlight w:val="none"/>
        </w:rPr>
        <w:t>施工组织方案、边坡管理及矿山隐患排查治理工作方案、矿山闭坑收尾工作方案及对应的安全、环保、职业危害等安全技术、管理对策措施等。</w:t>
      </w:r>
    </w:p>
    <w:p w14:paraId="5D1AFA31">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snapToGrid w:val="0"/>
          <w:color w:val="auto"/>
          <w:kern w:val="0"/>
          <w:sz w:val="24"/>
          <w:szCs w:val="21"/>
          <w:highlight w:val="none"/>
        </w:rPr>
        <w:t>3、</w:t>
      </w:r>
      <w:r>
        <w:rPr>
          <w:rFonts w:hint="eastAsia"/>
          <w:b/>
          <w:bCs/>
          <w:snapToGrid w:val="0"/>
          <w:color w:val="auto"/>
          <w:kern w:val="0"/>
          <w:sz w:val="24"/>
          <w:szCs w:val="21"/>
          <w:highlight w:val="none"/>
        </w:rPr>
        <w:t>组织计划、进度保障措施方案：</w:t>
      </w:r>
      <w:r>
        <w:rPr>
          <w:rFonts w:hint="eastAsia"/>
          <w:snapToGrid w:val="0"/>
          <w:color w:val="auto"/>
          <w:kern w:val="0"/>
          <w:sz w:val="24"/>
          <w:szCs w:val="21"/>
          <w:highlight w:val="none"/>
        </w:rPr>
        <w:t>包括不可预见风险、危机攻关、项目团队人员及安排、项目工期时间与进度安排、生产销售组织管理和保障措施等。</w:t>
      </w:r>
    </w:p>
    <w:p w14:paraId="2FFE4B81">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4、质量管控方案：</w:t>
      </w:r>
      <w:r>
        <w:rPr>
          <w:rFonts w:hint="eastAsia" w:cs="宋体"/>
          <w:bCs/>
          <w:snapToGrid w:val="0"/>
          <w:color w:val="auto"/>
          <w:kern w:val="0"/>
          <w:sz w:val="24"/>
          <w:szCs w:val="21"/>
          <w:highlight w:val="none"/>
        </w:rPr>
        <w:t>包括质量管理方案、项目质量风险预判、质量控制措施、质量管理流程制度、保障服务、进度和质量的控制措施等。</w:t>
      </w:r>
    </w:p>
    <w:p w14:paraId="49A3525A">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snapToGrid w:val="0"/>
          <w:color w:val="auto"/>
          <w:kern w:val="0"/>
          <w:sz w:val="24"/>
          <w:szCs w:val="21"/>
          <w:highlight w:val="none"/>
        </w:rPr>
        <w:t>5、安全生产标准化建设工作方案：</w:t>
      </w:r>
      <w:r>
        <w:rPr>
          <w:rFonts w:hint="eastAsia" w:cs="宋体"/>
          <w:bCs/>
          <w:snapToGrid w:val="0"/>
          <w:color w:val="auto"/>
          <w:kern w:val="0"/>
          <w:sz w:val="24"/>
          <w:szCs w:val="21"/>
          <w:highlight w:val="none"/>
        </w:rPr>
        <w:t>包括安全管理理念和目标及安全承诺、安全生产责任制和安全管理制度、组织机构与人员配备、安全教育和培训、双重预防机制、应急管理、现场开采和生产加工安全管理、三级安全生产标准化定级评审实施方案（在矿山开工建设一年内定级通过评审）等。</w:t>
      </w:r>
    </w:p>
    <w:p w14:paraId="199B3345">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6、年度大修工作方案：</w:t>
      </w:r>
      <w:r>
        <w:rPr>
          <w:rFonts w:hint="eastAsia" w:cs="宋体"/>
          <w:bCs/>
          <w:snapToGrid w:val="0"/>
          <w:color w:val="auto"/>
          <w:kern w:val="0"/>
          <w:sz w:val="24"/>
          <w:szCs w:val="21"/>
          <w:highlight w:val="none"/>
        </w:rPr>
        <w:t>包括生产加工线、厂房、破碎加工系统设备设施检查维修等工作方案。</w:t>
      </w:r>
    </w:p>
    <w:p w14:paraId="720A991B">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7、隐患排查治理工作方案：</w:t>
      </w:r>
      <w:r>
        <w:rPr>
          <w:rFonts w:hint="eastAsia" w:cs="宋体"/>
          <w:bCs/>
          <w:snapToGrid w:val="0"/>
          <w:color w:val="auto"/>
          <w:kern w:val="0"/>
          <w:sz w:val="24"/>
          <w:szCs w:val="21"/>
          <w:highlight w:val="none"/>
        </w:rPr>
        <w:t>包括组织保障、资金投入、人员和技术落实、应急管理、治理达到预期效果目标等。</w:t>
      </w:r>
    </w:p>
    <w:p w14:paraId="185309A2">
      <w:pPr>
        <w:pStyle w:val="79"/>
        <w:ind w:firstLine="482"/>
        <w:rPr>
          <w:color w:val="auto"/>
          <w:highlight w:val="none"/>
        </w:rPr>
      </w:pPr>
      <w:r>
        <w:rPr>
          <w:rFonts w:hint="eastAsia"/>
          <w:b/>
          <w:bCs/>
          <w:color w:val="auto"/>
          <w:highlight w:val="none"/>
        </w:rPr>
        <w:t>8、制定污水泥饼处置方案：</w:t>
      </w:r>
      <w:r>
        <w:rPr>
          <w:rFonts w:hint="eastAsia"/>
          <w:color w:val="auto"/>
          <w:kern w:val="0"/>
          <w:szCs w:val="21"/>
          <w:highlight w:val="none"/>
        </w:rPr>
        <w:t>包括进度计划安排的合理性、过程实施的全面性、过程质量控制的可行性、各类突发事件应急能力等。</w:t>
      </w:r>
    </w:p>
    <w:p w14:paraId="7D11390A">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9、资料归档方案：</w:t>
      </w:r>
      <w:r>
        <w:rPr>
          <w:rFonts w:hint="eastAsia" w:cs="宋体"/>
          <w:bCs/>
          <w:snapToGrid w:val="0"/>
          <w:color w:val="auto"/>
          <w:kern w:val="0"/>
          <w:sz w:val="24"/>
          <w:szCs w:val="21"/>
          <w:highlight w:val="none"/>
        </w:rPr>
        <w:t>包括档案管理的内容、程序、职责和有关要求等。</w:t>
      </w:r>
    </w:p>
    <w:p w14:paraId="18C62FAB">
      <w:pPr>
        <w:widowControl w:val="0"/>
        <w:adjustRightInd w:val="0"/>
        <w:snapToGrid w:val="0"/>
        <w:spacing w:line="300" w:lineRule="auto"/>
        <w:ind w:firstLine="482" w:firstLineChars="200"/>
        <w:rPr>
          <w:rFonts w:cs="宋体"/>
          <w:bCs/>
          <w:snapToGrid w:val="0"/>
          <w:color w:val="auto"/>
          <w:kern w:val="0"/>
          <w:sz w:val="24"/>
          <w:szCs w:val="21"/>
          <w:highlight w:val="none"/>
        </w:rPr>
      </w:pPr>
      <w:r>
        <w:rPr>
          <w:rFonts w:hint="eastAsia" w:cs="宋体"/>
          <w:b/>
          <w:snapToGrid w:val="0"/>
          <w:color w:val="auto"/>
          <w:kern w:val="0"/>
          <w:sz w:val="24"/>
          <w:szCs w:val="21"/>
          <w:highlight w:val="none"/>
        </w:rPr>
        <w:t>10、项目团队人员能力提升方案：</w:t>
      </w:r>
      <w:r>
        <w:rPr>
          <w:rFonts w:hint="eastAsia" w:cs="宋体"/>
          <w:bCs/>
          <w:snapToGrid w:val="0"/>
          <w:color w:val="auto"/>
          <w:kern w:val="0"/>
          <w:sz w:val="24"/>
          <w:szCs w:val="21"/>
          <w:highlight w:val="none"/>
        </w:rPr>
        <w:t>包括人员教育培训方案、业务培训制度等。</w:t>
      </w:r>
    </w:p>
    <w:p w14:paraId="38B0A99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11、生产销售全链条服务方案：</w:t>
      </w:r>
      <w:r>
        <w:rPr>
          <w:rFonts w:hint="eastAsia" w:cs="宋体"/>
          <w:snapToGrid w:val="0"/>
          <w:color w:val="auto"/>
          <w:kern w:val="0"/>
          <w:sz w:val="24"/>
          <w:szCs w:val="21"/>
          <w:highlight w:val="none"/>
        </w:rPr>
        <w:t>包括销售服务方案、销售策略、保证加工生产线正常生产、运输车辆及船舶、生产物料堆积、产品质量纠纷对策措施等。</w:t>
      </w:r>
    </w:p>
    <w:p w14:paraId="6C661F6D">
      <w:pPr>
        <w:widowControl w:val="0"/>
        <w:adjustRightInd w:val="0"/>
        <w:snapToGrid w:val="0"/>
        <w:rPr>
          <w:color w:val="auto"/>
          <w:highlight w:val="none"/>
        </w:rPr>
      </w:pPr>
    </w:p>
    <w:p w14:paraId="24D08D30">
      <w:pPr>
        <w:pStyle w:val="437"/>
        <w:keepNext w:val="0"/>
        <w:keepLines w:val="0"/>
        <w:adjustRightInd w:val="0"/>
        <w:snapToGrid w:val="0"/>
        <w:ind w:firstLine="480"/>
        <w:jc w:val="both"/>
        <w:rPr>
          <w:color w:val="auto"/>
          <w:sz w:val="24"/>
          <w:szCs w:val="24"/>
          <w:highlight w:val="none"/>
          <w:lang w:val="en-US"/>
        </w:rPr>
      </w:pPr>
      <w:bookmarkStart w:id="93" w:name="_Toc173761979"/>
      <w:r>
        <w:rPr>
          <w:rFonts w:hint="eastAsia"/>
          <w:color w:val="auto"/>
          <w:sz w:val="24"/>
          <w:szCs w:val="24"/>
          <w:highlight w:val="none"/>
          <w:lang w:val="en-US"/>
        </w:rPr>
        <w:t>（三）现场施工作业的相关工作内容</w:t>
      </w:r>
      <w:bookmarkEnd w:id="93"/>
    </w:p>
    <w:p w14:paraId="7BBCC1C6">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1、场地清理</w:t>
      </w:r>
    </w:p>
    <w:p w14:paraId="251DD4E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供应商按照矿山工程、生产线建设工程（包含总图公辅设施建设）、外运配套码头工程等施工范围内的地表附属物、障碍物的清理整顿。具体要求按照供应商各专项施工组织方案实施。</w:t>
      </w:r>
    </w:p>
    <w:p w14:paraId="047E817C">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（1）供应商应保护清理区域附近的天然植被，因施工不当造成清理区域附近林业资料的毁坏，以及对环境保护造成不良影响，供应商应负责赔偿。</w:t>
      </w:r>
    </w:p>
    <w:p w14:paraId="11AB27F2">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（2）场地清理范围内，供应商砍伐的成材或清理获得具有商业价值的材料应归采购人所有，供应商应按采购人指示，将其运到指定地点堆放。</w:t>
      </w:r>
    </w:p>
    <w:p w14:paraId="6E28369E">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2、开挖碴料</w:t>
      </w:r>
    </w:p>
    <w:p w14:paraId="1A0DD40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凡可利用的开挖料应归采购人所有，供应商按照《施工设计方案》布置的地点堆存。</w:t>
      </w:r>
    </w:p>
    <w:p w14:paraId="1F8C76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（1）供应商在开挖、装运、堆存和其它作业时，应采取可靠的保质措施，保护该部分碴料免受污染和侵蚀。</w:t>
      </w:r>
    </w:p>
    <w:p w14:paraId="6AB201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（2）供应商应严格按照施工措施计划所规定的堆碴地点、范围和堆碴方式进行堆存，应保持碴料堆体的边坡稳定，并有良好的自由排水措施。</w:t>
      </w:r>
    </w:p>
    <w:p w14:paraId="1111C3F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（3）供应商应按施工措施计划中对碴料利用的安排，采取合理的开采、装运和堆碴措施，以提高碴料的利用率。</w:t>
      </w:r>
    </w:p>
    <w:p w14:paraId="7197CC5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3、弃土、宕渣和成品料堆放其他要求</w:t>
      </w:r>
    </w:p>
    <w:p w14:paraId="67864DB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弃土及宕渣和成品料的堆放要符合《安全设施设计》及安全生产相关要求，超过一定规模和高度需设置堤坝和挡墙。</w:t>
      </w:r>
    </w:p>
    <w:p w14:paraId="26603CEC">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4、露天矿开采</w:t>
      </w:r>
    </w:p>
    <w:p w14:paraId="7DCF0EC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供应商应按施工设计方案，根据开采场地形、地质、水文气象、交通道路、开采条件和开采场特性等各项资料逐月编制生产计划任务书进行采矿作业。</w:t>
      </w:r>
    </w:p>
    <w:p w14:paraId="0B765A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（1）开采工作面的划分，实施钻</w:t>
      </w:r>
      <w:r>
        <w:rPr>
          <w:rFonts w:hint="eastAsia" w:ascii="宋体" w:hAnsi="宋体" w:cs="宋体"/>
          <w:snapToGrid w:val="0"/>
          <w:color w:val="auto"/>
          <w:kern w:val="0"/>
          <w:sz w:val="24"/>
          <w:szCs w:val="21"/>
          <w:highlight w:val="none"/>
        </w:rPr>
        <w:t>孔-爆破-装车-运输</w:t>
      </w:r>
      <w:r>
        <w:rPr>
          <w:rFonts w:hint="eastAsia" w:cs="宋体"/>
          <w:snapToGrid w:val="0"/>
          <w:color w:val="auto"/>
          <w:kern w:val="0"/>
          <w:sz w:val="24"/>
          <w:szCs w:val="21"/>
          <w:highlight w:val="none"/>
        </w:rPr>
        <w:t>作业，并充分考虑开采区的供电系统、排水系统配置、建设、堆料场保障、运输线路延伸、弃渣场以及备用料源开采区等的储备；</w:t>
      </w:r>
      <w:r>
        <w:rPr>
          <w:rFonts w:hint="eastAsia" w:cs="宋体"/>
          <w:b/>
          <w:snapToGrid w:val="0"/>
          <w:color w:val="auto"/>
          <w:kern w:val="0"/>
          <w:sz w:val="24"/>
          <w:szCs w:val="21"/>
          <w:highlight w:val="none"/>
        </w:rPr>
        <w:t>爆破作业必须按照《爆破安全规程》要求进行</w:t>
      </w:r>
      <w:r>
        <w:rPr>
          <w:rFonts w:hint="eastAsia" w:cs="宋体"/>
          <w:snapToGrid w:val="0"/>
          <w:color w:val="auto"/>
          <w:kern w:val="0"/>
          <w:sz w:val="24"/>
          <w:szCs w:val="21"/>
          <w:highlight w:val="none"/>
        </w:rPr>
        <w:t>。</w:t>
      </w:r>
    </w:p>
    <w:p w14:paraId="567DD6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（2）表土和覆盖层的开拓剥离</w:t>
      </w:r>
    </w:p>
    <w:p w14:paraId="1D8712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石料开采前，供应商应按批准的料场开采规划和作业措施，进行表土和覆盖层的剥离至可用石层为止。剥离的表层有机土壤和弃土运往矿区内指定地点堆放。在开采过程中，遇有比较集中的软弱带时，应予以清除，严禁在可利用料内混杂废碴料。</w:t>
      </w:r>
    </w:p>
    <w:p w14:paraId="79ADD24F">
      <w:pPr>
        <w:widowControl w:val="0"/>
        <w:adjustRightInd w:val="0"/>
        <w:snapToGrid w:val="0"/>
        <w:spacing w:line="300" w:lineRule="auto"/>
        <w:ind w:firstLine="480" w:firstLineChars="200"/>
        <w:rPr>
          <w:rFonts w:cs="宋体"/>
          <w:b/>
          <w:snapToGrid w:val="0"/>
          <w:color w:val="auto"/>
          <w:kern w:val="0"/>
          <w:sz w:val="24"/>
          <w:szCs w:val="21"/>
          <w:highlight w:val="none"/>
        </w:rPr>
      </w:pPr>
      <w:r>
        <w:rPr>
          <w:rFonts w:hint="eastAsia" w:hAnsi="宋体"/>
          <w:snapToGrid w:val="0"/>
          <w:color w:val="auto"/>
          <w:kern w:val="0"/>
          <w:sz w:val="24"/>
          <w:highlight w:val="none"/>
        </w:rPr>
        <w:t>▲</w:t>
      </w:r>
      <w:r>
        <w:rPr>
          <w:rFonts w:hint="eastAsia" w:cs="宋体"/>
          <w:b/>
          <w:snapToGrid w:val="0"/>
          <w:color w:val="auto"/>
          <w:kern w:val="0"/>
          <w:sz w:val="24"/>
          <w:szCs w:val="21"/>
          <w:highlight w:val="none"/>
        </w:rPr>
        <w:t>（3）采购人要求正式投产后每季度产量不低于100万吨且每年度总产量须达到575万吨，采购人对供应商的产量进行年度考核，如低于考核标准的，按相应违约责任执行。</w:t>
      </w:r>
    </w:p>
    <w:p w14:paraId="1C6A0F98">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5、石料加工</w:t>
      </w:r>
    </w:p>
    <w:p w14:paraId="5C7C89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（1）石料加工生产工艺、工序流程由供应商自行设计实施。</w:t>
      </w:r>
    </w:p>
    <w:p w14:paraId="30AAA5E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安装的加工生产线应满足采购人对各类矿源加工成相应石料成品的日产量、月产量及年产量要求。每月根据需求生产成品石料，不得无故延误生产。供应商对矿区内所有属于采购人的资源未经采购人允许一律不得出矿区范围。</w:t>
      </w:r>
    </w:p>
    <w:p w14:paraId="1DAAA1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（3）除本矿区矿石料和采购人的矿石资源进行生产加工，未经采购人确认供应商不得在矿区内加工任何其他石料。</w:t>
      </w:r>
    </w:p>
    <w:p w14:paraId="4373C60D">
      <w:pPr>
        <w:widowControl w:val="0"/>
        <w:adjustRightInd w:val="0"/>
        <w:snapToGrid w:val="0"/>
        <w:spacing w:line="300" w:lineRule="auto"/>
        <w:ind w:firstLine="480" w:firstLineChars="200"/>
        <w:rPr>
          <w:rFonts w:cs="宋体"/>
          <w:b/>
          <w:bCs/>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4）生产产品比例：正式投产后原则上每月生产砂石骨料不低于开采总量的50%。实际生产中如遇市场需求产品配比需调整，由采购人下达产品规格调整函确定。如对所生产产品进行重大调整的，由双方协商确定。</w:t>
      </w:r>
    </w:p>
    <w:p w14:paraId="4B81AF79">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6、沟通管理</w:t>
      </w:r>
    </w:p>
    <w:p w14:paraId="353BED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（1）内部沟通：供应商在项目实施过程中应采取领导带班制、安全生产例会制、定期安全生产检查制等方式、方法，及时将在施工、生产过程中发现的问题、上级有关部门的要求传达、落实。</w:t>
      </w:r>
    </w:p>
    <w:p w14:paraId="5723BE5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（2）交流确认：采购人、供应商通过安全生产运营联席会、生产销售计划确认书等方式进行双方的交流与互动，传递上级政府有关部门的要求及双方的诉求，包括并不限于以下工作内容：</w:t>
      </w:r>
    </w:p>
    <w:p w14:paraId="114A0B9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4"/>
          <w:highlight w:val="none"/>
        </w:rPr>
        <w:t>①</w:t>
      </w:r>
      <w:r>
        <w:rPr>
          <w:rFonts w:hint="eastAsia" w:cs="宋体"/>
          <w:snapToGrid w:val="0"/>
          <w:color w:val="auto"/>
          <w:kern w:val="0"/>
          <w:sz w:val="24"/>
          <w:szCs w:val="21"/>
          <w:highlight w:val="none"/>
        </w:rPr>
        <w:t>供应商应在本项目签订合同正式进场后，在不同的阶段应向采购人提供不同的施工组织方案。在生产服务期内，依照采购人生产、销售工作指令制定生产计划，报采购人备案、审批。</w:t>
      </w:r>
    </w:p>
    <w:p w14:paraId="60AC51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②</w:t>
      </w:r>
      <w:r>
        <w:rPr>
          <w:rFonts w:hint="eastAsia" w:cs="宋体"/>
          <w:snapToGrid w:val="0"/>
          <w:color w:val="auto"/>
          <w:kern w:val="0"/>
          <w:sz w:val="24"/>
          <w:szCs w:val="21"/>
          <w:highlight w:val="none"/>
        </w:rPr>
        <w:t>供应商申报爆破作业、土石方开挖及场地平整须符合批准程序，采购人有权停止未获取批准程序的爆破及施工作业。</w:t>
      </w:r>
    </w:p>
    <w:p w14:paraId="4DB09F8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ascii="宋体" w:hAnsi="宋体" w:cs="宋体"/>
          <w:snapToGrid w:val="0"/>
          <w:color w:val="auto"/>
          <w:kern w:val="0"/>
          <w:sz w:val="24"/>
          <w:szCs w:val="21"/>
          <w:highlight w:val="none"/>
        </w:rPr>
        <w:t>③</w:t>
      </w:r>
      <w:r>
        <w:rPr>
          <w:rFonts w:hint="eastAsia" w:cs="宋体"/>
          <w:snapToGrid w:val="0"/>
          <w:color w:val="auto"/>
          <w:kern w:val="0"/>
          <w:sz w:val="24"/>
          <w:szCs w:val="21"/>
          <w:highlight w:val="none"/>
        </w:rPr>
        <w:t>对采购人下达的符合安全生产规定的有关安全整改通知书，供应商必须无条件签收，并付诸于行动。</w:t>
      </w:r>
    </w:p>
    <w:p w14:paraId="0BE4B74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（3）整改复核：对政府职能部门、采购人提出的整改、督办通知、处罚书等，供应商应严格按照时间节点完成闭环整改、缴纳相关费用。</w:t>
      </w:r>
    </w:p>
    <w:p w14:paraId="0716F29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材料归档：项目“三同时”系列材料、《金属非金属矿山安全规程》规定的相关图纸、图件，采购人、供应商应永久保存，包括并不限于：项目总平面布置图、矿山开挖施工及隐蔽工程平面布置图（含施工交通线路布置）、施工设备配置和劳动力安排、防排水系统布置图、边坡保护及加固措施、质量、安全与环境保护保证措施、整改记录、节排水措施、施工进度计划任务书、厂房设计图纸和生产线施工图设计、供电线路设计图等。</w:t>
      </w:r>
    </w:p>
    <w:p w14:paraId="1665BEE9">
      <w:pPr>
        <w:widowControl w:val="0"/>
        <w:adjustRightInd w:val="0"/>
        <w:snapToGrid w:val="0"/>
        <w:rPr>
          <w:color w:val="auto"/>
          <w:highlight w:val="none"/>
        </w:rPr>
      </w:pPr>
    </w:p>
    <w:p w14:paraId="5859B6A0">
      <w:pPr>
        <w:pStyle w:val="437"/>
        <w:keepNext w:val="0"/>
        <w:keepLines w:val="0"/>
        <w:adjustRightInd w:val="0"/>
        <w:snapToGrid w:val="0"/>
        <w:ind w:firstLine="480"/>
        <w:jc w:val="both"/>
        <w:rPr>
          <w:color w:val="auto"/>
          <w:sz w:val="24"/>
          <w:szCs w:val="24"/>
          <w:highlight w:val="none"/>
          <w:lang w:val="en-US"/>
        </w:rPr>
      </w:pPr>
      <w:bookmarkStart w:id="94" w:name="_Toc173761980"/>
      <w:r>
        <w:rPr>
          <w:rFonts w:hint="eastAsia"/>
          <w:color w:val="auto"/>
          <w:sz w:val="24"/>
          <w:szCs w:val="24"/>
          <w:highlight w:val="none"/>
          <w:lang w:val="en-US"/>
        </w:rPr>
        <w:t>（四）矿山系统安全、环保、质量及技术管理工作内容</w:t>
      </w:r>
      <w:bookmarkEnd w:id="94"/>
    </w:p>
    <w:p w14:paraId="04C00AF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1、安全设施“三同时”</w:t>
      </w:r>
    </w:p>
    <w:p w14:paraId="5672773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根据《浙江省矿山建设项目安全设施“三同时”监督管理办法》规定，矿山建设项目施工前，其安全设施设计须报应急管理部门审查同意。矿山建设项目安全设施必须按照国家有关法律法规、规章标准等规定，由取得相应资质的单位进行施工；矿山建设项目竣工投入生产或者使用前，应当由矿山生产经营单位（简称建设单位）按照规定组织安全设施竣工验收，验收合格后，方可投入生产和使用。</w:t>
      </w:r>
    </w:p>
    <w:p w14:paraId="00540A4B">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2、安全管理、社保及安全生产责任险和劳动保护</w:t>
      </w:r>
    </w:p>
    <w:p w14:paraId="331B912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2.1安全管理</w:t>
      </w:r>
    </w:p>
    <w:p w14:paraId="439C379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（1）供应商应依法承担编制矿山安全、环保设施设计，并严格按照矿山安全设施设计组织施工建设，在规定基本建设期内完成安全、环保设备设施竣工验收等职责。</w:t>
      </w:r>
    </w:p>
    <w:p w14:paraId="5B0DB3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（2）在签订合同的同时，采购人必须与供应商主要负责人签订符合《浙江省非煤矿山外包工程安全管理暂行办法实施细则》（浙安监管矿</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103号）及其他相关文件要求的《安全生产管理责任书》、《矿山承包安全管理协议》、《矿山爆破安全协议》；履约期内，双方必须履行岗位职责，明确安全生产责任，依法平等的享受权利和履行义务。</w:t>
      </w:r>
    </w:p>
    <w:p w14:paraId="37B7F4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建立健全项目安全管理机构，成立专门的安全生产领导小组，建立健全各级安全生产责任制，达到安全生产化标准建设的要求。制订安全目标管理、安全例会、安全检查、安全教育培训、生产技术管理、机电设备管理、劳动管理、安全费用提取与使用、重大危险源监控、安全生产隐患排查治理、安全技术措施审批、劳动防护用品管理、职业危害预防、生产安全事故报告和应急管理、安全生产奖惩、安全生产档案管理、矿山救护等制度、动火作业审批制度，以及各类安全技术规程、操作规程等，并加以考核和贯彻落实，安全生产档案如设计材料、竣工材料以及基地与安全生产有关的文件、材料和记录，分门别类归档，便于查阅，接受采购人及政府安全监督部门的检查与监督。</w:t>
      </w:r>
    </w:p>
    <w:p w14:paraId="271D46F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必须依据行业规程、规范，制订生产岗位操作规程和相应的安全管理办法及实施细则（含奖惩激励办法），供应商应严格执行；供应商必须建立健全安全管理制度、台账，制定有效的安全管理和安全措施，确保安全生产。</w:t>
      </w:r>
    </w:p>
    <w:p w14:paraId="2939502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必须制定科学化、集约化、正规化的施工作业方案，采用控制爆破技术，减少边坡破坏、控制爆破飞石、降低爆破振动，必要时对爆破区域进行覆盖，或对保护目标设置隔离栏、防护网等保护措施。供应商必须严格按照公安机关批准的爆破设计方案组织施工，不得私自更改，爆破施工作业现场严格按照《爆破规程》进行施工作业管理，具体要求见《矿山爆破安全协议》。</w:t>
      </w:r>
    </w:p>
    <w:p w14:paraId="16C56F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供应商应与汽车承运方签订《矿石运输安全管理协议》，约定装车运输时防止机械伤害、高处坠落、车辆伤害事故措施，严禁超载超速，严禁酒后开车、疲劳驾驶、无证驾驶、违章驾驶、避免发生交通事故规则。否则，供应商承担由此引起的所有经济和法律责任。外来车辆进入矿区后的安全管理有供应商负责，并由供应商承担全部责任。</w:t>
      </w:r>
    </w:p>
    <w:p w14:paraId="2F634C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履约期内，供应商必须接受矿山安全监督部门的日常监管，接受和配合采购人安全管理部门或上级安全部门组织的安全检查，对下达的安全检查通报和隐患整改通知认真进行整改，及时消除危险源和安全隐患。</w:t>
      </w:r>
    </w:p>
    <w:p w14:paraId="0F7066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（8）按要求积极参加上级安全部门和矿山行业系统组织的各级安全教育培训，及时做好安全员及特种作业人员的培训取证工作，以满足安全生产的需求。</w:t>
      </w:r>
    </w:p>
    <w:p w14:paraId="661FBC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（9）加强职业健康检查和职业病的防治工作。供应商每年必须对从业人员进行职业健康体检（岗前、岗中和离岗），加强对职业病的防治，并支付相应的费用；建立健全职业健康和职业病防治的档案并报备。</w:t>
      </w:r>
    </w:p>
    <w:p w14:paraId="6A861F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（10）履约期内，供应商应建立健全安全管理档案，定期向矿山各级安全部门汇报，并接受各级安全部门的检查，对不合格项进行整改。</w:t>
      </w:r>
    </w:p>
    <w:p w14:paraId="367DA2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履约期内，供应商应建立健全安全费用使用管理制度，严格按照《企业安全生产费用提取和使用管理办法》》（财资〔2022〕136号）要求提取安全措施费，并保证费用的使用不超该办法规定的范围，做到安全生产费用按月计提、足额使用，安全费用采取据实核销法，交由第三方咨询机构审定，供应商未按规定投入确保安全生产的相关费用，采购人有权进行处罚，罚则见《矿山承包安全管理协议》。</w:t>
      </w:r>
    </w:p>
    <w:p w14:paraId="0CD7C0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因供应商原因发生质量事故、生产安全事故、环境污染事件、职业病诊断确定病例及其他突发事件造成的一切损失，供应商承担全部行政、民事、刑事责任，并承担损害赔偿责任。违反文明施工管理、卫生管理、安全生产管理、扬尘污染防治管理等国家、省、市相关规定，造成后果的由供应商承担一切责任。</w:t>
      </w:r>
    </w:p>
    <w:p w14:paraId="4C11801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（13）履约期内，供应商必须完成组织架构建立，按照投标书承诺配齐相关人员。</w:t>
      </w:r>
    </w:p>
    <w:p w14:paraId="04C11B1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（14）供应商必须配备满足生产所需的特种作业人员（凿岩工、电工、电焊工、登高作业工、装载机及机动车驾驶员等），并持证上岗。</w:t>
      </w:r>
    </w:p>
    <w:p w14:paraId="7F38BAE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2.2社保、工伤、安全生产责任险及劳动保护</w:t>
      </w:r>
    </w:p>
    <w:p w14:paraId="08EC71F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履约期内，供应商必须依照国家法规与下属所有员工签订劳动合同、依法缴纳社会保险并购买安全生产责任险，按标准无偿的向从业人员发放劳保和进行职业健康体检，建立健全相应的台账和发放登记、记录。</w:t>
      </w:r>
    </w:p>
    <w:p w14:paraId="71DC78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（1）社保缴费原则：一是合规合法；二是与社保部门协商一致；三是接受监督、检查。</w:t>
      </w:r>
    </w:p>
    <w:p w14:paraId="31FD3A1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（2）中标供应商应每年全员购买安全生产责任险；鼓励其他供应商为关键、重要岗位，危险岗位，优秀技术、管理人员等购买安全生产责任险。</w:t>
      </w:r>
    </w:p>
    <w:p w14:paraId="5AA94E5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（3）履约期内，劳动保护用品（含工作服），由供应商按照《个体防护装备配备规范》发放，并建立劳保申领、发放台账。</w:t>
      </w:r>
    </w:p>
    <w:p w14:paraId="5D2D53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（4）职业健康体检费（含岗前、岗中、离岗）。履约期内，招用工人必须全部进行岗前体检，为规避法律风险，保障从业人员权益，需对工作期满90天以上的离职人员进行离岗体检，并承担相应的费用。</w:t>
      </w:r>
    </w:p>
    <w:p w14:paraId="2EF1A1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（5）若发生伤残亡事故，由供应商负责处理，并承担保险赔付金以外的其他法定责任及费用。</w:t>
      </w:r>
    </w:p>
    <w:p w14:paraId="7BA6E04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（6）有下列情形之一致使矿山停产的，采购人不予经济补偿，供应商不得进行求偿或索赔：</w:t>
      </w:r>
    </w:p>
    <w:p w14:paraId="4BF7D0A0">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①内部（如生产组织方式或经营战略调整等）、外部（如市场原因、政策原因、投资环境原因等）条件发生重大变化，致使矿山停产；</w:t>
      </w:r>
    </w:p>
    <w:p w14:paraId="7D0B5E4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②事故（安全、环保事故等）原因，致使矿山停产；</w:t>
      </w:r>
    </w:p>
    <w:p w14:paraId="382C563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③重大安全隐患（如危及矿山安全且无法消除的重大危险源、露天矿重大隐患判定标准任一事项出现等）、自然灾害等，致使矿山停产；</w:t>
      </w:r>
    </w:p>
    <w:p w14:paraId="4FBA881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④其他严重制约矿山安全的原因，致使矿山停产。</w:t>
      </w:r>
    </w:p>
    <w:p w14:paraId="6C7F9BD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3、质量要求</w:t>
      </w:r>
    </w:p>
    <w:p w14:paraId="4203157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经采购人确认的安全、环保、工程质量、产品质量整改、上级政府各有关职能部门发出的整改必须确保及时、有效落实并整改到位。</w:t>
      </w:r>
    </w:p>
    <w:p w14:paraId="0B5C85C0">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4、技术要求</w:t>
      </w:r>
    </w:p>
    <w:p w14:paraId="7407A3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履约期内，供应商必须依据年度采掘计划、石料加工生产计划、产品供销计划严格按照采购人的技术、生产、销售指令组织生产活动，制定详细的生产组织方案，合理配备装矿、运输设备和调配人员，以满足生产的需求。</w:t>
      </w:r>
    </w:p>
    <w:p w14:paraId="01E7488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（2）按照规程、规范的要求，运输车辆必须具有年审合格证，电气设备（含电缆及照明）必须具备防阻燃的功能。</w:t>
      </w:r>
    </w:p>
    <w:p w14:paraId="3B85376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（3）按要求进行安全防护及正确佩戴劳动保护用品。</w:t>
      </w:r>
    </w:p>
    <w:p w14:paraId="2FC635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（4）年中根据检维修计划，统筹安排矿山防排水系统、开拓运输系统及加工生产线设备设施、码头附属设备设施运行大检修，确保系统及设备安全运行。</w:t>
      </w:r>
    </w:p>
    <w:p w14:paraId="25714D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（5）年初必须制定采掘加工及销售计划，合理安排生产、销售、检维修工作，按采购人要求统筹安排启动生产（含生产恢复）、停产及放假时间。</w:t>
      </w:r>
    </w:p>
    <w:p w14:paraId="06C7188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5、环境保护</w:t>
      </w:r>
    </w:p>
    <w:p w14:paraId="1F04929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山在钻孔、爆破、铲装和运输作业、石料加工、堆存过程形成粉尘、废水、油料和噪音，供应商应做好相关处置工作，并积极做好省级绿色矿山达标创建工作，建立生态环境治理与保护长效管理机制，建立绿色矿山管理体系。应采取以下一些相关措施：</w:t>
      </w:r>
    </w:p>
    <w:p w14:paraId="0B2DEFD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5.1废水处理，包括但不限于：钻孔、凿岩废水，抑尘废水，生活污水，开采区废水，加工区废水，机修场地的含油废水。</w:t>
      </w:r>
    </w:p>
    <w:p w14:paraId="0EEE72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上述废水按建设项目环境影响报告表及相关规范，由供应商负责处理，其中：开采区的生产废水经过沉淀池，沉淀后循环利用；加工区废水中悬浮物超标，不能直接排放，实行雨、污分流；自卸汽车、潜孔钻机、挖掘机等机车设备加油、修理过程中形成的含油污水，须经隔油池回收进入调节池处理后，委托第三方单位回收。</w:t>
      </w:r>
    </w:p>
    <w:p w14:paraId="36395AC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绿化是保护环境的一项综合措施，植物具吸尘、净化空气、降噪、保持水土等功能，对改善环境、美化环境有积极的作用。供应商在开采过程中应严格按照《</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方案》有计划、有步骤的进行矿山复垦绿化工作，矿区工业场地建成后首先在周围植树使其有效地恢复生态平衡，控制水土流失。</w:t>
      </w:r>
    </w:p>
    <w:p w14:paraId="515B754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5.2粉尘防护</w:t>
      </w:r>
    </w:p>
    <w:p w14:paraId="3CAE21F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山粉尘防治按照《浙江省矿山粉尘防治管理暂行办法》、《浙江省矿山粉尘防治技术规范》文件执行，如有新文件按新文件规定执行。生产企业应当采取密闭、围挡、遮盖、清扫、洒水等措施，减少内部物料的堆存、传输、装卸等环节产生的粉尘和气态污染物的排放。对爆堆、工作面以及路面进行洒水除尘，钻机采取集尘作业，生产人员正确穿戴、使用防护用品，预防粉尘危害。</w:t>
      </w:r>
    </w:p>
    <w:p w14:paraId="3A0DEC1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5.3噪声的治理，控制噪声源，降低噪声危害应采取以下措施（包括但不限于）：</w:t>
      </w:r>
    </w:p>
    <w:p w14:paraId="43261F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（1）保证设备完好及在正常状态下运行，控制噪声不超过规定值；</w:t>
      </w:r>
    </w:p>
    <w:p w14:paraId="2897C94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（2）作业人员有条件时，应尽可能远离噪声源作业；对噪声大的设备最好选择有驾驶室的，改善操作环境；</w:t>
      </w:r>
    </w:p>
    <w:p w14:paraId="6210F9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（3）在靠近矿区边界爆破时，采用定向控制性预裂爆破技术，减少单段的用炸药量，增加爆破次数；</w:t>
      </w:r>
    </w:p>
    <w:p w14:paraId="4040FF3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（4）对于固定的噪声源可考虑安装隔音、隔离装置，对于移动的噪声源，采用配消音器，尽量减少噪声等措施；</w:t>
      </w:r>
    </w:p>
    <w:p w14:paraId="188AC42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（5）加强个人防护，当噪声≥80分贝的环境作业时，应佩戴耳塞、耳罩等个人保护用品，定期检查身体。</w:t>
      </w:r>
    </w:p>
    <w:p w14:paraId="1E9405B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应充分考虑夜间施工对周边个人、单位的影响，做好相关协调工作。确因技术要求、客观因素影响需要进行夜间施工的，供应商应服从环保、行政执法等部门的管理，自行办理夜间施工准许手续，并积极主动处理好工地周边相关单位、个人的意见与投诉，自行支付办理手续及处理矛盾、问题应支付的费用。</w:t>
      </w:r>
    </w:p>
    <w:p w14:paraId="649A963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5.4固废处置，固体废弃物处置率需达到100%。固废处置应采取以下措施（包括但不限于）：</w:t>
      </w:r>
    </w:p>
    <w:p w14:paraId="1980CF6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（1）矿山剥离山皮土、</w:t>
      </w:r>
      <w:r>
        <w:rPr>
          <w:rFonts w:hint="eastAsia" w:cs="宋体"/>
          <w:snapToGrid w:val="0"/>
          <w:color w:val="auto"/>
          <w:kern w:val="0"/>
          <w:sz w:val="24"/>
          <w:szCs w:val="21"/>
          <w:highlight w:val="none"/>
          <w:lang w:val="zh-CN"/>
        </w:rPr>
        <w:t>废石无浸出毒性和腐蚀性，属无害废渣，</w:t>
      </w:r>
      <w:r>
        <w:rPr>
          <w:rFonts w:hint="eastAsia" w:cs="宋体"/>
          <w:snapToGrid w:val="0"/>
          <w:color w:val="auto"/>
          <w:kern w:val="0"/>
          <w:sz w:val="24"/>
          <w:szCs w:val="21"/>
          <w:highlight w:val="none"/>
        </w:rPr>
        <w:t>排向排土场暂时</w:t>
      </w:r>
      <w:r>
        <w:rPr>
          <w:rFonts w:hint="eastAsia" w:cs="宋体"/>
          <w:snapToGrid w:val="0"/>
          <w:color w:val="auto"/>
          <w:kern w:val="0"/>
          <w:sz w:val="24"/>
          <w:szCs w:val="21"/>
          <w:highlight w:val="none"/>
          <w:lang w:val="zh-CN"/>
        </w:rPr>
        <w:t>堆存于</w:t>
      </w:r>
      <w:r>
        <w:rPr>
          <w:rFonts w:hint="eastAsia" w:cs="宋体"/>
          <w:snapToGrid w:val="0"/>
          <w:color w:val="auto"/>
          <w:kern w:val="0"/>
          <w:sz w:val="24"/>
          <w:szCs w:val="21"/>
          <w:highlight w:val="none"/>
        </w:rPr>
        <w:t>采购人指定区域或按照采购人要求装车运出；</w:t>
      </w:r>
    </w:p>
    <w:p w14:paraId="7DA1C16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（2）生活垃圾要求有专门的垃圾收集间收集后由当地环卫部门统一运输进行填埋处理；</w:t>
      </w:r>
    </w:p>
    <w:p w14:paraId="4185EA4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（3）场内机修车间产生少量的废机油，属危险废物，建议设置简易集污桶，并与垃圾处理机构签订定期处理协议；</w:t>
      </w:r>
    </w:p>
    <w:p w14:paraId="4DB046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（4）泥饼、泥浆处置：供应商严格按照环保要求处置，不能造成环境二次污染；</w:t>
      </w:r>
    </w:p>
    <w:p w14:paraId="7E9B72D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（5）废机油等危废处置：须符合《中华人民共和国固体废物污染环境防治法》等相关法律、法规规定。</w:t>
      </w:r>
    </w:p>
    <w:p w14:paraId="568213E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6、违反安全、环保、质量相关要求的责任承担</w:t>
      </w:r>
    </w:p>
    <w:p w14:paraId="13131A8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在实施矿石采掘、生产加工过程中，因违反国家安全法、环境保护法及省、市有关要求，导致生产安全事故、环保污染事件的发生，按“违约责任”、《项目主体合同》和《非煤矿山外包工程安全协议》等相关条款执行</w:t>
      </w:r>
      <w:r>
        <w:rPr>
          <w:rFonts w:hint="eastAsia" w:cs="宋体"/>
          <w:snapToGrid w:val="0"/>
          <w:color w:val="auto"/>
          <w:kern w:val="0"/>
          <w:sz w:val="24"/>
          <w:szCs w:val="21"/>
          <w:highlight w:val="none"/>
        </w:rPr>
        <w:t>。</w:t>
      </w:r>
    </w:p>
    <w:p w14:paraId="1549D20E">
      <w:pPr>
        <w:widowControl w:val="0"/>
        <w:adjustRightInd w:val="0"/>
        <w:snapToGrid w:val="0"/>
        <w:rPr>
          <w:color w:val="auto"/>
          <w:highlight w:val="none"/>
        </w:rPr>
      </w:pPr>
    </w:p>
    <w:p w14:paraId="05F800F5">
      <w:pPr>
        <w:pStyle w:val="437"/>
        <w:keepNext w:val="0"/>
        <w:keepLines w:val="0"/>
        <w:adjustRightInd w:val="0"/>
        <w:snapToGrid w:val="0"/>
        <w:ind w:firstLine="480"/>
        <w:jc w:val="both"/>
        <w:rPr>
          <w:color w:val="auto"/>
          <w:sz w:val="24"/>
          <w:szCs w:val="24"/>
          <w:highlight w:val="none"/>
          <w:lang w:val="en-US"/>
        </w:rPr>
      </w:pPr>
      <w:bookmarkStart w:id="95" w:name="_Toc173761981"/>
      <w:r>
        <w:rPr>
          <w:rFonts w:hint="eastAsia"/>
          <w:color w:val="auto"/>
          <w:sz w:val="24"/>
          <w:szCs w:val="24"/>
          <w:highlight w:val="none"/>
          <w:lang w:val="en-US"/>
        </w:rPr>
        <w:t>（五）外运配套码头工程安全生产、环境保护管理工作内容</w:t>
      </w:r>
      <w:bookmarkEnd w:id="95"/>
    </w:p>
    <w:p w14:paraId="164970A0">
      <w:pPr>
        <w:pStyle w:val="24"/>
        <w:ind w:firstLine="482"/>
        <w:rPr>
          <w:b/>
          <w:bCs/>
          <w:color w:val="auto"/>
          <w:highlight w:val="none"/>
        </w:rPr>
      </w:pPr>
      <w:r>
        <w:rPr>
          <w:rFonts w:hint="eastAsia"/>
          <w:b/>
          <w:bCs/>
          <w:color w:val="auto"/>
          <w:highlight w:val="none"/>
        </w:rPr>
        <w:t>1、安全管理要求：</w:t>
      </w:r>
    </w:p>
    <w:p w14:paraId="20CC3EE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（1）供应商应严格执行国家、地方政府有关施工安全管理方面的法律、法规及规章制度，以及监理人有关安全工作的指示。</w:t>
      </w:r>
    </w:p>
    <w:p w14:paraId="569621B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（2）对影响安全的重要工序应编制专项施工方案，并附安全验算结果，经供应商项目技术负责人签字并报监理人和采购人批准后实施，由专职安全生产管理人员进行现场监督。</w:t>
      </w:r>
    </w:p>
    <w:p w14:paraId="58988F1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（3）供应商应充分关注和保障所有在现场工作的人员的安全，采取以下有效措施，使现场和本合同工程的实施保持有条不紊，以免使人员的安全受到威胁：</w:t>
      </w:r>
    </w:p>
    <w:p w14:paraId="6FB58FB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①按《公路水运工程安全生产监督管理办法》、《浙江省交通建设工程质量和安全生产管理办法》</w:t>
      </w:r>
      <w:r>
        <w:rPr>
          <w:rFonts w:hint="eastAsia" w:cs="宋体"/>
          <w:snapToGrid w:val="0"/>
          <w:color w:val="auto"/>
          <w:kern w:val="0"/>
          <w:sz w:val="24"/>
          <w:szCs w:val="24"/>
          <w:highlight w:val="none"/>
        </w:rPr>
        <w:t>、</w:t>
      </w:r>
      <w:r>
        <w:rPr>
          <w:rFonts w:cs="宋体"/>
          <w:snapToGrid w:val="0"/>
          <w:color w:val="auto"/>
          <w:kern w:val="0"/>
          <w:sz w:val="24"/>
          <w:szCs w:val="24"/>
          <w:highlight w:val="none"/>
        </w:rPr>
        <w:t>《</w:t>
      </w:r>
      <w:r>
        <w:rPr>
          <w:rFonts w:hint="eastAsia" w:cs="宋体"/>
          <w:snapToGrid w:val="0"/>
          <w:color w:val="auto"/>
          <w:kern w:val="0"/>
          <w:sz w:val="24"/>
          <w:szCs w:val="24"/>
          <w:highlight w:val="none"/>
        </w:rPr>
        <w:t>浙</w:t>
      </w:r>
      <w:r>
        <w:rPr>
          <w:rFonts w:cs="宋体"/>
          <w:snapToGrid w:val="0"/>
          <w:color w:val="auto"/>
          <w:kern w:val="0"/>
          <w:sz w:val="24"/>
          <w:szCs w:val="24"/>
          <w:highlight w:val="none"/>
        </w:rPr>
        <w:t>江省交通建设工程安全生产监督管理实施细则》（浙交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2013</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5号）、《关于进一步加强全省交通建设工程安全生产管理工作的若干规定》（浙交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2020</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104号）配备专职安全生产管理人员；</w:t>
      </w:r>
    </w:p>
    <w:p w14:paraId="235721B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供应商的垂直运输机械作业人员、施工船舶作业人员、焊破作业人员、安装拆卸工、起重信号工、电工、焊工等国家规定的特种作业人员，必须按照国家规定经过专门的安全作业培训，并取得特种作业操作资格证书后，方可上岗作业；</w:t>
      </w:r>
    </w:p>
    <w:p w14:paraId="60B5593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③所有施工机具设备和高空作业设备均应定期检查，并有安全员的签字记录；</w:t>
      </w:r>
    </w:p>
    <w:p w14:paraId="282BCCB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④根据本项目的施工特点，严格执行《公路水运工程安全生产监督管理办法》、《浙江省交通建设工程质量和安全生产管理办法》</w:t>
      </w:r>
      <w:r>
        <w:rPr>
          <w:rFonts w:hint="eastAsia" w:cs="宋体"/>
          <w:snapToGrid w:val="0"/>
          <w:color w:val="auto"/>
          <w:kern w:val="0"/>
          <w:sz w:val="24"/>
          <w:szCs w:val="24"/>
          <w:highlight w:val="none"/>
        </w:rPr>
        <w:t>和</w:t>
      </w:r>
      <w:r>
        <w:rPr>
          <w:rFonts w:cs="宋体"/>
          <w:snapToGrid w:val="0"/>
          <w:color w:val="auto"/>
          <w:kern w:val="0"/>
          <w:sz w:val="24"/>
          <w:szCs w:val="24"/>
          <w:highlight w:val="none"/>
        </w:rPr>
        <w:t>《水运工程施工安全技术规程》的具体规定。</w:t>
      </w:r>
    </w:p>
    <w:p w14:paraId="3358BA5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⑤严格按批准的实施性交通安全组织方案做好施工安全相关组织管理工作。</w:t>
      </w:r>
    </w:p>
    <w:p w14:paraId="6DF117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（4）为了保护本项目免遭损坏，或为了现场附近和过往群众的安全与方便，在确有必要的时候和地方，或当监理人或有关主管部门要求时，供应商应负责提供照明、警卫、护栅、警告标志等安全防护设施。</w:t>
      </w:r>
    </w:p>
    <w:p w14:paraId="551BEA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（5）在通航水域施工时，供应商应与当地主管部门取得联系，负责办理水上水下作业许可证，设置必要的导航标志，及时发布航行通知，确保施工水域安全。所需的一切费用均由供应商负责。</w:t>
      </w:r>
    </w:p>
    <w:p w14:paraId="2AFBD0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供应商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14:paraId="198148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供应商在高压线、水上、水下及地下管线、易燃、易碎地段或其他有害环境下施工时，施工前应提出安全保护措施，经监理人审查同意后实施。监理人的同意不能免除供应商应承担的责任。防护措施费用由供应商承担。</w:t>
      </w:r>
    </w:p>
    <w:p w14:paraId="0FBCA8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（8）施工现场发生安全事故时，供应商应立即采取有效措施，并将事故情况按规定上报有关部门并报告采购人与监理人。</w:t>
      </w:r>
    </w:p>
    <w:p w14:paraId="539BB82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（9）供应商应解决施工船舶的临时停泊设施并不得阻塞航道、妨碍进出港船舶航行及安全，保证船舶在施工水域内航行安全和畅通。</w:t>
      </w:r>
    </w:p>
    <w:p w14:paraId="7698D70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（10）供应商应按照《浙江省公路水运建设工程施工现场安全标志和安全防护设施设置规定（试行）》（浙交</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2011</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63号）、《关于在全省公路水运工程开展“质安文化进工地”活动的通知》（浙交监</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41号）等（以上相关文件内容如有更新，以最新内容为准）及合同实施过程中可能发布和更新的文件等要求进行施工。在整个施工过程中对供应商采取的施工安全措施，采购人和监理人有权监督，并向供应商提出整改要求。如果由于供应商未能对其负责的上述事项采取各种必要的措施而导致或发生与此有关的人身伤亡、罚款、索赔、损失补偿、诉讼费用及其他一切责任应由供应商负责。</w:t>
      </w:r>
    </w:p>
    <w:p w14:paraId="607E3887">
      <w:pPr>
        <w:pStyle w:val="24"/>
        <w:ind w:firstLine="482"/>
        <w:rPr>
          <w:b/>
          <w:bCs/>
          <w:color w:val="auto"/>
          <w:highlight w:val="none"/>
        </w:rPr>
      </w:pPr>
      <w:r>
        <w:rPr>
          <w:rFonts w:hint="eastAsia"/>
          <w:b/>
          <w:bCs/>
          <w:color w:val="auto"/>
          <w:highlight w:val="none"/>
        </w:rPr>
        <w:t>2、外运配套码头工程环境保护管理要求</w:t>
      </w:r>
    </w:p>
    <w:p w14:paraId="065A0C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（1）供应商应严格执行国家有关水域环境生态保护的规定，合理选择施工船机和施工工艺，采取有效措施，减少施工对周边水域的影响。</w:t>
      </w:r>
    </w:p>
    <w:p w14:paraId="47A72F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（2）供应商应切实执行相关技术标准和要求中有关环境保护方面的条款和规定：</w:t>
      </w:r>
    </w:p>
    <w:p w14:paraId="73C722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对于来自施工机械和运输车辆、船舶的施工噪声，为保护施工人员的健康，应遵守《中华人民共和国噪声污染防治法》并依据《工业全业噪声卫生标准》合理安排工作人员轮流操作施工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61C3E6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2）对于施工中粉尘污染的主要污染源—灰土拌和、施工车辆和施工机械运行及运输产生的扬尘，应采取有效措施减轻其对施工现场的大气污染，保护人民健康，如：</w:t>
      </w:r>
      <w:r>
        <w:rPr>
          <w:rFonts w:cs="宋体"/>
          <w:snapToGrid w:val="0"/>
          <w:color w:val="auto"/>
          <w:kern w:val="0"/>
          <w:sz w:val="24"/>
          <w:szCs w:val="24"/>
          <w:highlight w:val="none"/>
        </w:rPr>
        <w:t>①拌和设备应有较好的密封，或有防尘设备</w:t>
      </w:r>
      <w:r>
        <w:rPr>
          <w:rFonts w:hint="eastAsia" w:cs="宋体"/>
          <w:snapToGrid w:val="0"/>
          <w:color w:val="auto"/>
          <w:kern w:val="0"/>
          <w:sz w:val="24"/>
          <w:szCs w:val="24"/>
          <w:highlight w:val="none"/>
        </w:rPr>
        <w:t>；</w:t>
      </w:r>
      <w:r>
        <w:rPr>
          <w:rFonts w:cs="宋体"/>
          <w:snapToGrid w:val="0"/>
          <w:color w:val="auto"/>
          <w:kern w:val="0"/>
          <w:sz w:val="24"/>
          <w:szCs w:val="24"/>
          <w:highlight w:val="none"/>
        </w:rPr>
        <w:t>②施工通道、混凝土拌和站及灰土拌和站应经常进行洒水降尘</w:t>
      </w:r>
      <w:r>
        <w:rPr>
          <w:rFonts w:hint="eastAsia" w:cs="宋体"/>
          <w:snapToGrid w:val="0"/>
          <w:color w:val="auto"/>
          <w:kern w:val="0"/>
          <w:sz w:val="24"/>
          <w:szCs w:val="24"/>
          <w:highlight w:val="none"/>
        </w:rPr>
        <w:t>；</w:t>
      </w:r>
      <w:r>
        <w:rPr>
          <w:rFonts w:cs="宋体"/>
          <w:snapToGrid w:val="0"/>
          <w:color w:val="auto"/>
          <w:kern w:val="0"/>
          <w:sz w:val="24"/>
          <w:szCs w:val="24"/>
          <w:highlight w:val="none"/>
        </w:rPr>
        <w:t>③路面施工应注意保持水分，以免扬尘</w:t>
      </w:r>
      <w:r>
        <w:rPr>
          <w:rFonts w:hint="eastAsia" w:cs="宋体"/>
          <w:snapToGrid w:val="0"/>
          <w:color w:val="auto"/>
          <w:kern w:val="0"/>
          <w:sz w:val="24"/>
          <w:szCs w:val="24"/>
          <w:highlight w:val="none"/>
        </w:rPr>
        <w:t>；</w:t>
      </w:r>
      <w:r>
        <w:rPr>
          <w:rFonts w:cs="宋体"/>
          <w:snapToGrid w:val="0"/>
          <w:color w:val="auto"/>
          <w:kern w:val="0"/>
          <w:sz w:val="24"/>
          <w:szCs w:val="24"/>
          <w:highlight w:val="none"/>
        </w:rPr>
        <w:t>④钻孔灌注桩施工时排出的泥浆要进行妥善处理，严禁向河流或农田排放</w:t>
      </w:r>
      <w:r>
        <w:rPr>
          <w:rFonts w:hint="eastAsia" w:cs="宋体"/>
          <w:snapToGrid w:val="0"/>
          <w:color w:val="auto"/>
          <w:kern w:val="0"/>
          <w:sz w:val="24"/>
          <w:szCs w:val="24"/>
          <w:highlight w:val="none"/>
        </w:rPr>
        <w:t>；</w:t>
      </w:r>
      <w:r>
        <w:rPr>
          <w:rFonts w:cs="宋体"/>
          <w:snapToGrid w:val="0"/>
          <w:color w:val="auto"/>
          <w:kern w:val="0"/>
          <w:sz w:val="24"/>
          <w:szCs w:val="24"/>
          <w:highlight w:val="none"/>
        </w:rPr>
        <w:t>⑤采取可靠措施保证原有交通的正常通行，维持沿线村镇的居民饮水、农田灌溉、生产生活用电及通信等管线的正常使用。</w:t>
      </w:r>
    </w:p>
    <w:p w14:paraId="336F22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整个施工过程中对供应商采取的环境保护措施，采购人和监理人有权监督，并向供应商提出整改要求。如果由于供应商未能对其负责的上述事项采取各种必要的措施而导致或发生与此有关的人身伤亡、罚款、索赂、损失补偿、诉讼费用及其他一切责任应由供应商负责。</w:t>
      </w:r>
    </w:p>
    <w:p w14:paraId="4978683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（4）在施工期间，供应商应随时保持现场整洁，施工设备和材料、工程设备应整齐安善存放和储存，废料与垃圾及不再需要的临时设施应及时从现场清除、拆除并运走。</w:t>
      </w:r>
    </w:p>
    <w:p w14:paraId="509B8EC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供应商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土场必须先挡后弃，严禁在指定的取（弃）土场以外的地方乱挖乱弃。</w:t>
      </w:r>
    </w:p>
    <w:p w14:paraId="7AC20551">
      <w:pPr>
        <w:widowControl w:val="0"/>
        <w:adjustRightInd w:val="0"/>
        <w:snapToGrid w:val="0"/>
        <w:rPr>
          <w:color w:val="auto"/>
          <w:highlight w:val="none"/>
        </w:rPr>
      </w:pPr>
    </w:p>
    <w:p w14:paraId="0052F322">
      <w:pPr>
        <w:pStyle w:val="437"/>
        <w:keepNext w:val="0"/>
        <w:keepLines w:val="0"/>
        <w:adjustRightInd w:val="0"/>
        <w:snapToGrid w:val="0"/>
        <w:ind w:firstLine="480"/>
        <w:jc w:val="both"/>
        <w:rPr>
          <w:color w:val="auto"/>
          <w:sz w:val="24"/>
          <w:szCs w:val="24"/>
          <w:highlight w:val="none"/>
          <w:lang w:val="en-US"/>
        </w:rPr>
      </w:pPr>
      <w:bookmarkStart w:id="96" w:name="_Toc173761982"/>
      <w:r>
        <w:rPr>
          <w:rFonts w:hint="eastAsia"/>
          <w:color w:val="auto"/>
          <w:sz w:val="24"/>
          <w:szCs w:val="24"/>
          <w:highlight w:val="none"/>
          <w:lang w:val="en-US"/>
        </w:rPr>
        <w:t>（六）矿山地质环境治理与土地复垦及闭坑审批工作内容</w:t>
      </w:r>
      <w:bookmarkEnd w:id="96"/>
    </w:p>
    <w:p w14:paraId="65BC06D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1、矿山地质环境治理与土地复垦要求：供应商应根据评审通过的《施工设计方案》实施</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工作，供应商可以在此基础上进行优化并满足采购需求的各项要求及标准。</w:t>
      </w:r>
    </w:p>
    <w:p w14:paraId="795FF43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hAnsi="宋体"/>
          <w:snapToGrid w:val="0"/>
          <w:color w:val="auto"/>
          <w:kern w:val="0"/>
          <w:sz w:val="24"/>
          <w:highlight w:val="none"/>
        </w:rPr>
        <w:t>▲</w:t>
      </w:r>
      <w:r>
        <w:rPr>
          <w:rFonts w:hint="eastAsia" w:cs="宋体"/>
          <w:b/>
          <w:bCs/>
          <w:snapToGrid w:val="0"/>
          <w:color w:val="auto"/>
          <w:kern w:val="0"/>
          <w:sz w:val="24"/>
          <w:szCs w:val="21"/>
          <w:highlight w:val="none"/>
        </w:rPr>
        <w:t>2、在采矿权终止后或本次采购服务履行完毕后或本次服务解除后，矿山不可移动设施、设备和建筑归采购人所有，若采购人决定不可移动设施、设备及建筑不需要保留的，由供应商负责处置，采购人按第三方鉴定残值并通过相关部门批准后，在结算价款中向供应商扣回该笔费用。若采购人决定不可移动设施、设备及建筑需要保留的，则应免除供应商在不拆除建筑、不可移动设施设备区域内的土地复垦生态修复义务。</w:t>
      </w:r>
    </w:p>
    <w:p w14:paraId="41E5D11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3、进入矿山生产尾期，供应商必须准备矿山闭坑报告及有关采掘工程、不安全隐患、土地复垦利用、环境保护等相关资料，并按照国家规定报请闭坑审查批准。</w:t>
      </w:r>
    </w:p>
    <w:p w14:paraId="51652B3D">
      <w:pPr>
        <w:widowControl w:val="0"/>
        <w:adjustRightInd w:val="0"/>
        <w:snapToGrid w:val="0"/>
        <w:rPr>
          <w:color w:val="auto"/>
          <w:highlight w:val="none"/>
        </w:rPr>
      </w:pPr>
    </w:p>
    <w:p w14:paraId="289430FC">
      <w:pPr>
        <w:pStyle w:val="437"/>
        <w:keepNext w:val="0"/>
        <w:keepLines w:val="0"/>
        <w:adjustRightInd w:val="0"/>
        <w:snapToGrid w:val="0"/>
        <w:ind w:firstLine="480"/>
        <w:jc w:val="both"/>
        <w:rPr>
          <w:color w:val="auto"/>
          <w:sz w:val="24"/>
          <w:szCs w:val="24"/>
          <w:highlight w:val="none"/>
          <w:lang w:val="en-US"/>
        </w:rPr>
      </w:pPr>
      <w:bookmarkStart w:id="97" w:name="_Toc173761983"/>
      <w:r>
        <w:rPr>
          <w:rFonts w:hint="eastAsia"/>
          <w:color w:val="auto"/>
          <w:sz w:val="24"/>
          <w:szCs w:val="24"/>
          <w:highlight w:val="none"/>
          <w:lang w:val="en-US"/>
        </w:rPr>
        <w:t>（七）涉及到的审批、码头建设及相关延伸服务工作内容</w:t>
      </w:r>
      <w:bookmarkEnd w:id="97"/>
    </w:p>
    <w:p w14:paraId="432721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供应商负责涉及到的审批等相关延伸服务，应包括但不限于：</w:t>
      </w:r>
    </w:p>
    <w:p w14:paraId="4F2F8E0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相关的审批延伸服务：建设项目许可审批、建设项目安全设施、环保设施、职业危害预评价、安全设施、环保设施、职业危害防控设施设计、“三同时”验收及审批；矿山安全生产许可证、供应商爆破许可证审批，供应商应协助办理，并由供应商承担相关费用。</w:t>
      </w:r>
    </w:p>
    <w:p w14:paraId="3CC278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2、外运配套码头工程相关的审批延伸服务：外运配套码头工程的勘察、设计、报建、审批、验收等，由供应商负责。</w:t>
      </w:r>
    </w:p>
    <w:p w14:paraId="0B873FCA">
      <w:pPr>
        <w:widowControl w:val="0"/>
        <w:adjustRightInd w:val="0"/>
        <w:snapToGrid w:val="0"/>
        <w:rPr>
          <w:color w:val="auto"/>
          <w:highlight w:val="none"/>
        </w:rPr>
      </w:pPr>
    </w:p>
    <w:p w14:paraId="5EA6EBE4">
      <w:pPr>
        <w:pStyle w:val="437"/>
        <w:keepNext w:val="0"/>
        <w:keepLines w:val="0"/>
        <w:adjustRightInd w:val="0"/>
        <w:snapToGrid w:val="0"/>
        <w:ind w:firstLine="480"/>
        <w:jc w:val="both"/>
        <w:rPr>
          <w:color w:val="auto"/>
          <w:sz w:val="24"/>
          <w:szCs w:val="24"/>
          <w:highlight w:val="none"/>
          <w:lang w:val="en-US"/>
        </w:rPr>
      </w:pPr>
      <w:bookmarkStart w:id="98" w:name="_Toc173761984"/>
      <w:r>
        <w:rPr>
          <w:rFonts w:hint="eastAsia"/>
          <w:color w:val="auto"/>
          <w:sz w:val="24"/>
          <w:szCs w:val="24"/>
          <w:highlight w:val="none"/>
          <w:lang w:val="en-US"/>
        </w:rPr>
        <w:t>（八）其他工作内容和服务</w:t>
      </w:r>
      <w:bookmarkEnd w:id="98"/>
    </w:p>
    <w:p w14:paraId="08DD84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应对矿山进行封闭式管理，并进行围挡。供应商必须确保邻近建筑物和附近居民的安全，防止因施工措施不当使附近居民的人员财产遭受损失或发生其他任何施工安全事故；供应商必须对施工现场的用电安全负责，施工现场用电必须遵照施工现场用电管理条例执行。在工地现场做好警戒告示牌，提醒进入施工现场人员的注意。</w:t>
      </w:r>
    </w:p>
    <w:p w14:paraId="352EB1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2、在本项目红线范围外涉及水、电、道路、桥，加工场地及用地产生的评估以及后期土地恢复等由供应商负责。</w:t>
      </w:r>
    </w:p>
    <w:p w14:paraId="535272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3、供应商对所有的矿产品进行保管，负有保管责任，应做好防盗等措施，如出现资源流失等问题的，采购人的所有损失责任由供应商承担。</w:t>
      </w:r>
    </w:p>
    <w:p w14:paraId="584EFDA7">
      <w:pPr>
        <w:widowControl w:val="0"/>
        <w:adjustRightInd w:val="0"/>
        <w:snapToGrid w:val="0"/>
        <w:rPr>
          <w:color w:val="auto"/>
          <w:highlight w:val="none"/>
        </w:rPr>
      </w:pPr>
    </w:p>
    <w:p w14:paraId="086DE945">
      <w:pPr>
        <w:widowControl w:val="0"/>
        <w:adjustRightInd w:val="0"/>
        <w:snapToGrid w:val="0"/>
        <w:rPr>
          <w:color w:val="auto"/>
          <w:highlight w:val="none"/>
        </w:rPr>
      </w:pPr>
    </w:p>
    <w:p w14:paraId="0493A800">
      <w:pPr>
        <w:widowControl w:val="0"/>
        <w:adjustRightInd w:val="0"/>
        <w:snapToGrid w:val="0"/>
        <w:rPr>
          <w:color w:val="auto"/>
          <w:highlight w:val="none"/>
        </w:rPr>
      </w:pPr>
    </w:p>
    <w:p w14:paraId="2FA0C285">
      <w:pPr>
        <w:pStyle w:val="417"/>
        <w:rPr>
          <w:color w:val="auto"/>
          <w:highlight w:val="none"/>
        </w:rPr>
      </w:pPr>
      <w:bookmarkStart w:id="99" w:name="_Toc173761985"/>
      <w:r>
        <w:rPr>
          <w:rFonts w:hint="eastAsia"/>
          <w:color w:val="auto"/>
          <w:highlight w:val="none"/>
        </w:rPr>
        <w:t>四、采购人负责内容</w:t>
      </w:r>
      <w:bookmarkEnd w:id="99"/>
    </w:p>
    <w:p w14:paraId="34B3A0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1、采购人负责办理矿山开发行政许可需由采购人办理的各类手续及其法律法规需要由采购人办理的各类手续。</w:t>
      </w:r>
    </w:p>
    <w:p w14:paraId="6A31D95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2、采购人负责开取矿产品销售发票。</w:t>
      </w:r>
    </w:p>
    <w:p w14:paraId="156C141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3、向供应商支付劳务报酬、超额收益分成。</w:t>
      </w:r>
    </w:p>
    <w:p w14:paraId="6E4B40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4、负责矿区日常监督管理工作等。</w:t>
      </w:r>
    </w:p>
    <w:p w14:paraId="580668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5、协助供应商办理配套码头、航道的行政审批手续。</w:t>
      </w:r>
    </w:p>
    <w:p w14:paraId="3AD905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6、协助供应商办理相关必要的手续。</w:t>
      </w:r>
    </w:p>
    <w:p w14:paraId="3E85B8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7、本项目爆破、生产安全、水运工程、矿山基建工程的监理由采购人负责委托，费用由采购人承担，成交供应商必须接受监理单位的监理。</w:t>
      </w:r>
    </w:p>
    <w:p w14:paraId="32BBB3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8、以下事项，采购人委托第三方咨询机构进行：</w:t>
      </w:r>
    </w:p>
    <w:p w14:paraId="5D9FE0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套基础设施投资建设的施工图预算（不含设备购置费）审核及施工阶段全过程造价控制及结算审核（包括但不限于：2000吨级临时码头工程、航道疏浚工程、外运航道回淤维护、矿山开采系统、生产加工及厂房工程、生活管理设施工程、附属配套工程、矿山地质环境保护与土地复垦工程等）。</w:t>
      </w:r>
    </w:p>
    <w:p w14:paraId="596586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（2）对购置的所有设备（包括生产加工设备、供电设备等）进行全过程造价控制及结算审核。</w:t>
      </w:r>
    </w:p>
    <w:p w14:paraId="26DB93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对完成的所有矿区及配套基础设施建设、设备购置后的建设投资以及外运航道疏浚回淤维护费由具备会计师事务所执业证书的单位对其进行财务竣工决算，包括对其竣工结算及重新组价的生产、加工服务费进行审核确认。</w:t>
      </w:r>
    </w:p>
    <w:p w14:paraId="50B657F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（4）在生产加工销售开始后，每月核定销售计量，并出具生产、加工服务费的支付建议。</w:t>
      </w:r>
    </w:p>
    <w:p w14:paraId="7E5956A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（5）对矿产品销售单位超额收益分享核算，以及其实际销售价未达到销售指导价的补差核算，并出具支付建议。</w:t>
      </w:r>
    </w:p>
    <w:p w14:paraId="445D254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（6）对安全施工、安全生产所实际发生的安全生产费进行支付审核。</w:t>
      </w:r>
    </w:p>
    <w:p w14:paraId="446CA1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（7）协助采购人进行市场询价，按合同约定向采购人提供相关</w:t>
      </w:r>
      <w:r>
        <w:rPr>
          <w:rFonts w:hint="eastAsia" w:cs="宋体"/>
          <w:snapToGrid w:val="0"/>
          <w:color w:val="auto"/>
          <w:kern w:val="0"/>
          <w:sz w:val="24"/>
          <w:szCs w:val="21"/>
          <w:highlight w:val="none"/>
        </w:rPr>
        <w:t>定</w:t>
      </w:r>
      <w:r>
        <w:rPr>
          <w:rFonts w:hint="eastAsia" w:cs="宋体"/>
          <w:snapToGrid w:val="0"/>
          <w:color w:val="auto"/>
          <w:kern w:val="0"/>
          <w:sz w:val="24"/>
          <w:szCs w:val="21"/>
          <w:highlight w:val="none"/>
        </w:rPr>
        <w:t>价依据和建议。</w:t>
      </w:r>
    </w:p>
    <w:p w14:paraId="166D9A7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（8）矿区生产结束后的拆除、平整、矿山地质环境保护与土地复垦、闭矿等工程的审核。</w:t>
      </w:r>
    </w:p>
    <w:p w14:paraId="05CBCB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（9）每一期的石料生产、加工费支付均需造价部门和会计师事务所盖章确认，每年度出具项目跟踪年度报告。</w:t>
      </w:r>
    </w:p>
    <w:p w14:paraId="4BA3CD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（10）生产销售、闭矿审批完成，对本项目进行竣工财务决算，并出具竣工财务决算报告。</w:t>
      </w:r>
    </w:p>
    <w:p w14:paraId="3799EB3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成交供应商应做好项目审计、稽查和检查等的配合，包括但不限于：</w:t>
      </w:r>
    </w:p>
    <w:p w14:paraId="3A5F02B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（1）与本工程项目相关的审计和稽查，</w:t>
      </w:r>
      <w:r>
        <w:rPr>
          <w:rFonts w:hint="eastAsia" w:cs="宋体"/>
          <w:snapToGrid w:val="0"/>
          <w:color w:val="auto"/>
          <w:kern w:val="0"/>
          <w:sz w:val="24"/>
          <w:szCs w:val="21"/>
          <w:highlight w:val="none"/>
        </w:rPr>
        <w:t>成交供应商</w:t>
      </w:r>
      <w:r>
        <w:rPr>
          <w:rFonts w:hint="eastAsia"/>
          <w:color w:val="auto"/>
          <w:sz w:val="24"/>
          <w:highlight w:val="none"/>
        </w:rPr>
        <w:t>应高度重视并委派专人积极予以配合；</w:t>
      </w:r>
    </w:p>
    <w:p w14:paraId="69F7762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（2）有关单位对本项目的各种检查等活动，</w:t>
      </w:r>
      <w:r>
        <w:rPr>
          <w:rFonts w:hint="eastAsia" w:cs="宋体"/>
          <w:snapToGrid w:val="0"/>
          <w:color w:val="auto"/>
          <w:kern w:val="0"/>
          <w:sz w:val="24"/>
          <w:szCs w:val="21"/>
          <w:highlight w:val="none"/>
        </w:rPr>
        <w:t>成交供应商</w:t>
      </w:r>
      <w:r>
        <w:rPr>
          <w:rFonts w:hint="eastAsia"/>
          <w:color w:val="auto"/>
          <w:sz w:val="24"/>
          <w:highlight w:val="none"/>
        </w:rPr>
        <w:t>有义务予以积极配合开展各项工作；</w:t>
      </w:r>
    </w:p>
    <w:p w14:paraId="557C89F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（3）本项目有关的各类统计报表、汇报材料包括交（竣）工验收和项目后评价报告等，</w:t>
      </w:r>
      <w:r>
        <w:rPr>
          <w:rFonts w:hint="eastAsia" w:cs="宋体"/>
          <w:snapToGrid w:val="0"/>
          <w:color w:val="auto"/>
          <w:kern w:val="0"/>
          <w:sz w:val="24"/>
          <w:szCs w:val="21"/>
          <w:highlight w:val="none"/>
        </w:rPr>
        <w:t>成交供应商</w:t>
      </w:r>
      <w:r>
        <w:rPr>
          <w:rFonts w:hint="eastAsia"/>
          <w:color w:val="auto"/>
          <w:sz w:val="24"/>
          <w:highlight w:val="none"/>
        </w:rPr>
        <w:t>有义务配合发包人做好编制工作并提供相应的资料；</w:t>
      </w:r>
    </w:p>
    <w:p w14:paraId="25C498E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w:t>
      </w:r>
      <w:r>
        <w:rPr>
          <w:rFonts w:hint="eastAsia" w:cs="宋体"/>
          <w:snapToGrid w:val="0"/>
          <w:color w:val="auto"/>
          <w:kern w:val="0"/>
          <w:sz w:val="24"/>
          <w:szCs w:val="21"/>
          <w:highlight w:val="none"/>
        </w:rPr>
        <w:t>成交供应商</w:t>
      </w:r>
      <w:r>
        <w:rPr>
          <w:rFonts w:hint="eastAsia"/>
          <w:color w:val="auto"/>
          <w:sz w:val="24"/>
          <w:highlight w:val="none"/>
        </w:rPr>
        <w:t>应按采购人、监理人和有关文件要求，建立相应的计量、支付和变更台帐，同时</w:t>
      </w:r>
      <w:r>
        <w:rPr>
          <w:rFonts w:hint="eastAsia" w:cs="宋体"/>
          <w:snapToGrid w:val="0"/>
          <w:color w:val="auto"/>
          <w:kern w:val="0"/>
          <w:sz w:val="24"/>
          <w:szCs w:val="21"/>
          <w:highlight w:val="none"/>
        </w:rPr>
        <w:t>成交供应商</w:t>
      </w:r>
      <w:r>
        <w:rPr>
          <w:rFonts w:hint="eastAsia"/>
          <w:color w:val="auto"/>
          <w:sz w:val="24"/>
          <w:highlight w:val="none"/>
        </w:rPr>
        <w:t>应配合采购人、监理人建立相应的台帐，并保持其持续有效直至工程决算完成。</w:t>
      </w:r>
    </w:p>
    <w:p w14:paraId="0B9B87E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9、本项目所需用电，如由采购人先行实施的，成交供应商在合同签订后30天内支付相应款项给采购人。</w:t>
      </w:r>
    </w:p>
    <w:p w14:paraId="6384E945">
      <w:pPr>
        <w:widowControl w:val="0"/>
        <w:adjustRightInd w:val="0"/>
        <w:snapToGrid w:val="0"/>
        <w:rPr>
          <w:color w:val="auto"/>
          <w:highlight w:val="none"/>
        </w:rPr>
      </w:pPr>
    </w:p>
    <w:p w14:paraId="14F15527">
      <w:pPr>
        <w:pStyle w:val="417"/>
        <w:rPr>
          <w:color w:val="auto"/>
          <w:highlight w:val="none"/>
        </w:rPr>
      </w:pPr>
      <w:bookmarkStart w:id="100" w:name="_Toc173761986"/>
      <w:r>
        <w:rPr>
          <w:rFonts w:hint="eastAsia"/>
          <w:color w:val="auto"/>
          <w:highlight w:val="none"/>
        </w:rPr>
        <w:t>五、投标报价要求</w:t>
      </w:r>
      <w:bookmarkEnd w:id="100"/>
    </w:p>
    <w:p w14:paraId="17405C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1、最高限价</w:t>
      </w:r>
    </w:p>
    <w:p w14:paraId="51FFCAF2">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7"/>
        <w:gridCol w:w="1266"/>
        <w:gridCol w:w="709"/>
        <w:gridCol w:w="1134"/>
        <w:gridCol w:w="851"/>
        <w:gridCol w:w="850"/>
        <w:gridCol w:w="992"/>
        <w:gridCol w:w="1134"/>
        <w:gridCol w:w="851"/>
        <w:gridCol w:w="1238"/>
      </w:tblGrid>
      <w:tr w14:paraId="3C03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Merge w:val="restart"/>
            <w:vAlign w:val="center"/>
          </w:tcPr>
          <w:p w14:paraId="11350536">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266" w:type="dxa"/>
            <w:vMerge w:val="restart"/>
            <w:vAlign w:val="center"/>
          </w:tcPr>
          <w:p w14:paraId="3A159221">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709" w:type="dxa"/>
            <w:vMerge w:val="restart"/>
            <w:vAlign w:val="center"/>
          </w:tcPr>
          <w:p w14:paraId="5271725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134" w:type="dxa"/>
            <w:vMerge w:val="restart"/>
            <w:vAlign w:val="center"/>
          </w:tcPr>
          <w:p w14:paraId="58CDBC5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14:paraId="1B368238">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678" w:type="dxa"/>
            <w:gridSpan w:val="5"/>
            <w:vAlign w:val="center"/>
          </w:tcPr>
          <w:p w14:paraId="2D78B1C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最高限价（全费用综合单价）（元/吨）</w:t>
            </w:r>
          </w:p>
        </w:tc>
        <w:tc>
          <w:tcPr>
            <w:tcW w:w="1238" w:type="dxa"/>
            <w:vMerge w:val="restart"/>
            <w:vAlign w:val="center"/>
          </w:tcPr>
          <w:p w14:paraId="0A496063">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14:paraId="42F52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Merge w:val="continue"/>
            <w:vAlign w:val="center"/>
          </w:tcPr>
          <w:p w14:paraId="38F45A24">
            <w:pPr>
              <w:widowControl w:val="0"/>
              <w:adjustRightInd w:val="0"/>
              <w:snapToGrid w:val="0"/>
              <w:jc w:val="center"/>
              <w:rPr>
                <w:rFonts w:cs="宋体"/>
                <w:b/>
                <w:bCs/>
                <w:snapToGrid w:val="0"/>
                <w:color w:val="auto"/>
                <w:kern w:val="0"/>
                <w:szCs w:val="21"/>
                <w:highlight w:val="none"/>
              </w:rPr>
            </w:pPr>
          </w:p>
        </w:tc>
        <w:tc>
          <w:tcPr>
            <w:tcW w:w="1266" w:type="dxa"/>
            <w:vMerge w:val="continue"/>
            <w:vAlign w:val="center"/>
          </w:tcPr>
          <w:p w14:paraId="1132D6FF">
            <w:pPr>
              <w:widowControl w:val="0"/>
              <w:adjustRightInd w:val="0"/>
              <w:snapToGrid w:val="0"/>
              <w:jc w:val="center"/>
              <w:rPr>
                <w:rFonts w:cs="宋体"/>
                <w:b/>
                <w:bCs/>
                <w:snapToGrid w:val="0"/>
                <w:color w:val="auto"/>
                <w:kern w:val="0"/>
                <w:szCs w:val="21"/>
                <w:highlight w:val="none"/>
              </w:rPr>
            </w:pPr>
          </w:p>
        </w:tc>
        <w:tc>
          <w:tcPr>
            <w:tcW w:w="709" w:type="dxa"/>
            <w:vMerge w:val="continue"/>
            <w:vAlign w:val="center"/>
          </w:tcPr>
          <w:p w14:paraId="666EA5CA">
            <w:pPr>
              <w:widowControl w:val="0"/>
              <w:adjustRightInd w:val="0"/>
              <w:snapToGrid w:val="0"/>
              <w:jc w:val="center"/>
              <w:rPr>
                <w:rFonts w:cs="宋体"/>
                <w:b/>
                <w:bCs/>
                <w:snapToGrid w:val="0"/>
                <w:color w:val="auto"/>
                <w:kern w:val="0"/>
                <w:szCs w:val="21"/>
                <w:highlight w:val="none"/>
              </w:rPr>
            </w:pPr>
          </w:p>
        </w:tc>
        <w:tc>
          <w:tcPr>
            <w:tcW w:w="1134" w:type="dxa"/>
            <w:vMerge w:val="continue"/>
            <w:vAlign w:val="center"/>
          </w:tcPr>
          <w:p w14:paraId="3DDB1637">
            <w:pPr>
              <w:widowControl w:val="0"/>
              <w:adjustRightInd w:val="0"/>
              <w:snapToGrid w:val="0"/>
              <w:jc w:val="center"/>
              <w:rPr>
                <w:rFonts w:cs="宋体"/>
                <w:b/>
                <w:bCs/>
                <w:snapToGrid w:val="0"/>
                <w:color w:val="auto"/>
                <w:kern w:val="0"/>
                <w:szCs w:val="21"/>
                <w:highlight w:val="none"/>
              </w:rPr>
            </w:pPr>
          </w:p>
        </w:tc>
        <w:tc>
          <w:tcPr>
            <w:tcW w:w="851" w:type="dxa"/>
            <w:vAlign w:val="center"/>
          </w:tcPr>
          <w:p w14:paraId="18F0220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850" w:type="dxa"/>
            <w:vAlign w:val="center"/>
          </w:tcPr>
          <w:p w14:paraId="05B578A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992" w:type="dxa"/>
            <w:vAlign w:val="center"/>
          </w:tcPr>
          <w:p w14:paraId="4136BA4E">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1134" w:type="dxa"/>
            <w:vAlign w:val="center"/>
          </w:tcPr>
          <w:p w14:paraId="4937BAA0">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851" w:type="dxa"/>
            <w:vAlign w:val="center"/>
          </w:tcPr>
          <w:p w14:paraId="1628CE73">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1238" w:type="dxa"/>
            <w:vMerge w:val="continue"/>
            <w:vAlign w:val="center"/>
          </w:tcPr>
          <w:p w14:paraId="4F5675E1">
            <w:pPr>
              <w:widowControl w:val="0"/>
              <w:adjustRightInd w:val="0"/>
              <w:snapToGrid w:val="0"/>
              <w:rPr>
                <w:rFonts w:cs="宋体"/>
                <w:b/>
                <w:bCs/>
                <w:snapToGrid w:val="0"/>
                <w:color w:val="auto"/>
                <w:kern w:val="0"/>
                <w:szCs w:val="21"/>
                <w:highlight w:val="none"/>
              </w:rPr>
            </w:pPr>
          </w:p>
        </w:tc>
      </w:tr>
      <w:tr w14:paraId="57031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6A723FE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266" w:type="dxa"/>
            <w:vAlign w:val="center"/>
          </w:tcPr>
          <w:p w14:paraId="3C0A60AD">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709" w:type="dxa"/>
            <w:vAlign w:val="center"/>
          </w:tcPr>
          <w:p w14:paraId="6048282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276FB68F">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851" w:type="dxa"/>
            <w:vAlign w:val="center"/>
          </w:tcPr>
          <w:p w14:paraId="03BB5169">
            <w:pPr>
              <w:widowControl w:val="0"/>
              <w:adjustRightInd w:val="0"/>
              <w:snapToGrid w:val="0"/>
              <w:jc w:val="center"/>
              <w:rPr>
                <w:rFonts w:cs="宋体"/>
                <w:snapToGrid w:val="0"/>
                <w:color w:val="auto"/>
                <w:kern w:val="0"/>
                <w:szCs w:val="21"/>
                <w:highlight w:val="none"/>
              </w:rPr>
            </w:pPr>
            <w:r>
              <w:rPr>
                <w:color w:val="auto"/>
                <w:highlight w:val="none"/>
              </w:rPr>
              <w:t>4.46</w:t>
            </w:r>
          </w:p>
        </w:tc>
        <w:tc>
          <w:tcPr>
            <w:tcW w:w="850" w:type="dxa"/>
            <w:vAlign w:val="center"/>
          </w:tcPr>
          <w:p w14:paraId="479D168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92" w:type="dxa"/>
            <w:vAlign w:val="center"/>
          </w:tcPr>
          <w:p w14:paraId="13C2214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1134" w:type="dxa"/>
            <w:vAlign w:val="center"/>
          </w:tcPr>
          <w:p w14:paraId="6715948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1" w:type="dxa"/>
            <w:vAlign w:val="center"/>
          </w:tcPr>
          <w:p w14:paraId="02ADA35F">
            <w:pPr>
              <w:widowControl w:val="0"/>
              <w:adjustRightInd w:val="0"/>
              <w:snapToGrid w:val="0"/>
              <w:jc w:val="center"/>
              <w:rPr>
                <w:rFonts w:cs="宋体"/>
                <w:snapToGrid w:val="0"/>
                <w:color w:val="auto"/>
                <w:kern w:val="0"/>
                <w:szCs w:val="21"/>
                <w:highlight w:val="none"/>
              </w:rPr>
            </w:pPr>
            <w:r>
              <w:rPr>
                <w:color w:val="auto"/>
                <w:highlight w:val="none"/>
              </w:rPr>
              <w:t>4.46</w:t>
            </w:r>
          </w:p>
        </w:tc>
        <w:tc>
          <w:tcPr>
            <w:tcW w:w="1238" w:type="dxa"/>
            <w:vAlign w:val="center"/>
          </w:tcPr>
          <w:p w14:paraId="442EEB3B">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单价包括上车、短驳至矿区指定位置、出售时的再上车</w:t>
            </w:r>
          </w:p>
        </w:tc>
      </w:tr>
      <w:tr w14:paraId="78CC8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2CC4D16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266" w:type="dxa"/>
            <w:vAlign w:val="center"/>
          </w:tcPr>
          <w:p w14:paraId="0F322778">
            <w:pPr>
              <w:widowControl w:val="0"/>
              <w:adjustRightInd w:val="0"/>
              <w:snapToGrid w:val="0"/>
              <w:jc w:val="left"/>
              <w:rPr>
                <w:color w:val="auto"/>
                <w:sz w:val="20"/>
                <w:szCs w:val="20"/>
                <w:highlight w:val="none"/>
              </w:rPr>
            </w:pPr>
            <w:r>
              <w:rPr>
                <w:rFonts w:hint="eastAsia"/>
                <w:color w:val="auto"/>
                <w:sz w:val="20"/>
                <w:szCs w:val="20"/>
                <w:highlight w:val="none"/>
              </w:rPr>
              <w:t>宕渣</w:t>
            </w:r>
          </w:p>
          <w:p w14:paraId="15A1DA3F">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709" w:type="dxa"/>
            <w:vAlign w:val="center"/>
          </w:tcPr>
          <w:p w14:paraId="3CC0198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7B1121F7">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851" w:type="dxa"/>
            <w:vAlign w:val="center"/>
          </w:tcPr>
          <w:p w14:paraId="5B50EF53">
            <w:pPr>
              <w:widowControl w:val="0"/>
              <w:adjustRightInd w:val="0"/>
              <w:snapToGrid w:val="0"/>
              <w:jc w:val="center"/>
              <w:rPr>
                <w:rFonts w:cs="宋体"/>
                <w:snapToGrid w:val="0"/>
                <w:color w:val="auto"/>
                <w:kern w:val="0"/>
                <w:szCs w:val="21"/>
                <w:highlight w:val="none"/>
              </w:rPr>
            </w:pPr>
            <w:r>
              <w:rPr>
                <w:color w:val="auto"/>
                <w:highlight w:val="none"/>
              </w:rPr>
              <w:t>5.39</w:t>
            </w:r>
          </w:p>
        </w:tc>
        <w:tc>
          <w:tcPr>
            <w:tcW w:w="850" w:type="dxa"/>
            <w:vAlign w:val="center"/>
          </w:tcPr>
          <w:p w14:paraId="29BEB081">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575E115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113751F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5D69F86B">
            <w:pPr>
              <w:widowControl w:val="0"/>
              <w:adjustRightInd w:val="0"/>
              <w:snapToGrid w:val="0"/>
              <w:jc w:val="center"/>
              <w:rPr>
                <w:rFonts w:cs="宋体"/>
                <w:snapToGrid w:val="0"/>
                <w:color w:val="auto"/>
                <w:kern w:val="0"/>
                <w:szCs w:val="21"/>
                <w:highlight w:val="none"/>
              </w:rPr>
            </w:pPr>
            <w:r>
              <w:rPr>
                <w:color w:val="auto"/>
                <w:highlight w:val="none"/>
              </w:rPr>
              <w:t>9.7</w:t>
            </w:r>
          </w:p>
        </w:tc>
        <w:tc>
          <w:tcPr>
            <w:tcW w:w="1238" w:type="dxa"/>
            <w:vMerge w:val="restart"/>
            <w:vAlign w:val="center"/>
          </w:tcPr>
          <w:p w14:paraId="4AFA20E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14:paraId="1C44D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2BA7EB09">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266" w:type="dxa"/>
            <w:vAlign w:val="center"/>
          </w:tcPr>
          <w:p w14:paraId="0F691978">
            <w:pPr>
              <w:widowControl w:val="0"/>
              <w:adjustRightInd w:val="0"/>
              <w:snapToGrid w:val="0"/>
              <w:jc w:val="left"/>
              <w:rPr>
                <w:color w:val="auto"/>
                <w:sz w:val="20"/>
                <w:szCs w:val="20"/>
                <w:highlight w:val="none"/>
              </w:rPr>
            </w:pPr>
            <w:r>
              <w:rPr>
                <w:rFonts w:hint="eastAsia"/>
                <w:color w:val="auto"/>
                <w:sz w:val="20"/>
                <w:szCs w:val="20"/>
                <w:highlight w:val="none"/>
              </w:rPr>
              <w:t>宕渣</w:t>
            </w:r>
          </w:p>
          <w:p w14:paraId="63F07B7A">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709" w:type="dxa"/>
            <w:vAlign w:val="center"/>
          </w:tcPr>
          <w:p w14:paraId="1BBDF4E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616905E0">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851" w:type="dxa"/>
            <w:vAlign w:val="center"/>
          </w:tcPr>
          <w:p w14:paraId="151358EA">
            <w:pPr>
              <w:widowControl w:val="0"/>
              <w:adjustRightInd w:val="0"/>
              <w:snapToGrid w:val="0"/>
              <w:jc w:val="center"/>
              <w:rPr>
                <w:rFonts w:cs="宋体"/>
                <w:snapToGrid w:val="0"/>
                <w:color w:val="auto"/>
                <w:kern w:val="0"/>
                <w:szCs w:val="21"/>
                <w:highlight w:val="none"/>
              </w:rPr>
            </w:pPr>
            <w:r>
              <w:rPr>
                <w:color w:val="auto"/>
                <w:highlight w:val="none"/>
              </w:rPr>
              <w:t>7.89</w:t>
            </w:r>
          </w:p>
        </w:tc>
        <w:tc>
          <w:tcPr>
            <w:tcW w:w="850" w:type="dxa"/>
            <w:vAlign w:val="center"/>
          </w:tcPr>
          <w:p w14:paraId="2246CA1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10C4DB2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B195E55">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4744CEED">
            <w:pPr>
              <w:widowControl w:val="0"/>
              <w:adjustRightInd w:val="0"/>
              <w:snapToGrid w:val="0"/>
              <w:jc w:val="center"/>
              <w:rPr>
                <w:rFonts w:cs="宋体"/>
                <w:snapToGrid w:val="0"/>
                <w:color w:val="auto"/>
                <w:kern w:val="0"/>
                <w:szCs w:val="21"/>
                <w:highlight w:val="none"/>
              </w:rPr>
            </w:pPr>
            <w:r>
              <w:rPr>
                <w:color w:val="auto"/>
                <w:highlight w:val="none"/>
              </w:rPr>
              <w:t>12.2</w:t>
            </w:r>
          </w:p>
        </w:tc>
        <w:tc>
          <w:tcPr>
            <w:tcW w:w="1238" w:type="dxa"/>
            <w:vMerge w:val="continue"/>
            <w:vAlign w:val="center"/>
          </w:tcPr>
          <w:p w14:paraId="35C3313D">
            <w:pPr>
              <w:widowControl w:val="0"/>
              <w:adjustRightInd w:val="0"/>
              <w:snapToGrid w:val="0"/>
              <w:jc w:val="center"/>
              <w:rPr>
                <w:rFonts w:cs="宋体"/>
                <w:snapToGrid w:val="0"/>
                <w:color w:val="auto"/>
                <w:kern w:val="0"/>
                <w:szCs w:val="21"/>
                <w:highlight w:val="none"/>
              </w:rPr>
            </w:pPr>
          </w:p>
        </w:tc>
      </w:tr>
      <w:tr w14:paraId="61032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54B738D9">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266" w:type="dxa"/>
            <w:vAlign w:val="center"/>
          </w:tcPr>
          <w:p w14:paraId="140CBE64">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水洗碎石（陆运）</w:t>
            </w:r>
          </w:p>
        </w:tc>
        <w:tc>
          <w:tcPr>
            <w:tcW w:w="709" w:type="dxa"/>
            <w:vAlign w:val="center"/>
          </w:tcPr>
          <w:p w14:paraId="47F0C8D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7B5590A8">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851" w:type="dxa"/>
            <w:vAlign w:val="center"/>
          </w:tcPr>
          <w:p w14:paraId="1C9B71D9">
            <w:pPr>
              <w:widowControl w:val="0"/>
              <w:adjustRightInd w:val="0"/>
              <w:snapToGrid w:val="0"/>
              <w:jc w:val="center"/>
              <w:rPr>
                <w:rFonts w:cs="宋体"/>
                <w:snapToGrid w:val="0"/>
                <w:color w:val="auto"/>
                <w:kern w:val="0"/>
                <w:szCs w:val="21"/>
                <w:highlight w:val="none"/>
              </w:rPr>
            </w:pPr>
            <w:r>
              <w:rPr>
                <w:color w:val="auto"/>
                <w:highlight w:val="none"/>
              </w:rPr>
              <w:t>19.65</w:t>
            </w:r>
          </w:p>
        </w:tc>
        <w:tc>
          <w:tcPr>
            <w:tcW w:w="850" w:type="dxa"/>
            <w:vAlign w:val="center"/>
          </w:tcPr>
          <w:p w14:paraId="126B4C3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39572D7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07858D7">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03F520CD">
            <w:pPr>
              <w:widowControl w:val="0"/>
              <w:adjustRightInd w:val="0"/>
              <w:snapToGrid w:val="0"/>
              <w:jc w:val="center"/>
              <w:rPr>
                <w:rFonts w:cs="宋体"/>
                <w:snapToGrid w:val="0"/>
                <w:color w:val="auto"/>
                <w:kern w:val="0"/>
                <w:szCs w:val="21"/>
                <w:highlight w:val="none"/>
              </w:rPr>
            </w:pPr>
            <w:r>
              <w:rPr>
                <w:color w:val="auto"/>
                <w:highlight w:val="none"/>
              </w:rPr>
              <w:t>23.96</w:t>
            </w:r>
          </w:p>
        </w:tc>
        <w:tc>
          <w:tcPr>
            <w:tcW w:w="1238" w:type="dxa"/>
            <w:vMerge w:val="restart"/>
            <w:vAlign w:val="center"/>
          </w:tcPr>
          <w:p w14:paraId="6DF8132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14:paraId="2096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20E662D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266" w:type="dxa"/>
            <w:vAlign w:val="center"/>
          </w:tcPr>
          <w:p w14:paraId="416B795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水洗碎石（海运）</w:t>
            </w:r>
          </w:p>
        </w:tc>
        <w:tc>
          <w:tcPr>
            <w:tcW w:w="709" w:type="dxa"/>
            <w:vAlign w:val="center"/>
          </w:tcPr>
          <w:p w14:paraId="531A321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2F00FE31">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851" w:type="dxa"/>
            <w:vAlign w:val="center"/>
          </w:tcPr>
          <w:p w14:paraId="5424631C">
            <w:pPr>
              <w:widowControl w:val="0"/>
              <w:adjustRightInd w:val="0"/>
              <w:snapToGrid w:val="0"/>
              <w:jc w:val="center"/>
              <w:rPr>
                <w:rFonts w:cs="宋体"/>
                <w:snapToGrid w:val="0"/>
                <w:color w:val="auto"/>
                <w:kern w:val="0"/>
                <w:szCs w:val="21"/>
                <w:highlight w:val="none"/>
              </w:rPr>
            </w:pPr>
            <w:r>
              <w:rPr>
                <w:color w:val="auto"/>
                <w:highlight w:val="none"/>
              </w:rPr>
              <w:t>21.65</w:t>
            </w:r>
          </w:p>
        </w:tc>
        <w:tc>
          <w:tcPr>
            <w:tcW w:w="850" w:type="dxa"/>
            <w:vAlign w:val="center"/>
          </w:tcPr>
          <w:p w14:paraId="12FB03B0">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42C93A9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3CD9DA3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0C96747D">
            <w:pPr>
              <w:widowControl w:val="0"/>
              <w:adjustRightInd w:val="0"/>
              <w:snapToGrid w:val="0"/>
              <w:jc w:val="center"/>
              <w:rPr>
                <w:rFonts w:cs="宋体"/>
                <w:snapToGrid w:val="0"/>
                <w:color w:val="auto"/>
                <w:kern w:val="0"/>
                <w:szCs w:val="21"/>
                <w:highlight w:val="none"/>
              </w:rPr>
            </w:pPr>
            <w:r>
              <w:rPr>
                <w:color w:val="auto"/>
                <w:highlight w:val="none"/>
              </w:rPr>
              <w:t>25.96</w:t>
            </w:r>
          </w:p>
        </w:tc>
        <w:tc>
          <w:tcPr>
            <w:tcW w:w="1238" w:type="dxa"/>
            <w:vMerge w:val="continue"/>
            <w:vAlign w:val="center"/>
          </w:tcPr>
          <w:p w14:paraId="02FF8B79">
            <w:pPr>
              <w:widowControl w:val="0"/>
              <w:adjustRightInd w:val="0"/>
              <w:snapToGrid w:val="0"/>
              <w:jc w:val="center"/>
              <w:rPr>
                <w:rFonts w:cs="宋体"/>
                <w:snapToGrid w:val="0"/>
                <w:color w:val="auto"/>
                <w:kern w:val="0"/>
                <w:szCs w:val="21"/>
                <w:highlight w:val="none"/>
              </w:rPr>
            </w:pPr>
          </w:p>
        </w:tc>
      </w:tr>
      <w:tr w14:paraId="2F604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596C589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266" w:type="dxa"/>
            <w:vAlign w:val="center"/>
          </w:tcPr>
          <w:p w14:paraId="2C90872E">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709" w:type="dxa"/>
            <w:vAlign w:val="center"/>
          </w:tcPr>
          <w:p w14:paraId="3110062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49E3552E">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851" w:type="dxa"/>
            <w:vAlign w:val="center"/>
          </w:tcPr>
          <w:p w14:paraId="31479549">
            <w:pPr>
              <w:widowControl w:val="0"/>
              <w:adjustRightInd w:val="0"/>
              <w:snapToGrid w:val="0"/>
              <w:jc w:val="center"/>
              <w:rPr>
                <w:rFonts w:cs="宋体"/>
                <w:snapToGrid w:val="0"/>
                <w:color w:val="auto"/>
                <w:kern w:val="0"/>
                <w:szCs w:val="21"/>
                <w:highlight w:val="none"/>
              </w:rPr>
            </w:pPr>
            <w:r>
              <w:rPr>
                <w:color w:val="auto"/>
                <w:highlight w:val="none"/>
              </w:rPr>
              <w:t>21.65</w:t>
            </w:r>
          </w:p>
        </w:tc>
        <w:tc>
          <w:tcPr>
            <w:tcW w:w="850" w:type="dxa"/>
            <w:vAlign w:val="center"/>
          </w:tcPr>
          <w:p w14:paraId="412E694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7C0B4AD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40BC28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345E02C8">
            <w:pPr>
              <w:widowControl w:val="0"/>
              <w:adjustRightInd w:val="0"/>
              <w:snapToGrid w:val="0"/>
              <w:jc w:val="center"/>
              <w:rPr>
                <w:rFonts w:cs="宋体"/>
                <w:snapToGrid w:val="0"/>
                <w:color w:val="auto"/>
                <w:kern w:val="0"/>
                <w:szCs w:val="21"/>
                <w:highlight w:val="none"/>
              </w:rPr>
            </w:pPr>
            <w:r>
              <w:rPr>
                <w:color w:val="auto"/>
                <w:highlight w:val="none"/>
              </w:rPr>
              <w:t>25.96</w:t>
            </w:r>
          </w:p>
        </w:tc>
        <w:tc>
          <w:tcPr>
            <w:tcW w:w="1238" w:type="dxa"/>
            <w:vMerge w:val="restart"/>
            <w:vAlign w:val="center"/>
          </w:tcPr>
          <w:p w14:paraId="2236E79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14:paraId="7E018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1A99959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266" w:type="dxa"/>
            <w:vAlign w:val="center"/>
          </w:tcPr>
          <w:p w14:paraId="110C0A4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709" w:type="dxa"/>
            <w:vAlign w:val="center"/>
          </w:tcPr>
          <w:p w14:paraId="6FE16E1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34" w:type="dxa"/>
            <w:vAlign w:val="center"/>
          </w:tcPr>
          <w:p w14:paraId="0F9A57DC">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851" w:type="dxa"/>
            <w:vAlign w:val="center"/>
          </w:tcPr>
          <w:p w14:paraId="2F293C82">
            <w:pPr>
              <w:widowControl w:val="0"/>
              <w:adjustRightInd w:val="0"/>
              <w:snapToGrid w:val="0"/>
              <w:jc w:val="center"/>
              <w:rPr>
                <w:rFonts w:cs="宋体"/>
                <w:snapToGrid w:val="0"/>
                <w:color w:val="auto"/>
                <w:kern w:val="0"/>
                <w:szCs w:val="21"/>
                <w:highlight w:val="none"/>
              </w:rPr>
            </w:pPr>
            <w:r>
              <w:rPr>
                <w:color w:val="auto"/>
                <w:highlight w:val="none"/>
              </w:rPr>
              <w:t>23.65</w:t>
            </w:r>
          </w:p>
        </w:tc>
        <w:tc>
          <w:tcPr>
            <w:tcW w:w="850" w:type="dxa"/>
            <w:vAlign w:val="center"/>
          </w:tcPr>
          <w:p w14:paraId="5D68C28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992" w:type="dxa"/>
            <w:vAlign w:val="center"/>
          </w:tcPr>
          <w:p w14:paraId="77D3F93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1134" w:type="dxa"/>
            <w:vAlign w:val="center"/>
          </w:tcPr>
          <w:p w14:paraId="6119E28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51" w:type="dxa"/>
            <w:vAlign w:val="center"/>
          </w:tcPr>
          <w:p w14:paraId="521A819D">
            <w:pPr>
              <w:widowControl w:val="0"/>
              <w:adjustRightInd w:val="0"/>
              <w:snapToGrid w:val="0"/>
              <w:jc w:val="center"/>
              <w:rPr>
                <w:rFonts w:cs="宋体"/>
                <w:snapToGrid w:val="0"/>
                <w:color w:val="auto"/>
                <w:kern w:val="0"/>
                <w:szCs w:val="21"/>
                <w:highlight w:val="none"/>
              </w:rPr>
            </w:pPr>
            <w:r>
              <w:rPr>
                <w:color w:val="auto"/>
                <w:highlight w:val="none"/>
              </w:rPr>
              <w:t>27.96</w:t>
            </w:r>
          </w:p>
        </w:tc>
        <w:tc>
          <w:tcPr>
            <w:tcW w:w="1238" w:type="dxa"/>
            <w:vMerge w:val="continue"/>
            <w:vAlign w:val="center"/>
          </w:tcPr>
          <w:p w14:paraId="5C0319CC">
            <w:pPr>
              <w:widowControl w:val="0"/>
              <w:adjustRightInd w:val="0"/>
              <w:snapToGrid w:val="0"/>
              <w:jc w:val="center"/>
              <w:rPr>
                <w:rFonts w:cs="宋体"/>
                <w:snapToGrid w:val="0"/>
                <w:color w:val="auto"/>
                <w:kern w:val="0"/>
                <w:szCs w:val="21"/>
                <w:highlight w:val="none"/>
              </w:rPr>
            </w:pPr>
          </w:p>
        </w:tc>
      </w:tr>
      <w:tr w14:paraId="429E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7" w:type="dxa"/>
            <w:vAlign w:val="center"/>
          </w:tcPr>
          <w:p w14:paraId="1BB3F0D4">
            <w:pPr>
              <w:widowControl w:val="0"/>
              <w:adjustRightInd w:val="0"/>
              <w:snapToGrid w:val="0"/>
              <w:jc w:val="center"/>
              <w:rPr>
                <w:rFonts w:cs="宋体"/>
                <w:snapToGrid w:val="0"/>
                <w:color w:val="auto"/>
                <w:kern w:val="0"/>
                <w:szCs w:val="21"/>
                <w:highlight w:val="none"/>
              </w:rPr>
            </w:pPr>
          </w:p>
        </w:tc>
        <w:tc>
          <w:tcPr>
            <w:tcW w:w="1266" w:type="dxa"/>
            <w:vAlign w:val="center"/>
          </w:tcPr>
          <w:p w14:paraId="612AC54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709" w:type="dxa"/>
            <w:vAlign w:val="center"/>
          </w:tcPr>
          <w:p w14:paraId="4549A2AE">
            <w:pPr>
              <w:widowControl w:val="0"/>
              <w:adjustRightInd w:val="0"/>
              <w:snapToGrid w:val="0"/>
              <w:jc w:val="center"/>
              <w:rPr>
                <w:rFonts w:cs="宋体"/>
                <w:snapToGrid w:val="0"/>
                <w:color w:val="auto"/>
                <w:kern w:val="0"/>
                <w:szCs w:val="21"/>
                <w:highlight w:val="none"/>
              </w:rPr>
            </w:pPr>
          </w:p>
        </w:tc>
        <w:tc>
          <w:tcPr>
            <w:tcW w:w="1134" w:type="dxa"/>
            <w:vAlign w:val="center"/>
          </w:tcPr>
          <w:p w14:paraId="3458B3D2">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851" w:type="dxa"/>
            <w:vAlign w:val="center"/>
          </w:tcPr>
          <w:p w14:paraId="49F743EC">
            <w:pPr>
              <w:widowControl w:val="0"/>
              <w:adjustRightInd w:val="0"/>
              <w:snapToGrid w:val="0"/>
              <w:jc w:val="center"/>
              <w:rPr>
                <w:rFonts w:cs="宋体"/>
                <w:snapToGrid w:val="0"/>
                <w:color w:val="auto"/>
                <w:kern w:val="0"/>
                <w:szCs w:val="21"/>
                <w:highlight w:val="none"/>
              </w:rPr>
            </w:pPr>
          </w:p>
        </w:tc>
        <w:tc>
          <w:tcPr>
            <w:tcW w:w="850" w:type="dxa"/>
            <w:vAlign w:val="center"/>
          </w:tcPr>
          <w:p w14:paraId="043300BA">
            <w:pPr>
              <w:widowControl w:val="0"/>
              <w:adjustRightInd w:val="0"/>
              <w:snapToGrid w:val="0"/>
              <w:jc w:val="center"/>
              <w:rPr>
                <w:rFonts w:cs="宋体"/>
                <w:snapToGrid w:val="0"/>
                <w:color w:val="auto"/>
                <w:kern w:val="0"/>
                <w:szCs w:val="21"/>
                <w:highlight w:val="none"/>
              </w:rPr>
            </w:pPr>
          </w:p>
        </w:tc>
        <w:tc>
          <w:tcPr>
            <w:tcW w:w="992" w:type="dxa"/>
            <w:vAlign w:val="center"/>
          </w:tcPr>
          <w:p w14:paraId="2CE1E25B">
            <w:pPr>
              <w:widowControl w:val="0"/>
              <w:adjustRightInd w:val="0"/>
              <w:snapToGrid w:val="0"/>
              <w:jc w:val="center"/>
              <w:rPr>
                <w:rFonts w:cs="宋体"/>
                <w:snapToGrid w:val="0"/>
                <w:color w:val="auto"/>
                <w:kern w:val="0"/>
                <w:szCs w:val="21"/>
                <w:highlight w:val="none"/>
              </w:rPr>
            </w:pPr>
          </w:p>
        </w:tc>
        <w:tc>
          <w:tcPr>
            <w:tcW w:w="1134" w:type="dxa"/>
            <w:vAlign w:val="center"/>
          </w:tcPr>
          <w:p w14:paraId="26A5C5B2">
            <w:pPr>
              <w:widowControl w:val="0"/>
              <w:adjustRightInd w:val="0"/>
              <w:snapToGrid w:val="0"/>
              <w:jc w:val="center"/>
              <w:rPr>
                <w:rFonts w:cs="宋体"/>
                <w:snapToGrid w:val="0"/>
                <w:color w:val="auto"/>
                <w:kern w:val="0"/>
                <w:szCs w:val="21"/>
                <w:highlight w:val="none"/>
              </w:rPr>
            </w:pPr>
          </w:p>
        </w:tc>
        <w:tc>
          <w:tcPr>
            <w:tcW w:w="851" w:type="dxa"/>
            <w:vAlign w:val="center"/>
          </w:tcPr>
          <w:p w14:paraId="3077568A">
            <w:pPr>
              <w:widowControl w:val="0"/>
              <w:adjustRightInd w:val="0"/>
              <w:snapToGrid w:val="0"/>
              <w:jc w:val="center"/>
              <w:rPr>
                <w:rFonts w:cs="宋体"/>
                <w:snapToGrid w:val="0"/>
                <w:color w:val="auto"/>
                <w:kern w:val="0"/>
                <w:szCs w:val="21"/>
                <w:highlight w:val="none"/>
              </w:rPr>
            </w:pPr>
          </w:p>
        </w:tc>
        <w:tc>
          <w:tcPr>
            <w:tcW w:w="1238" w:type="dxa"/>
            <w:vAlign w:val="center"/>
          </w:tcPr>
          <w:p w14:paraId="2DF59D43">
            <w:pPr>
              <w:widowControl w:val="0"/>
              <w:adjustRightInd w:val="0"/>
              <w:snapToGrid w:val="0"/>
              <w:jc w:val="center"/>
              <w:rPr>
                <w:rFonts w:cs="宋体"/>
                <w:snapToGrid w:val="0"/>
                <w:color w:val="auto"/>
                <w:kern w:val="0"/>
                <w:szCs w:val="21"/>
                <w:highlight w:val="none"/>
              </w:rPr>
            </w:pPr>
          </w:p>
        </w:tc>
      </w:tr>
    </w:tbl>
    <w:p w14:paraId="19AA1FEE">
      <w:pPr>
        <w:widowControl w:val="0"/>
        <w:adjustRightInd w:val="0"/>
        <w:snapToGrid w:val="0"/>
        <w:ind w:firstLine="420" w:firstLineChars="200"/>
        <w:rPr>
          <w:color w:val="auto"/>
          <w:highlight w:val="none"/>
        </w:rPr>
      </w:pPr>
      <w:r>
        <w:rPr>
          <w:rFonts w:hint="eastAsia"/>
          <w:color w:val="auto"/>
          <w:highlight w:val="none"/>
        </w:rPr>
        <w:t>备注：1、以上表中安全生产费、外运配套码头、地质治理与复垦为</w:t>
      </w:r>
      <w:r>
        <w:rPr>
          <w:rFonts w:hint="eastAsia"/>
          <w:b/>
          <w:bCs/>
          <w:color w:val="auto"/>
          <w:highlight w:val="none"/>
        </w:rPr>
        <w:t>暂定单价，供应商报价时不得更改</w:t>
      </w:r>
      <w:r>
        <w:rPr>
          <w:rFonts w:hint="eastAsia"/>
          <w:color w:val="auto"/>
          <w:highlight w:val="none"/>
        </w:rPr>
        <w:t>。</w:t>
      </w:r>
    </w:p>
    <w:p w14:paraId="6E8ADAE6">
      <w:pPr>
        <w:widowControl w:val="0"/>
        <w:adjustRightInd w:val="0"/>
        <w:snapToGrid w:val="0"/>
        <w:ind w:firstLine="420" w:firstLineChars="200"/>
        <w:rPr>
          <w:color w:val="auto"/>
          <w:highlight w:val="none"/>
        </w:rPr>
      </w:pPr>
      <w:r>
        <w:rPr>
          <w:rFonts w:hint="eastAsia"/>
          <w:color w:val="auto"/>
          <w:highlight w:val="none"/>
        </w:rPr>
        <w:t>2、外运配套码头暂定单价包括码头、航道疏浚、码头水域疏浚和维护期疏浚费用，暂定单价按</w:t>
      </w:r>
      <w:r>
        <w:rPr>
          <w:color w:val="auto"/>
          <w:highlight w:val="none"/>
          <w:u w:val="single"/>
        </w:rPr>
        <w:t>2.</w:t>
      </w:r>
      <w:r>
        <w:rPr>
          <w:rFonts w:hint="eastAsia"/>
          <w:color w:val="auto"/>
          <w:highlight w:val="none"/>
          <w:u w:val="single"/>
        </w:rPr>
        <w:t>55</w:t>
      </w:r>
      <w:r>
        <w:rPr>
          <w:rFonts w:hint="eastAsia"/>
          <w:color w:val="auto"/>
          <w:highlight w:val="none"/>
        </w:rPr>
        <w:t>元/吨计入，地质治理与复垦暂定单价包括矿山地质环境保护与土地复垦费，暂定单价按</w:t>
      </w:r>
      <w:r>
        <w:rPr>
          <w:rFonts w:hint="eastAsia" w:cs="宋体"/>
          <w:snapToGrid w:val="0"/>
          <w:color w:val="auto"/>
          <w:kern w:val="0"/>
          <w:szCs w:val="21"/>
          <w:highlight w:val="none"/>
          <w:u w:val="single"/>
        </w:rPr>
        <w:t>0.26</w:t>
      </w:r>
      <w:r>
        <w:rPr>
          <w:rFonts w:hint="eastAsia"/>
          <w:color w:val="auto"/>
          <w:highlight w:val="none"/>
        </w:rPr>
        <w:t>元/吨计入。结算时此部分费用按实调整（即石料开采加工费结算单价中此部分应分摊价格的调整方式为：结算价/实际开采量）。</w:t>
      </w:r>
    </w:p>
    <w:p w14:paraId="20695956">
      <w:pPr>
        <w:widowControl w:val="0"/>
        <w:adjustRightInd w:val="0"/>
        <w:snapToGrid w:val="0"/>
        <w:rPr>
          <w:color w:val="auto"/>
          <w:highlight w:val="none"/>
        </w:rPr>
      </w:pPr>
    </w:p>
    <w:p w14:paraId="621D77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2、本项目按现状场地提供，所有用水用电由供应商自行接入，水电费用按表计量和支付，费用包含在合同价内。如施工用水用电负荷不能满足供应商要求，由供应商自行解决。</w:t>
      </w:r>
    </w:p>
    <w:p w14:paraId="0B8A2E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的投标报价，应是完成本须知和合同条款中的招标内容和范围以及在规定的工期内完工的全部，包括完成本项目设计、采购、施工、保修、利润、税金、开办费、风险费、政策性文件规定的费用等所有费用及合同中明示或暗示的风险和责任，并且不得以任何理由予以重复，作为供应商计算单价或总价的依据。上述费用均合理或隐含地包含在投标报价内。供应商不得以任何理由要求增加。投标报价应是招标文件所确定的招标项目的全部工作内容的投标价格体现。</w:t>
      </w:r>
    </w:p>
    <w:p w14:paraId="37188B4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4、投标报价及费用：</w:t>
      </w:r>
    </w:p>
    <w:p w14:paraId="66473F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综合单价包括完成采购范围内容的所有开采费、加工费、场内运输费、装卸费、设备费、措施费、保险费及成交供应商的规费、税（金）、利润、管理费等一切费用；还包括以暂估价报价的外运配套码头和矿山地质环境保护与土地复垦费。</w:t>
      </w:r>
    </w:p>
    <w:p w14:paraId="041316F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（2）本项目石料开采加工的各类措施费不另计算，相关费用已包含在项目综合单价中，措施费包括但不限于以下内容：</w:t>
      </w:r>
    </w:p>
    <w:p w14:paraId="3288A7D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1）矿山开拓开采费用（包括穿孔、爆破、局部机械破岩、挖装、运输等）；</w:t>
      </w:r>
    </w:p>
    <w:p w14:paraId="3F9BA13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2）石料堆场、附属办公生活区、辅助设施工程（含安全设施）建设费用；</w:t>
      </w:r>
    </w:p>
    <w:p w14:paraId="5084D17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3）临时用电、用水线路及配套设施；</w:t>
      </w:r>
    </w:p>
    <w:p w14:paraId="0EFF114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4）根据采购人及监管部门批准的监控方案，进行监控设备的采购、安装、调试、迁移、拆除以及通讯单位的相关费用；</w:t>
      </w:r>
    </w:p>
    <w:p w14:paraId="6A47A7B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5）进出场外临时道路（含矿区内运输道路）修筑、维护、拓宽等一切费用；</w:t>
      </w:r>
    </w:p>
    <w:p w14:paraId="59FAE5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6）爆破器材、炸药临时存放管理用房建设或租赁费用；</w:t>
      </w:r>
    </w:p>
    <w:p w14:paraId="094962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7）排水沟、截水沟及采场边界围墙的建设；</w:t>
      </w:r>
    </w:p>
    <w:p w14:paraId="5F5D6D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8）表层植被清运（含伐树、挖树兜）；</w:t>
      </w:r>
    </w:p>
    <w:p w14:paraId="1E46A76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9）爆破可能产生影响的监测、评估费用及由于爆破影响引起的相关赔偿费用；</w:t>
      </w:r>
    </w:p>
    <w:p w14:paraId="183BF0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10）安全生产费；采购人按3元/吨计提，其中列入成交供应商范围使用的安全生产费用为1.5元/吨。安全生产费包括但不限于以下内容：安全防护措施、警示标识费用、安全生产标准化费用、应急预案费用等；</w:t>
      </w:r>
    </w:p>
    <w:p w14:paraId="4E97055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11）矿山在开采过程中，如遇地质环境相对复杂，需对局部边坡进行加固施工措施；</w:t>
      </w:r>
    </w:p>
    <w:p w14:paraId="12B5F3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12）创建省级绿色矿山及矿山管理、矿山运营服务等相应费用；</w:t>
      </w:r>
    </w:p>
    <w:p w14:paraId="6953840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13）施工场地范围内为完成本项目的所有涉及的相关手续及费用；</w:t>
      </w:r>
    </w:p>
    <w:p w14:paraId="6CF8B2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14）基建期（码头未建成或未符合使用条件之前）产生的宕渣二次上车和短驳至堆场的费用及矿山开采过程中产生的预剥离宕渣二次上车和短驳至堆场的费用。</w:t>
      </w:r>
    </w:p>
    <w:p w14:paraId="397A86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（3）本项目石料开采加工综合单价还包括以下费用及风险：</w:t>
      </w:r>
    </w:p>
    <w:p w14:paraId="2C8CE2E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1）本工程的保险费（含第三者责任险）由成交供应商进行投保，相关费用已包含在单价中。</w:t>
      </w:r>
    </w:p>
    <w:p w14:paraId="7C1A2BD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2）采购人对于石料开采加工需求可能存在不确定性、不均衡性，供应商应充分考虑风险性，必须根据采购人的要求安排生产且不得以此为理由向采购人进行费用索赔。</w:t>
      </w:r>
    </w:p>
    <w:p w14:paraId="751E3E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3）成交供应商需自行妥善处理好与相关管理部门的关系，自行处理好与运输途中各镇、乡、村等周边邻里关系，不得以外部因素干扰而影响工期或提出索赔要求。</w:t>
      </w:r>
    </w:p>
    <w:p w14:paraId="2202F3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5、投标报价中包含的风险范围</w:t>
      </w:r>
    </w:p>
    <w:p w14:paraId="7EDD58F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所报全费用综合单价包含但不限于前期准备费、场地测量费、临建、临水、临电建设费、场地建设费（含相关职能部门的报建、报批等）、风险管控费、材料费、人工费、施工机械使用费、运输及装卸费、仓储费、临时水电费及接入费（若有）、技术服务费（含施工组织设计方案编制费、资料费）、施工组织措施费、技术措施费、安全文明施工费、企业管理费、利润、规费、税金以及有关部门办理相关许可手续费、政策性文件相关规定费用</w:t>
      </w:r>
      <w:r>
        <w:rPr>
          <w:rFonts w:hint="eastAsia" w:cs="宋体"/>
          <w:snapToGrid w:val="0"/>
          <w:color w:val="auto"/>
          <w:kern w:val="0"/>
          <w:sz w:val="24"/>
          <w:szCs w:val="21"/>
          <w:highlight w:val="none"/>
        </w:rPr>
        <w:t>（如扬尘税等）</w:t>
      </w:r>
      <w:r>
        <w:rPr>
          <w:rFonts w:hint="eastAsia" w:cs="宋体"/>
          <w:snapToGrid w:val="0"/>
          <w:color w:val="auto"/>
          <w:kern w:val="0"/>
          <w:sz w:val="24"/>
          <w:szCs w:val="21"/>
          <w:highlight w:val="none"/>
        </w:rPr>
        <w:t>、开办费、保险费、保修期内的保修费用及合同中明示或暗示的所有责任、义务和风险等所有履行合同所必须的所有成本和费用。</w:t>
      </w:r>
    </w:p>
    <w:p w14:paraId="3F4C7C6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（2）综合单价应包含完成该项内容项目特征描述所必须的人工、材料、机械、管理费、利润、规费、税金等费用。</w:t>
      </w:r>
    </w:p>
    <w:p w14:paraId="744C59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（3）供应商应考虑</w:t>
      </w:r>
      <w:r>
        <w:rPr>
          <w:rFonts w:hint="eastAsia" w:cs="宋体"/>
          <w:snapToGrid w:val="0"/>
          <w:color w:val="auto"/>
          <w:kern w:val="0"/>
          <w:sz w:val="24"/>
          <w:szCs w:val="21"/>
          <w:highlight w:val="none"/>
        </w:rPr>
        <w:t>污水、泥饼处理</w:t>
      </w:r>
      <w:r>
        <w:rPr>
          <w:rFonts w:hint="eastAsia" w:cs="宋体"/>
          <w:snapToGrid w:val="0"/>
          <w:color w:val="auto"/>
          <w:kern w:val="0"/>
          <w:sz w:val="24"/>
          <w:szCs w:val="21"/>
          <w:highlight w:val="none"/>
        </w:rPr>
        <w:t>，相关费用包含在投标总报价内。</w:t>
      </w:r>
    </w:p>
    <w:p w14:paraId="1361A4D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（4）供应商需按采购人及管理部门要求考虑在线监控费用，相关费用在投标总价中综合考虑。</w:t>
      </w:r>
    </w:p>
    <w:p w14:paraId="26BD4E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综合考虑施工现场条件，如工地位置、情况、道路、储存空间、装卸限制、场内二次搬运、冬雨季施工、夜间和节假日赶工、停水、停电及任何其他足以影响承包价的情况，均包含在合同总价范围之内，现场不得发生与之相关的签证。</w:t>
      </w:r>
    </w:p>
    <w:p w14:paraId="706F35D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（6）为完成本项目工作进行的各类评审费、会务费、专家评审费用、考察费、专家咨询费、预算编制费、竣工图编制费等费用均由成交供应商支付，在投标报价中予以综合考虑。</w:t>
      </w:r>
    </w:p>
    <w:p w14:paraId="419D7A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（7）落实安全生产文明施工措施（包括扬尘噪声、环境空气、废水废气排放等）所需的所有费用，供应商必须按照项目所在地相关规定考虑，包含在投标总报价中。</w:t>
      </w:r>
    </w:p>
    <w:p w14:paraId="1DDC41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（8）供应商应充分考虑施工对周边环境可能产生的影响，实施过程中须采取措施予以控制，确保不产生环境污染。若因施工过程中造成环境污染，其后果和相关费用由成交供应商自行承担，与采购人无涉。</w:t>
      </w:r>
    </w:p>
    <w:p w14:paraId="64CF60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（9）因成交供应商原因致使工程不能持续进行的（如因施工中的各项措施不到位，致使周边居民阻工等情况），由成交供应商自行通过优化施工组织措施消除隐患，并采取合理措施避免影响工期。</w:t>
      </w:r>
    </w:p>
    <w:p w14:paraId="02A6EE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（10）冬、雨季施工、夜间施工以及材料二次搬运可能发生的一切费用。</w:t>
      </w:r>
    </w:p>
    <w:p w14:paraId="59097D2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（11）满足合同工期要求的赶工措施等全部费用。</w:t>
      </w:r>
    </w:p>
    <w:p w14:paraId="7A7A38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供应商在报价中应结合采购人提供的资料，充分考虑价格清单可能未列出，但在保证达到招标文件及合同规定的质量、工期、安全的前提下，所不可缺少的全部费用。无论供应商在投标报价时是否完整增加填写所需内容，都视为该部分费用已经包含在投标总价中。</w:t>
      </w:r>
    </w:p>
    <w:p w14:paraId="399286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（13）招标文件中所提供的资料是采购人已有的能够提供的本项目全部资料，对采购人已提供资料的理解和使用的风险由成交供应商自行承担；供应商自行踏勘和收集的资料，其责任和风险由供应商自行承担。</w:t>
      </w:r>
    </w:p>
    <w:p w14:paraId="7FF3E3F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（14）供应商应根据采购人提供的资料，自行仔细踏勘施工现场的地质、地貌情况，进行全面、科学的设计，供应商要根据现场勘察的实际情况结合自身经验，考虑各种可能存在的风险因素进行报价。</w:t>
      </w:r>
    </w:p>
    <w:p w14:paraId="04CFDFB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15）供应商应到施工现场踏勘以充分了解工地位置、情况、道路、储存空间、装卸限制及任何其他足以影响承包价的情况。任何因忽视或误解工地情况而导致的索赔或工期延长申请将不被批准。采购人对供应商在投标时自主作出的推论、解释和结论概不负责。</w:t>
      </w:r>
    </w:p>
    <w:p w14:paraId="35C634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（16）供应商在报价中要充分考虑合同规定的各种风险因素引起的费用变化。</w:t>
      </w:r>
    </w:p>
    <w:p w14:paraId="0FE9C3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（17）承担工程缺陷责任期内的缺陷修复和保修服务等工作。</w:t>
      </w:r>
    </w:p>
    <w:p w14:paraId="7EDAF7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（18）供应商应以开标一览表为基础，结合投标人须知、采购需求、合同条款等文件进行自主投标报价。供应商应预判可能增加的费用，充分考虑自身综合能力、环保规范要求和市场情况合理投标报价。</w:t>
      </w:r>
    </w:p>
    <w:p w14:paraId="663BFA4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19）开标一览表中的每一个细目，都需填入单价；开标一览表以“项”为单位的子目，细目数量虽未标出，供应商亦应按要求将总额价填入。对于没有填入单价或合价的细目，其费用应视为已包括在开标一览表的其他单价或合价中，成交供应商必须按</w:t>
      </w:r>
      <w:r>
        <w:rPr>
          <w:rFonts w:hint="eastAsia" w:cs="宋体"/>
          <w:snapToGrid w:val="0"/>
          <w:color w:val="auto"/>
          <w:kern w:val="0"/>
          <w:sz w:val="24"/>
          <w:szCs w:val="21"/>
          <w:highlight w:val="none"/>
        </w:rPr>
        <w:t>采购人或</w:t>
      </w:r>
      <w:r>
        <w:rPr>
          <w:rFonts w:hint="eastAsia" w:cs="宋体"/>
          <w:snapToGrid w:val="0"/>
          <w:color w:val="auto"/>
          <w:kern w:val="0"/>
          <w:sz w:val="24"/>
          <w:szCs w:val="21"/>
          <w:highlight w:val="none"/>
        </w:rPr>
        <w:t>监理工程师指令完成开标一览表中未填入单价或总额价的工程细目，但不能得到结算与支付。</w:t>
      </w:r>
    </w:p>
    <w:p w14:paraId="2B16003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内容在采购人提供的开标一览表中并不一定包含，但均属于风险包干范围。供应商在投标报价时应根据招标文件、采购需求、现场考察、自行进一步收集资料和了解的结果，自行测算上述风险费用的涉及金额，并进入投标总报价。凡属于上述风险范围内产生的费用一律不再另行计算，由此导致的索赔也不能得到批准。且一旦中标，成交供应商以其报价低为理由，不承担相应的风险责任的，视为违约，采购人将追究其相应的违约责任和由此给采购人造成的直接经济损失。</w:t>
      </w:r>
    </w:p>
    <w:p w14:paraId="2CFBA563">
      <w:pPr>
        <w:widowControl w:val="0"/>
        <w:adjustRightInd w:val="0"/>
        <w:snapToGrid w:val="0"/>
        <w:rPr>
          <w:color w:val="auto"/>
          <w:highlight w:val="none"/>
        </w:rPr>
      </w:pPr>
    </w:p>
    <w:bookmarkEnd w:id="58"/>
    <w:bookmarkEnd w:id="59"/>
    <w:bookmarkEnd w:id="60"/>
    <w:bookmarkEnd w:id="61"/>
    <w:bookmarkEnd w:id="62"/>
    <w:bookmarkEnd w:id="63"/>
    <w:bookmarkEnd w:id="64"/>
    <w:bookmarkEnd w:id="65"/>
    <w:bookmarkEnd w:id="66"/>
    <w:bookmarkEnd w:id="67"/>
    <w:bookmarkEnd w:id="68"/>
    <w:bookmarkEnd w:id="69"/>
    <w:p w14:paraId="7CE2C13D">
      <w:pPr>
        <w:widowControl w:val="0"/>
        <w:adjustRightInd w:val="0"/>
        <w:snapToGrid w:val="0"/>
        <w:rPr>
          <w:color w:val="auto"/>
          <w:highlight w:val="none"/>
        </w:rPr>
      </w:pPr>
    </w:p>
    <w:p w14:paraId="5FA13B43">
      <w:pPr>
        <w:widowControl w:val="0"/>
        <w:adjustRightInd w:val="0"/>
        <w:snapToGrid w:val="0"/>
        <w:rPr>
          <w:color w:val="auto"/>
          <w:highlight w:val="none"/>
        </w:rPr>
      </w:pPr>
    </w:p>
    <w:p w14:paraId="30461200">
      <w:pPr>
        <w:pStyle w:val="417"/>
        <w:rPr>
          <w:color w:val="auto"/>
          <w:highlight w:val="none"/>
        </w:rPr>
      </w:pPr>
      <w:bookmarkStart w:id="101" w:name="_Toc173761987"/>
      <w:r>
        <w:rPr>
          <w:rFonts w:hint="eastAsia"/>
          <w:color w:val="auto"/>
          <w:highlight w:val="none"/>
        </w:rPr>
        <w:t>六、结算</w:t>
      </w:r>
      <w:bookmarkEnd w:id="101"/>
    </w:p>
    <w:p w14:paraId="2CA0E31C">
      <w:pPr>
        <w:pStyle w:val="437"/>
        <w:keepNext w:val="0"/>
        <w:keepLines w:val="0"/>
        <w:adjustRightInd w:val="0"/>
        <w:snapToGrid w:val="0"/>
        <w:ind w:firstLine="480"/>
        <w:jc w:val="both"/>
        <w:rPr>
          <w:color w:val="auto"/>
          <w:sz w:val="24"/>
          <w:szCs w:val="24"/>
          <w:highlight w:val="none"/>
          <w:lang w:val="en-US"/>
        </w:rPr>
      </w:pPr>
      <w:bookmarkStart w:id="102" w:name="_Toc173761988"/>
      <w:r>
        <w:rPr>
          <w:rFonts w:hint="eastAsia"/>
          <w:color w:val="auto"/>
          <w:sz w:val="24"/>
          <w:szCs w:val="24"/>
          <w:highlight w:val="none"/>
          <w:lang w:val="en-US"/>
        </w:rPr>
        <w:t>（一）结算说明</w:t>
      </w:r>
      <w:bookmarkEnd w:id="102"/>
    </w:p>
    <w:p w14:paraId="37C59C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1、矿区及配套基础设施投资核定时：如达到投标承诺90%及以上的，按其投标相关费用执行；如未达到投标承诺90%的，按</w:t>
      </w:r>
      <w:r>
        <w:rPr>
          <w:rFonts w:hint="eastAsia" w:cs="宋体"/>
          <w:snapToGrid w:val="0"/>
          <w:color w:val="auto"/>
          <w:kern w:val="0"/>
          <w:sz w:val="24"/>
          <w:szCs w:val="21"/>
          <w:highlight w:val="none"/>
        </w:rPr>
        <w:t>最终审定的“矿区及配套基础设施投资”审定价，调整最终生产加工费结算单价。</w:t>
      </w:r>
    </w:p>
    <w:p w14:paraId="55771F0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14:paraId="7A5EF98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14:paraId="3322EDF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w:t>
      </w:r>
      <w:r>
        <w:rPr>
          <w:rFonts w:hint="eastAsia" w:cs="宋体"/>
          <w:b/>
          <w:bCs/>
          <w:snapToGrid w:val="0"/>
          <w:color w:val="auto"/>
          <w:kern w:val="0"/>
          <w:sz w:val="24"/>
          <w:szCs w:val="21"/>
          <w:highlight w:val="none"/>
        </w:rPr>
        <w:t>、</w:t>
      </w:r>
      <w:r>
        <w:rPr>
          <w:rFonts w:hint="eastAsia" w:cs="宋体"/>
          <w:snapToGrid w:val="0"/>
          <w:color w:val="auto"/>
          <w:kern w:val="0"/>
          <w:sz w:val="24"/>
          <w:szCs w:val="21"/>
          <w:highlight w:val="none"/>
        </w:rPr>
        <w:t>矿山地质环境保护与土地复垦费根据最终审定的价格进行分摊。</w:t>
      </w:r>
    </w:p>
    <w:p w14:paraId="5E0F245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3、矿山及外运配套码头基本建设期安全生产费用列入工程建设概算中，供应商应按照</w:t>
      </w:r>
      <w:r>
        <w:rPr>
          <w:rFonts w:hint="eastAsia" w:cs="宋体"/>
          <w:snapToGrid w:val="0"/>
          <w:color w:val="auto"/>
          <w:kern w:val="0"/>
          <w:sz w:val="24"/>
          <w:szCs w:val="21"/>
          <w:highlight w:val="none"/>
        </w:rPr>
        <w:t>码头设计施工图及《安全设施设计》</w:t>
      </w:r>
      <w:r>
        <w:rPr>
          <w:rFonts w:hint="eastAsia" w:cs="宋体"/>
          <w:snapToGrid w:val="0"/>
          <w:color w:val="auto"/>
          <w:kern w:val="0"/>
          <w:sz w:val="24"/>
          <w:szCs w:val="21"/>
          <w:highlight w:val="none"/>
        </w:rPr>
        <w:t>组织施工建设，供应商在基本建设期的安全投入应按照《企业安全生产费用提取和使用管理办法》（财资〔2022〕136号）文件规定提足、用足安全生产费用，工程完工后供应商应提供工程资料及安全设施购买发票，采购人提供工程监理资料给第三方咨询机构进行审核后，采购人按实结算。</w:t>
      </w:r>
    </w:p>
    <w:p w14:paraId="05F13B9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注：基本建设期安全费用包含在外运配套码头、矿山基础设施投资建设的组价中，根据采购人要求单独核算，供应商不应因安全费用发生变化而向采购人提出增加投资费用的要求。</w:t>
      </w:r>
    </w:p>
    <w:p w14:paraId="25131955">
      <w:pPr>
        <w:widowControl w:val="0"/>
        <w:adjustRightInd w:val="0"/>
        <w:snapToGrid w:val="0"/>
        <w:rPr>
          <w:color w:val="auto"/>
          <w:highlight w:val="none"/>
        </w:rPr>
      </w:pPr>
    </w:p>
    <w:p w14:paraId="7BD8B47D">
      <w:pPr>
        <w:pStyle w:val="437"/>
        <w:keepNext w:val="0"/>
        <w:keepLines w:val="0"/>
        <w:adjustRightInd w:val="0"/>
        <w:snapToGrid w:val="0"/>
        <w:ind w:firstLine="480"/>
        <w:jc w:val="both"/>
        <w:rPr>
          <w:color w:val="auto"/>
          <w:sz w:val="24"/>
          <w:szCs w:val="24"/>
          <w:highlight w:val="none"/>
          <w:lang w:val="en-US"/>
        </w:rPr>
      </w:pPr>
      <w:bookmarkStart w:id="103" w:name="_Toc173761989"/>
      <w:r>
        <w:rPr>
          <w:rFonts w:hint="eastAsia"/>
          <w:color w:val="auto"/>
          <w:sz w:val="24"/>
          <w:szCs w:val="24"/>
          <w:highlight w:val="none"/>
          <w:lang w:val="en-US"/>
        </w:rPr>
        <w:t>（二）费用结算</w:t>
      </w:r>
      <w:bookmarkEnd w:id="103"/>
    </w:p>
    <w:p w14:paraId="439116B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1、石料开采加工费结算：每个月石料开采加工费=各产品综合单价×当月销售量。</w:t>
      </w:r>
    </w:p>
    <w:p w14:paraId="41F4ED9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2、外运配套码头成交供应商如明示或暗示不建造，则各产品综合单价扣除外运配套码头的2.55元/吨暂定单价计算每个月石料开采加工费。成交供应商如有前期工作、设计等费用，结算时不得计算。</w:t>
      </w:r>
    </w:p>
    <w:p w14:paraId="152565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3、超额收益分成：当实际销售价超过【销售指导价×1.0</w:t>
      </w:r>
      <w:r>
        <w:rPr>
          <w:rFonts w:cs="宋体"/>
          <w:snapToGrid w:val="0"/>
          <w:color w:val="auto"/>
          <w:kern w:val="0"/>
          <w:sz w:val="24"/>
          <w:szCs w:val="21"/>
          <w:highlight w:val="none"/>
        </w:rPr>
        <w:t>7</w:t>
      </w:r>
      <w:r>
        <w:rPr>
          <w:rFonts w:hint="eastAsia" w:cs="宋体"/>
          <w:snapToGrid w:val="0"/>
          <w:color w:val="auto"/>
          <w:kern w:val="0"/>
          <w:sz w:val="24"/>
          <w:szCs w:val="21"/>
          <w:highlight w:val="none"/>
        </w:rPr>
        <w:t>】时，超过部分【实际销售价-销售指导价×1.0</w:t>
      </w:r>
      <w:r>
        <w:rPr>
          <w:rFonts w:cs="宋体"/>
          <w:snapToGrid w:val="0"/>
          <w:color w:val="auto"/>
          <w:kern w:val="0"/>
          <w:sz w:val="24"/>
          <w:szCs w:val="21"/>
          <w:highlight w:val="none"/>
        </w:rPr>
        <w:t>7</w:t>
      </w:r>
      <w:r>
        <w:rPr>
          <w:rFonts w:hint="eastAsia" w:cs="宋体"/>
          <w:snapToGrid w:val="0"/>
          <w:color w:val="auto"/>
          <w:kern w:val="0"/>
          <w:sz w:val="24"/>
          <w:szCs w:val="21"/>
          <w:highlight w:val="none"/>
        </w:rPr>
        <w:t>】供应商向采购人收取70%超额收益分成。</w:t>
      </w:r>
    </w:p>
    <w:p w14:paraId="44B1782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4、矿山建设（包括码头建设）如采用生产出来的碎石、砂的，碎石、砂按实扣回。</w:t>
      </w:r>
    </w:p>
    <w:p w14:paraId="7C4A3801">
      <w:pPr>
        <w:widowControl w:val="0"/>
        <w:adjustRightInd w:val="0"/>
        <w:snapToGrid w:val="0"/>
        <w:rPr>
          <w:color w:val="auto"/>
          <w:highlight w:val="none"/>
        </w:rPr>
      </w:pPr>
    </w:p>
    <w:p w14:paraId="478702B5">
      <w:pPr>
        <w:widowControl w:val="0"/>
        <w:adjustRightInd w:val="0"/>
        <w:snapToGrid w:val="0"/>
        <w:rPr>
          <w:color w:val="auto"/>
          <w:highlight w:val="none"/>
        </w:rPr>
      </w:pPr>
    </w:p>
    <w:p w14:paraId="7641EB1F">
      <w:pPr>
        <w:widowControl w:val="0"/>
        <w:adjustRightInd w:val="0"/>
        <w:snapToGrid w:val="0"/>
        <w:rPr>
          <w:color w:val="auto"/>
          <w:highlight w:val="none"/>
        </w:rPr>
      </w:pPr>
    </w:p>
    <w:p w14:paraId="130323BE">
      <w:pPr>
        <w:pStyle w:val="417"/>
        <w:rPr>
          <w:color w:val="auto"/>
          <w:highlight w:val="none"/>
        </w:rPr>
      </w:pPr>
      <w:bookmarkStart w:id="104" w:name="_Toc173761990"/>
      <w:r>
        <w:rPr>
          <w:rFonts w:hint="eastAsia"/>
          <w:color w:val="auto"/>
          <w:highlight w:val="none"/>
        </w:rPr>
        <w:t>七、付款方式</w:t>
      </w:r>
      <w:bookmarkEnd w:id="104"/>
    </w:p>
    <w:p w14:paraId="525E57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w:t>
      </w:r>
      <w:r>
        <w:rPr>
          <w:rFonts w:hint="eastAsia" w:cs="宋体"/>
          <w:snapToGrid w:val="0"/>
          <w:color w:val="auto"/>
          <w:kern w:val="0"/>
          <w:sz w:val="24"/>
          <w:szCs w:val="21"/>
          <w:highlight w:val="none"/>
        </w:rPr>
        <w:t>从第1个结算周期起每期扣留100万元，直至扣足1500万元</w:t>
      </w:r>
      <w:r>
        <w:rPr>
          <w:rFonts w:hint="eastAsia" w:cs="宋体"/>
          <w:snapToGrid w:val="0"/>
          <w:color w:val="auto"/>
          <w:kern w:val="0"/>
          <w:sz w:val="24"/>
          <w:szCs w:val="21"/>
          <w:highlight w:val="none"/>
        </w:rPr>
        <w:t>；后续结算周期，每期按应付金额结清）；剩余款项待项目结束，经甲方及相关部门验收通过并结算完成后30天内结清。</w:t>
      </w:r>
    </w:p>
    <w:p w14:paraId="2C209F6F">
      <w:pPr>
        <w:widowControl w:val="0"/>
        <w:adjustRightInd w:val="0"/>
        <w:snapToGrid w:val="0"/>
        <w:spacing w:line="300" w:lineRule="auto"/>
        <w:ind w:firstLine="480" w:firstLineChars="200"/>
        <w:rPr>
          <w:rFonts w:cs="宋体"/>
          <w:b/>
          <w:snapToGrid w:val="0"/>
          <w:color w:val="auto"/>
          <w:kern w:val="0"/>
          <w:sz w:val="24"/>
          <w:szCs w:val="21"/>
          <w:highlight w:val="none"/>
        </w:rPr>
      </w:pPr>
      <w:r>
        <w:rPr>
          <w:rFonts w:hint="eastAsia" w:cs="宋体"/>
          <w:snapToGrid w:val="0"/>
          <w:color w:val="auto"/>
          <w:kern w:val="0"/>
          <w:sz w:val="24"/>
          <w:szCs w:val="21"/>
          <w:highlight w:val="none"/>
        </w:rPr>
        <w:t>2、超额收益分成的支付时间及方式：每个月核算一次并先予以挂账，按季度兑现，季度结束后30天内全额付清，供应商提供增值税专用发票。</w:t>
      </w:r>
    </w:p>
    <w:p w14:paraId="74C53E6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3、安全费的支付时间及方式：</w:t>
      </w:r>
    </w:p>
    <w:p w14:paraId="239DC62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采购人按3元/吨计提，其中归属供应商承包范围使用的安全生产费用1.5元/吨，供应商每月提供安全生产费用使用清单（含发票、财务记账科目等）交第三方审计单位审核安全生产费用是否符合使用范围，符合的由采购人进行支付；每年末，财务核算时，如超出使用标准的，超出部分由供应商自行承担。</w:t>
      </w:r>
    </w:p>
    <w:p w14:paraId="76C6BC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注：安全生产费用使用范围：</w:t>
      </w:r>
    </w:p>
    <w:p w14:paraId="4143E6A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①完善、改造和维护安全防护设施设备（不含</w:t>
      </w:r>
      <w:r>
        <w:rPr>
          <w:rFonts w:ascii="宋体" w:hAnsi="宋体" w:cs="宋体"/>
          <w:snapToGrid w:val="0"/>
          <w:color w:val="auto"/>
          <w:kern w:val="0"/>
          <w:sz w:val="24"/>
          <w:szCs w:val="24"/>
          <w:highlight w:val="none"/>
        </w:rPr>
        <w:t>“三同时”</w:t>
      </w:r>
      <w:r>
        <w:rPr>
          <w:rFonts w:cs="宋体"/>
          <w:snapToGrid w:val="0"/>
          <w:color w:val="auto"/>
          <w:kern w:val="0"/>
          <w:sz w:val="24"/>
          <w:szCs w:val="24"/>
          <w:highlight w:val="none"/>
        </w:rPr>
        <w:t>要求初期投入的安全设施）和重大事故隐患治理支出，包括矿山综合防尘、防灭火、防治水、危险气体监测、支护及防治边帮滑坡、机电设备、供配电系统、运输系统等完善、改造和维护支出以及实施露天矿边坡治理等支出；</w:t>
      </w:r>
    </w:p>
    <w:p w14:paraId="64F41A2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②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14:paraId="039B948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③开展重大危险源检测、评估、监控支出，安全风险分级管控和事故隐患排查整改支出，机械化、智能化建设，安全生产信息化建设、运维和网络安全支出；</w:t>
      </w:r>
    </w:p>
    <w:p w14:paraId="029D8A10">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④安全生产检查、评估评价（不含新建、改建、扩建项目安全评价）、咨询、标准化建设等应由乙方承担的支出；</w:t>
      </w:r>
    </w:p>
    <w:p w14:paraId="70C62FD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⑤配备和更新现场作业人员安全防护用品支出；</w:t>
      </w:r>
    </w:p>
    <w:p w14:paraId="7E258B5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⑥安全生产宣传、教育、培训和从业人员发现并报告事故隐患的奖励支出；</w:t>
      </w:r>
    </w:p>
    <w:p w14:paraId="015F89B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⑦安全生产适用的新技术、新标准、新工艺、智能化、机器人等新装备的推广应用支出；</w:t>
      </w:r>
    </w:p>
    <w:p w14:paraId="4932BD6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⑧安全设施及特种设备检测检验、检定校准支出；</w:t>
      </w:r>
    </w:p>
    <w:p w14:paraId="3A98A0F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⑨安全生产责任保险支出；</w:t>
      </w:r>
    </w:p>
    <w:p w14:paraId="0C63D76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⑩与安全生产直接相关的其他支出。</w:t>
      </w:r>
    </w:p>
    <w:p w14:paraId="5127385F">
      <w:pPr>
        <w:widowControl w:val="0"/>
        <w:adjustRightInd w:val="0"/>
        <w:snapToGrid w:val="0"/>
        <w:spacing w:line="300" w:lineRule="auto"/>
        <w:ind w:firstLine="480" w:firstLineChars="200"/>
        <w:rPr>
          <w:rFonts w:cs="宋体"/>
          <w:bCs/>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bCs/>
          <w:snapToGrid w:val="0"/>
          <w:color w:val="auto"/>
          <w:kern w:val="0"/>
          <w:sz w:val="24"/>
          <w:szCs w:val="21"/>
          <w:highlight w:val="none"/>
        </w:rPr>
        <w:t>如采用银行承兑汇票支付矿产品销售款的，以贴现后收到的金额作为实收销售款，贴现利息由购买方或</w:t>
      </w:r>
      <w:r>
        <w:rPr>
          <w:rFonts w:hint="eastAsia" w:cs="宋体"/>
          <w:bCs/>
          <w:snapToGrid w:val="0"/>
          <w:color w:val="auto"/>
          <w:kern w:val="0"/>
          <w:sz w:val="24"/>
          <w:szCs w:val="21"/>
          <w:highlight w:val="none"/>
        </w:rPr>
        <w:t>成交供应商</w:t>
      </w:r>
      <w:r>
        <w:rPr>
          <w:rFonts w:hint="eastAsia" w:cs="宋体"/>
          <w:bCs/>
          <w:snapToGrid w:val="0"/>
          <w:color w:val="auto"/>
          <w:kern w:val="0"/>
          <w:sz w:val="24"/>
          <w:szCs w:val="21"/>
          <w:highlight w:val="none"/>
        </w:rPr>
        <w:t>承担（利息按贴现当日利率结算）</w:t>
      </w:r>
      <w:r>
        <w:rPr>
          <w:rFonts w:hint="eastAsia" w:cs="宋体"/>
          <w:bCs/>
          <w:snapToGrid w:val="0"/>
          <w:color w:val="auto"/>
          <w:kern w:val="0"/>
          <w:sz w:val="24"/>
          <w:szCs w:val="21"/>
          <w:highlight w:val="none"/>
        </w:rPr>
        <w:t>。</w:t>
      </w:r>
    </w:p>
    <w:p w14:paraId="7D099CCD">
      <w:pPr>
        <w:widowControl w:val="0"/>
        <w:adjustRightInd w:val="0"/>
        <w:snapToGrid w:val="0"/>
        <w:rPr>
          <w:color w:val="auto"/>
          <w:highlight w:val="none"/>
        </w:rPr>
      </w:pPr>
    </w:p>
    <w:p w14:paraId="5C22EB81">
      <w:pPr>
        <w:widowControl w:val="0"/>
        <w:adjustRightInd w:val="0"/>
        <w:snapToGrid w:val="0"/>
        <w:rPr>
          <w:color w:val="auto"/>
          <w:highlight w:val="none"/>
        </w:rPr>
      </w:pPr>
    </w:p>
    <w:p w14:paraId="38E9EBC8">
      <w:pPr>
        <w:widowControl w:val="0"/>
        <w:adjustRightInd w:val="0"/>
        <w:snapToGrid w:val="0"/>
        <w:rPr>
          <w:color w:val="auto"/>
          <w:highlight w:val="none"/>
        </w:rPr>
      </w:pPr>
    </w:p>
    <w:p w14:paraId="2A78E429">
      <w:pPr>
        <w:pStyle w:val="417"/>
        <w:rPr>
          <w:color w:val="auto"/>
          <w:highlight w:val="none"/>
        </w:rPr>
      </w:pPr>
      <w:bookmarkStart w:id="105" w:name="_Toc173761991"/>
      <w:r>
        <w:rPr>
          <w:rFonts w:hint="eastAsia"/>
          <w:color w:val="auto"/>
          <w:highlight w:val="none"/>
        </w:rPr>
        <w:t>八、履约保证金</w:t>
      </w:r>
      <w:bookmarkEnd w:id="105"/>
    </w:p>
    <w:p w14:paraId="7AD5C8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1、履约保证金递交时间：在签订合同前向采购人提交。</w:t>
      </w:r>
    </w:p>
    <w:p w14:paraId="766FDA1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2、履约保证金形式：现金、国有或股份制商业银行县（区、市）级及以上银行出具的银行保函</w:t>
      </w:r>
      <w:r>
        <w:rPr>
          <w:rFonts w:hint="eastAsia" w:cs="宋体"/>
          <w:snapToGrid w:val="0"/>
          <w:color w:val="auto"/>
          <w:kern w:val="0"/>
          <w:sz w:val="24"/>
          <w:szCs w:val="21"/>
          <w:highlight w:val="none"/>
        </w:rPr>
        <w:t>（银行保函有效期至项目结束日期，若延期的，需重新开具）</w:t>
      </w:r>
      <w:r>
        <w:rPr>
          <w:rFonts w:hint="eastAsia" w:cs="宋体"/>
          <w:snapToGrid w:val="0"/>
          <w:color w:val="auto"/>
          <w:kern w:val="0"/>
          <w:sz w:val="24"/>
          <w:szCs w:val="21"/>
          <w:highlight w:val="none"/>
        </w:rPr>
        <w:t>。</w:t>
      </w:r>
    </w:p>
    <w:p w14:paraId="3C0DE5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3、履约保证金的金额及退还：签订合同前供应商提交合同价1%的履约保证金，待项目结束后，七个工作日内退还（不计息）。</w:t>
      </w:r>
    </w:p>
    <w:p w14:paraId="5F507A0E">
      <w:pPr>
        <w:widowControl w:val="0"/>
        <w:adjustRightInd w:val="0"/>
        <w:snapToGrid w:val="0"/>
        <w:rPr>
          <w:color w:val="auto"/>
          <w:highlight w:val="none"/>
        </w:rPr>
      </w:pPr>
    </w:p>
    <w:p w14:paraId="20D7C02E">
      <w:pPr>
        <w:widowControl w:val="0"/>
        <w:adjustRightInd w:val="0"/>
        <w:snapToGrid w:val="0"/>
        <w:rPr>
          <w:color w:val="auto"/>
          <w:highlight w:val="none"/>
        </w:rPr>
      </w:pPr>
    </w:p>
    <w:p w14:paraId="2F6884D2">
      <w:pPr>
        <w:widowControl w:val="0"/>
        <w:adjustRightInd w:val="0"/>
        <w:snapToGrid w:val="0"/>
        <w:rPr>
          <w:color w:val="auto"/>
          <w:highlight w:val="none"/>
        </w:rPr>
      </w:pPr>
    </w:p>
    <w:p w14:paraId="7C3B1CB3">
      <w:pPr>
        <w:pStyle w:val="417"/>
        <w:rPr>
          <w:color w:val="auto"/>
          <w:highlight w:val="none"/>
        </w:rPr>
      </w:pPr>
      <w:bookmarkStart w:id="106" w:name="_Toc173761992"/>
      <w:r>
        <w:rPr>
          <w:rFonts w:hint="eastAsia"/>
          <w:color w:val="auto"/>
          <w:highlight w:val="none"/>
        </w:rPr>
        <w:t>九、销售担保</w:t>
      </w:r>
      <w:bookmarkEnd w:id="106"/>
    </w:p>
    <w:p w14:paraId="02C8EA2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1、具备生产条件后，供应商提交销售担保6000万元，待项目结束后，7个工作日内返还（不计息）。</w:t>
      </w:r>
    </w:p>
    <w:p w14:paraId="70CC909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2、销售担保形式：现金、国有或股份制商业银行县（区、市）级及以上银行出具的银行保函</w:t>
      </w:r>
      <w:r>
        <w:rPr>
          <w:rFonts w:hint="eastAsia" w:cs="宋体"/>
          <w:snapToGrid w:val="0"/>
          <w:color w:val="auto"/>
          <w:kern w:val="0"/>
          <w:sz w:val="24"/>
          <w:szCs w:val="21"/>
          <w:highlight w:val="none"/>
        </w:rPr>
        <w:t>（银行保函有效期至项目结束日期，若延期的，需重新开具）</w:t>
      </w:r>
      <w:r>
        <w:rPr>
          <w:rFonts w:hint="eastAsia" w:cs="宋体"/>
          <w:snapToGrid w:val="0"/>
          <w:color w:val="auto"/>
          <w:kern w:val="0"/>
          <w:sz w:val="24"/>
          <w:szCs w:val="21"/>
          <w:highlight w:val="none"/>
        </w:rPr>
        <w:t>。</w:t>
      </w:r>
    </w:p>
    <w:p w14:paraId="02F1A0FA">
      <w:pPr>
        <w:widowControl w:val="0"/>
        <w:adjustRightInd w:val="0"/>
        <w:snapToGrid w:val="0"/>
        <w:rPr>
          <w:color w:val="auto"/>
          <w:highlight w:val="none"/>
        </w:rPr>
      </w:pPr>
    </w:p>
    <w:p w14:paraId="54128287">
      <w:pPr>
        <w:widowControl w:val="0"/>
        <w:adjustRightInd w:val="0"/>
        <w:snapToGrid w:val="0"/>
        <w:rPr>
          <w:color w:val="auto"/>
          <w:highlight w:val="none"/>
        </w:rPr>
      </w:pPr>
    </w:p>
    <w:p w14:paraId="7765C8A5">
      <w:pPr>
        <w:widowControl w:val="0"/>
        <w:adjustRightInd w:val="0"/>
        <w:snapToGrid w:val="0"/>
        <w:rPr>
          <w:color w:val="auto"/>
          <w:highlight w:val="none"/>
        </w:rPr>
      </w:pPr>
    </w:p>
    <w:p w14:paraId="774FD055">
      <w:pPr>
        <w:pStyle w:val="417"/>
        <w:rPr>
          <w:color w:val="auto"/>
          <w:highlight w:val="none"/>
        </w:rPr>
      </w:pPr>
      <w:bookmarkStart w:id="107" w:name="_Toc173761993"/>
      <w:r>
        <w:rPr>
          <w:rFonts w:hint="eastAsia"/>
          <w:color w:val="auto"/>
          <w:highlight w:val="none"/>
        </w:rPr>
        <w:t>十、验收</w:t>
      </w:r>
      <w:bookmarkEnd w:id="107"/>
    </w:p>
    <w:p w14:paraId="4BF851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建设工程、生产加工线建设按国家行业规范、标准和本采购文件进行验收，同时投标文件已明确的设计、承诺等技术内容也将作为验收依据。投标供应商中标后，采购人和供应商双方可能根据项目的不断深化对生产线建设要求进行修改、细化；各类设计图纸使用前，必须经专家进行方案或图纸审查，审查期间，如采购人参与审查，采购人提出的合理化建议供应商应进行采纳。矿山工程根据实际须进行变更时，应按照上级管理部门的要求执行变更流程并对变更后建设的工程项目再次验收。</w:t>
      </w:r>
    </w:p>
    <w:p w14:paraId="7F23CE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2、所有材料必须有质保书或合格证，符合施工图纸和规范要求，且品牌、产地需报采购人备案，否则，因此产生的后果均由供应商负责。</w:t>
      </w:r>
    </w:p>
    <w:p w14:paraId="1BBD416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3、所有设备均需有产品合格证和质保书、试验（试车）报告等必要资料，符合国家规定的技术标准和设计图纸要求的标准，并且须经采购人验收合格后方可使用。</w:t>
      </w:r>
    </w:p>
    <w:p w14:paraId="1A90EB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4、矿山使用特种设备，供应商从购买、安装、使用、检测、鉴定均应按照《特种设备安全法》的相关规定执行。</w:t>
      </w:r>
    </w:p>
    <w:p w14:paraId="7C0A356A">
      <w:pPr>
        <w:widowControl w:val="0"/>
        <w:adjustRightInd w:val="0"/>
        <w:snapToGrid w:val="0"/>
        <w:rPr>
          <w:color w:val="auto"/>
          <w:highlight w:val="none"/>
        </w:rPr>
      </w:pPr>
    </w:p>
    <w:p w14:paraId="73323AFA">
      <w:pPr>
        <w:widowControl w:val="0"/>
        <w:adjustRightInd w:val="0"/>
        <w:snapToGrid w:val="0"/>
        <w:rPr>
          <w:color w:val="auto"/>
          <w:highlight w:val="none"/>
        </w:rPr>
      </w:pPr>
    </w:p>
    <w:p w14:paraId="071D5B87">
      <w:pPr>
        <w:widowControl w:val="0"/>
        <w:adjustRightInd w:val="0"/>
        <w:snapToGrid w:val="0"/>
        <w:rPr>
          <w:color w:val="auto"/>
          <w:highlight w:val="none"/>
        </w:rPr>
      </w:pPr>
    </w:p>
    <w:p w14:paraId="4CF0FCDC">
      <w:pPr>
        <w:pStyle w:val="417"/>
        <w:rPr>
          <w:color w:val="auto"/>
          <w:highlight w:val="none"/>
        </w:rPr>
      </w:pPr>
      <w:bookmarkStart w:id="108" w:name="_Toc173761994"/>
      <w:r>
        <w:rPr>
          <w:rFonts w:hint="eastAsia"/>
          <w:color w:val="auto"/>
          <w:highlight w:val="none"/>
        </w:rPr>
        <w:t>十一、违约责任</w:t>
      </w:r>
      <w:bookmarkEnd w:id="108"/>
    </w:p>
    <w:p w14:paraId="542171E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供应商明确表示或者以其行为表明不履行合同主要义务的，或消极履行合同义务或其他违约行为导致合同目的无法实现的，属于根本违约，采购人有权单方面解除合同，由于成交供应商原因造成的，</w:t>
      </w:r>
      <w:r>
        <w:rPr>
          <w:rFonts w:hint="eastAsia" w:cs="宋体"/>
          <w:snapToGrid w:val="0"/>
          <w:color w:val="auto"/>
          <w:kern w:val="0"/>
          <w:sz w:val="24"/>
          <w:szCs w:val="21"/>
          <w:highlight w:val="none"/>
        </w:rPr>
        <w:t>成交供应商前期所投入的所有设施设备、采购人应付成交供应商而未支付的费用等归采购人所有</w:t>
      </w:r>
      <w:r>
        <w:rPr>
          <w:rFonts w:hint="eastAsia" w:cs="宋体"/>
          <w:snapToGrid w:val="0"/>
          <w:color w:val="auto"/>
          <w:kern w:val="0"/>
          <w:sz w:val="24"/>
          <w:szCs w:val="21"/>
          <w:highlight w:val="none"/>
        </w:rPr>
        <w:t>，同时没收履约保证金及销售担保，如不足弥补采购人损失的，采购人有权追索；采购人违反合同约定供应商采取不安抗辩措施的除外。</w:t>
      </w:r>
    </w:p>
    <w:p w14:paraId="221C10BA">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1、项目施工建设及生产运行过程中发生的社会负面影响较大的安全事件的违约责任</w:t>
      </w:r>
    </w:p>
    <w:p w14:paraId="29BA66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（1）因供应商原因引起的被县级、市级、省级、国家级新闻媒体负面曝光，每曝光一次，采购人按负面影响的程度依次课以2万元、5万元、25万元、50万元的违约金。</w:t>
      </w:r>
    </w:p>
    <w:p w14:paraId="6EFDAE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负面新闻包括并不限于以下内容：供应商未按照矿山开采设计、矿山安全规程要求规范施工作业，被上级有关部门或外部专家检查后曝光；在矿山采掘作业、爆破施工、矿石运输过程中产生的林地属性争议、爆破震动投诉、沿线道路村庄噪声、矿石抛洒等环境投诉问题，供应商未能及时处理。</w:t>
      </w:r>
    </w:p>
    <w:p w14:paraId="152D9E2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供应商拖欠工资等问题引起5人以上人员集体上访等原因造成采购人被相关部门处罚，经核实是供应商责任的，采购人课以相关部门处罚金额双倍的违约金。如采购人因此垫付相关费用的，采购人有权直接从应付加工费或履约保证金中扣除。</w:t>
      </w:r>
    </w:p>
    <w:p w14:paraId="121944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（3）如因供应商环保、安全、越界开采矿产资源、破坏林地等原因造成采购人被相关部门处罚，经核实是供应商责任的，采购人课以相关部门处罚金额双倍的违约金。</w:t>
      </w:r>
    </w:p>
    <w:p w14:paraId="6E6089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按照《安全生产严重失信主体名单管理办法》（中华人民共和国应急管理部令第11号）规定，如供应商被有关部门纳入进失信名单，采购人按照有关部门的规定执行，因此造成的损失全部由供应商承担，采购人从履约保证金及销售担保中扣除，</w:t>
      </w:r>
      <w:r>
        <w:rPr>
          <w:rFonts w:hint="eastAsia" w:cs="宋体"/>
          <w:snapToGrid w:val="0"/>
          <w:color w:val="auto"/>
          <w:kern w:val="0"/>
          <w:sz w:val="24"/>
          <w:szCs w:val="21"/>
          <w:highlight w:val="none"/>
        </w:rPr>
        <w:t>影响较为恶劣且对合同履行造成实质性影响的，采购人有权终止合同。</w:t>
      </w:r>
    </w:p>
    <w:p w14:paraId="0894BFB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因供应商原因发生质量事故、生产安全事故、环保事件、职业病发生等，造成人身和财产损失的，供应商承担全部行政、民事、刑事责任，除承担损害赔偿责任外，如采购人因此被相关部门处罚的，供应商另按管理部门罚款的双倍金额支付采购人违约金。</w:t>
      </w:r>
    </w:p>
    <w:p w14:paraId="4D8BBBC0">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2、项目施工建设过程中未严格执行国家、省、市“三同时”管理规定的违约责任</w:t>
      </w:r>
    </w:p>
    <w:p w14:paraId="04AEA0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未严格按照《建设项目安全设施“三同时”监督管理办法》、《金属非金属矿山建设项目安全设施设计编写提纲》、《金属非金属矿山建设项目安全设施设计重大变更范围》，对矿山系统建设项目（矿山开采系统、生产加工系统、公辅工程设施）、外运配套码头建设项目开展安全预评价、安全设施设计、安全设施建设及竣工验收等过程管理不规范，存在工程质量差、安全投入不足、项目建设进度未按采购人要求按期完成，导致矿山安全生产许可证不能及时取得（环保要求同），违约责任如下：</w:t>
      </w:r>
    </w:p>
    <w:p w14:paraId="3A55C9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（1）因政策面原因、采购人战略调整导致的安全、环保设施发生变更，变更审批、备案前的工程延误不计入违约事项，双方须在变更获批后同期变更基本建设期约定。</w:t>
      </w:r>
    </w:p>
    <w:p w14:paraId="081AAC1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供应商原因未在开工令发出之日起9个月内完成矿山基础设施建设及设备安装、试生产、安全设施竣工验收（取得安全生产许可证）的，采购人课以5000元/天违约金，因采购人政策处理等原因及其他非因供应商原因的除外。</w:t>
      </w:r>
    </w:p>
    <w:p w14:paraId="320038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项目建设过程中，采购人发现供应商未按照矿山建设工程《安全设施设计报告》中的安全设施目录施工建设、生产加工生产线、工程基础、设备选型、工程材料与设计不符，造成以上工程的投资建设质量未达到合同约定标准的，采购人有权要求供应商补建安全设施、工程返工直至工程质量达到合同约定的标准为止，因此造成的工期延误及采购人投资损失全部由供应商负责，采购人按延误工期5000元/天课以违约金。情形严重者采购人有权终止合同。</w:t>
      </w:r>
    </w:p>
    <w:p w14:paraId="3F6AAE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（4）外运配套码头（不包括维护期疏浚）未在18个月完工的，采购人按延误工期5000元/天课以违约金。</w:t>
      </w:r>
    </w:p>
    <w:p w14:paraId="4D93D740">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3、项目生产经营过程中违反安全、环保、职业危害、消防等国家法律、法规及地方有关规定的违约责任</w:t>
      </w:r>
    </w:p>
    <w:p w14:paraId="3BB5A13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供应商安全生产存在重大隐患，被相关主管部门责令停工停产的，每停工停产一天按10000元/天支付采购人违约金；因主管部门督察（检查）、采购人例行检查发现供应商存在问题或安全隐患，需要立即整改的，供应商拒不整改或未按时间节点完成整改，采购人有权要求局部停工、停产，采购人按照</w:t>
      </w:r>
      <w:r>
        <w:rPr>
          <w:rFonts w:hint="eastAsia" w:cs="宋体"/>
          <w:snapToGrid w:val="0"/>
          <w:color w:val="auto"/>
          <w:kern w:val="0"/>
          <w:sz w:val="24"/>
          <w:szCs w:val="21"/>
          <w:highlight w:val="none"/>
        </w:rPr>
        <w:t>每次</w:t>
      </w:r>
      <w:r>
        <w:rPr>
          <w:rFonts w:hint="eastAsia" w:cs="宋体"/>
          <w:snapToGrid w:val="0"/>
          <w:color w:val="auto"/>
          <w:kern w:val="0"/>
          <w:sz w:val="24"/>
          <w:szCs w:val="21"/>
          <w:highlight w:val="none"/>
        </w:rPr>
        <w:t>整改通知课以1万元违约金。</w:t>
      </w:r>
    </w:p>
    <w:p w14:paraId="41F6BB8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未按照《关于加强非煤矿山安全生产工作的指导意见》（矿安〔2022〕4号）的要求，定期开展安全教育培训、安全应急预案演练、安全生产检查、风险辨识管控及隐患排查治理，确保安全费用足额投入而导致生产事故的发生或被上级主管部门约谈，违约责任如下：</w:t>
      </w:r>
    </w:p>
    <w:p w14:paraId="31862B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1）供应商发生设备设施环保事故、火灾事故、人员轻伤事故，采购人按照一次事故课以5000元违约金，因环保、安全事故导致的行政处罚按照本节相关规定处理。</w:t>
      </w:r>
    </w:p>
    <w:p w14:paraId="033049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如发生重伤事故，采购人将按每起事故课以2万元违约金；若发生死亡事故的，供应商除按照《安全生产法》的有关规定承担相应的法律责任外，采购人课以每死亡1人50万元违约金，并有权要求供应商更换适合本项目的安全负责人，因此造成的停工、停产损失，经第三方咨询机构定损后，采购人有权从履约保证金及销售担保中据实扣除。</w:t>
      </w:r>
    </w:p>
    <w:p w14:paraId="6E762C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如发生一起2人及以上死亡或一个月内连续发生两起1人死亡事故，或在黑名单期间又发生死亡事故的，视同违约，供应商必须在三个月内无条件退场，采购人不予经济补偿；退场期间的财产处理由退出方自行解决，采购人无责任和义务承担协调任务，亦不对资产交接、资金往来、劳务工资及事故善后处理、罚款和遗留问题的处理等承担责任。</w:t>
      </w:r>
    </w:p>
    <w:p w14:paraId="332F292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须按《浙江省矿山粉尘防治技术规范（暂行）》要求，做好矿山粉尘防治。矿山凿岩、机械采掘、石料铲装等环节必须采取喷淋抑尘措施。矿区专用道路及成品料堆场应做到地面硬化。若粉尘废水防治措施或其他生态环境问题未达到要求，被生态环境部门查处，在规定时间内未能整改完成的，采购人课以每次20万元的违约金。</w:t>
      </w:r>
    </w:p>
    <w:p w14:paraId="334998C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（4）供应商若未在规定时间内达到绿色矿山建设要求的，未在整改期内完成整改的，或被移出绿色矿山名录的，课以20万元的违约金，并由供应商承担因此造成的所有损失。</w:t>
      </w:r>
    </w:p>
    <w:p w14:paraId="2976D03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监控系统的视频记录3个月内不得删除；故障超过48小时未修复完好的，支付违约金1万元，并承担全部责任；人为无故关闭视频监控系统，每次课以10万元违约金。人为无故关闭视频监控系统，同时造成资源被盗窃或损失的，没收履约保证金。</w:t>
      </w:r>
    </w:p>
    <w:p w14:paraId="4E1E206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（6）凡采购人提供的图纸、数据等资料，供应商必须专人负责妥善保管，并做好技术和矿山资源保密工作，如有遗失和泄密，供应商承担因此造成的所有损失。</w:t>
      </w:r>
    </w:p>
    <w:p w14:paraId="74CEBEA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4、项目生产经营过程中生产组织计划、产品内控管理存在问题违约责任</w:t>
      </w:r>
    </w:p>
    <w:p w14:paraId="3A74EA5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具备生产条件后，供应商生产经营活动应该有计划、有组织、有步骤的合理规划和安排，每月采购人下达的生产计划、销售计划经双方有效沟通和确认后，应按期完成，相关违约事项约定如下：</w:t>
      </w:r>
    </w:p>
    <w:p w14:paraId="324E74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每年一月份供应商应该在充分识别矿山开采、生产加工、市场销售风险基础上，编制年度生产工作计划和安全环保工作安排并报采购人备案，其中年度产量、销量、开停车事件需分解到月，重点工作任务应包含年度安全（环保）生产目标、教育培训计划、安全（环保）投入保障计划、生产设备大修保养计划、隐患排查治理工作方案等内容，年度生产经营过程中，违约责任如下：</w:t>
      </w:r>
    </w:p>
    <w:p w14:paraId="003032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w:t>
      </w:r>
      <w:r>
        <w:rPr>
          <w:rFonts w:hint="eastAsia" w:cs="宋体"/>
          <w:snapToGrid w:val="0"/>
          <w:color w:val="auto"/>
          <w:kern w:val="0"/>
          <w:sz w:val="24"/>
          <w:szCs w:val="21"/>
          <w:highlight w:val="none"/>
        </w:rPr>
        <w:t>供应商未经采购人书面批准停产超过5天的</w:t>
      </w:r>
      <w:r>
        <w:rPr>
          <w:rFonts w:hint="eastAsia" w:cs="宋体"/>
          <w:snapToGrid w:val="0"/>
          <w:color w:val="auto"/>
          <w:kern w:val="0"/>
          <w:sz w:val="24"/>
          <w:szCs w:val="21"/>
          <w:highlight w:val="none"/>
        </w:rPr>
        <w:t>，超出的天数采购人课以每天2万元的违约金；</w:t>
      </w:r>
      <w:r>
        <w:rPr>
          <w:rFonts w:hint="eastAsia" w:cs="宋体"/>
          <w:snapToGrid w:val="0"/>
          <w:color w:val="auto"/>
          <w:kern w:val="0"/>
          <w:sz w:val="24"/>
          <w:szCs w:val="21"/>
          <w:highlight w:val="none"/>
        </w:rPr>
        <w:t>连续超过20天的或累计超过40天的，视为根本违约。</w:t>
      </w:r>
    </w:p>
    <w:p w14:paraId="752E16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2）供应商复工复产前未获得上级主管部门批准，供应商自行组织生产的，采购人课以每次2万元的违约金。</w:t>
      </w:r>
    </w:p>
    <w:p w14:paraId="7C6655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3）供应商应保证按采购需求（时间、数量、质量）进行开采加工，因供应商原因造成年度产量未达到460万吨的，采购人课以50万元违约金。</w:t>
      </w:r>
    </w:p>
    <w:p w14:paraId="1E7C61F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4）当项目结束时供应商生产砂石产品比例未达到开采总量50%（因采购人调配原因除外），供应商承担未达到部分的砂石与宕渣的差价</w:t>
      </w:r>
      <w:r>
        <w:rPr>
          <w:rFonts w:hint="eastAsia" w:cs="宋体"/>
          <w:snapToGrid w:val="0"/>
          <w:color w:val="auto"/>
          <w:kern w:val="0"/>
          <w:sz w:val="24"/>
          <w:szCs w:val="21"/>
          <w:highlight w:val="none"/>
        </w:rPr>
        <w:t>（差价以销售指导价平均值为基准）</w:t>
      </w:r>
      <w:r>
        <w:rPr>
          <w:rFonts w:hint="eastAsia" w:cs="宋体"/>
          <w:snapToGrid w:val="0"/>
          <w:color w:val="auto"/>
          <w:kern w:val="0"/>
          <w:sz w:val="24"/>
          <w:szCs w:val="21"/>
          <w:highlight w:val="none"/>
        </w:rPr>
        <w:t>，差价从预缴货款或销售担保中扣除。</w:t>
      </w:r>
    </w:p>
    <w:p w14:paraId="7CD9D65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5）每季度采购人对供应商进行安全教育培训、安全费用投入使用、隐患排查治理综合检查，供应商未按照年度生产计划完成本条款各项工作，采购人课以5000元/项违约金。</w:t>
      </w:r>
    </w:p>
    <w:p w14:paraId="4BFFF8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6）每半年采购人对供应商安全应急预案管理、生产系统检维修工作进行专题检查，供应商未按照年度生产计划完成本条款各项工作，未及时整改的，采购人课以5万元/项违约金。</w:t>
      </w:r>
    </w:p>
    <w:p w14:paraId="2AC26A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w:t>
      </w:r>
      <w:r>
        <w:rPr>
          <w:rFonts w:hint="eastAsia" w:cs="宋体"/>
          <w:snapToGrid w:val="0"/>
          <w:color w:val="auto"/>
          <w:kern w:val="0"/>
          <w:sz w:val="24"/>
          <w:szCs w:val="21"/>
          <w:highlight w:val="none"/>
        </w:rPr>
        <w:t>因供应商原因造成矿产品质量或服务要求，每季度达到3次及以上的有效投诉，课以2万元/次违约金。如发生退货情形的，由供应商赔偿被退货产品的所有费用，再次或多次发生退货情形的，除由供应商赔偿被退货产品的所有费用外，还课以2万元/次违约金。</w:t>
      </w:r>
    </w:p>
    <w:p w14:paraId="1429D77B">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5、销售违约责任</w:t>
      </w:r>
    </w:p>
    <w:p w14:paraId="4987DD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（1）正式投产后，采购人每两年对供应商进行销售业绩考核，供应商未完成</w:t>
      </w:r>
      <w:r>
        <w:rPr>
          <w:rFonts w:hint="eastAsia" w:cs="宋体"/>
          <w:snapToGrid w:val="0"/>
          <w:color w:val="auto"/>
          <w:kern w:val="0"/>
          <w:sz w:val="24"/>
          <w:szCs w:val="21"/>
          <w:highlight w:val="none"/>
        </w:rPr>
        <w:t>中标包销比例</w:t>
      </w:r>
      <w:r>
        <w:rPr>
          <w:rFonts w:hint="eastAsia" w:cs="宋体"/>
          <w:snapToGrid w:val="0"/>
          <w:color w:val="auto"/>
          <w:kern w:val="0"/>
          <w:sz w:val="24"/>
          <w:szCs w:val="21"/>
          <w:highlight w:val="none"/>
        </w:rPr>
        <w:t>80%的，或未完成采购人优先调配后剩余可承销部分80%的，采购人没收供应商全部剩余预缴货款、销售担保和履约保证金。</w:t>
      </w:r>
      <w:r>
        <w:rPr>
          <w:rFonts w:hint="eastAsia" w:cs="宋体"/>
          <w:snapToGrid w:val="0"/>
          <w:color w:val="auto"/>
          <w:kern w:val="0"/>
          <w:sz w:val="24"/>
          <w:szCs w:val="21"/>
          <w:highlight w:val="none"/>
        </w:rPr>
        <w:t>没收预缴货款、销售担保和履约保证金后，经双方协商一致继续履行合同的，供应商需重新提交合同约定的预缴货款、销售担保和履约保证金。</w:t>
      </w:r>
    </w:p>
    <w:p w14:paraId="50F637F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正式投产满五年，供应商应保证按</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w:t>
      </w:r>
      <w:r>
        <w:rPr>
          <w:rFonts w:hint="eastAsia" w:cs="宋体"/>
          <w:snapToGrid w:val="0"/>
          <w:color w:val="auto"/>
          <w:kern w:val="0"/>
          <w:sz w:val="24"/>
          <w:szCs w:val="21"/>
          <w:highlight w:val="none"/>
        </w:rPr>
        <w:t>完成矿产品销售责任，如未完成</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w:t>
      </w:r>
      <w:r>
        <w:rPr>
          <w:rFonts w:hint="eastAsia" w:cs="宋体"/>
          <w:snapToGrid w:val="0"/>
          <w:color w:val="auto"/>
          <w:kern w:val="0"/>
          <w:sz w:val="24"/>
          <w:szCs w:val="21"/>
          <w:highlight w:val="none"/>
        </w:rPr>
        <w:t>的，视为根本违约，采购人有权单方面解除合同，成交供应商前期所投入的所有设施设备、采购人应付成交供应商而未支付的费用等归采购人所有，同时没收全部剩余预缴货款、履约保证金及销售担保。因采购人调配原因除外。</w:t>
      </w:r>
    </w:p>
    <w:p w14:paraId="473C1AB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开采出的石料归采购人所有，供应商不得私自外运、外卖，如供应商私自外运、外卖，按该货物当期销售指导价的10倍向采购人支付违约金，违约金采购人从预缴货款中扣除。涉嫌违法犯罪的，采购人有权移送公安机关处理。</w:t>
      </w:r>
    </w:p>
    <w:p w14:paraId="0109699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（3）供应商未履行矿产品的保管责任，造成资源流失的，以流失资源当期销售指导价10倍向采购人支付违约金，违约金采购人从预缴货款中扣除。</w:t>
      </w:r>
    </w:p>
    <w:p w14:paraId="612553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采购人应科学安排年度生产计划，享有优先调配宕渣、石料生产、销售周期的权力，每月供应商接到采购人自销生产指令后，应该严格按照采购人的采购需求保质保量生产，如供应商未按照采购人工作指令进行生产或生产产品不符合客户质量要求，因此造成的损失，经第三方咨询机构定损后，采购人据实从预留货款中扣除。</w:t>
      </w:r>
    </w:p>
    <w:p w14:paraId="6FFF2B1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6、项目部生产组织架构及人员履职存在问题的违约责任</w:t>
      </w:r>
    </w:p>
    <w:p w14:paraId="2B24B4C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备的项目组成员（指项目负责人、技术负责人、安全负责人、专职安全员、工程技术人员）月到位率不少于每月22日历天（有特殊情况少于上述时间的，应通知采购人，并征得采购人书面同意），且涉及到爆破等环节，必须到位，月到位率达不到规定的，承担1000元/人/天的违约金，从开采加工费中扣除。</w:t>
      </w:r>
    </w:p>
    <w:p w14:paraId="3A38CCC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供应商主要管理人员（指项目负责人、技术负责人、安全负责人、专职安全员、工程技术人员）在项目实施期间如出现不听采购人的正常工作指挥，影响恶劣的，采购人有权要求供应商及时调换主要管理人员直至符合采购文件要求止。如发现主要管理人员中有不称职或有其他违背职业道德发生，采购人有权要求供应商无条件更换该主要管理人员并提供具有更佳工程经验的主要管理人员，经采购人考核同意后再上岗，否则由此造成的一切损失由供应商赔偿。</w:t>
      </w:r>
    </w:p>
    <w:p w14:paraId="3015B46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（3）供应商主要管理人员未履行安全管理规范的，每发现1次，课以1000元/人/次的违约金。</w:t>
      </w:r>
    </w:p>
    <w:p w14:paraId="4BB5DA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采购人每季度对供应商所配置的安全负责人、安全管理人员进行考核。当季度考核不合格的，课以500元/人违约金，第二个季度考核不合格的，课以2000元/人违约金，第三个季度仍不合格的，采购人责令供应商更换安全管理人员。</w:t>
      </w:r>
    </w:p>
    <w:p w14:paraId="1A82FAD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7、项目部承包商管理存在问题的违约责任</w:t>
      </w:r>
    </w:p>
    <w:p w14:paraId="2DDD839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供应商违反约定进行转包或分包或挂靠的，采购人有权单方解除合同，取消供应商的项目实施资格。供应商被取消项目实施资格的，供应商除赔偿采购人所有损失外，还须向采购人支付合同总价款10%的违约金。</w:t>
      </w:r>
    </w:p>
    <w:p w14:paraId="260DF2E7">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8、采购人违约责任</w:t>
      </w:r>
    </w:p>
    <w:p w14:paraId="002C407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（1）采购人逾期一个月未按合同约定支付款项的，按中国人民银行同期基准利率（LPR）向供应商支付逾期付款利息。超过90天仍未支付，供应商有权暂停矿山开发和销售工作。</w:t>
      </w:r>
    </w:p>
    <w:p w14:paraId="3CB2DA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（2）如因采购人原因导致合同解除/终止，供应商前期投入所有设施设备等经第三方评估后双方协商解决，协商不成的通过法律途径解决。</w:t>
      </w:r>
    </w:p>
    <w:p w14:paraId="3477E0B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9、特别说明</w:t>
      </w:r>
    </w:p>
    <w:p w14:paraId="75F5A8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不可抗力因素【地震、海啸、火山爆发、泥石流、暴雨（雪）、台风、龙卷风、水灾等自然灾害、战争、骚乱、暴动（但纯属供应商或其分包人派遣与雇用的人员由于本合同建设原因引起者除外）、核反应、辐射或放射性污染、空中飞行物体坠落或非采购人或供应商责任造成的爆炸（及火灾）、瘟疫等】强制性政策影响，供应商未能按采购人要求进度完成任务的不承担违约责任。</w:t>
      </w:r>
    </w:p>
    <w:p w14:paraId="758C4E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安全、环保、职业危害等按照国家、省、市最新相关规定和要求执行，供应商应对相关规定充分识别，如项目现场现状及采购文件与公告附件的相关资料有不一致的，投标供应商应以现状及采购文件为准，并制定投标方案。</w:t>
      </w:r>
    </w:p>
    <w:p w14:paraId="0B52F54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（3）上述各项违约金除注明出处的，甲方有权在加工服务款中或履约保证金或销售担保中扣除，如履约保证金或销售担保扣减后，乙方应立即将保证金或担保补齐至约定金额</w:t>
      </w:r>
      <w:r>
        <w:rPr>
          <w:rFonts w:hint="eastAsia" w:cs="宋体"/>
          <w:snapToGrid w:val="0"/>
          <w:color w:val="auto"/>
          <w:kern w:val="0"/>
          <w:sz w:val="24"/>
          <w:szCs w:val="21"/>
          <w:highlight w:val="none"/>
        </w:rPr>
        <w:t>。</w:t>
      </w:r>
    </w:p>
    <w:p w14:paraId="288CA779">
      <w:pPr>
        <w:widowControl w:val="0"/>
        <w:adjustRightInd w:val="0"/>
        <w:snapToGrid w:val="0"/>
        <w:rPr>
          <w:color w:val="auto"/>
          <w:highlight w:val="none"/>
        </w:rPr>
      </w:pPr>
    </w:p>
    <w:p w14:paraId="03B2EEB5">
      <w:pPr>
        <w:widowControl w:val="0"/>
        <w:adjustRightInd w:val="0"/>
        <w:snapToGrid w:val="0"/>
        <w:rPr>
          <w:color w:val="auto"/>
          <w:highlight w:val="none"/>
        </w:rPr>
      </w:pPr>
    </w:p>
    <w:p w14:paraId="14A9B1F1">
      <w:pPr>
        <w:widowControl w:val="0"/>
        <w:adjustRightInd w:val="0"/>
        <w:snapToGrid w:val="0"/>
        <w:rPr>
          <w:color w:val="auto"/>
          <w:highlight w:val="none"/>
        </w:rPr>
      </w:pPr>
    </w:p>
    <w:p w14:paraId="33445CA5">
      <w:pPr>
        <w:pStyle w:val="417"/>
        <w:rPr>
          <w:color w:val="auto"/>
          <w:highlight w:val="none"/>
        </w:rPr>
      </w:pPr>
      <w:bookmarkStart w:id="109" w:name="_Toc173761995"/>
      <w:r>
        <w:rPr>
          <w:rFonts w:hint="eastAsia"/>
          <w:color w:val="auto"/>
          <w:highlight w:val="none"/>
        </w:rPr>
        <w:t>十二、实施依据及相关标准</w:t>
      </w:r>
      <w:bookmarkEnd w:id="109"/>
    </w:p>
    <w:p w14:paraId="60A2F06B">
      <w:pPr>
        <w:pStyle w:val="437"/>
        <w:keepNext w:val="0"/>
        <w:keepLines w:val="0"/>
        <w:adjustRightInd w:val="0"/>
        <w:snapToGrid w:val="0"/>
        <w:ind w:firstLine="480"/>
        <w:jc w:val="both"/>
        <w:rPr>
          <w:color w:val="auto"/>
          <w:sz w:val="24"/>
          <w:szCs w:val="24"/>
          <w:highlight w:val="none"/>
          <w:lang w:val="en-US"/>
        </w:rPr>
      </w:pPr>
      <w:bookmarkStart w:id="110" w:name="_Toc173761996"/>
      <w:bookmarkStart w:id="111" w:name="_Toc115118909"/>
      <w:bookmarkStart w:id="112" w:name="_Toc115119097"/>
      <w:bookmarkStart w:id="113" w:name="_Toc231546206"/>
      <w:r>
        <w:rPr>
          <w:rFonts w:hint="eastAsia"/>
          <w:color w:val="auto"/>
          <w:sz w:val="24"/>
          <w:szCs w:val="24"/>
          <w:highlight w:val="none"/>
          <w:lang w:val="en-US"/>
        </w:rPr>
        <w:t>（一）国家有关法律</w:t>
      </w:r>
      <w:bookmarkEnd w:id="110"/>
    </w:p>
    <w:p w14:paraId="65EE27D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《中华人民共和国突发事件应对法》，中华人民共和国主席令（第二十五号），2024年11月1日实施；</w:t>
      </w:r>
    </w:p>
    <w:p w14:paraId="7C7B3D5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《中华人民共和国矿产资源法》，2009年8月27日，第11届全国人民代表大会常务委员会第十次会议修正，中华人民共和国主席令（第十八号）公布实施；</w:t>
      </w:r>
    </w:p>
    <w:p w14:paraId="1EEC40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《中华人民共和国矿山安全法》，2009年8月27日，第11届全国人民代表大会常务委员会第十次会议修正，中华人民共和国主席令（第十八号）公布实施；</w:t>
      </w:r>
    </w:p>
    <w:p w14:paraId="688422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《中华人民共和国劳动合同法》，中华人民共和国主席令（第七十三号），自2013年7月1日起施行；</w:t>
      </w:r>
    </w:p>
    <w:p w14:paraId="3028ED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《中华人民共和国特种设备安全法》，中华人民共和国主席令（第四号），2014年1月1日起施行；</w:t>
      </w:r>
    </w:p>
    <w:p w14:paraId="2D210D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《中华人民共和国环境保护法》，华人民共和国主席令（第二十二号），1998年9月1日颁布，2014年4月24日第十二届全国人民代表大会常务委员会第八次会议修订，2015年1月1日起实施；</w:t>
      </w:r>
    </w:p>
    <w:p w14:paraId="67FCB7C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《中华人民共和国劳动法》，中华人民共和国主席令（第二十八号），1995年1月1日施行，根据中华人民共和国主席令（第二十四号）第二次修订，2018年12月29日施行；</w:t>
      </w:r>
    </w:p>
    <w:p w14:paraId="652334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《中华人民共和国职业病防治法》，中华人民共和国主席令（第五十二号），2009年12月31日施行；根据中华人民共和国主席令（第二十四号）第四次修改，2018年12月29日施行；</w:t>
      </w:r>
    </w:p>
    <w:p w14:paraId="128F7E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《中华人民共和国消防法》，中华人民共和国主席令（第六号），2019年4月23日，第十三届全国人民代表大会常务委员会第十次会议修改，2019年4月23日起施行。</w:t>
      </w:r>
    </w:p>
    <w:p w14:paraId="25FF85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安全生产法》，中华人民共和国主席令（第八十八号），2021年6月10日，中华人民共和国第十三届全国人民代表大会常务委员会第二十九次会议通过《全国人民代表大会常务委员会关于修改〈中华人民共和国安全生产法〉的决定》，自2021年9月1日起施行；</w:t>
      </w:r>
    </w:p>
    <w:p w14:paraId="56BB7224">
      <w:pPr>
        <w:pStyle w:val="437"/>
        <w:keepNext w:val="0"/>
        <w:keepLines w:val="0"/>
        <w:adjustRightInd w:val="0"/>
        <w:snapToGrid w:val="0"/>
        <w:ind w:firstLine="480"/>
        <w:jc w:val="both"/>
        <w:rPr>
          <w:color w:val="auto"/>
          <w:sz w:val="24"/>
          <w:szCs w:val="24"/>
          <w:highlight w:val="none"/>
          <w:lang w:val="en-US"/>
        </w:rPr>
      </w:pPr>
      <w:bookmarkStart w:id="114" w:name="_Toc173761997"/>
      <w:r>
        <w:rPr>
          <w:rFonts w:hint="eastAsia"/>
          <w:color w:val="auto"/>
          <w:sz w:val="24"/>
          <w:szCs w:val="24"/>
          <w:highlight w:val="none"/>
          <w:lang w:val="en-US"/>
        </w:rPr>
        <w:t>（二）行政法规</w:t>
      </w:r>
      <w:bookmarkEnd w:id="114"/>
    </w:p>
    <w:p w14:paraId="7016A2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《中华人民共和国矿产资源法实施细则》，中华人民共和国国务院令〔1994〕152号，自发布日起1994年3月26日实施；</w:t>
      </w:r>
    </w:p>
    <w:p w14:paraId="2F751B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《中华人民共和国矿山安全法实施条例》，中华人民共和国劳动部令〔1996〕4号，于1996年10月11日经国务院批准，1996年10月30日发布并施行；</w:t>
      </w:r>
    </w:p>
    <w:p w14:paraId="3AA8954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《安全生产许可证条例》，中华人民共和国国务院令〔2003〕397号，2004年1月7日国务院第34次常务会议通过，2004年1月13日公布，自公布之日起施行；</w:t>
      </w:r>
    </w:p>
    <w:p w14:paraId="7073CF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《建设工程安全生产管理条例》，中华人民共和国国务院令第393号，2003年11月12日国务院第28次常务会议通过，2003年11月，24日公布，自2004年2月1日起施行；</w:t>
      </w:r>
    </w:p>
    <w:p w14:paraId="25F449D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《地质灾害防治条例》，中华人民共和国国务院令第394号，2003年11月19日国务院第29次常务会议通过，2003年11月24日公布，自2004年3月1日起施行；</w:t>
      </w:r>
    </w:p>
    <w:p w14:paraId="27C0A2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《中华人民共和国劳动合同法实施条例》，中华人民共和国国务院令第535号，自2008年9月18日起施行；</w:t>
      </w:r>
    </w:p>
    <w:p w14:paraId="2427F97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《工伤保险条例》，中华人民共和国国务院令第360号和《国务院关于修改〈工伤保险条例〉的决定》，中华人民共和国国务院令第586号，自2011年1月1日起施行；</w:t>
      </w:r>
    </w:p>
    <w:p w14:paraId="2C9973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《民用爆炸物品管理条例》（中华人民共和国国务院令第466号），2014年7月9日由国务院令第653号[国务院关于修改部分行政法规的决定]修订，自2015年3月9日实施；</w:t>
      </w:r>
    </w:p>
    <w:p w14:paraId="15F248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《特种设备安全监察条例》，中华人民共和国国务院令第549号；</w:t>
      </w:r>
    </w:p>
    <w:p w14:paraId="0AE3A2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《生产安全事故应急条例》（中华人民共和国国务院令第708号，自2019年4月1日起施行）。</w:t>
      </w:r>
    </w:p>
    <w:p w14:paraId="59E1E23C">
      <w:pPr>
        <w:pStyle w:val="437"/>
        <w:keepNext w:val="0"/>
        <w:keepLines w:val="0"/>
        <w:adjustRightInd w:val="0"/>
        <w:snapToGrid w:val="0"/>
        <w:ind w:firstLine="480"/>
        <w:jc w:val="both"/>
        <w:rPr>
          <w:color w:val="auto"/>
          <w:sz w:val="24"/>
          <w:szCs w:val="24"/>
          <w:highlight w:val="none"/>
          <w:lang w:val="en-US"/>
        </w:rPr>
      </w:pPr>
      <w:bookmarkStart w:id="115" w:name="_Toc173761998"/>
      <w:r>
        <w:rPr>
          <w:rFonts w:hint="eastAsia"/>
          <w:color w:val="auto"/>
          <w:sz w:val="24"/>
          <w:szCs w:val="24"/>
          <w:highlight w:val="none"/>
          <w:lang w:val="en-US"/>
        </w:rPr>
        <w:t>（三）部门规章及规范性文件</w:t>
      </w:r>
      <w:bookmarkEnd w:id="115"/>
    </w:p>
    <w:p w14:paraId="49B0EE0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《非煤矿山建设项目安全设施设计编写提纲 第2部分：金属非金属露天矿山建设项目安全设施设计编写提纲》（KA/T20.2-20024）；</w:t>
      </w:r>
    </w:p>
    <w:p w14:paraId="23A8D2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《国家安监总局办公厅关于印发生产经营单位生产安全事故应急预案评审指南（试行）的通知》，安监总管应急〔2009〕73号；</w:t>
      </w:r>
    </w:p>
    <w:p w14:paraId="1E90C21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《企业安全生产费用提取和使用管理办法》（财资〔2022〕136号）；</w:t>
      </w:r>
    </w:p>
    <w:p w14:paraId="327342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《国家安全监管总局关于发布金属非金属矿山禁止使用的设备及工艺目录（第一批）的通知》，安监总管一〔2013〕101号；</w:t>
      </w:r>
    </w:p>
    <w:p w14:paraId="0AB9C81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《国家安全监管总局关于发布金属非金属矿山禁止使用的设备及工艺目录（第二批）的通知》，安监总管一〔2015〕13号，2015年2月13日起施行；</w:t>
      </w:r>
    </w:p>
    <w:p w14:paraId="143CD1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《危险化学品目录》2015版，安全监管总局会同工业和信息化部、公安部、环境保护部、交通运输部、农业部、国家卫生计生委、质检总局、铁路局、民航局制定，2015年2月27日；</w:t>
      </w:r>
    </w:p>
    <w:p w14:paraId="7C3A09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《建设项目安全设施“三同时”监督管理办法》，国家安全生产监督管理总局令36号发布，根据国家安全生产监督管理总局令第77号令修改，2015年5月1日施行；</w:t>
      </w:r>
    </w:p>
    <w:p w14:paraId="5994E0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非煤矿山外包工程安全管理暂行办法》，国家安全生产监督管理总局令第62号，自2013年10月1日起施行，根据国家安全生产监督管理总局令第78号《国家安全监管总局关于废止和修改非煤矿矿山领域九部规章的决定》修改，自2015年7月1日起实施；</w:t>
      </w:r>
    </w:p>
    <w:p w14:paraId="3F742D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非煤矿矿山企业安全生产许可证实施办法》，国家安全生产监督管理总局令第20号，根据国家安全生产监督管理总局令第78号《国家安全监管总局关于废止和修改非煤矿矿山领域九部规章的决定》修改，自2015年7月1日起实施；</w:t>
      </w:r>
    </w:p>
    <w:p w14:paraId="6707C2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《生产经营单位安全培训规定》，国家安全生产监督管理总局令第3号发布，根据2013年8月29日国家安全生产监督管理总局第63号令及2015年7月1日国家安全生产监督管理总局第80号令修改，自2015年7月1日起施行；</w:t>
      </w:r>
    </w:p>
    <w:p w14:paraId="2FBB6F6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《安全生产培训管理办法》，国家安全生产监督管理总局令第44号发布，根据2013年8月29日国家安全生产监督管理总局第63号令及2015年7月1日国家安全生产监督管理总局第80号令修改，自2015年7月1日起施行；</w:t>
      </w:r>
    </w:p>
    <w:p w14:paraId="44AD69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特种作业人员安全技术培训考核管理规定》，国家安全生产监督管理总局令第30号发布，根据2013年8月29日国家安全生产监督管理总局第63号及2015年7月1日国家安全生产监督管理总局第80号令修改，自2015年7月1日起施行；</w:t>
      </w:r>
    </w:p>
    <w:p w14:paraId="4BBC18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《金属非金属矿山建设项目安全设施目录（试行）》（国家安全生产监督管理总局令第75号），自2015年7月1日起施行；</w:t>
      </w:r>
    </w:p>
    <w:p w14:paraId="0A15C2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《国家安全监管总局关于印发金属非金属矿山建设项目安全设施设计重大变更范围的通知》（安监总管一〔2016〕18号），2016年2月17日；</w:t>
      </w:r>
    </w:p>
    <w:p w14:paraId="7FD3600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《非煤矿山建设项目安全设施设计编写提纲 第3部分：金属非金属露天矿山建设项目安全设施重大变更设计编写提纲》（KA/T20.3-20024）；</w:t>
      </w:r>
    </w:p>
    <w:p w14:paraId="6B17908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《国家安全监管总局关于印发金属非金属矿山建设项目安全评价报告编写提纲的通知》（安监总管一〔2016〕49号）及附件2－金属非金属露天矿山建设项目安全预评价报告编写提纲，2016年5月30日起实施；</w:t>
      </w:r>
    </w:p>
    <w:p w14:paraId="020FAC4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《国务院安委会办公室关于实施遏制重特大事故工作指南构建双重预防机制的意见》（安委办〔2016〕11号）；</w:t>
      </w:r>
    </w:p>
    <w:p w14:paraId="2E50428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《建设项目职业病防护设施“三同时”监督管理办法》，国家安全生产监督管理总局令，第90号，2017年5月1日施行；</w:t>
      </w:r>
    </w:p>
    <w:p w14:paraId="5814499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《生产安全事故应急预案管理办法》，国家安全生产监督管理总局第17号令发布，应急管理部（2019）2号令第二次修订，自2019年9月1日起实施；</w:t>
      </w:r>
    </w:p>
    <w:p w14:paraId="1D58514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《用人单位劳动防护用品管理规范》（总厅安健3号）；</w:t>
      </w:r>
    </w:p>
    <w:p w14:paraId="3BC54B8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《金属非金属矿山重大事故隐患判定标准》的通知（矿安〔2022〕88号）及补充规定；</w:t>
      </w:r>
    </w:p>
    <w:p w14:paraId="603374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《金属非金属矿山重大生产安全事故隐患判定标准（试行）》（安监总管一〔2017〕98号），自2017年9月1日起施行；</w:t>
      </w:r>
    </w:p>
    <w:p w14:paraId="31092C9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国家安全监管总局保监会财政部关于印发《安全生产责任保险实施办法》的通知》（安监总办〔2017〕140号）；</w:t>
      </w:r>
    </w:p>
    <w:p w14:paraId="47FF76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《安全生产严重失信主体名单管理办法》（应急管理部11号令）；</w:t>
      </w:r>
    </w:p>
    <w:p w14:paraId="2E80D5D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《生产安全事故罚款处罚规定》（应急部14号令）；</w:t>
      </w:r>
    </w:p>
    <w:p w14:paraId="1F9901E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国家矿山安全监察局关于印发《打击和防范矿山瞒报事故的若干措施》的通知（矿安〔2024〕7号）。</w:t>
      </w:r>
    </w:p>
    <w:bookmarkEnd w:id="111"/>
    <w:bookmarkEnd w:id="112"/>
    <w:p w14:paraId="4BEB08D5">
      <w:pPr>
        <w:pStyle w:val="437"/>
        <w:keepNext w:val="0"/>
        <w:keepLines w:val="0"/>
        <w:adjustRightInd w:val="0"/>
        <w:snapToGrid w:val="0"/>
        <w:ind w:firstLine="480"/>
        <w:jc w:val="both"/>
        <w:rPr>
          <w:color w:val="auto"/>
          <w:sz w:val="24"/>
          <w:szCs w:val="24"/>
          <w:highlight w:val="none"/>
          <w:lang w:val="en-US"/>
        </w:rPr>
      </w:pPr>
      <w:bookmarkStart w:id="116" w:name="_Toc173761999"/>
      <w:r>
        <w:rPr>
          <w:rFonts w:hint="eastAsia"/>
          <w:color w:val="auto"/>
          <w:sz w:val="24"/>
          <w:szCs w:val="24"/>
          <w:highlight w:val="none"/>
          <w:lang w:val="en-US"/>
        </w:rPr>
        <w:t>（四）地方法规及规范性文件</w:t>
      </w:r>
      <w:bookmarkEnd w:id="116"/>
    </w:p>
    <w:p w14:paraId="12BEAE4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《浙江省自然资源厅关于进一步做好矿地综合利用开发项目采矿权设置有关工作的通知》（浙自然资发〔2019〕25号）；</w:t>
      </w:r>
    </w:p>
    <w:p w14:paraId="38304D3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《关于印发&lt;浙江省露天开采矿山自然生态环境治理工程施工质量验收管理办法（试行）&gt;的通知》（浙土资发〔2004〕41号，2004年8月13日发布执行）；</w:t>
      </w:r>
    </w:p>
    <w:p w14:paraId="300EB05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《关于贯彻国土资源部&lt;土地复垦条例实施办法&gt;的通知》（浙土资发〔2013〕26号，2013年4月24日发布执行）；</w:t>
      </w:r>
    </w:p>
    <w:p w14:paraId="3E8EC0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《关于印发&lt;浙江省土地整治项目预算定额标准&gt;的通知》（浙财农〔2016〕1号，2016年2月15日执行）；</w:t>
      </w:r>
    </w:p>
    <w:p w14:paraId="057D08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《关于转发国土资源部办公厅&lt;关于做好矿山地质环境保护与土地复垦方案编报有关工作的通知&gt;》（浙土资规〔2017〕1号，2017年2月27日发布执行）；</w:t>
      </w:r>
    </w:p>
    <w:p w14:paraId="28BF1A8A">
      <w:pPr>
        <w:widowControl w:val="0"/>
        <w:adjustRightInd w:val="0"/>
        <w:snapToGrid w:val="0"/>
        <w:spacing w:line="300" w:lineRule="auto"/>
        <w:ind w:firstLine="480" w:firstLineChars="200"/>
        <w:rPr>
          <w:rFonts w:cs="宋体"/>
          <w:snapToGrid w:val="0"/>
          <w:color w:val="auto"/>
          <w:kern w:val="0"/>
          <w:sz w:val="24"/>
          <w:szCs w:val="21"/>
          <w:highlight w:val="none"/>
        </w:rPr>
      </w:pPr>
      <w:bookmarkStart w:id="117" w:name="_Toc87361743"/>
      <w:r>
        <w:rPr>
          <w:rFonts w:hint="eastAsia" w:cs="宋体"/>
          <w:snapToGrid w:val="0"/>
          <w:color w:val="auto"/>
          <w:kern w:val="0"/>
          <w:sz w:val="24"/>
          <w:szCs w:val="21"/>
          <w:highlight w:val="none"/>
        </w:rPr>
        <w:t>《浙江省安全生产监督管理局转发国家安全监管总局关于发布金属非金属矿山禁止使用的设备及工艺目录（第一批）的通知》（浙安监管矿[2013]166号，2013年9月16日）；</w:t>
      </w:r>
    </w:p>
    <w:p w14:paraId="4669F4E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《浙江省安全生产监督管理局关于印发〈浙江省非煤矿山外包工程安全管理暂行办法实施细则〉的通知》（浙安监管矿〔2014〕103号，2014年7月4日起施行）；</w:t>
      </w:r>
    </w:p>
    <w:p w14:paraId="69E41F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转发国家安全监管总局关于发布金属非金属矿山禁止使用的设备及工艺目录（第二批）和金属非金属矿山新型适用安全技术及装备推广目录（第一批）的通知》（浙安监管矿〔2015〕20号，2015年2月28日起施行）；</w:t>
      </w:r>
    </w:p>
    <w:p w14:paraId="6FA985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《浙江省矿山建设项目安全设施“三同时”监督管理办法》（浙安监管矿〔2015〕119号，2015年10月9日起施行）；</w:t>
      </w:r>
    </w:p>
    <w:p w14:paraId="557F57A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《关于矿山建设项目安全设施设计审查与竣工验收工作的指导意见》（浙安监管矿〔2016〕99号，2016年11月7日起施行）；</w:t>
      </w:r>
    </w:p>
    <w:p w14:paraId="11535CE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《浙江省新办矿山联合踏勘安全生产工作指导意见》（浙安监管矿〔2017〕13号，2017年3月2日起实施）；</w:t>
      </w:r>
    </w:p>
    <w:p w14:paraId="461F76E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《浙江省人民政府办公厅关于转发省安监局等部门关于在高危行业全面推进安全生产责任保险的通知》（浙政办发〔2017〕146号，2017年12月13日起实施）；</w:t>
      </w:r>
    </w:p>
    <w:p w14:paraId="4020B70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《浙江省安全生产监督管理局浙江省国土资源厅关于进一步明确新设立露天矿山选址安全生产要求的通知》（浙安监管矿〔2017〕11号，2017年3月6日实施）；</w:t>
      </w:r>
    </w:p>
    <w:p w14:paraId="421B971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《浙江省安全生产监督管理局关于进一步规范矿山建设项目安全设施设计工作的指导意见》（浙安监管矿〔2018〕32号，2018年4月20日起实施）；</w:t>
      </w:r>
    </w:p>
    <w:p w14:paraId="377F07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《浙江省应急管理厅关于印发浙江省企业安全风险管控体系建设实施指南（试行）的通知》（浙应急基础〔2020〕56号，2020年4月7日起实施）；</w:t>
      </w:r>
    </w:p>
    <w:p w14:paraId="1F59EA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《浙江省应急管理厅关于印发〈矿山和金属冶炼企业推行安全承诺制度工作指导意见〉〈矿山安全分级分类监管工作指导意见〉的通知》（浙应急基础〔2020〕169号，2020年11月23日起实施）；</w:t>
      </w:r>
    </w:p>
    <w:p w14:paraId="5796888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《关于加强非煤矿山安全生产工作的指导意见》（矿安〔2022〕4号，2022年2月11日起施行）；</w:t>
      </w:r>
    </w:p>
    <w:p w14:paraId="450145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《浙江省应急管理厅关于加强露天矿山边坡安全风险管控严防坍塌事故的指导意见》（浙应急基础〔2022〕24号，2022年3月7日）；</w:t>
      </w:r>
    </w:p>
    <w:p w14:paraId="5CDE41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《浙江省应急管理厅转发国家矿山安全监察局〈关于加强非煤矿山安全生产工作的指导意见〉的通知》（浙应急基础〔2022〕31号，2022年3月16日）；</w:t>
      </w:r>
    </w:p>
    <w:p w14:paraId="5572693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《浙江省应急管理厅关于印发〈浙江省非煤矿矿山企业安全生产许可证实施细则（暂行）〉的通知》（浙应急基础〔2022〕89号，2022年7月3日）；</w:t>
      </w:r>
    </w:p>
    <w:p w14:paraId="213A2B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《浙江省应急管理厅关于印发〈非煤矿矿山企业安全生产许可证审查工作指导意见（暂行）〉的通知》（浙应急基础〔2022〕90号，2022年7月3日）；</w:t>
      </w:r>
    </w:p>
    <w:p w14:paraId="4FA8AD7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《浙江省应急管理厅浙江省财政厅关于印发〈浙江省矿山重大灾害风险防控（矿山安全生产数字化）建设总体方案〉的通知》（浙应急基础〔2023〕8号，2023年1月12日发文）；</w:t>
      </w:r>
    </w:p>
    <w:p w14:paraId="15143A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《浙江省应急管理厅关于印发&lt;浙江省露天矿山安全生产专项整治工作方案&gt;的通知》（浙应急基础〔2023〕29号）；</w:t>
      </w:r>
    </w:p>
    <w:p w14:paraId="4411386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浙江省应急管理厅关于印发〈浙江省矿山安全生产数字化基础部分建设指南（试行）〉等3个文件的通知》（浙应急基础〔2023〕11号）</w:t>
      </w:r>
    </w:p>
    <w:p w14:paraId="63AE20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《浙江省应急管理厅关于印发&lt;浙江省矿山安全生产综合整治工作方案&gt;的通知》（浙应急基础〔2023〕32号）；</w:t>
      </w:r>
    </w:p>
    <w:p w14:paraId="2A2C96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浙江省应急管理厅关于印发《浙江省矿山建设项目安全设施“三同时”监督管理办法》的通知。</w:t>
      </w:r>
    </w:p>
    <w:bookmarkEnd w:id="117"/>
    <w:p w14:paraId="0B97E59B">
      <w:pPr>
        <w:pStyle w:val="437"/>
        <w:keepNext w:val="0"/>
        <w:keepLines w:val="0"/>
        <w:adjustRightInd w:val="0"/>
        <w:snapToGrid w:val="0"/>
        <w:ind w:firstLine="480"/>
        <w:jc w:val="both"/>
        <w:rPr>
          <w:color w:val="auto"/>
          <w:sz w:val="24"/>
          <w:szCs w:val="24"/>
          <w:highlight w:val="none"/>
          <w:lang w:val="en-US"/>
        </w:rPr>
      </w:pPr>
      <w:bookmarkStart w:id="118" w:name="_Toc173762000"/>
      <w:r>
        <w:rPr>
          <w:rFonts w:hint="eastAsia"/>
          <w:color w:val="auto"/>
          <w:sz w:val="24"/>
          <w:szCs w:val="24"/>
          <w:highlight w:val="none"/>
          <w:lang w:val="en-US"/>
        </w:rPr>
        <w:t>（五）国家标准</w:t>
      </w:r>
      <w:bookmarkEnd w:id="118"/>
    </w:p>
    <w:p w14:paraId="5D502AF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《企业职工伤亡事故分类》（GB6441-1986）；</w:t>
      </w:r>
    </w:p>
    <w:p w14:paraId="678E619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《金属非金属矿山安全规程》（GB16423-2020）；</w:t>
      </w:r>
    </w:p>
    <w:p w14:paraId="5C4389DE">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《电气装置安装工程低压电器施工及验收规范》（GB50254-2014）；</w:t>
      </w:r>
    </w:p>
    <w:p w14:paraId="260CEE9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《机械安全避免人体各部位挤压的最小间距》（GB/12265.3-1997）；</w:t>
      </w:r>
    </w:p>
    <w:p w14:paraId="592970F1">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《生产设备安全卫生设计总则》（GB5083-1999）；</w:t>
      </w:r>
    </w:p>
    <w:p w14:paraId="25DEAAD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《安全色》（GB2893-2008）；</w:t>
      </w:r>
    </w:p>
    <w:p w14:paraId="6A4CB30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《一般工业固体废物贮存和填埋污染控制标准》（</w:t>
      </w:r>
      <w:bookmarkStart w:id="119" w:name="_Hlk86396295"/>
      <w:r>
        <w:rPr>
          <w:rFonts w:cs="宋体"/>
          <w:snapToGrid w:val="0"/>
          <w:color w:val="auto"/>
          <w:kern w:val="0"/>
          <w:sz w:val="24"/>
          <w:szCs w:val="24"/>
          <w:highlight w:val="none"/>
        </w:rPr>
        <w:t>GB18599-2020</w:t>
      </w:r>
      <w:bookmarkEnd w:id="119"/>
      <w:r>
        <w:rPr>
          <w:rFonts w:cs="宋体"/>
          <w:snapToGrid w:val="0"/>
          <w:color w:val="auto"/>
          <w:kern w:val="0"/>
          <w:sz w:val="24"/>
          <w:szCs w:val="24"/>
          <w:highlight w:val="none"/>
        </w:rPr>
        <w:t>）；</w:t>
      </w:r>
    </w:p>
    <w:p w14:paraId="1B7DD55D">
      <w:pPr>
        <w:widowControl w:val="0"/>
        <w:adjustRightInd w:val="0"/>
        <w:snapToGrid w:val="0"/>
        <w:spacing w:line="300" w:lineRule="auto"/>
        <w:ind w:firstLine="480" w:firstLineChars="200"/>
        <w:rPr>
          <w:rFonts w:cs="宋体"/>
          <w:snapToGrid w:val="0"/>
          <w:color w:val="auto"/>
          <w:kern w:val="0"/>
          <w:sz w:val="24"/>
          <w:szCs w:val="24"/>
          <w:highlight w:val="none"/>
        </w:rPr>
      </w:pPr>
      <w:bookmarkStart w:id="120" w:name="_Hlk75208488"/>
      <w:r>
        <w:rPr>
          <w:rFonts w:cs="宋体"/>
          <w:snapToGrid w:val="0"/>
          <w:color w:val="auto"/>
          <w:kern w:val="0"/>
          <w:sz w:val="24"/>
          <w:szCs w:val="24"/>
          <w:highlight w:val="none"/>
        </w:rPr>
        <w:t>《机械安全防护装置固定式和活动式防护装置的设计与制造一般要求》（GB8196-2018）</w:t>
      </w:r>
      <w:bookmarkEnd w:id="120"/>
      <w:r>
        <w:rPr>
          <w:rFonts w:cs="宋体"/>
          <w:snapToGrid w:val="0"/>
          <w:color w:val="auto"/>
          <w:kern w:val="0"/>
          <w:sz w:val="24"/>
          <w:szCs w:val="24"/>
          <w:highlight w:val="none"/>
        </w:rPr>
        <w:t>；</w:t>
      </w:r>
    </w:p>
    <w:p w14:paraId="456F09E1">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《建筑灭火器配置设计规范》（GB50140-2005）；</w:t>
      </w:r>
    </w:p>
    <w:p w14:paraId="4FDAE650">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《消防安全标志第1部分：标志》（GB13495.1-2015）；</w:t>
      </w:r>
    </w:p>
    <w:p w14:paraId="1BC2624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《矿山安全标志》（GB14161-2008）；</w:t>
      </w:r>
    </w:p>
    <w:p w14:paraId="0B41281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《安全标志及其使用导则》（GB2894-2008）；</w:t>
      </w:r>
    </w:p>
    <w:p w14:paraId="5DACD71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《危险化学品重大危险源辨识》（GB18218-2018）；</w:t>
      </w:r>
    </w:p>
    <w:p w14:paraId="4AC3B50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《机械安全防止上下肢触及危险区的安全距离》（GB23821-2009）；</w:t>
      </w:r>
    </w:p>
    <w:p w14:paraId="51042E5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《矿山电力设计标准》（GB50070-2020）；</w:t>
      </w:r>
    </w:p>
    <w:p w14:paraId="2873DD23">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《建筑物防雷设计规范》（GB50057-2010）；</w:t>
      </w:r>
    </w:p>
    <w:p w14:paraId="7FF74D6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《建筑抗震设计规范（2016版）》（GB50011-2010）；</w:t>
      </w:r>
    </w:p>
    <w:p w14:paraId="4D61190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《交流电气装置的接地设计规范》（GB50065-2011）；</w:t>
      </w:r>
    </w:p>
    <w:p w14:paraId="210AB6D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《工业企业总平面设计规范》（GB50187-2012）；</w:t>
      </w:r>
    </w:p>
    <w:p w14:paraId="3315ACB4">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《危险货物品名表》（GB12268-2012）；</w:t>
      </w:r>
    </w:p>
    <w:p w14:paraId="618F314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《爆破安全规程（国家标准第1号修改单）》（GB6722-2014/XG1-2016）；</w:t>
      </w:r>
    </w:p>
    <w:p w14:paraId="4D618FD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《建筑设计防火规范（2018版）》（GB50016-2014）；</w:t>
      </w:r>
    </w:p>
    <w:p w14:paraId="32D7DCE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《中国地震动参数区划图》（GB18306-2015）；</w:t>
      </w:r>
    </w:p>
    <w:p w14:paraId="1E438EA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《生产过程安全卫生要求总则》（GB/T12801-2008）；</w:t>
      </w:r>
    </w:p>
    <w:p w14:paraId="20C43745">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《矿用一般型电气设备》（GB/T12133-2008）；</w:t>
      </w:r>
    </w:p>
    <w:p w14:paraId="2289180D">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《高处作业分级》（GB/T3608-2008）；</w:t>
      </w:r>
    </w:p>
    <w:p w14:paraId="006C773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《生产过程危险和有害因素分类与代码》（GB/T13861-2009）；</w:t>
      </w:r>
    </w:p>
    <w:p w14:paraId="5C26B101">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《生产经营单位安全生产事故应急预案编制导则》（GB/T29639-2020）；</w:t>
      </w:r>
    </w:p>
    <w:p w14:paraId="5361516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《工作场所有害因素职业接触限值》第1部分：化学有害因素（GBZ2.1-2019），《工作场所有害因素职业接触限值》第2部分：物理因素（GBZ2.2-2007）；</w:t>
      </w:r>
    </w:p>
    <w:p w14:paraId="577C99C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《职业性接触毒物危害程度分级》（GBZ230-2010）；</w:t>
      </w:r>
    </w:p>
    <w:p w14:paraId="622484C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《工业企业设计卫生标准》（GBZ1</w:t>
      </w:r>
      <w:r>
        <w:rPr>
          <w:rFonts w:hint="eastAsia" w:cs="宋体"/>
          <w:snapToGrid w:val="0"/>
          <w:color w:val="auto"/>
          <w:kern w:val="0"/>
          <w:sz w:val="24"/>
          <w:szCs w:val="24"/>
          <w:highlight w:val="none"/>
        </w:rPr>
        <w:t>-</w:t>
      </w:r>
      <w:r>
        <w:rPr>
          <w:rFonts w:cs="宋体"/>
          <w:snapToGrid w:val="0"/>
          <w:color w:val="auto"/>
          <w:kern w:val="0"/>
          <w:sz w:val="24"/>
          <w:szCs w:val="24"/>
          <w:highlight w:val="none"/>
        </w:rPr>
        <w:t>2010）；</w:t>
      </w:r>
    </w:p>
    <w:p w14:paraId="2E07323E">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《金属非金属矿山在用空气压缩机安全检验规范第一部分固定式空气压缩机》（AQ2055-2016）；</w:t>
      </w:r>
    </w:p>
    <w:p w14:paraId="651F4DD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《厂矿道路设计规范》（GBJ22-1987）；</w:t>
      </w:r>
    </w:p>
    <w:p w14:paraId="7CF9F85C">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《有色金属采矿设计规范》（GB50771-2012）；</w:t>
      </w:r>
    </w:p>
    <w:p w14:paraId="1CB9D7A9">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《冶金矿山采矿设计规范》（GB50830-2013）；</w:t>
      </w:r>
    </w:p>
    <w:p w14:paraId="20933A2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《有色金属矿山排土场设计标准》（GB50421-2018）；</w:t>
      </w:r>
    </w:p>
    <w:p w14:paraId="4B2A8FC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《建设用砂》（GB/T14684）；</w:t>
      </w:r>
    </w:p>
    <w:p w14:paraId="3ADACC8A">
      <w:pPr>
        <w:widowControl w:val="0"/>
        <w:adjustRightInd w:val="0"/>
        <w:snapToGrid w:val="0"/>
        <w:spacing w:line="300" w:lineRule="auto"/>
        <w:ind w:firstLine="480" w:firstLineChars="200"/>
        <w:rPr>
          <w:rFonts w:cs="宋体"/>
          <w:snapToGrid w:val="0"/>
          <w:color w:val="auto"/>
          <w:kern w:val="0"/>
          <w:sz w:val="24"/>
          <w:szCs w:val="21"/>
          <w:highlight w:val="none"/>
        </w:rPr>
      </w:pPr>
      <w:r>
        <w:rPr>
          <w:rFonts w:cs="宋体"/>
          <w:snapToGrid w:val="0"/>
          <w:color w:val="auto"/>
          <w:kern w:val="0"/>
          <w:sz w:val="24"/>
          <w:szCs w:val="21"/>
          <w:highlight w:val="none"/>
        </w:rPr>
        <w:t>《建设用卵石、碎石》（GB/T14685）。</w:t>
      </w:r>
    </w:p>
    <w:p w14:paraId="76E59EA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其他有关的国家规范。</w:t>
      </w:r>
    </w:p>
    <w:p w14:paraId="6204424F">
      <w:pPr>
        <w:pStyle w:val="437"/>
        <w:keepNext w:val="0"/>
        <w:keepLines w:val="0"/>
        <w:adjustRightInd w:val="0"/>
        <w:snapToGrid w:val="0"/>
        <w:ind w:firstLine="480"/>
        <w:jc w:val="both"/>
        <w:rPr>
          <w:color w:val="auto"/>
          <w:sz w:val="24"/>
          <w:szCs w:val="24"/>
          <w:highlight w:val="none"/>
          <w:lang w:val="en-US"/>
        </w:rPr>
      </w:pPr>
      <w:bookmarkStart w:id="121" w:name="_Toc173762001"/>
      <w:r>
        <w:rPr>
          <w:rFonts w:hint="eastAsia"/>
          <w:color w:val="auto"/>
          <w:sz w:val="24"/>
          <w:szCs w:val="24"/>
          <w:highlight w:val="none"/>
          <w:lang w:val="en-US"/>
        </w:rPr>
        <w:t>（六）行业行业标准</w:t>
      </w:r>
      <w:bookmarkEnd w:id="121"/>
    </w:p>
    <w:p w14:paraId="5870C23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《安全评价通则》（AQ8001-2007）；</w:t>
      </w:r>
    </w:p>
    <w:p w14:paraId="78D798EF">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《金属非金属矿山排土场安全生产规则》（AQ2005-2005）；</w:t>
      </w:r>
    </w:p>
    <w:p w14:paraId="02130AAE">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《公路路线设计规范》（JTGD20-2017）；</w:t>
      </w:r>
    </w:p>
    <w:p w14:paraId="2F8D607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《矿用一般型电力变压器》（JB/T 3955-2016）；</w:t>
      </w:r>
    </w:p>
    <w:p w14:paraId="5DB9C7D6">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《矿山救护规程》（AQ1008-2007）；</w:t>
      </w:r>
    </w:p>
    <w:p w14:paraId="3B344618">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《民用爆炸物品重大危险源辨识》（WJ/T9093-2018）；</w:t>
      </w:r>
    </w:p>
    <w:p w14:paraId="5F71C907">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《金属非金属矿山安全标准化规范导则》（AQ/T2050.1-2016）；</w:t>
      </w:r>
    </w:p>
    <w:p w14:paraId="2B3A083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《金属非金属矿山安全标准化规范露天矿山实施指南》（AQ/T2050.3-2016）；</w:t>
      </w:r>
    </w:p>
    <w:p w14:paraId="6C5A8E7B">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《金属非金属矿山安全生产管理人员安全生产考核标准》（AQ2011-2006）；</w:t>
      </w:r>
    </w:p>
    <w:p w14:paraId="6918F6B9">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《矿山环境保护与综合治理方案编制规范》（DZ/T223-2007）；</w:t>
      </w:r>
    </w:p>
    <w:p w14:paraId="7DBE02BA">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《金属非金属露天矿山在用矿用自卸汽车安全检验规范》（AQ2027-2010）；</w:t>
      </w:r>
    </w:p>
    <w:p w14:paraId="7D7B8C82">
      <w:pPr>
        <w:widowControl w:val="0"/>
        <w:adjustRightInd w:val="0"/>
        <w:snapToGrid w:val="0"/>
        <w:spacing w:line="300" w:lineRule="auto"/>
        <w:ind w:firstLine="480" w:firstLineChars="200"/>
        <w:rPr>
          <w:rFonts w:cs="宋体"/>
          <w:snapToGrid w:val="0"/>
          <w:color w:val="auto"/>
          <w:kern w:val="0"/>
          <w:sz w:val="24"/>
          <w:szCs w:val="24"/>
          <w:highlight w:val="none"/>
        </w:rPr>
      </w:pPr>
      <w:r>
        <w:rPr>
          <w:rFonts w:cs="宋体"/>
          <w:snapToGrid w:val="0"/>
          <w:color w:val="auto"/>
          <w:kern w:val="0"/>
          <w:sz w:val="24"/>
          <w:szCs w:val="24"/>
          <w:highlight w:val="none"/>
        </w:rPr>
        <w:t>《砂石行业绿色矿山建设规范》（DZ/T0316-2018）；</w:t>
      </w:r>
    </w:p>
    <w:p w14:paraId="07CA49A5">
      <w:pPr>
        <w:widowControl w:val="0"/>
        <w:adjustRightInd w:val="0"/>
        <w:snapToGrid w:val="0"/>
        <w:spacing w:line="300" w:lineRule="auto"/>
        <w:ind w:firstLine="480" w:firstLineChars="200"/>
        <w:rPr>
          <w:rFonts w:cs="宋体"/>
          <w:snapToGrid w:val="0"/>
          <w:color w:val="auto"/>
          <w:kern w:val="0"/>
          <w:sz w:val="24"/>
          <w:szCs w:val="21"/>
          <w:highlight w:val="none"/>
        </w:rPr>
      </w:pPr>
      <w:r>
        <w:rPr>
          <w:rFonts w:cs="宋体"/>
          <w:snapToGrid w:val="0"/>
          <w:color w:val="auto"/>
          <w:kern w:val="0"/>
          <w:sz w:val="24"/>
          <w:szCs w:val="21"/>
          <w:highlight w:val="none"/>
        </w:rPr>
        <w:t>《机制砂石生产技术规程》（JC/T2299-2014）</w:t>
      </w:r>
      <w:r>
        <w:rPr>
          <w:rFonts w:hint="eastAsia" w:cs="宋体"/>
          <w:snapToGrid w:val="0"/>
          <w:color w:val="auto"/>
          <w:kern w:val="0"/>
          <w:sz w:val="24"/>
          <w:szCs w:val="21"/>
          <w:highlight w:val="none"/>
        </w:rPr>
        <w:t>。</w:t>
      </w:r>
    </w:p>
    <w:p w14:paraId="76780080">
      <w:pPr>
        <w:pStyle w:val="437"/>
        <w:keepNext w:val="0"/>
        <w:keepLines w:val="0"/>
        <w:adjustRightInd w:val="0"/>
        <w:snapToGrid w:val="0"/>
        <w:ind w:firstLine="480"/>
        <w:jc w:val="both"/>
        <w:rPr>
          <w:color w:val="auto"/>
          <w:sz w:val="24"/>
          <w:szCs w:val="24"/>
          <w:highlight w:val="none"/>
          <w:lang w:val="en-US"/>
        </w:rPr>
      </w:pPr>
      <w:bookmarkStart w:id="122" w:name="_Toc87361744"/>
      <w:bookmarkStart w:id="123" w:name="_Toc173762002"/>
      <w:r>
        <w:rPr>
          <w:rFonts w:hint="eastAsia"/>
          <w:color w:val="auto"/>
          <w:sz w:val="24"/>
          <w:szCs w:val="24"/>
          <w:highlight w:val="none"/>
          <w:lang w:val="en-US"/>
        </w:rPr>
        <w:t>（七）建设项目技术资料</w:t>
      </w:r>
      <w:bookmarkEnd w:id="122"/>
      <w:bookmarkEnd w:id="123"/>
    </w:p>
    <w:p w14:paraId="74B82C3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相关地质、安全、环境等技术资料。</w:t>
      </w:r>
    </w:p>
    <w:bookmarkEnd w:id="113"/>
    <w:p w14:paraId="5885A57B">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上述如有新标准及规范，按新标准及规范执行。</w:t>
      </w:r>
    </w:p>
    <w:p w14:paraId="2F5DE871">
      <w:pPr>
        <w:widowControl w:val="0"/>
        <w:adjustRightInd w:val="0"/>
        <w:snapToGrid w:val="0"/>
        <w:rPr>
          <w:color w:val="auto"/>
          <w:highlight w:val="none"/>
        </w:rPr>
      </w:pPr>
    </w:p>
    <w:p w14:paraId="7C41A7F2">
      <w:pPr>
        <w:widowControl w:val="0"/>
        <w:adjustRightInd w:val="0"/>
        <w:snapToGrid w:val="0"/>
        <w:rPr>
          <w:color w:val="auto"/>
          <w:highlight w:val="none"/>
        </w:rPr>
      </w:pPr>
    </w:p>
    <w:p w14:paraId="0AE2CE17">
      <w:pPr>
        <w:widowControl w:val="0"/>
        <w:adjustRightInd w:val="0"/>
        <w:snapToGrid w:val="0"/>
        <w:jc w:val="left"/>
        <w:rPr>
          <w:snapToGrid w:val="0"/>
          <w:color w:val="auto"/>
          <w:kern w:val="0"/>
          <w:highlight w:val="none"/>
        </w:rPr>
        <w:sectPr>
          <w:type w:val="oddPage"/>
          <w:pgSz w:w="11906" w:h="16838"/>
          <w:pgMar w:top="1440" w:right="1304" w:bottom="1440" w:left="1134" w:header="851" w:footer="992" w:gutter="0"/>
          <w:cols w:space="720" w:num="1"/>
          <w:docGrid w:type="lines" w:linePitch="312" w:charSpace="0"/>
        </w:sectPr>
      </w:pPr>
    </w:p>
    <w:p w14:paraId="6EDA4D24">
      <w:pPr>
        <w:pStyle w:val="2"/>
        <w:keepNext w:val="0"/>
        <w:keepLines w:val="0"/>
        <w:adjustRightInd w:val="0"/>
        <w:snapToGrid w:val="0"/>
        <w:rPr>
          <w:color w:val="auto"/>
          <w:highlight w:val="none"/>
        </w:rPr>
      </w:pPr>
      <w:bookmarkStart w:id="124" w:name="_Toc176282134"/>
      <w:bookmarkStart w:id="125" w:name="_Toc171279396"/>
      <w:bookmarkStart w:id="126" w:name="_Toc256669743"/>
      <w:bookmarkStart w:id="127" w:name="_Toc357429003"/>
      <w:bookmarkStart w:id="128" w:name="_Toc173762003"/>
      <w:bookmarkStart w:id="129" w:name="_Hlk161522031"/>
      <w:r>
        <w:rPr>
          <w:color w:val="auto"/>
          <w:highlight w:val="none"/>
        </w:rPr>
        <w:t>第四</w:t>
      </w:r>
      <w:r>
        <w:rPr>
          <w:rFonts w:hint="eastAsia"/>
          <w:color w:val="auto"/>
          <w:highlight w:val="none"/>
        </w:rPr>
        <w:t>部分</w:t>
      </w:r>
      <w:r>
        <w:rPr>
          <w:color w:val="auto"/>
          <w:highlight w:val="none"/>
        </w:rPr>
        <w:t xml:space="preserve"> </w:t>
      </w:r>
      <w:bookmarkEnd w:id="124"/>
      <w:bookmarkEnd w:id="125"/>
      <w:bookmarkEnd w:id="126"/>
      <w:bookmarkEnd w:id="127"/>
      <w:r>
        <w:rPr>
          <w:rFonts w:hint="eastAsia"/>
          <w:color w:val="auto"/>
          <w:highlight w:val="none"/>
        </w:rPr>
        <w:t>评标办法</w:t>
      </w:r>
      <w:bookmarkEnd w:id="128"/>
    </w:p>
    <w:p w14:paraId="47CE4A59">
      <w:pPr>
        <w:pStyle w:val="417"/>
        <w:rPr>
          <w:color w:val="auto"/>
          <w:highlight w:val="none"/>
        </w:rPr>
      </w:pPr>
      <w:bookmarkStart w:id="130" w:name="_Toc173762004"/>
      <w:r>
        <w:rPr>
          <w:rFonts w:hint="eastAsia"/>
          <w:color w:val="auto"/>
          <w:highlight w:val="none"/>
        </w:rPr>
        <w:t>评标办法前附表</w:t>
      </w:r>
      <w:bookmarkEnd w:id="130"/>
    </w:p>
    <w:tbl>
      <w:tblPr>
        <w:tblStyle w:val="61"/>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1"/>
        <w:gridCol w:w="5812"/>
        <w:gridCol w:w="709"/>
        <w:gridCol w:w="850"/>
        <w:gridCol w:w="1418"/>
      </w:tblGrid>
      <w:tr w14:paraId="1BD35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701" w:type="dxa"/>
            <w:vAlign w:val="center"/>
          </w:tcPr>
          <w:p w14:paraId="5007244E">
            <w:pPr>
              <w:widowControl w:val="0"/>
              <w:adjustRightInd w:val="0"/>
              <w:snapToGrid w:val="0"/>
              <w:jc w:val="center"/>
              <w:rPr>
                <w:b/>
                <w:bCs/>
                <w:color w:val="auto"/>
                <w:highlight w:val="none"/>
              </w:rPr>
            </w:pPr>
            <w:r>
              <w:rPr>
                <w:rFonts w:hint="eastAsia"/>
                <w:b/>
                <w:bCs/>
                <w:color w:val="auto"/>
                <w:highlight w:val="none"/>
              </w:rPr>
              <w:t>序号</w:t>
            </w:r>
          </w:p>
        </w:tc>
        <w:tc>
          <w:tcPr>
            <w:tcW w:w="5812" w:type="dxa"/>
            <w:vAlign w:val="center"/>
          </w:tcPr>
          <w:p w14:paraId="3D08945C">
            <w:pPr>
              <w:widowControl w:val="0"/>
              <w:adjustRightInd w:val="0"/>
              <w:snapToGrid w:val="0"/>
              <w:jc w:val="center"/>
              <w:rPr>
                <w:b/>
                <w:bCs/>
                <w:color w:val="auto"/>
                <w:highlight w:val="none"/>
              </w:rPr>
            </w:pPr>
            <w:r>
              <w:rPr>
                <w:rFonts w:hint="eastAsia"/>
                <w:b/>
                <w:bCs/>
                <w:color w:val="auto"/>
                <w:highlight w:val="none"/>
              </w:rPr>
              <w:t>评标标准</w:t>
            </w:r>
          </w:p>
        </w:tc>
        <w:tc>
          <w:tcPr>
            <w:tcW w:w="709" w:type="dxa"/>
            <w:vAlign w:val="center"/>
          </w:tcPr>
          <w:p w14:paraId="0D3066F7">
            <w:pPr>
              <w:widowControl w:val="0"/>
              <w:adjustRightInd w:val="0"/>
              <w:snapToGrid w:val="0"/>
              <w:jc w:val="center"/>
              <w:rPr>
                <w:b/>
                <w:bCs/>
                <w:color w:val="auto"/>
                <w:highlight w:val="none"/>
              </w:rPr>
            </w:pPr>
            <w:r>
              <w:rPr>
                <w:rFonts w:hint="eastAsia"/>
                <w:b/>
                <w:bCs/>
                <w:color w:val="auto"/>
                <w:highlight w:val="none"/>
              </w:rPr>
              <w:t>权重</w:t>
            </w:r>
          </w:p>
        </w:tc>
        <w:tc>
          <w:tcPr>
            <w:tcW w:w="850" w:type="dxa"/>
            <w:vAlign w:val="center"/>
          </w:tcPr>
          <w:p w14:paraId="14EAC788">
            <w:pPr>
              <w:widowControl w:val="0"/>
              <w:adjustRightInd w:val="0"/>
              <w:snapToGrid w:val="0"/>
              <w:jc w:val="center"/>
              <w:rPr>
                <w:b/>
                <w:bCs/>
                <w:color w:val="auto"/>
                <w:highlight w:val="none"/>
              </w:rPr>
            </w:pPr>
            <w:r>
              <w:rPr>
                <w:rFonts w:hint="eastAsia"/>
                <w:b/>
                <w:bCs/>
                <w:color w:val="auto"/>
                <w:highlight w:val="none"/>
              </w:rPr>
              <w:t>主观分/客观分属性</w:t>
            </w:r>
          </w:p>
        </w:tc>
        <w:tc>
          <w:tcPr>
            <w:tcW w:w="1418" w:type="dxa"/>
            <w:vAlign w:val="center"/>
          </w:tcPr>
          <w:p w14:paraId="0DF56FEC">
            <w:pPr>
              <w:widowControl w:val="0"/>
              <w:adjustRightInd w:val="0"/>
              <w:snapToGrid w:val="0"/>
              <w:jc w:val="center"/>
              <w:rPr>
                <w:b/>
                <w:bCs/>
                <w:color w:val="auto"/>
                <w:sz w:val="18"/>
                <w:szCs w:val="18"/>
                <w:highlight w:val="none"/>
              </w:rPr>
            </w:pPr>
            <w:r>
              <w:rPr>
                <w:rFonts w:hint="eastAsia"/>
                <w:b/>
                <w:bCs/>
                <w:color w:val="auto"/>
                <w:sz w:val="18"/>
                <w:szCs w:val="18"/>
                <w:highlight w:val="none"/>
              </w:rPr>
              <w:t>投标文件中评标标准相应的商务技术资料目录*</w:t>
            </w:r>
          </w:p>
        </w:tc>
      </w:tr>
      <w:tr w14:paraId="19C2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15C133ED">
            <w:pPr>
              <w:widowControl w:val="0"/>
              <w:adjustRightInd w:val="0"/>
              <w:snapToGrid w:val="0"/>
              <w:jc w:val="center"/>
              <w:rPr>
                <w:color w:val="auto"/>
                <w:highlight w:val="none"/>
              </w:rPr>
            </w:pPr>
            <w:r>
              <w:rPr>
                <w:rFonts w:hint="eastAsia"/>
                <w:color w:val="auto"/>
                <w:highlight w:val="none"/>
              </w:rPr>
              <w:t>1</w:t>
            </w:r>
          </w:p>
        </w:tc>
        <w:tc>
          <w:tcPr>
            <w:tcW w:w="5812" w:type="dxa"/>
            <w:vAlign w:val="center"/>
          </w:tcPr>
          <w:p w14:paraId="76C019BE">
            <w:pPr>
              <w:widowControl w:val="0"/>
              <w:adjustRightInd w:val="0"/>
              <w:snapToGrid w:val="0"/>
              <w:rPr>
                <w:b/>
                <w:bCs/>
                <w:color w:val="auto"/>
                <w:highlight w:val="none"/>
              </w:rPr>
            </w:pPr>
            <w:r>
              <w:rPr>
                <w:rFonts w:hint="eastAsia"/>
                <w:b/>
                <w:bCs/>
                <w:color w:val="auto"/>
                <w:highlight w:val="none"/>
              </w:rPr>
              <w:t>项目总体理解、概述及规划：</w:t>
            </w:r>
          </w:p>
          <w:p w14:paraId="42A887B5">
            <w:pPr>
              <w:widowControl w:val="0"/>
              <w:adjustRightInd w:val="0"/>
              <w:snapToGrid w:val="0"/>
              <w:rPr>
                <w:color w:val="auto"/>
                <w:highlight w:val="none"/>
              </w:rPr>
            </w:pPr>
            <w:r>
              <w:rPr>
                <w:rFonts w:hint="eastAsia"/>
                <w:color w:val="auto"/>
                <w:highlight w:val="none"/>
              </w:rPr>
              <w:t>根据投标供应商对本项目的总体理解、概述及规划（内容需根据本项目采购需求自行进行现场踏勘，以便充分了解本项目实施落地现场安装环境及点位情况）进行综合评议：</w:t>
            </w:r>
          </w:p>
          <w:p w14:paraId="2FF1B668">
            <w:pPr>
              <w:widowControl w:val="0"/>
              <w:adjustRightInd w:val="0"/>
              <w:snapToGrid w:val="0"/>
              <w:rPr>
                <w:color w:val="auto"/>
                <w:highlight w:val="none"/>
              </w:rPr>
            </w:pPr>
            <w:r>
              <w:rPr>
                <w:rFonts w:hint="eastAsia"/>
                <w:color w:val="auto"/>
                <w:highlight w:val="none"/>
              </w:rPr>
              <w:t>总体理解、概述及规划详尽合理，整体方案清晰、内容合理完整、详细的、充分结合项目总体要求能完全满足采购人需求的，得7-5.1分；总体理解、概述及规划较为合理，内容较为完整，但有所欠缺的，得5-3.1分；总体理解、概述及规划基本符合要求，但内容不完整的，得3-1.1分；缺项或所提方案与本项目无关的，得0分。</w:t>
            </w:r>
          </w:p>
        </w:tc>
        <w:tc>
          <w:tcPr>
            <w:tcW w:w="709" w:type="dxa"/>
            <w:vAlign w:val="center"/>
          </w:tcPr>
          <w:p w14:paraId="66EF8D2B">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F079F36">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3273A65F">
            <w:pPr>
              <w:widowControl w:val="0"/>
              <w:adjustRightInd w:val="0"/>
              <w:snapToGrid w:val="0"/>
              <w:rPr>
                <w:color w:val="auto"/>
                <w:highlight w:val="none"/>
              </w:rPr>
            </w:pPr>
          </w:p>
        </w:tc>
      </w:tr>
      <w:tr w14:paraId="0A1B1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F7CDA4B">
            <w:pPr>
              <w:widowControl w:val="0"/>
              <w:adjustRightInd w:val="0"/>
              <w:snapToGrid w:val="0"/>
              <w:jc w:val="center"/>
              <w:rPr>
                <w:color w:val="auto"/>
                <w:highlight w:val="none"/>
              </w:rPr>
            </w:pPr>
            <w:r>
              <w:rPr>
                <w:rFonts w:hint="eastAsia"/>
                <w:color w:val="auto"/>
                <w:highlight w:val="none"/>
              </w:rPr>
              <w:t>2</w:t>
            </w:r>
          </w:p>
        </w:tc>
        <w:tc>
          <w:tcPr>
            <w:tcW w:w="5812" w:type="dxa"/>
            <w:vAlign w:val="center"/>
          </w:tcPr>
          <w:p w14:paraId="65227DE4">
            <w:pPr>
              <w:widowControl w:val="0"/>
              <w:adjustRightInd w:val="0"/>
              <w:snapToGrid w:val="0"/>
              <w:rPr>
                <w:b/>
                <w:bCs/>
                <w:color w:val="auto"/>
                <w:highlight w:val="none"/>
              </w:rPr>
            </w:pPr>
            <w:r>
              <w:rPr>
                <w:rFonts w:hint="eastAsia"/>
                <w:b/>
                <w:bCs/>
                <w:color w:val="auto"/>
                <w:highlight w:val="none"/>
              </w:rPr>
              <w:t>项目重点难点分析及相应措施：</w:t>
            </w:r>
          </w:p>
          <w:p w14:paraId="77446E6A">
            <w:pPr>
              <w:widowControl w:val="0"/>
              <w:adjustRightInd w:val="0"/>
              <w:snapToGrid w:val="0"/>
              <w:rPr>
                <w:color w:val="auto"/>
                <w:highlight w:val="none"/>
              </w:rPr>
            </w:pPr>
            <w:r>
              <w:rPr>
                <w:rFonts w:hint="eastAsia"/>
                <w:color w:val="auto"/>
                <w:highlight w:val="none"/>
              </w:rPr>
              <w:t>根据投标供应商对本项目的重点难点分析及相应措施进行综合评议：</w:t>
            </w:r>
          </w:p>
          <w:p w14:paraId="03CF43C5">
            <w:pPr>
              <w:widowControl w:val="0"/>
              <w:adjustRightInd w:val="0"/>
              <w:snapToGrid w:val="0"/>
              <w:rPr>
                <w:color w:val="auto"/>
                <w:highlight w:val="none"/>
              </w:rPr>
            </w:pPr>
            <w:r>
              <w:rPr>
                <w:rFonts w:hint="eastAsia"/>
                <w:color w:val="auto"/>
                <w:highlight w:val="none"/>
              </w:rPr>
              <w:t>重点难点分析透彻、全面到位，应对措施可行性高、针对性强的，得7-5.1分；重点难点分析较全面，应对措施有一定的可行性及可操作性的，得5-3.1分；重点难点分析不够到位，无明显应对措施针对性的，得3-1.1分；缺项或所提方案与本项目无关的，得0分。</w:t>
            </w:r>
          </w:p>
        </w:tc>
        <w:tc>
          <w:tcPr>
            <w:tcW w:w="709" w:type="dxa"/>
            <w:vAlign w:val="center"/>
          </w:tcPr>
          <w:p w14:paraId="41678BD9">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3C6CCEE9">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354A9AA2">
            <w:pPr>
              <w:widowControl w:val="0"/>
              <w:adjustRightInd w:val="0"/>
              <w:snapToGrid w:val="0"/>
              <w:rPr>
                <w:color w:val="auto"/>
                <w:highlight w:val="none"/>
              </w:rPr>
            </w:pPr>
          </w:p>
        </w:tc>
      </w:tr>
      <w:tr w14:paraId="6EDA7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C863804">
            <w:pPr>
              <w:widowControl w:val="0"/>
              <w:adjustRightInd w:val="0"/>
              <w:snapToGrid w:val="0"/>
              <w:jc w:val="center"/>
              <w:rPr>
                <w:color w:val="auto"/>
                <w:highlight w:val="none"/>
              </w:rPr>
            </w:pPr>
            <w:r>
              <w:rPr>
                <w:rFonts w:hint="eastAsia"/>
                <w:color w:val="auto"/>
                <w:highlight w:val="none"/>
              </w:rPr>
              <w:t>3</w:t>
            </w:r>
          </w:p>
        </w:tc>
        <w:tc>
          <w:tcPr>
            <w:tcW w:w="5812" w:type="dxa"/>
            <w:vAlign w:val="center"/>
          </w:tcPr>
          <w:p w14:paraId="531F29C9">
            <w:pPr>
              <w:widowControl w:val="0"/>
              <w:adjustRightInd w:val="0"/>
              <w:snapToGrid w:val="0"/>
              <w:rPr>
                <w:b/>
                <w:bCs/>
                <w:color w:val="auto"/>
                <w:highlight w:val="none"/>
              </w:rPr>
            </w:pPr>
            <w:r>
              <w:rPr>
                <w:rFonts w:hint="eastAsia"/>
                <w:b/>
                <w:bCs/>
                <w:color w:val="auto"/>
                <w:highlight w:val="none"/>
              </w:rPr>
              <w:t>矿山总体方案与技术措施：</w:t>
            </w:r>
          </w:p>
          <w:p w14:paraId="6D92EA98">
            <w:pPr>
              <w:widowControl w:val="0"/>
              <w:adjustRightInd w:val="0"/>
              <w:snapToGrid w:val="0"/>
              <w:rPr>
                <w:color w:val="auto"/>
                <w:highlight w:val="none"/>
              </w:rPr>
            </w:pPr>
            <w:r>
              <w:rPr>
                <w:rFonts w:hint="eastAsia"/>
                <w:color w:val="auto"/>
                <w:highlight w:val="none"/>
              </w:rPr>
              <w:t>根据投标供应商对本项目矿山总体方案与技术措施进行综合评议：</w:t>
            </w:r>
          </w:p>
          <w:p w14:paraId="541FC06D">
            <w:pPr>
              <w:widowControl w:val="0"/>
              <w:adjustRightInd w:val="0"/>
              <w:snapToGrid w:val="0"/>
              <w:rPr>
                <w:color w:val="auto"/>
                <w:highlight w:val="none"/>
              </w:rPr>
            </w:pPr>
            <w:r>
              <w:rPr>
                <w:rFonts w:hint="eastAsia"/>
                <w:color w:val="auto"/>
                <w:highlight w:val="none"/>
              </w:rPr>
              <w:t>矿山现场平面布置、安全环保设施建设方案、主要技术优化方案（包含矿山基建方案、机械开采方案、爆破开采方案、边坡治理和修复方案、砂石骨料生产线建设方案、砂石骨料加工和运营组织方案等）、污水泥饼处置方案全面、各子方案可实施性强的，得7-5.1分；矿山现场平面布置基本完整，主要技术优化方案基本能满足采购人需求的，得5-3.1分；矿山现场平面布置、主要技术优化方案无明显具有改善型，有所欠缺的，得3-1.1分；缺项或所提方案与本项目无关的，得0分。</w:t>
            </w:r>
          </w:p>
        </w:tc>
        <w:tc>
          <w:tcPr>
            <w:tcW w:w="709" w:type="dxa"/>
            <w:vAlign w:val="center"/>
          </w:tcPr>
          <w:p w14:paraId="612600AB">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9F48F9E">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06365EAB">
            <w:pPr>
              <w:widowControl w:val="0"/>
              <w:adjustRightInd w:val="0"/>
              <w:snapToGrid w:val="0"/>
              <w:rPr>
                <w:color w:val="auto"/>
                <w:highlight w:val="none"/>
              </w:rPr>
            </w:pPr>
          </w:p>
        </w:tc>
      </w:tr>
      <w:tr w14:paraId="625CC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7531431">
            <w:pPr>
              <w:widowControl w:val="0"/>
              <w:adjustRightInd w:val="0"/>
              <w:snapToGrid w:val="0"/>
              <w:jc w:val="center"/>
              <w:rPr>
                <w:color w:val="auto"/>
                <w:highlight w:val="none"/>
              </w:rPr>
            </w:pPr>
            <w:r>
              <w:rPr>
                <w:rFonts w:hint="eastAsia"/>
                <w:color w:val="auto"/>
                <w:highlight w:val="none"/>
              </w:rPr>
              <w:t>4</w:t>
            </w:r>
          </w:p>
        </w:tc>
        <w:tc>
          <w:tcPr>
            <w:tcW w:w="5812" w:type="dxa"/>
            <w:vAlign w:val="center"/>
          </w:tcPr>
          <w:p w14:paraId="60897D29">
            <w:pPr>
              <w:widowControl w:val="0"/>
              <w:adjustRightInd w:val="0"/>
              <w:snapToGrid w:val="0"/>
              <w:rPr>
                <w:b/>
                <w:bCs/>
                <w:color w:val="auto"/>
                <w:highlight w:val="none"/>
              </w:rPr>
            </w:pPr>
            <w:r>
              <w:rPr>
                <w:rFonts w:hint="eastAsia"/>
                <w:b/>
                <w:bCs/>
                <w:color w:val="auto"/>
                <w:highlight w:val="none"/>
              </w:rPr>
              <w:t>主要设备资源配置优化计划：</w:t>
            </w:r>
          </w:p>
          <w:p w14:paraId="15938731">
            <w:pPr>
              <w:widowControl w:val="0"/>
              <w:adjustRightInd w:val="0"/>
              <w:snapToGrid w:val="0"/>
              <w:rPr>
                <w:color w:val="auto"/>
                <w:highlight w:val="none"/>
              </w:rPr>
            </w:pPr>
            <w:r>
              <w:rPr>
                <w:rFonts w:hint="eastAsia"/>
                <w:color w:val="auto"/>
                <w:highlight w:val="none"/>
              </w:rPr>
              <w:t>根据投标供应商对本项目在采购需求最低主要设备资源配置要求前提下的优化方案进行综合评议：</w:t>
            </w:r>
          </w:p>
          <w:p w14:paraId="14C35B40">
            <w:pPr>
              <w:widowControl w:val="0"/>
              <w:adjustRightInd w:val="0"/>
              <w:snapToGrid w:val="0"/>
              <w:rPr>
                <w:color w:val="auto"/>
                <w:highlight w:val="none"/>
              </w:rPr>
            </w:pPr>
            <w:r>
              <w:rPr>
                <w:rFonts w:hint="eastAsia"/>
                <w:color w:val="auto"/>
                <w:highlight w:val="none"/>
              </w:rPr>
              <w:t>主要爆破开采机械设备配置完善全面，完全满足项目各项要求及更高标准，且设备先进、环保的，得7-5.1分；主要爆破开采机械设备配置完善，基本满足项目各项要求的，得5-3.1分；主要爆破开采机械设备配置仅满足最低要求，无优化计划的，得3-1.1分；缺项或所提方案与本项目无关的，得0分。</w:t>
            </w:r>
          </w:p>
          <w:p w14:paraId="793A93D5">
            <w:pPr>
              <w:widowControl w:val="0"/>
              <w:adjustRightInd w:val="0"/>
              <w:snapToGrid w:val="0"/>
              <w:rPr>
                <w:color w:val="auto"/>
                <w:highlight w:val="none"/>
              </w:rPr>
            </w:pPr>
            <w:r>
              <w:rPr>
                <w:rFonts w:hint="eastAsia"/>
                <w:color w:val="auto"/>
                <w:highlight w:val="none"/>
              </w:rPr>
              <w:t>供应商使用淘汰设备和工艺的，本小项不得分。</w:t>
            </w:r>
          </w:p>
        </w:tc>
        <w:tc>
          <w:tcPr>
            <w:tcW w:w="709" w:type="dxa"/>
            <w:vAlign w:val="center"/>
          </w:tcPr>
          <w:p w14:paraId="57465221">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3FC9B0A7">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378AC964">
            <w:pPr>
              <w:widowControl w:val="0"/>
              <w:adjustRightInd w:val="0"/>
              <w:snapToGrid w:val="0"/>
              <w:rPr>
                <w:color w:val="auto"/>
                <w:highlight w:val="none"/>
              </w:rPr>
            </w:pPr>
          </w:p>
        </w:tc>
      </w:tr>
      <w:tr w14:paraId="1E08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BB67D1C">
            <w:pPr>
              <w:widowControl w:val="0"/>
              <w:adjustRightInd w:val="0"/>
              <w:snapToGrid w:val="0"/>
              <w:jc w:val="center"/>
              <w:rPr>
                <w:color w:val="auto"/>
                <w:highlight w:val="none"/>
              </w:rPr>
            </w:pPr>
            <w:r>
              <w:rPr>
                <w:rFonts w:hint="eastAsia"/>
                <w:color w:val="auto"/>
                <w:highlight w:val="none"/>
              </w:rPr>
              <w:t>5</w:t>
            </w:r>
          </w:p>
        </w:tc>
        <w:tc>
          <w:tcPr>
            <w:tcW w:w="5812" w:type="dxa"/>
            <w:vAlign w:val="center"/>
          </w:tcPr>
          <w:p w14:paraId="7676E88B">
            <w:pPr>
              <w:widowControl w:val="0"/>
              <w:adjustRightInd w:val="0"/>
              <w:snapToGrid w:val="0"/>
              <w:rPr>
                <w:b/>
                <w:bCs/>
                <w:color w:val="auto"/>
                <w:highlight w:val="none"/>
              </w:rPr>
            </w:pPr>
            <w:r>
              <w:rPr>
                <w:rFonts w:hint="eastAsia"/>
                <w:b/>
                <w:bCs/>
                <w:color w:val="auto"/>
                <w:highlight w:val="none"/>
              </w:rPr>
              <w:t>项目进度计划与措施：</w:t>
            </w:r>
          </w:p>
          <w:p w14:paraId="4AC4059F">
            <w:pPr>
              <w:widowControl w:val="0"/>
              <w:adjustRightInd w:val="0"/>
              <w:snapToGrid w:val="0"/>
              <w:rPr>
                <w:color w:val="auto"/>
                <w:highlight w:val="none"/>
              </w:rPr>
            </w:pPr>
            <w:r>
              <w:rPr>
                <w:rFonts w:hint="eastAsia"/>
                <w:color w:val="auto"/>
                <w:highlight w:val="none"/>
              </w:rPr>
              <w:t>根据投标供应商对本项目进度节点等计划进行综合评议：</w:t>
            </w:r>
          </w:p>
          <w:p w14:paraId="12EA602F">
            <w:pPr>
              <w:widowControl w:val="0"/>
              <w:adjustRightInd w:val="0"/>
              <w:snapToGrid w:val="0"/>
              <w:rPr>
                <w:color w:val="auto"/>
                <w:highlight w:val="none"/>
              </w:rPr>
            </w:pPr>
            <w:r>
              <w:rPr>
                <w:rFonts w:hint="eastAsia"/>
                <w:color w:val="auto"/>
                <w:highlight w:val="none"/>
              </w:rPr>
              <w:t>矿山工程建设、生产加工线建设、码头建设、绿色矿山建设、智能化监管平台建设、安全生产许可证、排污许可证竣工验收、证照获取、转入生产阶段的生产、销售经营计划的进度安排详细合理，网络计划图各项保障措施齐全，完全满足采购人需求的，得7-5.1分；进度安排基本完整，各项保障措施齐全，基本能满足采购人需求的，得5-3.1分；进度安排有所欠缺，各项保障措施内容阐述不清，内容片面的，得3-1.1分；缺项或所提方案与本项目无关的，得0分。</w:t>
            </w:r>
          </w:p>
        </w:tc>
        <w:tc>
          <w:tcPr>
            <w:tcW w:w="709" w:type="dxa"/>
            <w:vAlign w:val="center"/>
          </w:tcPr>
          <w:p w14:paraId="4478A9B7">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6413A5A0">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60C5C44A">
            <w:pPr>
              <w:widowControl w:val="0"/>
              <w:adjustRightInd w:val="0"/>
              <w:snapToGrid w:val="0"/>
              <w:rPr>
                <w:color w:val="auto"/>
                <w:highlight w:val="none"/>
              </w:rPr>
            </w:pPr>
          </w:p>
        </w:tc>
      </w:tr>
      <w:tr w14:paraId="2623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1BBF737D">
            <w:pPr>
              <w:widowControl w:val="0"/>
              <w:adjustRightInd w:val="0"/>
              <w:snapToGrid w:val="0"/>
              <w:jc w:val="center"/>
              <w:rPr>
                <w:color w:val="auto"/>
                <w:highlight w:val="none"/>
              </w:rPr>
            </w:pPr>
            <w:r>
              <w:rPr>
                <w:rFonts w:hint="eastAsia"/>
                <w:color w:val="auto"/>
                <w:highlight w:val="none"/>
              </w:rPr>
              <w:t>6</w:t>
            </w:r>
          </w:p>
        </w:tc>
        <w:tc>
          <w:tcPr>
            <w:tcW w:w="5812" w:type="dxa"/>
            <w:vAlign w:val="center"/>
          </w:tcPr>
          <w:p w14:paraId="0C650CAE">
            <w:pPr>
              <w:widowControl w:val="0"/>
              <w:adjustRightInd w:val="0"/>
              <w:snapToGrid w:val="0"/>
              <w:rPr>
                <w:b/>
                <w:bCs/>
                <w:color w:val="auto"/>
                <w:highlight w:val="none"/>
              </w:rPr>
            </w:pPr>
            <w:r>
              <w:rPr>
                <w:rFonts w:hint="eastAsia"/>
                <w:b/>
                <w:bCs/>
                <w:color w:val="auto"/>
                <w:highlight w:val="none"/>
              </w:rPr>
              <w:t>质量管理体系与措施：</w:t>
            </w:r>
          </w:p>
          <w:p w14:paraId="1BA43545">
            <w:pPr>
              <w:widowControl w:val="0"/>
              <w:adjustRightInd w:val="0"/>
              <w:snapToGrid w:val="0"/>
              <w:rPr>
                <w:color w:val="auto"/>
                <w:highlight w:val="none"/>
              </w:rPr>
            </w:pPr>
            <w:r>
              <w:rPr>
                <w:rFonts w:hint="eastAsia"/>
                <w:color w:val="auto"/>
                <w:highlight w:val="none"/>
              </w:rPr>
              <w:t>根据投标供应商对本项目的质量管理体系与措施进行综合评议：</w:t>
            </w:r>
          </w:p>
          <w:p w14:paraId="1ABE37E9">
            <w:pPr>
              <w:widowControl w:val="0"/>
              <w:adjustRightInd w:val="0"/>
              <w:snapToGrid w:val="0"/>
              <w:rPr>
                <w:color w:val="auto"/>
                <w:highlight w:val="none"/>
              </w:rPr>
            </w:pPr>
            <w:r>
              <w:rPr>
                <w:rFonts w:hint="eastAsia"/>
                <w:color w:val="auto"/>
                <w:highlight w:val="none"/>
              </w:rPr>
              <w:t>质量目标明确，建立质量管理体系、质量控制制度、控制计划和措施、质量创优规划合理、先进、可操作性强的，得7-5.1分；质量保障措施完整，各项保障措施齐全，基本能满足采购人需求的，得5-3.1分；质量保障措施有所欠缺，各项保障措施内容阐述不清，内容片面的，得3-1.1分；缺项或所提方案与本项目无关的，得0分。</w:t>
            </w:r>
          </w:p>
        </w:tc>
        <w:tc>
          <w:tcPr>
            <w:tcW w:w="709" w:type="dxa"/>
            <w:vAlign w:val="center"/>
          </w:tcPr>
          <w:p w14:paraId="0E73B3A6">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7BF9E28">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5D231682">
            <w:pPr>
              <w:widowControl w:val="0"/>
              <w:adjustRightInd w:val="0"/>
              <w:snapToGrid w:val="0"/>
              <w:rPr>
                <w:color w:val="auto"/>
                <w:highlight w:val="none"/>
              </w:rPr>
            </w:pPr>
          </w:p>
        </w:tc>
      </w:tr>
      <w:tr w14:paraId="2B098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A278DE9">
            <w:pPr>
              <w:widowControl w:val="0"/>
              <w:adjustRightInd w:val="0"/>
              <w:snapToGrid w:val="0"/>
              <w:jc w:val="center"/>
              <w:rPr>
                <w:color w:val="auto"/>
                <w:highlight w:val="none"/>
              </w:rPr>
            </w:pPr>
            <w:r>
              <w:rPr>
                <w:rFonts w:hint="eastAsia"/>
                <w:color w:val="auto"/>
                <w:highlight w:val="none"/>
              </w:rPr>
              <w:t>7</w:t>
            </w:r>
          </w:p>
        </w:tc>
        <w:tc>
          <w:tcPr>
            <w:tcW w:w="5812" w:type="dxa"/>
            <w:vAlign w:val="center"/>
          </w:tcPr>
          <w:p w14:paraId="3E317183">
            <w:pPr>
              <w:widowControl w:val="0"/>
              <w:adjustRightInd w:val="0"/>
              <w:snapToGrid w:val="0"/>
              <w:rPr>
                <w:b/>
                <w:bCs/>
                <w:color w:val="auto"/>
                <w:highlight w:val="none"/>
              </w:rPr>
            </w:pPr>
            <w:r>
              <w:rPr>
                <w:rFonts w:hint="eastAsia"/>
                <w:b/>
                <w:bCs/>
                <w:color w:val="auto"/>
                <w:highlight w:val="none"/>
              </w:rPr>
              <w:t>安全生产管理体系与措施优化方案：</w:t>
            </w:r>
          </w:p>
          <w:p w14:paraId="1A7BF7A4">
            <w:pPr>
              <w:widowControl w:val="0"/>
              <w:adjustRightInd w:val="0"/>
              <w:snapToGrid w:val="0"/>
              <w:rPr>
                <w:color w:val="auto"/>
                <w:highlight w:val="none"/>
              </w:rPr>
            </w:pPr>
            <w:r>
              <w:rPr>
                <w:rFonts w:hint="eastAsia"/>
                <w:color w:val="auto"/>
                <w:highlight w:val="none"/>
              </w:rPr>
              <w:t>根据本项目采购需求编制安全费用使用优化方案，对提取的安全费用有明确使用范围、计提金额且可操作性强的，得7-5.1分；优化方案基本能满足采购人需求，安全生产应急预案和处置措施基本满足要求的，得5-3.1分；安全生产管理体系与措施仅满足最低要求，无优化的，得3-1.1分；缺项或所提方案与本项目无关的，得0分。</w:t>
            </w:r>
          </w:p>
        </w:tc>
        <w:tc>
          <w:tcPr>
            <w:tcW w:w="709" w:type="dxa"/>
            <w:vAlign w:val="center"/>
          </w:tcPr>
          <w:p w14:paraId="20D819CF">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1D62DBC4">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74959F34">
            <w:pPr>
              <w:widowControl w:val="0"/>
              <w:adjustRightInd w:val="0"/>
              <w:snapToGrid w:val="0"/>
              <w:rPr>
                <w:color w:val="auto"/>
                <w:highlight w:val="none"/>
              </w:rPr>
            </w:pPr>
          </w:p>
        </w:tc>
      </w:tr>
      <w:tr w14:paraId="2DECC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B846C55">
            <w:pPr>
              <w:widowControl w:val="0"/>
              <w:adjustRightInd w:val="0"/>
              <w:snapToGrid w:val="0"/>
              <w:jc w:val="center"/>
              <w:rPr>
                <w:color w:val="auto"/>
                <w:highlight w:val="none"/>
              </w:rPr>
            </w:pPr>
            <w:r>
              <w:rPr>
                <w:rFonts w:hint="eastAsia"/>
                <w:color w:val="auto"/>
                <w:highlight w:val="none"/>
              </w:rPr>
              <w:t>8</w:t>
            </w:r>
          </w:p>
        </w:tc>
        <w:tc>
          <w:tcPr>
            <w:tcW w:w="5812" w:type="dxa"/>
            <w:vAlign w:val="center"/>
          </w:tcPr>
          <w:p w14:paraId="0D712596">
            <w:pPr>
              <w:widowControl w:val="0"/>
              <w:adjustRightInd w:val="0"/>
              <w:snapToGrid w:val="0"/>
              <w:rPr>
                <w:b/>
                <w:bCs/>
                <w:color w:val="auto"/>
                <w:highlight w:val="none"/>
              </w:rPr>
            </w:pPr>
            <w:r>
              <w:rPr>
                <w:rFonts w:hint="eastAsia"/>
                <w:b/>
                <w:bCs/>
                <w:color w:val="auto"/>
                <w:highlight w:val="none"/>
              </w:rPr>
              <w:t>文明施工及环保管理体系与措施优化方案：</w:t>
            </w:r>
          </w:p>
          <w:p w14:paraId="123CD651">
            <w:pPr>
              <w:widowControl w:val="0"/>
              <w:adjustRightInd w:val="0"/>
              <w:snapToGrid w:val="0"/>
              <w:rPr>
                <w:color w:val="auto"/>
                <w:highlight w:val="none"/>
              </w:rPr>
            </w:pPr>
            <w:r>
              <w:rPr>
                <w:rFonts w:hint="eastAsia"/>
                <w:color w:val="auto"/>
                <w:highlight w:val="none"/>
              </w:rPr>
              <w:t>根据本项目采购需求文明施工及环保要求基础上进行优化，优化方案可操作性强的，得</w:t>
            </w:r>
            <w:r>
              <w:rPr>
                <w:color w:val="auto"/>
                <w:highlight w:val="none"/>
              </w:rPr>
              <w:t>7-5.1</w:t>
            </w:r>
            <w:r>
              <w:rPr>
                <w:rFonts w:hint="eastAsia"/>
                <w:color w:val="auto"/>
                <w:highlight w:val="none"/>
              </w:rPr>
              <w:t>分；优化方案基本能满足采购人需求的，得</w:t>
            </w:r>
            <w:r>
              <w:rPr>
                <w:color w:val="auto"/>
                <w:highlight w:val="none"/>
              </w:rPr>
              <w:t>5-3.1</w:t>
            </w:r>
            <w:r>
              <w:rPr>
                <w:rFonts w:hint="eastAsia"/>
                <w:color w:val="auto"/>
                <w:highlight w:val="none"/>
              </w:rPr>
              <w:t>分；文明施工及环保管理体系与措施仅满足最低要求，无优化的，得</w:t>
            </w:r>
            <w:r>
              <w:rPr>
                <w:color w:val="auto"/>
                <w:highlight w:val="none"/>
              </w:rPr>
              <w:t>3-1.1</w:t>
            </w:r>
            <w:r>
              <w:rPr>
                <w:rFonts w:hint="eastAsia"/>
                <w:color w:val="auto"/>
                <w:highlight w:val="none"/>
              </w:rPr>
              <w:t>分；缺项或所提方案与本项目无关的，得0分。</w:t>
            </w:r>
          </w:p>
        </w:tc>
        <w:tc>
          <w:tcPr>
            <w:tcW w:w="709" w:type="dxa"/>
            <w:vAlign w:val="center"/>
          </w:tcPr>
          <w:p w14:paraId="42F6A84F">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0BA3B219">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21F422EE">
            <w:pPr>
              <w:widowControl w:val="0"/>
              <w:adjustRightInd w:val="0"/>
              <w:snapToGrid w:val="0"/>
              <w:rPr>
                <w:color w:val="auto"/>
                <w:highlight w:val="none"/>
              </w:rPr>
            </w:pPr>
          </w:p>
        </w:tc>
      </w:tr>
      <w:tr w14:paraId="064F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80F6BF4">
            <w:pPr>
              <w:widowControl w:val="0"/>
              <w:adjustRightInd w:val="0"/>
              <w:snapToGrid w:val="0"/>
              <w:jc w:val="center"/>
              <w:rPr>
                <w:color w:val="auto"/>
                <w:highlight w:val="none"/>
              </w:rPr>
            </w:pPr>
            <w:r>
              <w:rPr>
                <w:rFonts w:hint="eastAsia"/>
                <w:color w:val="auto"/>
                <w:highlight w:val="none"/>
              </w:rPr>
              <w:t>9</w:t>
            </w:r>
          </w:p>
        </w:tc>
        <w:tc>
          <w:tcPr>
            <w:tcW w:w="5812" w:type="dxa"/>
            <w:vAlign w:val="center"/>
          </w:tcPr>
          <w:p w14:paraId="6A49B31B">
            <w:pPr>
              <w:widowControl w:val="0"/>
              <w:adjustRightInd w:val="0"/>
              <w:snapToGrid w:val="0"/>
              <w:rPr>
                <w:b/>
                <w:bCs/>
                <w:color w:val="auto"/>
                <w:highlight w:val="none"/>
              </w:rPr>
            </w:pPr>
            <w:r>
              <w:rPr>
                <w:rFonts w:hint="eastAsia"/>
                <w:b/>
                <w:bCs/>
                <w:color w:val="auto"/>
                <w:highlight w:val="none"/>
              </w:rPr>
              <w:t>外运配套码头工程建设方案：</w:t>
            </w:r>
          </w:p>
          <w:p w14:paraId="52AD231E">
            <w:pPr>
              <w:widowControl w:val="0"/>
              <w:adjustRightInd w:val="0"/>
              <w:snapToGrid w:val="0"/>
              <w:rPr>
                <w:color w:val="auto"/>
                <w:highlight w:val="none"/>
              </w:rPr>
            </w:pPr>
            <w:r>
              <w:rPr>
                <w:rFonts w:hint="eastAsia"/>
                <w:color w:val="auto"/>
                <w:highlight w:val="none"/>
              </w:rPr>
              <w:t>外运配套码头工程建设方案内容详实，逻辑清晰，符合项目实际需求，切实可行的，得7-5.1分；方案内容比较简单，虽然存在一些不足但无明显重大缺陷的，得5-3.1分；方案内容简单、笼统，存在较多的不足，可行性差的，得3-1.1分；缺项或所提方案与本项目无关的，得0分。</w:t>
            </w:r>
          </w:p>
        </w:tc>
        <w:tc>
          <w:tcPr>
            <w:tcW w:w="709" w:type="dxa"/>
            <w:vAlign w:val="center"/>
          </w:tcPr>
          <w:p w14:paraId="57291E90">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5F8661B6">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415F766F">
            <w:pPr>
              <w:widowControl w:val="0"/>
              <w:adjustRightInd w:val="0"/>
              <w:snapToGrid w:val="0"/>
              <w:rPr>
                <w:color w:val="auto"/>
                <w:highlight w:val="none"/>
              </w:rPr>
            </w:pPr>
          </w:p>
        </w:tc>
      </w:tr>
      <w:tr w14:paraId="5C7A9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60ADEFB">
            <w:pPr>
              <w:widowControl w:val="0"/>
              <w:adjustRightInd w:val="0"/>
              <w:snapToGrid w:val="0"/>
              <w:jc w:val="center"/>
              <w:rPr>
                <w:color w:val="auto"/>
                <w:highlight w:val="none"/>
              </w:rPr>
            </w:pPr>
            <w:r>
              <w:rPr>
                <w:rFonts w:hint="eastAsia"/>
                <w:color w:val="auto"/>
                <w:highlight w:val="none"/>
              </w:rPr>
              <w:t>10</w:t>
            </w:r>
          </w:p>
        </w:tc>
        <w:tc>
          <w:tcPr>
            <w:tcW w:w="5812" w:type="dxa"/>
            <w:vAlign w:val="center"/>
          </w:tcPr>
          <w:p w14:paraId="593EEBB9">
            <w:pPr>
              <w:widowControl w:val="0"/>
              <w:adjustRightInd w:val="0"/>
              <w:snapToGrid w:val="0"/>
              <w:rPr>
                <w:b/>
                <w:bCs/>
                <w:color w:val="auto"/>
                <w:highlight w:val="none"/>
              </w:rPr>
            </w:pPr>
            <w:r>
              <w:rPr>
                <w:rFonts w:hint="eastAsia"/>
                <w:b/>
                <w:bCs/>
                <w:color w:val="auto"/>
                <w:highlight w:val="none"/>
              </w:rPr>
              <w:t>矿产品销售方案及保障措施：</w:t>
            </w:r>
          </w:p>
          <w:p w14:paraId="1A1935FA">
            <w:pPr>
              <w:widowControl w:val="0"/>
              <w:adjustRightInd w:val="0"/>
              <w:snapToGrid w:val="0"/>
              <w:rPr>
                <w:color w:val="auto"/>
                <w:highlight w:val="none"/>
              </w:rPr>
            </w:pPr>
            <w:r>
              <w:rPr>
                <w:rFonts w:hint="eastAsia"/>
                <w:color w:val="auto"/>
                <w:highlight w:val="none"/>
              </w:rPr>
              <w:t>投标供应商有建立完善的销售方案，销路明确销量有保障的，得7-5.1分；销售方案较完善，销路较明确的，得5-3.1分；销售方案可行性差的，得3-1.1分；缺项或所提方案与本项目无关的，得0分。</w:t>
            </w:r>
          </w:p>
        </w:tc>
        <w:tc>
          <w:tcPr>
            <w:tcW w:w="709" w:type="dxa"/>
            <w:vAlign w:val="center"/>
          </w:tcPr>
          <w:p w14:paraId="543875C9">
            <w:pPr>
              <w:widowControl w:val="0"/>
              <w:adjustRightInd w:val="0"/>
              <w:snapToGrid w:val="0"/>
              <w:jc w:val="center"/>
              <w:rPr>
                <w:color w:val="auto"/>
                <w:highlight w:val="none"/>
              </w:rPr>
            </w:pPr>
            <w:r>
              <w:rPr>
                <w:rFonts w:hint="eastAsia"/>
                <w:color w:val="auto"/>
                <w:highlight w:val="none"/>
              </w:rPr>
              <w:t>7</w:t>
            </w:r>
          </w:p>
        </w:tc>
        <w:tc>
          <w:tcPr>
            <w:tcW w:w="850" w:type="dxa"/>
            <w:vAlign w:val="center"/>
          </w:tcPr>
          <w:p w14:paraId="150B822E">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758DD03C">
            <w:pPr>
              <w:widowControl w:val="0"/>
              <w:adjustRightInd w:val="0"/>
              <w:snapToGrid w:val="0"/>
              <w:rPr>
                <w:color w:val="auto"/>
                <w:highlight w:val="none"/>
              </w:rPr>
            </w:pPr>
          </w:p>
        </w:tc>
      </w:tr>
      <w:tr w14:paraId="2FB94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E245801">
            <w:pPr>
              <w:widowControl w:val="0"/>
              <w:adjustRightInd w:val="0"/>
              <w:snapToGrid w:val="0"/>
              <w:jc w:val="center"/>
              <w:rPr>
                <w:color w:val="auto"/>
                <w:highlight w:val="none"/>
              </w:rPr>
            </w:pPr>
            <w:r>
              <w:rPr>
                <w:rFonts w:hint="eastAsia"/>
                <w:color w:val="auto"/>
                <w:highlight w:val="none"/>
              </w:rPr>
              <w:t>11</w:t>
            </w:r>
          </w:p>
        </w:tc>
        <w:tc>
          <w:tcPr>
            <w:tcW w:w="5812" w:type="dxa"/>
            <w:vAlign w:val="center"/>
          </w:tcPr>
          <w:p w14:paraId="276EF169">
            <w:pPr>
              <w:widowControl w:val="0"/>
              <w:adjustRightInd w:val="0"/>
              <w:snapToGrid w:val="0"/>
              <w:rPr>
                <w:b/>
                <w:bCs/>
                <w:color w:val="auto"/>
                <w:highlight w:val="none"/>
              </w:rPr>
            </w:pPr>
            <w:r>
              <w:rPr>
                <w:rFonts w:hint="eastAsia"/>
                <w:b/>
                <w:bCs/>
                <w:color w:val="auto"/>
                <w:highlight w:val="none"/>
              </w:rPr>
              <w:t>包销比例：</w:t>
            </w:r>
          </w:p>
          <w:p w14:paraId="6350FC3F">
            <w:pPr>
              <w:widowControl w:val="0"/>
              <w:adjustRightInd w:val="0"/>
              <w:snapToGrid w:val="0"/>
              <w:rPr>
                <w:color w:val="auto"/>
                <w:highlight w:val="none"/>
              </w:rPr>
            </w:pPr>
            <w:r>
              <w:rPr>
                <w:rFonts w:hint="eastAsia"/>
                <w:color w:val="auto"/>
                <w:highlight w:val="none"/>
              </w:rPr>
              <w:t>投标供应商根据采购需求的负责矿产品总产量销售比例</w:t>
            </w:r>
            <w:r>
              <w:rPr>
                <w:rFonts w:hint="eastAsia"/>
                <w:color w:val="auto"/>
                <w:highlight w:val="none"/>
              </w:rPr>
              <w:t>80%</w:t>
            </w:r>
            <w:r>
              <w:rPr>
                <w:rFonts w:hint="eastAsia"/>
                <w:color w:val="auto"/>
                <w:highlight w:val="none"/>
              </w:rPr>
              <w:t>基础上，能提供更高的比例的，每提高1%的，加1分，最高得5分。</w:t>
            </w:r>
          </w:p>
        </w:tc>
        <w:tc>
          <w:tcPr>
            <w:tcW w:w="709" w:type="dxa"/>
            <w:vAlign w:val="center"/>
          </w:tcPr>
          <w:p w14:paraId="34E9ED94">
            <w:pPr>
              <w:widowControl w:val="0"/>
              <w:adjustRightInd w:val="0"/>
              <w:snapToGrid w:val="0"/>
              <w:jc w:val="center"/>
              <w:rPr>
                <w:color w:val="auto"/>
                <w:highlight w:val="none"/>
              </w:rPr>
            </w:pPr>
            <w:r>
              <w:rPr>
                <w:rFonts w:hint="eastAsia"/>
                <w:color w:val="auto"/>
                <w:highlight w:val="none"/>
              </w:rPr>
              <w:t>5</w:t>
            </w:r>
          </w:p>
        </w:tc>
        <w:tc>
          <w:tcPr>
            <w:tcW w:w="850" w:type="dxa"/>
            <w:vAlign w:val="center"/>
          </w:tcPr>
          <w:p w14:paraId="0D4C27CD">
            <w:pPr>
              <w:widowControl w:val="0"/>
              <w:adjustRightInd w:val="0"/>
              <w:snapToGrid w:val="0"/>
              <w:jc w:val="center"/>
              <w:rPr>
                <w:color w:val="auto"/>
                <w:highlight w:val="none"/>
              </w:rPr>
            </w:pPr>
            <w:r>
              <w:rPr>
                <w:rFonts w:hint="eastAsia"/>
                <w:color w:val="auto"/>
                <w:highlight w:val="none"/>
              </w:rPr>
              <w:t>客观分</w:t>
            </w:r>
          </w:p>
        </w:tc>
        <w:tc>
          <w:tcPr>
            <w:tcW w:w="1418" w:type="dxa"/>
            <w:vAlign w:val="center"/>
          </w:tcPr>
          <w:p w14:paraId="3D9F9F91">
            <w:pPr>
              <w:widowControl w:val="0"/>
              <w:adjustRightInd w:val="0"/>
              <w:snapToGrid w:val="0"/>
              <w:rPr>
                <w:color w:val="auto"/>
                <w:highlight w:val="none"/>
              </w:rPr>
            </w:pPr>
          </w:p>
        </w:tc>
      </w:tr>
      <w:tr w14:paraId="58767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EE00942">
            <w:pPr>
              <w:widowControl w:val="0"/>
              <w:adjustRightInd w:val="0"/>
              <w:snapToGrid w:val="0"/>
              <w:jc w:val="center"/>
              <w:rPr>
                <w:color w:val="auto"/>
                <w:highlight w:val="none"/>
              </w:rPr>
            </w:pPr>
            <w:r>
              <w:rPr>
                <w:rFonts w:hint="eastAsia"/>
                <w:color w:val="auto"/>
                <w:highlight w:val="none"/>
              </w:rPr>
              <w:t>12</w:t>
            </w:r>
          </w:p>
        </w:tc>
        <w:tc>
          <w:tcPr>
            <w:tcW w:w="5812" w:type="dxa"/>
            <w:vAlign w:val="center"/>
          </w:tcPr>
          <w:p w14:paraId="7F580C7B">
            <w:pPr>
              <w:widowControl w:val="0"/>
              <w:adjustRightInd w:val="0"/>
              <w:snapToGrid w:val="0"/>
              <w:rPr>
                <w:b/>
                <w:bCs/>
                <w:color w:val="auto"/>
                <w:highlight w:val="none"/>
              </w:rPr>
            </w:pPr>
            <w:r>
              <w:rPr>
                <w:rFonts w:hint="eastAsia"/>
                <w:b/>
                <w:bCs/>
                <w:color w:val="auto"/>
                <w:highlight w:val="none"/>
              </w:rPr>
              <w:t>本地化服务方案：</w:t>
            </w:r>
          </w:p>
          <w:p w14:paraId="5226F1FF">
            <w:pPr>
              <w:widowControl w:val="0"/>
              <w:adjustRightInd w:val="0"/>
              <w:snapToGrid w:val="0"/>
              <w:rPr>
                <w:color w:val="auto"/>
                <w:highlight w:val="none"/>
              </w:rPr>
            </w:pPr>
            <w:r>
              <w:rPr>
                <w:rFonts w:hint="eastAsia"/>
                <w:color w:val="auto"/>
                <w:highlight w:val="none"/>
              </w:rPr>
              <w:t>根据投标供应商对本项目在采购需求要求前提下的本地化服务方案进行综合评议：</w:t>
            </w:r>
          </w:p>
          <w:p w14:paraId="23D019BF">
            <w:pPr>
              <w:widowControl w:val="0"/>
              <w:adjustRightInd w:val="0"/>
              <w:snapToGrid w:val="0"/>
              <w:rPr>
                <w:color w:val="auto"/>
                <w:highlight w:val="none"/>
              </w:rPr>
            </w:pPr>
            <w:r>
              <w:rPr>
                <w:rFonts w:hint="eastAsia"/>
                <w:color w:val="auto"/>
                <w:highlight w:val="none"/>
              </w:rPr>
              <w:t>本地化服务方案配置完善全面，完全满足项目各项要求及更高标准的，得3-2.1分；基本满足项目各项要求的，得2-1.1分；缺项或所提方案与本项目无关的，得0分。</w:t>
            </w:r>
          </w:p>
        </w:tc>
        <w:tc>
          <w:tcPr>
            <w:tcW w:w="709" w:type="dxa"/>
            <w:vAlign w:val="center"/>
          </w:tcPr>
          <w:p w14:paraId="0178761A">
            <w:pPr>
              <w:widowControl w:val="0"/>
              <w:adjustRightInd w:val="0"/>
              <w:snapToGrid w:val="0"/>
              <w:jc w:val="center"/>
              <w:rPr>
                <w:color w:val="auto"/>
                <w:highlight w:val="none"/>
              </w:rPr>
            </w:pPr>
            <w:r>
              <w:rPr>
                <w:rFonts w:hint="eastAsia"/>
                <w:color w:val="auto"/>
                <w:highlight w:val="none"/>
              </w:rPr>
              <w:t>3</w:t>
            </w:r>
          </w:p>
        </w:tc>
        <w:tc>
          <w:tcPr>
            <w:tcW w:w="850" w:type="dxa"/>
            <w:vAlign w:val="center"/>
          </w:tcPr>
          <w:p w14:paraId="05578264">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0931D9A0">
            <w:pPr>
              <w:widowControl w:val="0"/>
              <w:adjustRightInd w:val="0"/>
              <w:snapToGrid w:val="0"/>
              <w:rPr>
                <w:color w:val="auto"/>
                <w:highlight w:val="none"/>
              </w:rPr>
            </w:pPr>
          </w:p>
        </w:tc>
      </w:tr>
      <w:tr w14:paraId="4AE60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2820A17">
            <w:pPr>
              <w:widowControl w:val="0"/>
              <w:adjustRightInd w:val="0"/>
              <w:snapToGrid w:val="0"/>
              <w:jc w:val="center"/>
              <w:rPr>
                <w:color w:val="auto"/>
                <w:highlight w:val="none"/>
              </w:rPr>
            </w:pPr>
            <w:r>
              <w:rPr>
                <w:rFonts w:hint="eastAsia"/>
                <w:color w:val="auto"/>
                <w:highlight w:val="none"/>
              </w:rPr>
              <w:t>13</w:t>
            </w:r>
          </w:p>
        </w:tc>
        <w:tc>
          <w:tcPr>
            <w:tcW w:w="5812" w:type="dxa"/>
            <w:vAlign w:val="center"/>
          </w:tcPr>
          <w:p w14:paraId="0AE92E10">
            <w:pPr>
              <w:widowControl w:val="0"/>
              <w:adjustRightInd w:val="0"/>
              <w:snapToGrid w:val="0"/>
              <w:rPr>
                <w:b/>
                <w:bCs/>
                <w:color w:val="auto"/>
                <w:highlight w:val="none"/>
              </w:rPr>
            </w:pPr>
            <w:r>
              <w:rPr>
                <w:rFonts w:hint="eastAsia"/>
                <w:b/>
                <w:bCs/>
                <w:color w:val="auto"/>
                <w:highlight w:val="none"/>
              </w:rPr>
              <w:t>类似项目业绩：</w:t>
            </w:r>
          </w:p>
          <w:p w14:paraId="2E98E58B">
            <w:pPr>
              <w:widowControl w:val="0"/>
              <w:adjustRightInd w:val="0"/>
              <w:snapToGrid w:val="0"/>
              <w:rPr>
                <w:color w:val="auto"/>
                <w:highlight w:val="none"/>
              </w:rPr>
            </w:pPr>
            <w:r>
              <w:rPr>
                <w:rFonts w:hint="eastAsia"/>
                <w:color w:val="auto"/>
                <w:highlight w:val="none"/>
              </w:rPr>
              <w:t>根据投标供应商（或联合体成员）近五年（自2019年1月1日）至今，承接过的露天建筑石料矿山建设、开采、加工及矿山石料同类产品销售业绩进行综合评议：与本项目需求类似，具有较强的实施经验的，得2-1.5分；与本项目采购需求基本类似，实施经验一般的，得1.4-0.5分；类似项目实施经验较浅或不具备明显代表性的，得0.4-0.1分；无业绩的，本项不得分。</w:t>
            </w:r>
          </w:p>
          <w:p w14:paraId="01CA0DAB">
            <w:pPr>
              <w:widowControl w:val="0"/>
              <w:adjustRightInd w:val="0"/>
              <w:snapToGrid w:val="0"/>
              <w:rPr>
                <w:color w:val="auto"/>
                <w:highlight w:val="none"/>
              </w:rPr>
            </w:pPr>
            <w:r>
              <w:rPr>
                <w:rFonts w:hint="eastAsia"/>
                <w:color w:val="auto"/>
                <w:highlight w:val="none"/>
              </w:rPr>
              <w:t>注：投标文件中须提供上述业绩的合同扫描件加盖公章，否则不得分，以上业绩可由联合体成员分别提供（编制汇总表，综合评定）。</w:t>
            </w:r>
          </w:p>
        </w:tc>
        <w:tc>
          <w:tcPr>
            <w:tcW w:w="709" w:type="dxa"/>
            <w:vAlign w:val="center"/>
          </w:tcPr>
          <w:p w14:paraId="3F7B0F98">
            <w:pPr>
              <w:widowControl w:val="0"/>
              <w:adjustRightInd w:val="0"/>
              <w:snapToGrid w:val="0"/>
              <w:jc w:val="center"/>
              <w:rPr>
                <w:color w:val="auto"/>
                <w:highlight w:val="none"/>
              </w:rPr>
            </w:pPr>
            <w:r>
              <w:rPr>
                <w:rFonts w:hint="eastAsia"/>
                <w:color w:val="auto"/>
                <w:highlight w:val="none"/>
              </w:rPr>
              <w:t>2</w:t>
            </w:r>
          </w:p>
        </w:tc>
        <w:tc>
          <w:tcPr>
            <w:tcW w:w="850" w:type="dxa"/>
            <w:vAlign w:val="center"/>
          </w:tcPr>
          <w:p w14:paraId="6F121615">
            <w:pPr>
              <w:widowControl w:val="0"/>
              <w:adjustRightInd w:val="0"/>
              <w:snapToGrid w:val="0"/>
              <w:jc w:val="center"/>
              <w:rPr>
                <w:color w:val="auto"/>
                <w:highlight w:val="none"/>
              </w:rPr>
            </w:pPr>
            <w:r>
              <w:rPr>
                <w:rFonts w:hint="eastAsia"/>
                <w:color w:val="auto"/>
                <w:highlight w:val="none"/>
              </w:rPr>
              <w:t>主观分</w:t>
            </w:r>
          </w:p>
        </w:tc>
        <w:tc>
          <w:tcPr>
            <w:tcW w:w="1418" w:type="dxa"/>
            <w:vAlign w:val="center"/>
          </w:tcPr>
          <w:p w14:paraId="23E608A2">
            <w:pPr>
              <w:widowControl w:val="0"/>
              <w:adjustRightInd w:val="0"/>
              <w:snapToGrid w:val="0"/>
              <w:rPr>
                <w:color w:val="auto"/>
                <w:highlight w:val="none"/>
              </w:rPr>
            </w:pPr>
          </w:p>
        </w:tc>
      </w:tr>
      <w:tr w14:paraId="3C08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50DC9CC">
            <w:pPr>
              <w:widowControl w:val="0"/>
              <w:adjustRightInd w:val="0"/>
              <w:snapToGrid w:val="0"/>
              <w:jc w:val="center"/>
              <w:rPr>
                <w:color w:val="auto"/>
                <w:highlight w:val="none"/>
              </w:rPr>
            </w:pPr>
            <w:r>
              <w:rPr>
                <w:rFonts w:hint="eastAsia"/>
                <w:color w:val="auto"/>
                <w:highlight w:val="none"/>
              </w:rPr>
              <w:t>14</w:t>
            </w:r>
          </w:p>
        </w:tc>
        <w:tc>
          <w:tcPr>
            <w:tcW w:w="5812" w:type="dxa"/>
            <w:vAlign w:val="center"/>
          </w:tcPr>
          <w:p w14:paraId="6428E823">
            <w:pPr>
              <w:widowControl w:val="0"/>
              <w:adjustRightInd w:val="0"/>
              <w:snapToGrid w:val="0"/>
              <w:rPr>
                <w:b/>
                <w:bCs/>
                <w:color w:val="auto"/>
                <w:highlight w:val="none"/>
              </w:rPr>
            </w:pPr>
            <w:r>
              <w:rPr>
                <w:rFonts w:hint="eastAsia"/>
                <w:b/>
                <w:bCs/>
                <w:color w:val="auto"/>
                <w:highlight w:val="none"/>
              </w:rPr>
              <w:t>石料开采加工费报价：</w:t>
            </w:r>
          </w:p>
          <w:p w14:paraId="2D039D28">
            <w:pPr>
              <w:widowControl w:val="0"/>
              <w:adjustRightInd w:val="0"/>
              <w:snapToGrid w:val="0"/>
              <w:rPr>
                <w:color w:val="auto"/>
                <w:highlight w:val="none"/>
              </w:rPr>
            </w:pPr>
            <w:r>
              <w:rPr>
                <w:rFonts w:hint="eastAsia"/>
                <w:color w:val="auto"/>
                <w:highlight w:val="none"/>
              </w:rPr>
              <w:t>有效投标报价的最低价作为评标基准价，其最低报价为满分；按［投标报价得分</w:t>
            </w:r>
            <w:r>
              <w:rPr>
                <w:color w:val="auto"/>
                <w:highlight w:val="none"/>
              </w:rPr>
              <w:t>=（评标基准价/投标报价）</w:t>
            </w:r>
            <w:r>
              <w:rPr>
                <w:rFonts w:hint="eastAsia" w:ascii="宋体" w:hAnsi="宋体"/>
                <w:color w:val="auto"/>
                <w:highlight w:val="none"/>
              </w:rPr>
              <w:t>×</w:t>
            </w:r>
            <w:r>
              <w:rPr>
                <w:rFonts w:hint="eastAsia"/>
                <w:color w:val="auto"/>
                <w:highlight w:val="none"/>
              </w:rPr>
              <w:t>权重</w:t>
            </w:r>
            <w:r>
              <w:rPr>
                <w:color w:val="auto"/>
                <w:highlight w:val="none"/>
              </w:rPr>
              <w:t>］的计算公式计算。</w:t>
            </w:r>
          </w:p>
          <w:p w14:paraId="7EB0DFB8">
            <w:pPr>
              <w:widowControl w:val="0"/>
              <w:adjustRightInd w:val="0"/>
              <w:snapToGrid w:val="0"/>
              <w:rPr>
                <w:color w:val="auto"/>
                <w:highlight w:val="none"/>
              </w:rPr>
            </w:pPr>
          </w:p>
          <w:p w14:paraId="62838E07">
            <w:pPr>
              <w:widowControl w:val="0"/>
              <w:adjustRightInd w:val="0"/>
              <w:snapToGrid w:val="0"/>
              <w:rPr>
                <w:color w:val="auto"/>
                <w:highlight w:val="none"/>
              </w:rPr>
            </w:pPr>
            <w:r>
              <w:rPr>
                <w:color w:val="auto"/>
                <w:highlight w:val="none"/>
              </w:rPr>
              <w:t>评标过程中，不得去掉报价中的最高报价和最低报价。</w:t>
            </w:r>
          </w:p>
          <w:p w14:paraId="6BEC89DE">
            <w:pPr>
              <w:widowControl w:val="0"/>
              <w:adjustRightInd w:val="0"/>
              <w:snapToGrid w:val="0"/>
              <w:rPr>
                <w:color w:val="auto"/>
                <w:highlight w:val="none"/>
              </w:rPr>
            </w:pPr>
          </w:p>
          <w:p w14:paraId="6C71F5FE">
            <w:pPr>
              <w:widowControl w:val="0"/>
              <w:adjustRightInd w:val="0"/>
              <w:snapToGrid w:val="0"/>
              <w:rPr>
                <w:color w:val="auto"/>
                <w:highlight w:val="none"/>
              </w:rPr>
            </w:pPr>
            <w:r>
              <w:rPr>
                <w:rFonts w:hint="eastAsia"/>
                <w:color w:val="auto"/>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9" w:type="dxa"/>
            <w:vAlign w:val="center"/>
          </w:tcPr>
          <w:p w14:paraId="6AF70449">
            <w:pPr>
              <w:widowControl w:val="0"/>
              <w:adjustRightInd w:val="0"/>
              <w:snapToGrid w:val="0"/>
              <w:jc w:val="center"/>
              <w:rPr>
                <w:color w:val="auto"/>
                <w:highlight w:val="none"/>
              </w:rPr>
            </w:pPr>
            <w:r>
              <w:rPr>
                <w:rFonts w:hint="eastAsia"/>
                <w:color w:val="auto"/>
                <w:highlight w:val="none"/>
              </w:rPr>
              <w:t>20</w:t>
            </w:r>
          </w:p>
        </w:tc>
        <w:tc>
          <w:tcPr>
            <w:tcW w:w="850" w:type="dxa"/>
            <w:vAlign w:val="center"/>
          </w:tcPr>
          <w:p w14:paraId="216C5DD5">
            <w:pPr>
              <w:widowControl w:val="0"/>
              <w:adjustRightInd w:val="0"/>
              <w:snapToGrid w:val="0"/>
              <w:jc w:val="center"/>
              <w:rPr>
                <w:color w:val="auto"/>
                <w:highlight w:val="none"/>
              </w:rPr>
            </w:pPr>
            <w:r>
              <w:rPr>
                <w:rFonts w:hint="eastAsia"/>
                <w:color w:val="auto"/>
                <w:highlight w:val="none"/>
              </w:rPr>
              <w:t>客观分</w:t>
            </w:r>
          </w:p>
        </w:tc>
        <w:tc>
          <w:tcPr>
            <w:tcW w:w="1418" w:type="dxa"/>
            <w:vAlign w:val="center"/>
          </w:tcPr>
          <w:p w14:paraId="55586ADA">
            <w:pPr>
              <w:widowControl w:val="0"/>
              <w:adjustRightInd w:val="0"/>
              <w:snapToGrid w:val="0"/>
              <w:rPr>
                <w:color w:val="auto"/>
                <w:highlight w:val="none"/>
              </w:rPr>
            </w:pPr>
            <w:r>
              <w:rPr>
                <w:color w:val="auto"/>
                <w:highlight w:val="none"/>
              </w:rPr>
              <w:t>/</w:t>
            </w:r>
          </w:p>
        </w:tc>
      </w:tr>
      <w:tr w14:paraId="10054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490" w:type="dxa"/>
            <w:gridSpan w:val="5"/>
            <w:vAlign w:val="center"/>
          </w:tcPr>
          <w:p w14:paraId="24454218">
            <w:pPr>
              <w:widowControl w:val="0"/>
              <w:adjustRightInd w:val="0"/>
              <w:snapToGrid w:val="0"/>
              <w:rPr>
                <w:color w:val="auto"/>
                <w:highlight w:val="none"/>
              </w:rPr>
            </w:pPr>
            <w:r>
              <w:rPr>
                <w:rFonts w:hint="eastAsia" w:cs="宋体"/>
                <w:snapToGrid w:val="0"/>
                <w:color w:val="auto"/>
                <w:kern w:val="0"/>
                <w:szCs w:val="21"/>
                <w:highlight w:val="none"/>
              </w:rPr>
              <w:t>注：商务技术得分</w:t>
            </w:r>
            <w:r>
              <w:rPr>
                <w:rFonts w:hint="eastAsia"/>
                <w:color w:val="auto"/>
                <w:highlight w:val="none"/>
              </w:rPr>
              <w:t>以评标委员会各成员的打分平均</w:t>
            </w:r>
            <w:r>
              <w:rPr>
                <w:rFonts w:hint="eastAsia" w:cs="宋体"/>
                <w:snapToGrid w:val="0"/>
                <w:color w:val="auto"/>
                <w:kern w:val="0"/>
                <w:szCs w:val="21"/>
                <w:highlight w:val="none"/>
              </w:rPr>
              <w:t>值（保留小数点后两位，小数点后第三位“四舍五入”）确定。</w:t>
            </w:r>
          </w:p>
        </w:tc>
      </w:tr>
    </w:tbl>
    <w:p w14:paraId="1B505274">
      <w:pPr>
        <w:widowControl w:val="0"/>
        <w:adjustRightInd w:val="0"/>
        <w:snapToGrid w:val="0"/>
        <w:rPr>
          <w:color w:val="auto"/>
          <w:highlight w:val="none"/>
        </w:rPr>
      </w:pPr>
      <w:r>
        <w:rPr>
          <w:rFonts w:hint="eastAsia"/>
          <w:b/>
          <w:bCs/>
          <w:color w:val="auto"/>
          <w:highlight w:val="none"/>
        </w:rPr>
        <w:t>*备注</w:t>
      </w:r>
      <w:r>
        <w:rPr>
          <w:rFonts w:hint="eastAsia"/>
          <w:color w:val="auto"/>
          <w:highlight w:val="none"/>
        </w:rPr>
        <w:t>：投标人编制投标文件（商务技术文件部分）时，建议按此目录（序号和内容）提供评标标准相应的商务技术资料。</w:t>
      </w:r>
    </w:p>
    <w:p w14:paraId="7377E2FC">
      <w:pPr>
        <w:widowControl w:val="0"/>
        <w:adjustRightInd w:val="0"/>
        <w:snapToGrid w:val="0"/>
        <w:rPr>
          <w:color w:val="auto"/>
          <w:highlight w:val="none"/>
        </w:rPr>
      </w:pPr>
    </w:p>
    <w:p w14:paraId="594BDC40">
      <w:pPr>
        <w:widowControl w:val="0"/>
        <w:adjustRightInd w:val="0"/>
        <w:snapToGrid w:val="0"/>
        <w:rPr>
          <w:color w:val="auto"/>
          <w:highlight w:val="none"/>
        </w:rPr>
      </w:pPr>
    </w:p>
    <w:p w14:paraId="209F4473">
      <w:pPr>
        <w:widowControl w:val="0"/>
        <w:adjustRightInd w:val="0"/>
        <w:snapToGrid w:val="0"/>
        <w:rPr>
          <w:color w:val="auto"/>
          <w:highlight w:val="none"/>
        </w:rPr>
      </w:pPr>
    </w:p>
    <w:p w14:paraId="5CEA6AE1">
      <w:pPr>
        <w:widowControl w:val="0"/>
        <w:adjustRightInd w:val="0"/>
        <w:snapToGrid w:val="0"/>
        <w:rPr>
          <w:color w:val="auto"/>
          <w:highlight w:val="none"/>
        </w:rPr>
      </w:pPr>
    </w:p>
    <w:p w14:paraId="063DCA8B">
      <w:pPr>
        <w:widowControl w:val="0"/>
        <w:adjustRightInd w:val="0"/>
        <w:snapToGrid w:val="0"/>
        <w:rPr>
          <w:color w:val="auto"/>
          <w:highlight w:val="none"/>
        </w:rPr>
      </w:pPr>
    </w:p>
    <w:p w14:paraId="0E6FD3A5">
      <w:pPr>
        <w:widowControl w:val="0"/>
        <w:adjustRightInd w:val="0"/>
        <w:snapToGrid w:val="0"/>
        <w:rPr>
          <w:color w:val="auto"/>
          <w:highlight w:val="none"/>
        </w:rPr>
      </w:pPr>
    </w:p>
    <w:p w14:paraId="1FF97594">
      <w:pPr>
        <w:widowControl w:val="0"/>
        <w:adjustRightInd w:val="0"/>
        <w:snapToGrid w:val="0"/>
        <w:rPr>
          <w:color w:val="auto"/>
          <w:highlight w:val="none"/>
        </w:rPr>
      </w:pPr>
    </w:p>
    <w:p w14:paraId="2AE4DAA2">
      <w:pPr>
        <w:widowControl w:val="0"/>
        <w:adjustRightInd w:val="0"/>
        <w:snapToGrid w:val="0"/>
        <w:rPr>
          <w:color w:val="auto"/>
          <w:highlight w:val="none"/>
        </w:rPr>
      </w:pPr>
    </w:p>
    <w:p w14:paraId="7B3BD684">
      <w:pPr>
        <w:widowControl w:val="0"/>
        <w:adjustRightInd w:val="0"/>
        <w:snapToGrid w:val="0"/>
        <w:rPr>
          <w:color w:val="auto"/>
          <w:highlight w:val="none"/>
        </w:rPr>
      </w:pPr>
    </w:p>
    <w:p w14:paraId="34E27D52">
      <w:pPr>
        <w:widowControl w:val="0"/>
        <w:adjustRightInd w:val="0"/>
        <w:snapToGrid w:val="0"/>
        <w:rPr>
          <w:color w:val="auto"/>
          <w:highlight w:val="none"/>
        </w:rPr>
      </w:pPr>
    </w:p>
    <w:p w14:paraId="43678303">
      <w:pPr>
        <w:widowControl w:val="0"/>
        <w:adjustRightInd w:val="0"/>
        <w:snapToGrid w:val="0"/>
        <w:rPr>
          <w:color w:val="auto"/>
          <w:highlight w:val="none"/>
        </w:rPr>
      </w:pPr>
    </w:p>
    <w:p w14:paraId="34243B5C">
      <w:pPr>
        <w:widowControl w:val="0"/>
        <w:adjustRightInd w:val="0"/>
        <w:snapToGrid w:val="0"/>
        <w:rPr>
          <w:color w:val="auto"/>
          <w:highlight w:val="none"/>
        </w:rPr>
      </w:pPr>
    </w:p>
    <w:p w14:paraId="011B1F0E">
      <w:pPr>
        <w:pStyle w:val="417"/>
        <w:rPr>
          <w:color w:val="auto"/>
          <w:highlight w:val="none"/>
        </w:rPr>
      </w:pPr>
      <w:bookmarkStart w:id="131" w:name="_Toc173762005"/>
      <w:r>
        <w:rPr>
          <w:rFonts w:hint="eastAsia"/>
          <w:color w:val="auto"/>
          <w:highlight w:val="none"/>
        </w:rPr>
        <w:t>一、评标方法</w:t>
      </w:r>
      <w:bookmarkEnd w:id="131"/>
    </w:p>
    <w:p w14:paraId="0883157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1.本项目采用综合评分法。</w:t>
      </w:r>
      <w:r>
        <w:rPr>
          <w:rFonts w:hint="eastAsia" w:hAnsi="宋体"/>
          <w:snapToGrid w:val="0"/>
          <w:color w:val="auto"/>
          <w:kern w:val="0"/>
          <w:sz w:val="24"/>
          <w:highlight w:val="none"/>
        </w:rPr>
        <w:t>综合评分法，是指投标文件满足招标文件全部实质性要求，且按照评审因素的量化指标评审得分最高的投标人为中标候选人的评标方法。</w:t>
      </w:r>
    </w:p>
    <w:p w14:paraId="27DBEEC5">
      <w:pPr>
        <w:pStyle w:val="417"/>
        <w:rPr>
          <w:color w:val="auto"/>
          <w:highlight w:val="none"/>
        </w:rPr>
      </w:pPr>
      <w:bookmarkStart w:id="132" w:name="_Toc173762006"/>
      <w:r>
        <w:rPr>
          <w:rFonts w:hint="eastAsia"/>
          <w:color w:val="auto"/>
          <w:highlight w:val="none"/>
        </w:rPr>
        <w:t>二、评标标准</w:t>
      </w:r>
      <w:bookmarkEnd w:id="132"/>
    </w:p>
    <w:p w14:paraId="3B63CDC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2.评标标准：</w:t>
      </w:r>
      <w:r>
        <w:rPr>
          <w:rFonts w:hint="eastAsia" w:hAnsi="宋体"/>
          <w:snapToGrid w:val="0"/>
          <w:color w:val="auto"/>
          <w:kern w:val="0"/>
          <w:sz w:val="24"/>
          <w:highlight w:val="none"/>
        </w:rPr>
        <w:t>见评标办法前附表。</w:t>
      </w:r>
    </w:p>
    <w:p w14:paraId="7EDB0593">
      <w:pPr>
        <w:pStyle w:val="417"/>
        <w:rPr>
          <w:color w:val="auto"/>
          <w:highlight w:val="none"/>
        </w:rPr>
      </w:pPr>
      <w:bookmarkStart w:id="133" w:name="_Toc173762007"/>
      <w:r>
        <w:rPr>
          <w:rFonts w:hint="eastAsia"/>
          <w:color w:val="auto"/>
          <w:highlight w:val="none"/>
        </w:rPr>
        <w:t>三、评标程序</w:t>
      </w:r>
      <w:bookmarkEnd w:id="133"/>
    </w:p>
    <w:p w14:paraId="3371E7A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3.1符合性审查。</w:t>
      </w:r>
      <w:r>
        <w:rPr>
          <w:rFonts w:hint="eastAsia" w:hAnsi="宋体"/>
          <w:snapToGrid w:val="0"/>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D149F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3.2比较与评价。</w:t>
      </w:r>
      <w:r>
        <w:rPr>
          <w:rFonts w:hint="eastAsia" w:hAnsi="宋体"/>
          <w:snapToGrid w:val="0"/>
          <w:color w:val="auto"/>
          <w:kern w:val="0"/>
          <w:sz w:val="24"/>
          <w:highlight w:val="none"/>
        </w:rPr>
        <w:t>评标委员会应当按照招标文件中规定的评标方法和标准，对符合性审查合格的投标文件进行商务和技术评估，综合比较与评价。</w:t>
      </w:r>
    </w:p>
    <w:p w14:paraId="7F103198">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3.3汇总商务技术得分。</w:t>
      </w:r>
      <w:r>
        <w:rPr>
          <w:rFonts w:hint="eastAsia" w:hAnsi="宋体"/>
          <w:snapToGrid w:val="0"/>
          <w:color w:val="auto"/>
          <w:kern w:val="0"/>
          <w:sz w:val="24"/>
          <w:highlight w:val="none"/>
        </w:rPr>
        <w:t>评标委员会各成员应当独立对每个投标人的商务和技术文件进行评价，并汇总商务技术得分情况。</w:t>
      </w:r>
    </w:p>
    <w:p w14:paraId="2B4B876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3.4报价评审。</w:t>
      </w:r>
    </w:p>
    <w:p w14:paraId="0B959B7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3.4.1投标文件报价出现前后不一致的，按照下列规定修正：</w:t>
      </w:r>
    </w:p>
    <w:p w14:paraId="057AB89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3.4.1.1投标文件中开标一览表（报价表）内容与投标文件中相应内容不一致的，以开标一览表（报价表）为准；</w:t>
      </w:r>
    </w:p>
    <w:p w14:paraId="5007685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3.4.1.2大写金额和小写金额不一致的，以大写金额为准；</w:t>
      </w:r>
    </w:p>
    <w:p w14:paraId="4739DCDE">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3.4.1.3单价金额小数点或者百分比有明显错位的，以开标一览表的总价为准，并修改单价；</w:t>
      </w:r>
    </w:p>
    <w:p w14:paraId="11DB0AA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3.4.1.4总价金额与按单价汇总金额不一致的，以单价金额计算结果为准。</w:t>
      </w:r>
    </w:p>
    <w:p w14:paraId="1B33EED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325DE5C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3.4.2投标文件出现不是唯一的、有选择性投标报价的，投标无效。</w:t>
      </w:r>
    </w:p>
    <w:p w14:paraId="5745B87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3.4.3投标报价超过招标文件中规定的预算金额或者最高限价的，投标无效。</w:t>
      </w:r>
    </w:p>
    <w:p w14:paraId="28C1D87D">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9AFC8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D71EC2">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3.5排序与推荐。</w:t>
      </w:r>
      <w:r>
        <w:rPr>
          <w:rFonts w:hint="eastAsia" w:hAnsi="宋体"/>
          <w:snapToGrid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2C3F68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D4A0A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3.6编写评标报告。</w:t>
      </w:r>
      <w:r>
        <w:rPr>
          <w:rFonts w:hint="eastAsia" w:hAnsi="宋体"/>
          <w:snapToGrid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2344A9">
      <w:pPr>
        <w:pStyle w:val="417"/>
        <w:rPr>
          <w:color w:val="auto"/>
          <w:highlight w:val="none"/>
        </w:rPr>
      </w:pPr>
      <w:bookmarkStart w:id="134" w:name="_Toc173762008"/>
      <w:r>
        <w:rPr>
          <w:rFonts w:hint="eastAsia"/>
          <w:color w:val="auto"/>
          <w:highlight w:val="none"/>
        </w:rPr>
        <w:t>四、评标中的其他事项</w:t>
      </w:r>
      <w:bookmarkEnd w:id="134"/>
    </w:p>
    <w:p w14:paraId="7E0DF11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4.1投标人澄清、说明或者补正。</w:t>
      </w:r>
      <w:r>
        <w:rPr>
          <w:rFonts w:hint="eastAsia" w:hAnsi="宋体"/>
          <w:snapToGrid w:val="0"/>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E7F10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4.2投标无效。</w:t>
      </w:r>
      <w:r>
        <w:rPr>
          <w:rFonts w:hint="eastAsia" w:hAnsi="宋体"/>
          <w:snapToGrid w:val="0"/>
          <w:color w:val="auto"/>
          <w:kern w:val="0"/>
          <w:sz w:val="24"/>
          <w:highlight w:val="none"/>
        </w:rPr>
        <w:t>有下列情形之一的，投标无效：</w:t>
      </w:r>
    </w:p>
    <w:p w14:paraId="181761F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4.2.1投标人不具备招标文件中规定的资格要求的（投标人未提供有效的资格文件的，视为投标人不具备招标文件中规定的资格要求）；</w:t>
      </w:r>
    </w:p>
    <w:p w14:paraId="5415AC9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4.2.2投标文件未按照招标文件要求签署、盖章的；</w:t>
      </w:r>
    </w:p>
    <w:p w14:paraId="5E8A628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DF3FC0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4.2.4投标文件含有采购人不能接受的附加条件的；</w:t>
      </w:r>
    </w:p>
    <w:p w14:paraId="1417E6C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4.2.5投标文件中承诺的投标有效期少于招标文件中载明的投标有效期的；</w:t>
      </w:r>
    </w:p>
    <w:p w14:paraId="73FDBC3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4.2.6投标文件出现不是唯一的、有选择性投标报价的；</w:t>
      </w:r>
    </w:p>
    <w:p w14:paraId="682A1B83">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4.2.7投标报价超过招标文件中规定的预算金额或者最高限价的；</w:t>
      </w:r>
    </w:p>
    <w:p w14:paraId="326E5DE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158E02">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4.2.9投标人对根据修正原则修正后的报价不确认的；</w:t>
      </w:r>
    </w:p>
    <w:p w14:paraId="08F5BED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4.2.10投标人提供虚假材料投标的；</w:t>
      </w:r>
    </w:p>
    <w:p w14:paraId="56A6147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4.2.11投标人有恶意串通、妨碍其他投标人的竞争行为、损害采购人或者其他投标人的合法权益情形的；</w:t>
      </w:r>
    </w:p>
    <w:p w14:paraId="3C6C107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4.2.12投标人仅提交备份投标文件，未在电子交易平台传输递交投标文件的，投标无效；</w:t>
      </w:r>
    </w:p>
    <w:p w14:paraId="18BF988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4.2.13投标文件不满足招标文件的其它实质性要求的；</w:t>
      </w:r>
    </w:p>
    <w:p w14:paraId="094AD526">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4.2.14法律、法规、规章（适用本市的）及省级以上规范性文件（适用本市的）规定的其他无效情形。</w:t>
      </w:r>
    </w:p>
    <w:p w14:paraId="16DFDA70">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5.</w:t>
      </w:r>
      <w:r>
        <w:rPr>
          <w:rFonts w:hAnsi="宋体"/>
          <w:b/>
          <w:bCs/>
          <w:snapToGrid w:val="0"/>
          <w:color w:val="auto"/>
          <w:kern w:val="0"/>
          <w:sz w:val="24"/>
          <w:highlight w:val="none"/>
        </w:rPr>
        <w:t>废标</w:t>
      </w:r>
      <w:r>
        <w:rPr>
          <w:rFonts w:hint="eastAsia" w:hAnsi="宋体"/>
          <w:b/>
          <w:bCs/>
          <w:snapToGrid w:val="0"/>
          <w:color w:val="auto"/>
          <w:kern w:val="0"/>
          <w:sz w:val="24"/>
          <w:highlight w:val="none"/>
        </w:rPr>
        <w:t>。</w:t>
      </w:r>
      <w:r>
        <w:rPr>
          <w:rFonts w:hint="eastAsia" w:hAnsi="宋体"/>
          <w:snapToGrid w:val="0"/>
          <w:color w:val="auto"/>
          <w:kern w:val="0"/>
          <w:sz w:val="24"/>
          <w:highlight w:val="none"/>
        </w:rPr>
        <w:t>根据《中华人民共和国政府采购法》第三十六条之规定，在采购中，出现下列情形之一的，应予废标：</w:t>
      </w:r>
    </w:p>
    <w:p w14:paraId="24CBC70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5.1</w:t>
      </w:r>
      <w:r>
        <w:rPr>
          <w:rFonts w:hint="eastAsia" w:hAnsi="宋体"/>
          <w:snapToGrid w:val="0"/>
          <w:color w:val="auto"/>
          <w:kern w:val="0"/>
          <w:sz w:val="24"/>
          <w:highlight w:val="none"/>
        </w:rPr>
        <w:t>符合专业条件的供应商或者对招标文件作实质响应的供应商不足3家的；</w:t>
      </w:r>
    </w:p>
    <w:p w14:paraId="389FA7FF">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5.2</w:t>
      </w:r>
      <w:r>
        <w:rPr>
          <w:rFonts w:hint="eastAsia" w:hAnsi="宋体"/>
          <w:snapToGrid w:val="0"/>
          <w:color w:val="auto"/>
          <w:kern w:val="0"/>
          <w:sz w:val="24"/>
          <w:highlight w:val="none"/>
        </w:rPr>
        <w:t>出现影响采购公正的违法、违规行为的；</w:t>
      </w:r>
    </w:p>
    <w:p w14:paraId="5FFCA18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5.3</w:t>
      </w:r>
      <w:r>
        <w:rPr>
          <w:rFonts w:hint="eastAsia" w:hAnsi="宋体"/>
          <w:snapToGrid w:val="0"/>
          <w:color w:val="auto"/>
          <w:kern w:val="0"/>
          <w:sz w:val="24"/>
          <w:highlight w:val="none"/>
        </w:rPr>
        <w:t>投标人的报价均超过了采购预算，采购人不能支付的；</w:t>
      </w:r>
    </w:p>
    <w:p w14:paraId="79CE75B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5.4</w:t>
      </w:r>
      <w:r>
        <w:rPr>
          <w:rFonts w:hint="eastAsia" w:hAnsi="宋体"/>
          <w:snapToGrid w:val="0"/>
          <w:color w:val="auto"/>
          <w:kern w:val="0"/>
          <w:sz w:val="24"/>
          <w:highlight w:val="none"/>
        </w:rPr>
        <w:t>因重大变故，采购任务取消的。</w:t>
      </w:r>
    </w:p>
    <w:p w14:paraId="0087B37F">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废标后，采购代理机构应当将废标理由通知所有投标人。</w:t>
      </w:r>
    </w:p>
    <w:p w14:paraId="70FDCEE6">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6.修改招标文件，重新组织采购活动。</w:t>
      </w:r>
      <w:r>
        <w:rPr>
          <w:rFonts w:hint="eastAsia" w:hAnsi="宋体"/>
          <w:snapToGrid w:val="0"/>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F73D7F">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7.重新开展采购。</w:t>
      </w:r>
      <w:r>
        <w:rPr>
          <w:rFonts w:hint="eastAsia" w:hAnsi="宋体"/>
          <w:snapToGrid w:val="0"/>
          <w:color w:val="auto"/>
          <w:kern w:val="0"/>
          <w:sz w:val="24"/>
          <w:highlight w:val="none"/>
        </w:rPr>
        <w:t>有政府采购法第七十一条、第七十二条规定的违法行为之一，影响或者可能影响中标结果的，依照下列规定处理：</w:t>
      </w:r>
    </w:p>
    <w:p w14:paraId="4EFF24C0">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7.1</w:t>
      </w:r>
      <w:r>
        <w:rPr>
          <w:rFonts w:hint="eastAsia" w:hAnsi="宋体"/>
          <w:snapToGrid w:val="0"/>
          <w:color w:val="auto"/>
          <w:kern w:val="0"/>
          <w:sz w:val="24"/>
          <w:highlight w:val="none"/>
        </w:rPr>
        <w:t>未确定中标供应商的，终止本次政府采购活动，重新开展政府采购活动。</w:t>
      </w:r>
    </w:p>
    <w:p w14:paraId="2D31BE01">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7.2</w:t>
      </w:r>
      <w:r>
        <w:rPr>
          <w:rFonts w:hint="eastAsia" w:hAnsi="宋体"/>
          <w:snapToGrid w:val="0"/>
          <w:color w:val="auto"/>
          <w:kern w:val="0"/>
          <w:sz w:val="24"/>
          <w:highlight w:val="none"/>
        </w:rPr>
        <w:t>已确定中标供应商但尚未签订政府采购合同的，中标结果无效，从合格的中标候选人中另行确定中标供应商；没有合格的中标候选人的，重新开展政府采购活动。</w:t>
      </w:r>
    </w:p>
    <w:p w14:paraId="6853078D">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7.3</w:t>
      </w:r>
      <w:r>
        <w:rPr>
          <w:rFonts w:hint="eastAsia" w:hAnsi="宋体"/>
          <w:snapToGrid w:val="0"/>
          <w:color w:val="auto"/>
          <w:kern w:val="0"/>
          <w:sz w:val="24"/>
          <w:highlight w:val="none"/>
        </w:rPr>
        <w:t>政府采购合同已签订但尚未履行的，撤销合同，从合格的中标候选人中另行确定中标供应商；没有合格的中标候选人的，重新开展政府采购活动。</w:t>
      </w:r>
    </w:p>
    <w:p w14:paraId="5455883C">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7.4</w:t>
      </w:r>
      <w:r>
        <w:rPr>
          <w:rFonts w:hint="eastAsia" w:hAnsi="宋体"/>
          <w:snapToGrid w:val="0"/>
          <w:color w:val="auto"/>
          <w:kern w:val="0"/>
          <w:sz w:val="24"/>
          <w:highlight w:val="none"/>
        </w:rPr>
        <w:t>政府采购合同已经履行，给采购人、供应商造成损失的，由责任人承担赔偿责任。</w:t>
      </w:r>
    </w:p>
    <w:p w14:paraId="705841BB">
      <w:pPr>
        <w:widowControl w:val="0"/>
        <w:adjustRightInd w:val="0"/>
        <w:snapToGrid w:val="0"/>
        <w:spacing w:line="300" w:lineRule="auto"/>
        <w:ind w:firstLine="482" w:firstLineChars="200"/>
        <w:rPr>
          <w:rFonts w:hint="eastAsia" w:hAnsi="宋体"/>
          <w:snapToGrid w:val="0"/>
          <w:color w:val="auto"/>
          <w:kern w:val="0"/>
          <w:sz w:val="24"/>
          <w:highlight w:val="none"/>
        </w:rPr>
      </w:pPr>
      <w:r>
        <w:rPr>
          <w:rFonts w:hint="eastAsia" w:hAnsi="宋体"/>
          <w:b/>
          <w:bCs/>
          <w:snapToGrid w:val="0"/>
          <w:color w:val="auto"/>
          <w:kern w:val="0"/>
          <w:sz w:val="24"/>
          <w:highlight w:val="none"/>
        </w:rPr>
        <w:t>7.5</w:t>
      </w:r>
      <w:r>
        <w:rPr>
          <w:rFonts w:hint="eastAsia" w:hAnsi="宋体"/>
          <w:snapToGrid w:val="0"/>
          <w:color w:val="auto"/>
          <w:kern w:val="0"/>
          <w:sz w:val="24"/>
          <w:highlight w:val="none"/>
        </w:rPr>
        <w:t>政府采购当事人有其他违反政府采购法或者政府采购法实施条例等法律法规规定的行为，经改正后仍然影响或者可能影响中标结果或者依法被认定为中标无效的，依照7.1-7.4规定处理。</w:t>
      </w:r>
    </w:p>
    <w:p w14:paraId="04DE9E45">
      <w:pPr>
        <w:widowControl w:val="0"/>
        <w:adjustRightInd w:val="0"/>
        <w:snapToGrid w:val="0"/>
        <w:rPr>
          <w:color w:val="auto"/>
          <w:highlight w:val="none"/>
        </w:rPr>
      </w:pPr>
    </w:p>
    <w:p w14:paraId="6B6A6FF1">
      <w:pPr>
        <w:widowControl w:val="0"/>
        <w:adjustRightInd w:val="0"/>
        <w:snapToGrid w:val="0"/>
        <w:rPr>
          <w:color w:val="auto"/>
          <w:highlight w:val="none"/>
        </w:rPr>
      </w:pPr>
    </w:p>
    <w:p w14:paraId="6D555733">
      <w:pPr>
        <w:widowControl w:val="0"/>
        <w:adjustRightInd w:val="0"/>
        <w:snapToGrid w:val="0"/>
        <w:rPr>
          <w:color w:val="auto"/>
          <w:highlight w:val="none"/>
        </w:rPr>
      </w:pPr>
    </w:p>
    <w:p w14:paraId="7DFF3A08">
      <w:pPr>
        <w:widowControl w:val="0"/>
        <w:adjustRightInd w:val="0"/>
        <w:snapToGrid w:val="0"/>
        <w:rPr>
          <w:color w:val="auto"/>
          <w:highlight w:val="none"/>
        </w:rPr>
      </w:pPr>
    </w:p>
    <w:p w14:paraId="43624482">
      <w:pPr>
        <w:widowControl w:val="0"/>
        <w:adjustRightInd w:val="0"/>
        <w:snapToGrid w:val="0"/>
        <w:rPr>
          <w:color w:val="auto"/>
          <w:highlight w:val="none"/>
        </w:rPr>
      </w:pPr>
    </w:p>
    <w:p w14:paraId="77DD1049">
      <w:pPr>
        <w:widowControl w:val="0"/>
        <w:adjustRightInd w:val="0"/>
        <w:snapToGrid w:val="0"/>
        <w:rPr>
          <w:color w:val="auto"/>
          <w:highlight w:val="none"/>
        </w:rPr>
        <w:sectPr>
          <w:type w:val="oddPage"/>
          <w:pgSz w:w="11906" w:h="16838"/>
          <w:pgMar w:top="1440" w:right="1304" w:bottom="1440" w:left="1134" w:header="851" w:footer="992" w:gutter="0"/>
          <w:cols w:space="720" w:num="1"/>
          <w:docGrid w:type="lines" w:linePitch="312" w:charSpace="0"/>
        </w:sectPr>
      </w:pPr>
    </w:p>
    <w:p w14:paraId="74B60C9A">
      <w:pPr>
        <w:pStyle w:val="2"/>
        <w:keepNext w:val="0"/>
        <w:keepLines w:val="0"/>
        <w:adjustRightInd w:val="0"/>
        <w:snapToGrid w:val="0"/>
        <w:rPr>
          <w:color w:val="auto"/>
          <w:highlight w:val="none"/>
        </w:rPr>
      </w:pPr>
      <w:bookmarkStart w:id="135" w:name="_Toc357429107"/>
      <w:bookmarkStart w:id="136" w:name="_Toc256669795"/>
      <w:bookmarkStart w:id="137" w:name="_Toc173762009"/>
      <w:r>
        <w:rPr>
          <w:color w:val="auto"/>
          <w:highlight w:val="none"/>
        </w:rPr>
        <w:t>第五</w:t>
      </w:r>
      <w:r>
        <w:rPr>
          <w:rFonts w:hint="eastAsia"/>
          <w:color w:val="auto"/>
          <w:highlight w:val="none"/>
        </w:rPr>
        <w:t>部分</w:t>
      </w:r>
      <w:r>
        <w:rPr>
          <w:color w:val="auto"/>
          <w:highlight w:val="none"/>
        </w:rPr>
        <w:t xml:space="preserve"> </w:t>
      </w:r>
      <w:bookmarkEnd w:id="135"/>
      <w:bookmarkEnd w:id="136"/>
      <w:r>
        <w:rPr>
          <w:rFonts w:hint="eastAsia"/>
          <w:color w:val="auto"/>
          <w:highlight w:val="none"/>
        </w:rPr>
        <w:t>拟签订的合同文本</w:t>
      </w:r>
      <w:bookmarkEnd w:id="137"/>
    </w:p>
    <w:p w14:paraId="6C9F1AB0">
      <w:pPr>
        <w:widowControl w:val="0"/>
        <w:adjustRightInd w:val="0"/>
        <w:snapToGrid w:val="0"/>
        <w:rPr>
          <w:color w:val="auto"/>
          <w:highlight w:val="none"/>
        </w:rPr>
      </w:pPr>
    </w:p>
    <w:p w14:paraId="2ECFB8AA">
      <w:pPr>
        <w:widowControl w:val="0"/>
        <w:adjustRightInd w:val="0"/>
        <w:snapToGrid w:val="0"/>
        <w:rPr>
          <w:color w:val="auto"/>
          <w:highlight w:val="none"/>
        </w:rPr>
      </w:pPr>
    </w:p>
    <w:p w14:paraId="443E0C1F">
      <w:pPr>
        <w:widowControl w:val="0"/>
        <w:adjustRightInd w:val="0"/>
        <w:snapToGrid w:val="0"/>
        <w:rPr>
          <w:color w:val="auto"/>
          <w:highlight w:val="none"/>
        </w:rPr>
      </w:pPr>
    </w:p>
    <w:p w14:paraId="0C7F5C30">
      <w:pPr>
        <w:pStyle w:val="417"/>
        <w:ind w:firstLine="0" w:firstLineChars="0"/>
        <w:jc w:val="center"/>
        <w:rPr>
          <w:color w:val="auto"/>
          <w:highlight w:val="none"/>
        </w:rPr>
      </w:pPr>
      <w:bookmarkStart w:id="138" w:name="_Toc173762010"/>
      <w:r>
        <w:rPr>
          <w:rFonts w:hint="eastAsia"/>
          <w:color w:val="auto"/>
          <w:highlight w:val="none"/>
        </w:rPr>
        <w:t>一、项目主体合同</w:t>
      </w:r>
      <w:bookmarkEnd w:id="138"/>
    </w:p>
    <w:p w14:paraId="0D005B68">
      <w:pPr>
        <w:widowControl w:val="0"/>
        <w:adjustRightInd w:val="0"/>
        <w:snapToGrid w:val="0"/>
        <w:rPr>
          <w:color w:val="auto"/>
          <w:highlight w:val="none"/>
        </w:rPr>
      </w:pPr>
    </w:p>
    <w:p w14:paraId="61BF6093">
      <w:pPr>
        <w:widowControl w:val="0"/>
        <w:adjustRightInd w:val="0"/>
        <w:snapToGrid w:val="0"/>
        <w:rPr>
          <w:color w:val="auto"/>
          <w:highlight w:val="none"/>
        </w:rPr>
      </w:pPr>
    </w:p>
    <w:p w14:paraId="05E8BF4C">
      <w:pPr>
        <w:widowControl w:val="0"/>
        <w:adjustRightInd w:val="0"/>
        <w:snapToGrid w:val="0"/>
        <w:rPr>
          <w:color w:val="auto"/>
          <w:highlight w:val="none"/>
        </w:rPr>
      </w:pPr>
    </w:p>
    <w:p w14:paraId="4CFF7C8F">
      <w:pPr>
        <w:widowControl w:val="0"/>
        <w:adjustRightInd w:val="0"/>
        <w:snapToGrid w:val="0"/>
        <w:spacing w:line="300" w:lineRule="auto"/>
        <w:ind w:firstLine="480" w:firstLineChars="200"/>
        <w:rPr>
          <w:rFonts w:hint="eastAsia" w:hAnsi="宋体"/>
          <w:snapToGrid w:val="0"/>
          <w:color w:val="auto"/>
          <w:kern w:val="0"/>
          <w:sz w:val="24"/>
          <w:highlight w:val="none"/>
          <w:u w:val="single"/>
        </w:rPr>
      </w:pPr>
      <w:r>
        <w:rPr>
          <w:rFonts w:hint="eastAsia" w:hAnsi="宋体"/>
          <w:snapToGrid w:val="0"/>
          <w:color w:val="auto"/>
          <w:kern w:val="0"/>
          <w:sz w:val="24"/>
          <w:highlight w:val="none"/>
        </w:rPr>
        <w:t>甲方（全称）：</w:t>
      </w:r>
      <w:r>
        <w:rPr>
          <w:rFonts w:hint="eastAsia" w:hAnsi="宋体"/>
          <w:snapToGrid w:val="0"/>
          <w:color w:val="auto"/>
          <w:kern w:val="0"/>
          <w:sz w:val="24"/>
          <w:highlight w:val="none"/>
          <w:u w:val="single"/>
        </w:rPr>
        <w:t xml:space="preserve">  宁波交运资源开发有限公司  </w:t>
      </w:r>
    </w:p>
    <w:p w14:paraId="005A4B6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乙方1（全称）：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（供应商）</w:t>
      </w:r>
    </w:p>
    <w:p w14:paraId="230B4C8B">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乙方2（全称）：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（联合体成员供应商）（如有）</w:t>
      </w:r>
    </w:p>
    <w:p w14:paraId="038424B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乙方3（全称）：</w:t>
      </w:r>
      <w:r>
        <w:rPr>
          <w:rFonts w:hint="eastAsia" w:hAnsi="宋体"/>
          <w:snapToGrid w:val="0"/>
          <w:color w:val="auto"/>
          <w:kern w:val="0"/>
          <w:sz w:val="24"/>
          <w:highlight w:val="none"/>
          <w:u w:val="single"/>
        </w:rPr>
        <w:t xml:space="preserve">                           </w:t>
      </w:r>
      <w:r>
        <w:rPr>
          <w:rFonts w:hint="eastAsia" w:hAnsi="宋体"/>
          <w:snapToGrid w:val="0"/>
          <w:color w:val="auto"/>
          <w:kern w:val="0"/>
          <w:sz w:val="24"/>
          <w:highlight w:val="none"/>
        </w:rPr>
        <w:t>（联合体成员供应商）（如有）</w:t>
      </w:r>
    </w:p>
    <w:p w14:paraId="7F81A638">
      <w:pPr>
        <w:widowControl w:val="0"/>
        <w:adjustRightInd w:val="0"/>
        <w:snapToGrid w:val="0"/>
        <w:rPr>
          <w:color w:val="auto"/>
          <w:highlight w:val="none"/>
        </w:rPr>
      </w:pPr>
    </w:p>
    <w:p w14:paraId="2BD2AA75">
      <w:pPr>
        <w:widowControl w:val="0"/>
        <w:adjustRightInd w:val="0"/>
        <w:snapToGrid w:val="0"/>
        <w:rPr>
          <w:color w:val="auto"/>
          <w:highlight w:val="none"/>
        </w:rPr>
      </w:pPr>
    </w:p>
    <w:p w14:paraId="4BE20493">
      <w:pPr>
        <w:widowControl w:val="0"/>
        <w:adjustRightInd w:val="0"/>
        <w:snapToGrid w:val="0"/>
        <w:rPr>
          <w:color w:val="auto"/>
          <w:highlight w:val="none"/>
        </w:rPr>
      </w:pPr>
    </w:p>
    <w:p w14:paraId="38D64C7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依据《中华人民共和国民法典》、《中华人民共和国政府采购法》等有关的法律法规，以及本采购项目的招标文件、乙方的《投标文件》及《中标（成交）通知书》，甲乙双方同意签订本合同。具体情况及要求如下：</w:t>
      </w:r>
    </w:p>
    <w:p w14:paraId="1040AC54">
      <w:pPr>
        <w:widowControl w:val="0"/>
        <w:adjustRightInd w:val="0"/>
        <w:snapToGrid w:val="0"/>
        <w:rPr>
          <w:color w:val="auto"/>
          <w:highlight w:val="none"/>
        </w:rPr>
      </w:pPr>
    </w:p>
    <w:p w14:paraId="1C1FDB59">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一、项目概况</w:t>
      </w:r>
    </w:p>
    <w:p w14:paraId="0D2EAE17">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1、项目名称：象山县爵溪街道小微企业集聚区建筑用石料（凝灰岩）矿开采加工、配套设施建设及矿产品销售代理一体化服务项目</w:t>
      </w:r>
    </w:p>
    <w:p w14:paraId="52D96A2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2、项目地点：象山县爵溪街道田嘴头山</w:t>
      </w:r>
    </w:p>
    <w:p w14:paraId="33D36A9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3、矿区资源储量</w:t>
      </w:r>
    </w:p>
    <w:p w14:paraId="50AC8795">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矿区范围内建筑用石料（凝灰岩）控制资源量为996.73万立方米（2581.04万吨），其中建筑用石料（凝灰岩）资源量为960.72万立方米（2497.87万吨），强风化石料资源量为36.01万立方米（83.17万吨）。另剥离量为26.84万立方米。</w:t>
      </w:r>
    </w:p>
    <w:p w14:paraId="7371F2D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（2）甲方指定的临近矿区附近约80万吨工程石料（如有）。</w:t>
      </w:r>
    </w:p>
    <w:p w14:paraId="79C9D359">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4、项目内容：</w:t>
      </w:r>
    </w:p>
    <w:p w14:paraId="4EBDE93A">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石料矿开采、加工基础设施的建设；（2）矿山开采、加工生产活动；（3）产品外运配套码头建设及运营维护；（4）矿产品销售代理；（5）智能化数字监管平台（包括矿山安全生产监管平台、矿产资源开发利用监管平台等）、省级绿色矿山建设、矿山地质环境保护与土地复垦、闭矿及后续拆除；（6）矿山开采、加工、外运配套码头建设及运营所需的各类审批、备案及合同履行期内应有的相关延伸服务等（合同有约定的除外）。</w:t>
      </w:r>
    </w:p>
    <w:p w14:paraId="66A9457D">
      <w:pPr>
        <w:widowControl w:val="0"/>
        <w:adjustRightInd w:val="0"/>
        <w:snapToGrid w:val="0"/>
        <w:rPr>
          <w:color w:val="auto"/>
          <w:highlight w:val="none"/>
        </w:rPr>
      </w:pPr>
    </w:p>
    <w:p w14:paraId="06DBAA1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二、合同金额</w:t>
      </w:r>
    </w:p>
    <w:p w14:paraId="34185054">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1、合同金额小写：</w:t>
      </w:r>
      <w:r>
        <w:rPr>
          <w:rFonts w:hint="eastAsia" w:hAnsi="宋体"/>
          <w:snapToGrid w:val="0"/>
          <w:color w:val="auto"/>
          <w:kern w:val="0"/>
          <w:sz w:val="24"/>
          <w:highlight w:val="none"/>
          <w:u w:val="single"/>
        </w:rPr>
        <w:t xml:space="preserve">                   </w:t>
      </w:r>
    </w:p>
    <w:p w14:paraId="23CE6D8D">
      <w:pPr>
        <w:widowControl w:val="0"/>
        <w:adjustRightInd w:val="0"/>
        <w:snapToGrid w:val="0"/>
        <w:spacing w:line="300" w:lineRule="auto"/>
        <w:ind w:firstLine="1680" w:firstLineChars="700"/>
        <w:rPr>
          <w:rFonts w:hint="eastAsia" w:hAnsi="宋体"/>
          <w:snapToGrid w:val="0"/>
          <w:color w:val="auto"/>
          <w:kern w:val="0"/>
          <w:sz w:val="24"/>
          <w:highlight w:val="none"/>
          <w:u w:val="single"/>
        </w:rPr>
      </w:pPr>
      <w:r>
        <w:rPr>
          <w:rFonts w:hint="eastAsia" w:hAnsi="宋体"/>
          <w:snapToGrid w:val="0"/>
          <w:color w:val="auto"/>
          <w:kern w:val="0"/>
          <w:sz w:val="24"/>
          <w:highlight w:val="none"/>
        </w:rPr>
        <w:t>大写：</w:t>
      </w:r>
      <w:r>
        <w:rPr>
          <w:rFonts w:hint="eastAsia" w:hAnsi="宋体"/>
          <w:snapToGrid w:val="0"/>
          <w:color w:val="auto"/>
          <w:kern w:val="0"/>
          <w:sz w:val="24"/>
          <w:highlight w:val="none"/>
          <w:u w:val="single"/>
        </w:rPr>
        <w:t xml:space="preserve">                    </w:t>
      </w:r>
    </w:p>
    <w:p w14:paraId="414D7531">
      <w:pPr>
        <w:widowControl w:val="0"/>
        <w:adjustRightInd w:val="0"/>
        <w:snapToGrid w:val="0"/>
        <w:spacing w:line="300" w:lineRule="auto"/>
        <w:ind w:firstLine="480" w:firstLineChars="200"/>
        <w:rPr>
          <w:rFonts w:hint="eastAsia" w:hAnsi="宋体"/>
          <w:snapToGrid w:val="0"/>
          <w:color w:val="auto"/>
          <w:kern w:val="0"/>
          <w:sz w:val="24"/>
          <w:highlight w:val="none"/>
        </w:rPr>
      </w:pPr>
      <w:r>
        <w:rPr>
          <w:rFonts w:hint="eastAsia" w:hAnsi="宋体"/>
          <w:snapToGrid w:val="0"/>
          <w:color w:val="auto"/>
          <w:kern w:val="0"/>
          <w:sz w:val="24"/>
          <w:highlight w:val="none"/>
        </w:rPr>
        <w:t>2、合同金额组成</w:t>
      </w:r>
    </w:p>
    <w:p w14:paraId="5395B0C4">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8"/>
        <w:gridCol w:w="1094"/>
        <w:gridCol w:w="634"/>
        <w:gridCol w:w="1100"/>
        <w:gridCol w:w="739"/>
        <w:gridCol w:w="748"/>
        <w:gridCol w:w="879"/>
        <w:gridCol w:w="984"/>
        <w:gridCol w:w="808"/>
        <w:gridCol w:w="969"/>
        <w:gridCol w:w="1069"/>
      </w:tblGrid>
      <w:tr w14:paraId="0F294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restart"/>
            <w:vAlign w:val="center"/>
          </w:tcPr>
          <w:p w14:paraId="30AB327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094" w:type="dxa"/>
            <w:vMerge w:val="restart"/>
            <w:vAlign w:val="center"/>
          </w:tcPr>
          <w:p w14:paraId="32BC8C60">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634" w:type="dxa"/>
            <w:vMerge w:val="restart"/>
            <w:vAlign w:val="center"/>
          </w:tcPr>
          <w:p w14:paraId="066203BD">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100" w:type="dxa"/>
            <w:vMerge w:val="restart"/>
            <w:vAlign w:val="center"/>
          </w:tcPr>
          <w:p w14:paraId="79361A5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14:paraId="2B9E3E2C">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158" w:type="dxa"/>
            <w:gridSpan w:val="5"/>
            <w:vAlign w:val="center"/>
          </w:tcPr>
          <w:p w14:paraId="70C3F67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全费用综合单价（元/吨）</w:t>
            </w:r>
          </w:p>
        </w:tc>
        <w:tc>
          <w:tcPr>
            <w:tcW w:w="969" w:type="dxa"/>
            <w:vMerge w:val="restart"/>
            <w:vAlign w:val="center"/>
          </w:tcPr>
          <w:p w14:paraId="28D36DA7">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金额（元）</w:t>
            </w:r>
          </w:p>
        </w:tc>
        <w:tc>
          <w:tcPr>
            <w:tcW w:w="1069" w:type="dxa"/>
            <w:vMerge w:val="restart"/>
            <w:vAlign w:val="center"/>
          </w:tcPr>
          <w:p w14:paraId="52227682">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14:paraId="118C4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continue"/>
            <w:vAlign w:val="center"/>
          </w:tcPr>
          <w:p w14:paraId="3D986251">
            <w:pPr>
              <w:widowControl w:val="0"/>
              <w:adjustRightInd w:val="0"/>
              <w:snapToGrid w:val="0"/>
              <w:jc w:val="center"/>
              <w:rPr>
                <w:rFonts w:cs="宋体"/>
                <w:b/>
                <w:bCs/>
                <w:snapToGrid w:val="0"/>
                <w:color w:val="auto"/>
                <w:kern w:val="0"/>
                <w:szCs w:val="21"/>
                <w:highlight w:val="none"/>
              </w:rPr>
            </w:pPr>
          </w:p>
        </w:tc>
        <w:tc>
          <w:tcPr>
            <w:tcW w:w="1094" w:type="dxa"/>
            <w:vMerge w:val="continue"/>
            <w:vAlign w:val="center"/>
          </w:tcPr>
          <w:p w14:paraId="1A00A308">
            <w:pPr>
              <w:widowControl w:val="0"/>
              <w:adjustRightInd w:val="0"/>
              <w:snapToGrid w:val="0"/>
              <w:jc w:val="center"/>
              <w:rPr>
                <w:rFonts w:cs="宋体"/>
                <w:b/>
                <w:bCs/>
                <w:snapToGrid w:val="0"/>
                <w:color w:val="auto"/>
                <w:kern w:val="0"/>
                <w:szCs w:val="21"/>
                <w:highlight w:val="none"/>
              </w:rPr>
            </w:pPr>
          </w:p>
        </w:tc>
        <w:tc>
          <w:tcPr>
            <w:tcW w:w="634" w:type="dxa"/>
            <w:vMerge w:val="continue"/>
            <w:vAlign w:val="center"/>
          </w:tcPr>
          <w:p w14:paraId="257B2913">
            <w:pPr>
              <w:widowControl w:val="0"/>
              <w:adjustRightInd w:val="0"/>
              <w:snapToGrid w:val="0"/>
              <w:jc w:val="center"/>
              <w:rPr>
                <w:rFonts w:cs="宋体"/>
                <w:b/>
                <w:bCs/>
                <w:snapToGrid w:val="0"/>
                <w:color w:val="auto"/>
                <w:kern w:val="0"/>
                <w:szCs w:val="21"/>
                <w:highlight w:val="none"/>
              </w:rPr>
            </w:pPr>
          </w:p>
        </w:tc>
        <w:tc>
          <w:tcPr>
            <w:tcW w:w="1100" w:type="dxa"/>
            <w:vMerge w:val="continue"/>
            <w:vAlign w:val="center"/>
          </w:tcPr>
          <w:p w14:paraId="00E3761A">
            <w:pPr>
              <w:widowControl w:val="0"/>
              <w:adjustRightInd w:val="0"/>
              <w:snapToGrid w:val="0"/>
              <w:jc w:val="center"/>
              <w:rPr>
                <w:rFonts w:cs="宋体"/>
                <w:b/>
                <w:bCs/>
                <w:snapToGrid w:val="0"/>
                <w:color w:val="auto"/>
                <w:kern w:val="0"/>
                <w:szCs w:val="21"/>
                <w:highlight w:val="none"/>
              </w:rPr>
            </w:pPr>
          </w:p>
        </w:tc>
        <w:tc>
          <w:tcPr>
            <w:tcW w:w="739" w:type="dxa"/>
            <w:vAlign w:val="center"/>
          </w:tcPr>
          <w:p w14:paraId="31367FC4">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748" w:type="dxa"/>
            <w:vAlign w:val="center"/>
          </w:tcPr>
          <w:p w14:paraId="12D03E26">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879" w:type="dxa"/>
            <w:vAlign w:val="center"/>
          </w:tcPr>
          <w:p w14:paraId="59ED02C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984" w:type="dxa"/>
            <w:vAlign w:val="center"/>
          </w:tcPr>
          <w:p w14:paraId="74902248">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808" w:type="dxa"/>
            <w:vAlign w:val="center"/>
          </w:tcPr>
          <w:p w14:paraId="58801D17">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969" w:type="dxa"/>
            <w:vMerge w:val="continue"/>
            <w:vAlign w:val="center"/>
          </w:tcPr>
          <w:p w14:paraId="45E8DBCA">
            <w:pPr>
              <w:widowControl w:val="0"/>
              <w:adjustRightInd w:val="0"/>
              <w:snapToGrid w:val="0"/>
              <w:rPr>
                <w:rFonts w:cs="宋体"/>
                <w:b/>
                <w:bCs/>
                <w:snapToGrid w:val="0"/>
                <w:color w:val="auto"/>
                <w:kern w:val="0"/>
                <w:szCs w:val="21"/>
                <w:highlight w:val="none"/>
              </w:rPr>
            </w:pPr>
          </w:p>
        </w:tc>
        <w:tc>
          <w:tcPr>
            <w:tcW w:w="1069" w:type="dxa"/>
            <w:vMerge w:val="continue"/>
            <w:vAlign w:val="center"/>
          </w:tcPr>
          <w:p w14:paraId="1144A575">
            <w:pPr>
              <w:widowControl w:val="0"/>
              <w:adjustRightInd w:val="0"/>
              <w:snapToGrid w:val="0"/>
              <w:rPr>
                <w:rFonts w:cs="宋体"/>
                <w:b/>
                <w:bCs/>
                <w:snapToGrid w:val="0"/>
                <w:color w:val="auto"/>
                <w:kern w:val="0"/>
                <w:szCs w:val="21"/>
                <w:highlight w:val="none"/>
              </w:rPr>
            </w:pPr>
          </w:p>
        </w:tc>
      </w:tr>
      <w:tr w14:paraId="3CADC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4CBA076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094" w:type="dxa"/>
            <w:vAlign w:val="center"/>
          </w:tcPr>
          <w:p w14:paraId="17BB82FE">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634" w:type="dxa"/>
            <w:vAlign w:val="center"/>
          </w:tcPr>
          <w:p w14:paraId="0F9D0C10">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16E487B9">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739" w:type="dxa"/>
            <w:vAlign w:val="center"/>
          </w:tcPr>
          <w:p w14:paraId="583789BD">
            <w:pPr>
              <w:widowControl w:val="0"/>
              <w:adjustRightInd w:val="0"/>
              <w:snapToGrid w:val="0"/>
              <w:jc w:val="center"/>
              <w:rPr>
                <w:rFonts w:cs="宋体"/>
                <w:snapToGrid w:val="0"/>
                <w:color w:val="auto"/>
                <w:kern w:val="0"/>
                <w:szCs w:val="21"/>
                <w:highlight w:val="none"/>
              </w:rPr>
            </w:pPr>
          </w:p>
        </w:tc>
        <w:tc>
          <w:tcPr>
            <w:tcW w:w="748" w:type="dxa"/>
            <w:vAlign w:val="center"/>
          </w:tcPr>
          <w:p w14:paraId="65AC071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79" w:type="dxa"/>
            <w:vAlign w:val="center"/>
          </w:tcPr>
          <w:p w14:paraId="139867E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84" w:type="dxa"/>
            <w:vAlign w:val="center"/>
          </w:tcPr>
          <w:p w14:paraId="58D7CAE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08" w:type="dxa"/>
            <w:vAlign w:val="center"/>
          </w:tcPr>
          <w:p w14:paraId="698F2D7F">
            <w:pPr>
              <w:widowControl w:val="0"/>
              <w:adjustRightInd w:val="0"/>
              <w:snapToGrid w:val="0"/>
              <w:jc w:val="center"/>
              <w:rPr>
                <w:rFonts w:cs="宋体"/>
                <w:snapToGrid w:val="0"/>
                <w:color w:val="auto"/>
                <w:kern w:val="0"/>
                <w:szCs w:val="21"/>
                <w:highlight w:val="none"/>
              </w:rPr>
            </w:pPr>
          </w:p>
        </w:tc>
        <w:tc>
          <w:tcPr>
            <w:tcW w:w="969" w:type="dxa"/>
            <w:vAlign w:val="center"/>
          </w:tcPr>
          <w:p w14:paraId="34D14278">
            <w:pPr>
              <w:widowControl w:val="0"/>
              <w:adjustRightInd w:val="0"/>
              <w:snapToGrid w:val="0"/>
              <w:rPr>
                <w:rFonts w:cs="宋体"/>
                <w:snapToGrid w:val="0"/>
                <w:color w:val="auto"/>
                <w:kern w:val="0"/>
                <w:sz w:val="18"/>
                <w:szCs w:val="18"/>
                <w:highlight w:val="none"/>
              </w:rPr>
            </w:pPr>
          </w:p>
        </w:tc>
        <w:tc>
          <w:tcPr>
            <w:tcW w:w="1069" w:type="dxa"/>
            <w:vAlign w:val="center"/>
          </w:tcPr>
          <w:p w14:paraId="5AEFCD8F">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单价包括上车、短驳至矿区指定位置、出售时的再上车</w:t>
            </w:r>
          </w:p>
        </w:tc>
      </w:tr>
      <w:tr w14:paraId="2EA7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723406C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094" w:type="dxa"/>
            <w:vAlign w:val="center"/>
          </w:tcPr>
          <w:p w14:paraId="50F42BB3">
            <w:pPr>
              <w:widowControl w:val="0"/>
              <w:adjustRightInd w:val="0"/>
              <w:snapToGrid w:val="0"/>
              <w:jc w:val="left"/>
              <w:rPr>
                <w:color w:val="auto"/>
                <w:sz w:val="20"/>
                <w:szCs w:val="20"/>
                <w:highlight w:val="none"/>
              </w:rPr>
            </w:pPr>
            <w:r>
              <w:rPr>
                <w:rFonts w:hint="eastAsia"/>
                <w:color w:val="auto"/>
                <w:sz w:val="20"/>
                <w:szCs w:val="20"/>
                <w:highlight w:val="none"/>
              </w:rPr>
              <w:t>宕渣</w:t>
            </w:r>
          </w:p>
          <w:p w14:paraId="423D492B">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634" w:type="dxa"/>
            <w:vAlign w:val="center"/>
          </w:tcPr>
          <w:p w14:paraId="442CD9F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07B3201E">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739" w:type="dxa"/>
            <w:vAlign w:val="center"/>
          </w:tcPr>
          <w:p w14:paraId="7DE3DFA2">
            <w:pPr>
              <w:widowControl w:val="0"/>
              <w:adjustRightInd w:val="0"/>
              <w:snapToGrid w:val="0"/>
              <w:jc w:val="center"/>
              <w:rPr>
                <w:rFonts w:cs="宋体"/>
                <w:snapToGrid w:val="0"/>
                <w:color w:val="auto"/>
                <w:kern w:val="0"/>
                <w:szCs w:val="21"/>
                <w:highlight w:val="none"/>
              </w:rPr>
            </w:pPr>
          </w:p>
        </w:tc>
        <w:tc>
          <w:tcPr>
            <w:tcW w:w="748" w:type="dxa"/>
            <w:vAlign w:val="center"/>
          </w:tcPr>
          <w:p w14:paraId="2A0747A8">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7454D0F8">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74E1AB3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1073016E">
            <w:pPr>
              <w:widowControl w:val="0"/>
              <w:adjustRightInd w:val="0"/>
              <w:snapToGrid w:val="0"/>
              <w:jc w:val="center"/>
              <w:rPr>
                <w:rFonts w:cs="宋体"/>
                <w:snapToGrid w:val="0"/>
                <w:color w:val="auto"/>
                <w:kern w:val="0"/>
                <w:szCs w:val="21"/>
                <w:highlight w:val="none"/>
              </w:rPr>
            </w:pPr>
          </w:p>
        </w:tc>
        <w:tc>
          <w:tcPr>
            <w:tcW w:w="969" w:type="dxa"/>
            <w:vAlign w:val="center"/>
          </w:tcPr>
          <w:p w14:paraId="270A8A57">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14:paraId="5A69F9F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14:paraId="55A96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7B10B41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094" w:type="dxa"/>
            <w:vAlign w:val="center"/>
          </w:tcPr>
          <w:p w14:paraId="4ADA77CE">
            <w:pPr>
              <w:widowControl w:val="0"/>
              <w:adjustRightInd w:val="0"/>
              <w:snapToGrid w:val="0"/>
              <w:jc w:val="left"/>
              <w:rPr>
                <w:color w:val="auto"/>
                <w:sz w:val="20"/>
                <w:szCs w:val="20"/>
                <w:highlight w:val="none"/>
              </w:rPr>
            </w:pPr>
            <w:r>
              <w:rPr>
                <w:rFonts w:hint="eastAsia"/>
                <w:color w:val="auto"/>
                <w:sz w:val="20"/>
                <w:szCs w:val="20"/>
                <w:highlight w:val="none"/>
              </w:rPr>
              <w:t>宕渣</w:t>
            </w:r>
          </w:p>
          <w:p w14:paraId="3A32E76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634" w:type="dxa"/>
            <w:vAlign w:val="center"/>
          </w:tcPr>
          <w:p w14:paraId="4DE39AB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2FB3C2A3">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39" w:type="dxa"/>
            <w:vAlign w:val="center"/>
          </w:tcPr>
          <w:p w14:paraId="1E3EC4BA">
            <w:pPr>
              <w:widowControl w:val="0"/>
              <w:adjustRightInd w:val="0"/>
              <w:snapToGrid w:val="0"/>
              <w:jc w:val="center"/>
              <w:rPr>
                <w:rFonts w:cs="宋体"/>
                <w:snapToGrid w:val="0"/>
                <w:color w:val="auto"/>
                <w:kern w:val="0"/>
                <w:szCs w:val="21"/>
                <w:highlight w:val="none"/>
              </w:rPr>
            </w:pPr>
          </w:p>
        </w:tc>
        <w:tc>
          <w:tcPr>
            <w:tcW w:w="748" w:type="dxa"/>
            <w:vAlign w:val="center"/>
          </w:tcPr>
          <w:p w14:paraId="690DE16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548DBB82">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5C5F4AC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4EC5C635">
            <w:pPr>
              <w:widowControl w:val="0"/>
              <w:adjustRightInd w:val="0"/>
              <w:snapToGrid w:val="0"/>
              <w:jc w:val="center"/>
              <w:rPr>
                <w:rFonts w:cs="宋体"/>
                <w:snapToGrid w:val="0"/>
                <w:color w:val="auto"/>
                <w:kern w:val="0"/>
                <w:szCs w:val="21"/>
                <w:highlight w:val="none"/>
              </w:rPr>
            </w:pPr>
          </w:p>
        </w:tc>
        <w:tc>
          <w:tcPr>
            <w:tcW w:w="969" w:type="dxa"/>
            <w:vAlign w:val="center"/>
          </w:tcPr>
          <w:p w14:paraId="1451C562">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14:paraId="200E0A2F">
            <w:pPr>
              <w:widowControl w:val="0"/>
              <w:adjustRightInd w:val="0"/>
              <w:snapToGrid w:val="0"/>
              <w:jc w:val="center"/>
              <w:rPr>
                <w:rFonts w:cs="宋体"/>
                <w:snapToGrid w:val="0"/>
                <w:color w:val="auto"/>
                <w:kern w:val="0"/>
                <w:szCs w:val="21"/>
                <w:highlight w:val="none"/>
              </w:rPr>
            </w:pPr>
          </w:p>
        </w:tc>
      </w:tr>
      <w:tr w14:paraId="7BBAD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00BFA5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094" w:type="dxa"/>
            <w:vAlign w:val="center"/>
          </w:tcPr>
          <w:p w14:paraId="468F0BCF">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水洗碎石（陆运）</w:t>
            </w:r>
          </w:p>
        </w:tc>
        <w:tc>
          <w:tcPr>
            <w:tcW w:w="634" w:type="dxa"/>
            <w:vAlign w:val="center"/>
          </w:tcPr>
          <w:p w14:paraId="78C4CCE0">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30F4B4EC">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739" w:type="dxa"/>
            <w:vAlign w:val="center"/>
          </w:tcPr>
          <w:p w14:paraId="36CD8BD7">
            <w:pPr>
              <w:widowControl w:val="0"/>
              <w:adjustRightInd w:val="0"/>
              <w:snapToGrid w:val="0"/>
              <w:jc w:val="center"/>
              <w:rPr>
                <w:rFonts w:cs="宋体"/>
                <w:snapToGrid w:val="0"/>
                <w:color w:val="auto"/>
                <w:kern w:val="0"/>
                <w:szCs w:val="21"/>
                <w:highlight w:val="none"/>
              </w:rPr>
            </w:pPr>
          </w:p>
        </w:tc>
        <w:tc>
          <w:tcPr>
            <w:tcW w:w="748" w:type="dxa"/>
            <w:vAlign w:val="center"/>
          </w:tcPr>
          <w:p w14:paraId="067A833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25095D41">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734B52E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2BB7CB39">
            <w:pPr>
              <w:widowControl w:val="0"/>
              <w:adjustRightInd w:val="0"/>
              <w:snapToGrid w:val="0"/>
              <w:jc w:val="center"/>
              <w:rPr>
                <w:rFonts w:cs="宋体"/>
                <w:snapToGrid w:val="0"/>
                <w:color w:val="auto"/>
                <w:kern w:val="0"/>
                <w:szCs w:val="21"/>
                <w:highlight w:val="none"/>
              </w:rPr>
            </w:pPr>
          </w:p>
        </w:tc>
        <w:tc>
          <w:tcPr>
            <w:tcW w:w="969" w:type="dxa"/>
            <w:vAlign w:val="center"/>
          </w:tcPr>
          <w:p w14:paraId="44FC0DD1">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14:paraId="14AAE90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14:paraId="6DBC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4AD0728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094" w:type="dxa"/>
            <w:vAlign w:val="center"/>
          </w:tcPr>
          <w:p w14:paraId="39C6AF23">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水洗碎石（海运）</w:t>
            </w:r>
          </w:p>
        </w:tc>
        <w:tc>
          <w:tcPr>
            <w:tcW w:w="634" w:type="dxa"/>
            <w:vAlign w:val="center"/>
          </w:tcPr>
          <w:p w14:paraId="1639A27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3C1B67E8">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739" w:type="dxa"/>
            <w:vAlign w:val="center"/>
          </w:tcPr>
          <w:p w14:paraId="026E089A">
            <w:pPr>
              <w:widowControl w:val="0"/>
              <w:adjustRightInd w:val="0"/>
              <w:snapToGrid w:val="0"/>
              <w:jc w:val="center"/>
              <w:rPr>
                <w:rFonts w:cs="宋体"/>
                <w:snapToGrid w:val="0"/>
                <w:color w:val="auto"/>
                <w:kern w:val="0"/>
                <w:szCs w:val="21"/>
                <w:highlight w:val="none"/>
              </w:rPr>
            </w:pPr>
          </w:p>
        </w:tc>
        <w:tc>
          <w:tcPr>
            <w:tcW w:w="748" w:type="dxa"/>
            <w:vAlign w:val="center"/>
          </w:tcPr>
          <w:p w14:paraId="524C9CD7">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6029B3F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3AEA86CA">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5241CEB8">
            <w:pPr>
              <w:widowControl w:val="0"/>
              <w:adjustRightInd w:val="0"/>
              <w:snapToGrid w:val="0"/>
              <w:jc w:val="center"/>
              <w:rPr>
                <w:rFonts w:cs="宋体"/>
                <w:snapToGrid w:val="0"/>
                <w:color w:val="auto"/>
                <w:kern w:val="0"/>
                <w:szCs w:val="21"/>
                <w:highlight w:val="none"/>
              </w:rPr>
            </w:pPr>
          </w:p>
        </w:tc>
        <w:tc>
          <w:tcPr>
            <w:tcW w:w="969" w:type="dxa"/>
            <w:vAlign w:val="center"/>
          </w:tcPr>
          <w:p w14:paraId="41A452CB">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14:paraId="58090971">
            <w:pPr>
              <w:widowControl w:val="0"/>
              <w:adjustRightInd w:val="0"/>
              <w:snapToGrid w:val="0"/>
              <w:jc w:val="center"/>
              <w:rPr>
                <w:rFonts w:cs="宋体"/>
                <w:snapToGrid w:val="0"/>
                <w:color w:val="auto"/>
                <w:kern w:val="0"/>
                <w:szCs w:val="21"/>
                <w:highlight w:val="none"/>
              </w:rPr>
            </w:pPr>
          </w:p>
        </w:tc>
      </w:tr>
      <w:tr w14:paraId="65CE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1CF9C9C">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094" w:type="dxa"/>
            <w:vAlign w:val="center"/>
          </w:tcPr>
          <w:p w14:paraId="74B808FA">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634" w:type="dxa"/>
            <w:vAlign w:val="center"/>
          </w:tcPr>
          <w:p w14:paraId="533D45C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70AA8695">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39" w:type="dxa"/>
            <w:vAlign w:val="center"/>
          </w:tcPr>
          <w:p w14:paraId="58F9F12C">
            <w:pPr>
              <w:widowControl w:val="0"/>
              <w:adjustRightInd w:val="0"/>
              <w:snapToGrid w:val="0"/>
              <w:jc w:val="center"/>
              <w:rPr>
                <w:rFonts w:cs="宋体"/>
                <w:snapToGrid w:val="0"/>
                <w:color w:val="auto"/>
                <w:kern w:val="0"/>
                <w:szCs w:val="21"/>
                <w:highlight w:val="none"/>
              </w:rPr>
            </w:pPr>
          </w:p>
        </w:tc>
        <w:tc>
          <w:tcPr>
            <w:tcW w:w="748" w:type="dxa"/>
            <w:vAlign w:val="center"/>
          </w:tcPr>
          <w:p w14:paraId="07A60652">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074D2965">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3639C49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613861FF">
            <w:pPr>
              <w:widowControl w:val="0"/>
              <w:adjustRightInd w:val="0"/>
              <w:snapToGrid w:val="0"/>
              <w:jc w:val="center"/>
              <w:rPr>
                <w:rFonts w:cs="宋体"/>
                <w:snapToGrid w:val="0"/>
                <w:color w:val="auto"/>
                <w:kern w:val="0"/>
                <w:szCs w:val="21"/>
                <w:highlight w:val="none"/>
              </w:rPr>
            </w:pPr>
          </w:p>
        </w:tc>
        <w:tc>
          <w:tcPr>
            <w:tcW w:w="969" w:type="dxa"/>
            <w:vAlign w:val="center"/>
          </w:tcPr>
          <w:p w14:paraId="4B145EDC">
            <w:pPr>
              <w:widowControl w:val="0"/>
              <w:adjustRightInd w:val="0"/>
              <w:snapToGrid w:val="0"/>
              <w:jc w:val="center"/>
              <w:rPr>
                <w:rFonts w:cs="宋体"/>
                <w:snapToGrid w:val="0"/>
                <w:color w:val="auto"/>
                <w:kern w:val="0"/>
                <w:szCs w:val="21"/>
                <w:highlight w:val="none"/>
              </w:rPr>
            </w:pPr>
          </w:p>
        </w:tc>
        <w:tc>
          <w:tcPr>
            <w:tcW w:w="1069" w:type="dxa"/>
            <w:vMerge w:val="restart"/>
            <w:vAlign w:val="center"/>
          </w:tcPr>
          <w:p w14:paraId="6787F4F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14:paraId="0765E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3AD0BE0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094" w:type="dxa"/>
            <w:vAlign w:val="center"/>
          </w:tcPr>
          <w:p w14:paraId="7516D2E7">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634" w:type="dxa"/>
            <w:vAlign w:val="center"/>
          </w:tcPr>
          <w:p w14:paraId="07A5E93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100" w:type="dxa"/>
            <w:vAlign w:val="center"/>
          </w:tcPr>
          <w:p w14:paraId="02F1DD26">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739" w:type="dxa"/>
            <w:vAlign w:val="center"/>
          </w:tcPr>
          <w:p w14:paraId="13BDA451">
            <w:pPr>
              <w:widowControl w:val="0"/>
              <w:adjustRightInd w:val="0"/>
              <w:snapToGrid w:val="0"/>
              <w:jc w:val="center"/>
              <w:rPr>
                <w:rFonts w:cs="宋体"/>
                <w:snapToGrid w:val="0"/>
                <w:color w:val="auto"/>
                <w:kern w:val="0"/>
                <w:szCs w:val="21"/>
                <w:highlight w:val="none"/>
              </w:rPr>
            </w:pPr>
          </w:p>
        </w:tc>
        <w:tc>
          <w:tcPr>
            <w:tcW w:w="748" w:type="dxa"/>
            <w:vAlign w:val="center"/>
          </w:tcPr>
          <w:p w14:paraId="6D558307">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79" w:type="dxa"/>
            <w:vAlign w:val="center"/>
          </w:tcPr>
          <w:p w14:paraId="04909EF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84" w:type="dxa"/>
            <w:vAlign w:val="center"/>
          </w:tcPr>
          <w:p w14:paraId="3B2EB06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808" w:type="dxa"/>
            <w:vAlign w:val="center"/>
          </w:tcPr>
          <w:p w14:paraId="093287B6">
            <w:pPr>
              <w:widowControl w:val="0"/>
              <w:adjustRightInd w:val="0"/>
              <w:snapToGrid w:val="0"/>
              <w:jc w:val="center"/>
              <w:rPr>
                <w:rFonts w:cs="宋体"/>
                <w:snapToGrid w:val="0"/>
                <w:color w:val="auto"/>
                <w:kern w:val="0"/>
                <w:szCs w:val="21"/>
                <w:highlight w:val="none"/>
              </w:rPr>
            </w:pPr>
          </w:p>
        </w:tc>
        <w:tc>
          <w:tcPr>
            <w:tcW w:w="969" w:type="dxa"/>
            <w:vAlign w:val="center"/>
          </w:tcPr>
          <w:p w14:paraId="728D033E">
            <w:pPr>
              <w:widowControl w:val="0"/>
              <w:adjustRightInd w:val="0"/>
              <w:snapToGrid w:val="0"/>
              <w:jc w:val="center"/>
              <w:rPr>
                <w:rFonts w:cs="宋体"/>
                <w:snapToGrid w:val="0"/>
                <w:color w:val="auto"/>
                <w:kern w:val="0"/>
                <w:szCs w:val="21"/>
                <w:highlight w:val="none"/>
              </w:rPr>
            </w:pPr>
          </w:p>
        </w:tc>
        <w:tc>
          <w:tcPr>
            <w:tcW w:w="1069" w:type="dxa"/>
            <w:vMerge w:val="continue"/>
            <w:vAlign w:val="center"/>
          </w:tcPr>
          <w:p w14:paraId="26C24F38">
            <w:pPr>
              <w:widowControl w:val="0"/>
              <w:adjustRightInd w:val="0"/>
              <w:snapToGrid w:val="0"/>
              <w:jc w:val="center"/>
              <w:rPr>
                <w:rFonts w:cs="宋体"/>
                <w:snapToGrid w:val="0"/>
                <w:color w:val="auto"/>
                <w:kern w:val="0"/>
                <w:szCs w:val="21"/>
                <w:highlight w:val="none"/>
              </w:rPr>
            </w:pPr>
          </w:p>
        </w:tc>
      </w:tr>
      <w:tr w14:paraId="6B4A1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C6F6EEB">
            <w:pPr>
              <w:widowControl w:val="0"/>
              <w:adjustRightInd w:val="0"/>
              <w:snapToGrid w:val="0"/>
              <w:jc w:val="center"/>
              <w:rPr>
                <w:rFonts w:cs="宋体"/>
                <w:snapToGrid w:val="0"/>
                <w:color w:val="auto"/>
                <w:kern w:val="0"/>
                <w:szCs w:val="21"/>
                <w:highlight w:val="none"/>
              </w:rPr>
            </w:pPr>
          </w:p>
        </w:tc>
        <w:tc>
          <w:tcPr>
            <w:tcW w:w="1094" w:type="dxa"/>
            <w:vAlign w:val="center"/>
          </w:tcPr>
          <w:p w14:paraId="09FF122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634" w:type="dxa"/>
            <w:vAlign w:val="center"/>
          </w:tcPr>
          <w:p w14:paraId="1968217C">
            <w:pPr>
              <w:widowControl w:val="0"/>
              <w:adjustRightInd w:val="0"/>
              <w:snapToGrid w:val="0"/>
              <w:jc w:val="center"/>
              <w:rPr>
                <w:rFonts w:cs="宋体"/>
                <w:snapToGrid w:val="0"/>
                <w:color w:val="auto"/>
                <w:kern w:val="0"/>
                <w:szCs w:val="21"/>
                <w:highlight w:val="none"/>
              </w:rPr>
            </w:pPr>
          </w:p>
        </w:tc>
        <w:tc>
          <w:tcPr>
            <w:tcW w:w="1100" w:type="dxa"/>
            <w:vAlign w:val="center"/>
          </w:tcPr>
          <w:p w14:paraId="4AD9582E">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739" w:type="dxa"/>
            <w:vAlign w:val="center"/>
          </w:tcPr>
          <w:p w14:paraId="0F18B727">
            <w:pPr>
              <w:widowControl w:val="0"/>
              <w:adjustRightInd w:val="0"/>
              <w:snapToGrid w:val="0"/>
              <w:jc w:val="center"/>
              <w:rPr>
                <w:rFonts w:cs="宋体"/>
                <w:snapToGrid w:val="0"/>
                <w:color w:val="auto"/>
                <w:kern w:val="0"/>
                <w:szCs w:val="21"/>
                <w:highlight w:val="none"/>
              </w:rPr>
            </w:pPr>
          </w:p>
        </w:tc>
        <w:tc>
          <w:tcPr>
            <w:tcW w:w="748" w:type="dxa"/>
            <w:vAlign w:val="center"/>
          </w:tcPr>
          <w:p w14:paraId="42370FDC">
            <w:pPr>
              <w:widowControl w:val="0"/>
              <w:adjustRightInd w:val="0"/>
              <w:snapToGrid w:val="0"/>
              <w:jc w:val="center"/>
              <w:rPr>
                <w:rFonts w:cs="宋体"/>
                <w:snapToGrid w:val="0"/>
                <w:color w:val="auto"/>
                <w:kern w:val="0"/>
                <w:szCs w:val="21"/>
                <w:highlight w:val="none"/>
              </w:rPr>
            </w:pPr>
          </w:p>
        </w:tc>
        <w:tc>
          <w:tcPr>
            <w:tcW w:w="879" w:type="dxa"/>
            <w:vAlign w:val="center"/>
          </w:tcPr>
          <w:p w14:paraId="556849B5">
            <w:pPr>
              <w:widowControl w:val="0"/>
              <w:adjustRightInd w:val="0"/>
              <w:snapToGrid w:val="0"/>
              <w:jc w:val="center"/>
              <w:rPr>
                <w:rFonts w:cs="宋体"/>
                <w:snapToGrid w:val="0"/>
                <w:color w:val="auto"/>
                <w:kern w:val="0"/>
                <w:szCs w:val="21"/>
                <w:highlight w:val="none"/>
              </w:rPr>
            </w:pPr>
          </w:p>
        </w:tc>
        <w:tc>
          <w:tcPr>
            <w:tcW w:w="984" w:type="dxa"/>
            <w:vAlign w:val="center"/>
          </w:tcPr>
          <w:p w14:paraId="1CE075FB">
            <w:pPr>
              <w:widowControl w:val="0"/>
              <w:adjustRightInd w:val="0"/>
              <w:snapToGrid w:val="0"/>
              <w:jc w:val="center"/>
              <w:rPr>
                <w:rFonts w:cs="宋体"/>
                <w:snapToGrid w:val="0"/>
                <w:color w:val="auto"/>
                <w:kern w:val="0"/>
                <w:szCs w:val="21"/>
                <w:highlight w:val="none"/>
              </w:rPr>
            </w:pPr>
          </w:p>
        </w:tc>
        <w:tc>
          <w:tcPr>
            <w:tcW w:w="808" w:type="dxa"/>
            <w:vAlign w:val="center"/>
          </w:tcPr>
          <w:p w14:paraId="6A1ACDC3">
            <w:pPr>
              <w:widowControl w:val="0"/>
              <w:adjustRightInd w:val="0"/>
              <w:snapToGrid w:val="0"/>
              <w:jc w:val="center"/>
              <w:rPr>
                <w:rFonts w:cs="宋体"/>
                <w:snapToGrid w:val="0"/>
                <w:color w:val="auto"/>
                <w:kern w:val="0"/>
                <w:szCs w:val="21"/>
                <w:highlight w:val="none"/>
              </w:rPr>
            </w:pPr>
          </w:p>
        </w:tc>
        <w:tc>
          <w:tcPr>
            <w:tcW w:w="969" w:type="dxa"/>
            <w:vAlign w:val="center"/>
          </w:tcPr>
          <w:p w14:paraId="215498CB">
            <w:pPr>
              <w:widowControl w:val="0"/>
              <w:adjustRightInd w:val="0"/>
              <w:snapToGrid w:val="0"/>
              <w:jc w:val="center"/>
              <w:rPr>
                <w:rFonts w:cs="宋体"/>
                <w:snapToGrid w:val="0"/>
                <w:color w:val="auto"/>
                <w:kern w:val="0"/>
                <w:szCs w:val="21"/>
                <w:highlight w:val="none"/>
              </w:rPr>
            </w:pPr>
          </w:p>
        </w:tc>
        <w:tc>
          <w:tcPr>
            <w:tcW w:w="1069" w:type="dxa"/>
            <w:vAlign w:val="center"/>
          </w:tcPr>
          <w:p w14:paraId="45766D40">
            <w:pPr>
              <w:widowControl w:val="0"/>
              <w:adjustRightInd w:val="0"/>
              <w:snapToGrid w:val="0"/>
              <w:jc w:val="center"/>
              <w:rPr>
                <w:rFonts w:cs="宋体"/>
                <w:snapToGrid w:val="0"/>
                <w:color w:val="auto"/>
                <w:kern w:val="0"/>
                <w:szCs w:val="21"/>
                <w:highlight w:val="none"/>
              </w:rPr>
            </w:pPr>
          </w:p>
        </w:tc>
      </w:tr>
    </w:tbl>
    <w:p w14:paraId="1388B97C">
      <w:pPr>
        <w:widowControl w:val="0"/>
        <w:adjustRightInd w:val="0"/>
        <w:snapToGrid w:val="0"/>
        <w:rPr>
          <w:color w:val="auto"/>
          <w:highlight w:val="none"/>
        </w:rPr>
      </w:pPr>
    </w:p>
    <w:p w14:paraId="2F8A69E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说明：</w:t>
      </w:r>
    </w:p>
    <w:p w14:paraId="7F40936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综合单价包括完成采购范围内容的所有开采费、加工费、场内运输费、装卸费、设备费、措施费、保险费及乙方的规费、税（金）、利润、管理费等一切费用；还包括以暂估价报价的外运配套码头和矿山地质环境保护与土地复垦费。外运配套码头暂定单价包括码头、航道疏浚、码头水域疏浚和维护期疏浚费用，暂定单价按2.55元/吨计入，地质治理与复垦暂定单价包括矿山地质环境保护与土地复垦费，暂定单价按0.26元/吨计入。结算时此部分费用按实调整（即石料开采加工费结算单价中此部分应分摊价格的调整方式为：结算价/实际开采量）。</w:t>
      </w:r>
    </w:p>
    <w:p w14:paraId="6B63A9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（2）本项目石料开采加工的各类措施费不另计算，相关费用已包含在项目综合单价中，措施费包括但不限于以下内容：</w:t>
      </w:r>
    </w:p>
    <w:p w14:paraId="696DD14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1）矿山开拓开采费用（包括穿孔、爆破、局部机械破岩、挖装、运输等）；</w:t>
      </w:r>
    </w:p>
    <w:p w14:paraId="35039A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2）石料堆场、附属办公生活区、辅助设施工程（含安全设施）建设费用；</w:t>
      </w:r>
    </w:p>
    <w:p w14:paraId="66410E7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3）临时用电、用水线路及配套设施；</w:t>
      </w:r>
    </w:p>
    <w:p w14:paraId="68D5ED0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4）根据甲方及监管部门批准的监控方案，进行监控设备的采购、安装、调试、迁移、拆除以及通讯单位的相关费用；</w:t>
      </w:r>
    </w:p>
    <w:p w14:paraId="71F3565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5）进出场外临时道路（含矿区内运输道路）修筑、维护、拓宽等一切费用；</w:t>
      </w:r>
    </w:p>
    <w:p w14:paraId="1F456E2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6）爆破器材、炸药临时存放管理用房建设或租赁费用；</w:t>
      </w:r>
    </w:p>
    <w:p w14:paraId="459EA5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7）排水沟、截水沟及采场边界围墙的建设；</w:t>
      </w:r>
    </w:p>
    <w:p w14:paraId="725163C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8）表层植被清运（含伐树、挖树兜）；</w:t>
      </w:r>
    </w:p>
    <w:p w14:paraId="376E610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9）爆破可能产生影响的监测、评估费用及由于爆破影响引起的相关赔偿费用；</w:t>
      </w:r>
    </w:p>
    <w:p w14:paraId="208C19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10）安全生产费；甲方按3元/吨计提，其中列入乙方范围使用的安全生产费用为1.5元/吨。安全生产费包括但不限于以下内容：安全防护措施、警示标识费用、安全生产标准化费用、应急预案费用等；</w:t>
      </w:r>
    </w:p>
    <w:p w14:paraId="39B6C36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11）矿山在开采过程中，如遇地质环境相对复杂，需对局部边坡进行加固施工措施；</w:t>
      </w:r>
    </w:p>
    <w:p w14:paraId="337246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12）创建省级绿色矿山及矿山管理、矿山运营服务等相应费用；</w:t>
      </w:r>
    </w:p>
    <w:p w14:paraId="0F3E342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13）施工场地范围内为完成本项目的所有涉及的相关手续及费用；</w:t>
      </w:r>
    </w:p>
    <w:p w14:paraId="42194CB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14）基建期（码头未建成或未符合使用条件之前）产生的宕渣二次上车和短驳至堆场的费用及矿山开采过程中产生的预剥离宕渣二次上车和短驳至堆场的费用。</w:t>
      </w:r>
    </w:p>
    <w:p w14:paraId="5FA00F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（3）本项目石料开采加工综合单价还包括以下费用及风险：</w:t>
      </w:r>
    </w:p>
    <w:p w14:paraId="1A89E0D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1）本工程的保险费（含第三者责任险）由乙方进行投保，相关费用已包含在单价中。</w:t>
      </w:r>
    </w:p>
    <w:p w14:paraId="3684787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2）甲方对于石料开采加工需求可能存在不确定性、不均衡性，乙方应充分考虑风险性，必须根据甲方的要求安排生产且不得以此为理由向甲方进行费用索赔。</w:t>
      </w:r>
    </w:p>
    <w:p w14:paraId="130F5D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3）乙方需自行妥善处理好与相关管理部门的关系，自行处理好与运输途中各镇、乡、村等周边邻里关系，不得以外部因素干扰而影响工期或提出索赔要求。</w:t>
      </w:r>
    </w:p>
    <w:p w14:paraId="4F800E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（4）综合单价中包含的风险范围</w:t>
      </w:r>
    </w:p>
    <w:p w14:paraId="7EC34BD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全费用综合单价包含但不限于前期准备费、场地测量费、临建、临水、临电建设费、场地建设费（含相关职能部门的报建、报批等）、风险管控费、材料费、人工费、施工机械使用费、运输及装卸费、仓储费、临时水电费及接入费（若有）、技术服务费（含施工组织设计方案编制费、资料费）、施工组织措施费、技术措施费、安全文明施工费、企业管理费、利润、规费、税金以及有关部门办理相关许可手续费、政策性文件相关规定费用</w:t>
      </w:r>
      <w:r>
        <w:rPr>
          <w:rFonts w:hint="eastAsia" w:cs="宋体"/>
          <w:snapToGrid w:val="0"/>
          <w:color w:val="auto"/>
          <w:kern w:val="0"/>
          <w:sz w:val="24"/>
          <w:szCs w:val="21"/>
          <w:highlight w:val="none"/>
        </w:rPr>
        <w:t>（如扬尘税等）</w:t>
      </w:r>
      <w:r>
        <w:rPr>
          <w:rFonts w:hint="eastAsia" w:cs="宋体"/>
          <w:snapToGrid w:val="0"/>
          <w:color w:val="auto"/>
          <w:kern w:val="0"/>
          <w:sz w:val="24"/>
          <w:szCs w:val="21"/>
          <w:highlight w:val="none"/>
        </w:rPr>
        <w:t>、开办费、保险费、保修期内的保修费用及合同中明示或暗示的所有责任、义务和风险等所有履行合同所必须的所有成本和费用。</w:t>
      </w:r>
    </w:p>
    <w:p w14:paraId="2540903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2）综合单价应包含完成该项内容项目特征描述所必须的人工、材料、机械、管理费、利润、规费、税金等费用。</w:t>
      </w:r>
    </w:p>
    <w:p w14:paraId="38E9F2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3）乙方应考虑</w:t>
      </w:r>
      <w:r>
        <w:rPr>
          <w:rFonts w:hint="eastAsia" w:cs="宋体"/>
          <w:snapToGrid w:val="0"/>
          <w:color w:val="auto"/>
          <w:kern w:val="0"/>
          <w:sz w:val="24"/>
          <w:szCs w:val="21"/>
          <w:highlight w:val="none"/>
        </w:rPr>
        <w:t>污水、泥饼处理</w:t>
      </w:r>
      <w:r>
        <w:rPr>
          <w:rFonts w:hint="eastAsia" w:cs="宋体"/>
          <w:snapToGrid w:val="0"/>
          <w:color w:val="auto"/>
          <w:kern w:val="0"/>
          <w:sz w:val="24"/>
          <w:szCs w:val="21"/>
          <w:highlight w:val="none"/>
        </w:rPr>
        <w:t>，</w:t>
      </w:r>
      <w:r>
        <w:rPr>
          <w:rFonts w:hint="eastAsia" w:cs="宋体"/>
          <w:snapToGrid w:val="0"/>
          <w:color w:val="auto"/>
          <w:kern w:val="0"/>
          <w:sz w:val="24"/>
          <w:szCs w:val="21"/>
          <w:highlight w:val="none"/>
        </w:rPr>
        <w:t>相关费用包含在合同金额内。</w:t>
      </w:r>
    </w:p>
    <w:p w14:paraId="0200C5F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4）乙方需按甲方及管理部门要求考虑在线监控费用，</w:t>
      </w:r>
      <w:r>
        <w:rPr>
          <w:rFonts w:hint="eastAsia" w:cs="宋体"/>
          <w:snapToGrid w:val="0"/>
          <w:color w:val="auto"/>
          <w:kern w:val="0"/>
          <w:sz w:val="24"/>
          <w:szCs w:val="21"/>
          <w:highlight w:val="none"/>
        </w:rPr>
        <w:t>相关费用包含在合同金额内。</w:t>
      </w:r>
    </w:p>
    <w:p w14:paraId="72B780B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综合考虑施工现场条件，如工地位置、情况、道路、储存空间、装卸限制、场内二次搬运、冬雨季施工、夜间和节假日赶工、停水、停电及任何其他足以影响承包价的情况，均包含在合同金额范围之内，现场不得发生与之相关的签证。</w:t>
      </w:r>
    </w:p>
    <w:p w14:paraId="04D1496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6）为完成本项目工作进行的各类评审费、会务费、专家评审费用、考察费、专家咨询费、预算编制费、竣工图编制费等费用均由乙方支付，在</w:t>
      </w:r>
      <w:r>
        <w:rPr>
          <w:rFonts w:hint="eastAsia" w:cs="宋体"/>
          <w:snapToGrid w:val="0"/>
          <w:color w:val="auto"/>
          <w:kern w:val="0"/>
          <w:sz w:val="24"/>
          <w:szCs w:val="21"/>
          <w:highlight w:val="none"/>
        </w:rPr>
        <w:t>合同金额</w:t>
      </w:r>
      <w:r>
        <w:rPr>
          <w:rFonts w:hint="eastAsia" w:cs="宋体"/>
          <w:snapToGrid w:val="0"/>
          <w:color w:val="auto"/>
          <w:kern w:val="0"/>
          <w:sz w:val="24"/>
          <w:szCs w:val="21"/>
          <w:highlight w:val="none"/>
        </w:rPr>
        <w:t>中予以综合考虑。</w:t>
      </w:r>
    </w:p>
    <w:p w14:paraId="6BFA581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7）落实安全生产文明施工措施（包括扬尘噪声、环境空气、废水废气排放等）所需的所有费用，乙方必须按照项目所在地相关规定考虑，包含在</w:t>
      </w:r>
      <w:r>
        <w:rPr>
          <w:rFonts w:hint="eastAsia" w:cs="宋体"/>
          <w:snapToGrid w:val="0"/>
          <w:color w:val="auto"/>
          <w:kern w:val="0"/>
          <w:sz w:val="24"/>
          <w:szCs w:val="21"/>
          <w:highlight w:val="none"/>
        </w:rPr>
        <w:t>合同金额</w:t>
      </w:r>
      <w:r>
        <w:rPr>
          <w:rFonts w:hint="eastAsia" w:cs="宋体"/>
          <w:snapToGrid w:val="0"/>
          <w:color w:val="auto"/>
          <w:kern w:val="0"/>
          <w:sz w:val="24"/>
          <w:szCs w:val="21"/>
          <w:highlight w:val="none"/>
        </w:rPr>
        <w:t>中。</w:t>
      </w:r>
    </w:p>
    <w:p w14:paraId="7E139D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8）乙方应充分考虑施工对周边环境可能产生的影响，实施过程中须采取措施予以控制，确保不产生环境污染。若因施工过程中造成环境污染，其后果和相关费用由乙方自行承担，与甲方无涉。</w:t>
      </w:r>
    </w:p>
    <w:p w14:paraId="51954FA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9）因乙方原因致使工程不能持续进行的（如因施工中的各项措施不到位，致使周边居民阻工等情况），由乙方自行通过优化施工组织措施消除隐患，并采取合理措施避免影响工期。</w:t>
      </w:r>
    </w:p>
    <w:p w14:paraId="681E07C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10）冬、雨季施工、夜间施工以及材料二次搬运可能发生的一切费用。</w:t>
      </w:r>
    </w:p>
    <w:p w14:paraId="631DEB2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11）满足合同工期要求的赶工措施等全部费用。</w:t>
      </w:r>
    </w:p>
    <w:p w14:paraId="0DD44E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12）乙方在报价中应结合甲方提供的资料，充分考虑价格清单可能未列出，但在保证达到招标文件及合同规定的质量、工期、安全的前提下，所不可缺少的全部费用。无论乙方在投标报价时是否完整增加填写所需内容，都视为该部分费用已经包含在</w:t>
      </w:r>
      <w:r>
        <w:rPr>
          <w:rFonts w:hint="eastAsia" w:cs="宋体"/>
          <w:snapToGrid w:val="0"/>
          <w:color w:val="auto"/>
          <w:kern w:val="0"/>
          <w:sz w:val="24"/>
          <w:szCs w:val="21"/>
          <w:highlight w:val="none"/>
        </w:rPr>
        <w:t>合同金额</w:t>
      </w:r>
      <w:r>
        <w:rPr>
          <w:rFonts w:hint="eastAsia" w:cs="宋体"/>
          <w:snapToGrid w:val="0"/>
          <w:color w:val="auto"/>
          <w:kern w:val="0"/>
          <w:sz w:val="24"/>
          <w:szCs w:val="21"/>
          <w:highlight w:val="none"/>
        </w:rPr>
        <w:t>中。</w:t>
      </w:r>
    </w:p>
    <w:p w14:paraId="24CAE7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13）招标文件中所提供的资料是甲方已有的能够提供的本项目全部资料，对甲方已提供资料的理解和使用的风险由乙方自行承担；乙方自行踏勘和收集的资料，其责任和风险由乙方自行承担。</w:t>
      </w:r>
    </w:p>
    <w:p w14:paraId="172CB68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14）乙方应根据甲方提供的资料，自行仔细踏勘施工现场的地质、地貌情况，进行全面、科学的设计，乙方要根据现场勘察的实际情况结合自身经验，考虑各种可能存在的风险因素。</w:t>
      </w:r>
    </w:p>
    <w:p w14:paraId="29629B2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15）乙方应到施工现场踏勘以充分了解工地位置、情况、道路、储存空间、装卸限制及任何其他足以影响承包价的情况。任何因忽视或误解工地情况而导致的索赔或工期延长申请将不被批准。甲方对乙方在投标时自主作出的推论、解释和结论概不负责。</w:t>
      </w:r>
    </w:p>
    <w:p w14:paraId="46E6FFA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16）合同规定的各种风险因素引起的费用变化，</w:t>
      </w:r>
      <w:r>
        <w:rPr>
          <w:rFonts w:hint="eastAsia" w:cs="宋体"/>
          <w:snapToGrid w:val="0"/>
          <w:color w:val="auto"/>
          <w:kern w:val="0"/>
          <w:sz w:val="24"/>
          <w:szCs w:val="21"/>
          <w:highlight w:val="none"/>
        </w:rPr>
        <w:t>相关费用包含在合同金额内。</w:t>
      </w:r>
    </w:p>
    <w:p w14:paraId="26EABD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17）承担工程缺陷责任期内的缺陷修复和保修服务等工作。</w:t>
      </w:r>
    </w:p>
    <w:p w14:paraId="167D5F6A">
      <w:pPr>
        <w:widowControl w:val="0"/>
        <w:adjustRightInd w:val="0"/>
        <w:snapToGrid w:val="0"/>
        <w:rPr>
          <w:color w:val="auto"/>
          <w:highlight w:val="none"/>
        </w:rPr>
      </w:pPr>
    </w:p>
    <w:p w14:paraId="62C22CFD">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三、</w:t>
      </w:r>
      <w:r>
        <w:rPr>
          <w:rFonts w:hint="eastAsia" w:cs="宋体"/>
          <w:b/>
          <w:bCs/>
          <w:snapToGrid w:val="0"/>
          <w:color w:val="auto"/>
          <w:kern w:val="0"/>
          <w:sz w:val="24"/>
          <w:szCs w:val="21"/>
          <w:highlight w:val="none"/>
        </w:rPr>
        <w:t>合同履行期限</w:t>
      </w:r>
    </w:p>
    <w:p w14:paraId="4E44CA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合同履行期限（计划服务期）：自采矿许可证颁发之日起5年（含矿区及配套基础设施建设工期，</w:t>
      </w:r>
      <w:r>
        <w:rPr>
          <w:rFonts w:hint="eastAsia" w:hAnsi="宋体"/>
          <w:color w:val="auto"/>
          <w:sz w:val="24"/>
          <w:highlight w:val="none"/>
        </w:rPr>
        <w:t>开采截止时间延长的顺延</w:t>
      </w:r>
      <w:r>
        <w:rPr>
          <w:rFonts w:hint="eastAsia" w:cs="宋体"/>
          <w:snapToGrid w:val="0"/>
          <w:color w:val="auto"/>
          <w:kern w:val="0"/>
          <w:sz w:val="24"/>
          <w:szCs w:val="21"/>
          <w:highlight w:val="none"/>
        </w:rPr>
        <w:t>）。</w:t>
      </w:r>
    </w:p>
    <w:p w14:paraId="4020A7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其中：</w:t>
      </w:r>
    </w:p>
    <w:p w14:paraId="3FC83EA9">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1、本项目施工图设计（包括矿山工程、石料生产加工生产线、加工厂房、配套基础设施、安全设施、矿山地质环境保护与土地复垦等）服务期：自中标通知书发出后60天内完成施工图设计。</w:t>
      </w:r>
    </w:p>
    <w:p w14:paraId="0018B7F5">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2、矿区及配套基础设施施工工期：开工令发出后6个月内完成，且满足整体工程、行业监督部门及甲方需要。</w:t>
      </w:r>
    </w:p>
    <w:p w14:paraId="4F55EE52">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矿区及配套基础设施施工工期包括：矿山工程建设、石料生产加工生产线建设（包含机电设备安装、其它地面辅助生产系统、矿区配套公辅工程的建设）、加工厂房、智能化数字监管平台（矿山安全生产监管平台、矿产资源开发利用监管平台等）建设、外部连接道路等建设，试生产后满足竣工验收审核、报批要求并取得安全生产许可证、排污许可证。</w:t>
      </w:r>
    </w:p>
    <w:p w14:paraId="2EA4A219">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3、矿山开采后的矿山地质环境保护与土地复垦在开采截止时间同时完成（若开采截止时间延长，则工期顺延）。</w:t>
      </w:r>
    </w:p>
    <w:p w14:paraId="7CEB662E">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4、外运配套码头工程工期要求：须在合同签订后18个月内完成，包括前期工作、初步设计、施工图设计以及具备开工条件的一切行政许可、施工和验收（维护期疏浚视船舶航行情况另行确定）。</w:t>
      </w:r>
    </w:p>
    <w:p w14:paraId="6DBBEF64">
      <w:pPr>
        <w:widowControl w:val="0"/>
        <w:adjustRightInd w:val="0"/>
        <w:snapToGrid w:val="0"/>
        <w:rPr>
          <w:color w:val="auto"/>
          <w:highlight w:val="none"/>
        </w:rPr>
      </w:pPr>
    </w:p>
    <w:p w14:paraId="5DDBB2C2">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四、乙方</w:t>
      </w:r>
      <w:r>
        <w:rPr>
          <w:rFonts w:hint="eastAsia" w:cs="宋体"/>
          <w:b/>
          <w:bCs/>
          <w:snapToGrid w:val="0"/>
          <w:color w:val="auto"/>
          <w:kern w:val="0"/>
          <w:sz w:val="24"/>
          <w:szCs w:val="21"/>
          <w:highlight w:val="none"/>
        </w:rPr>
        <w:t>项目负责人</w:t>
      </w:r>
    </w:p>
    <w:p w14:paraId="506597D0">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姓名：</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647DF082">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身份证号：</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4E80A549">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联系电话：</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3851B73D">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电子信箱：</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31EF7135">
      <w:pPr>
        <w:adjustRightInd w:val="0"/>
        <w:snapToGrid w:val="0"/>
        <w:spacing w:line="300" w:lineRule="auto"/>
        <w:ind w:firstLine="480" w:firstLineChars="200"/>
        <w:rPr>
          <w:snapToGrid w:val="0"/>
          <w:color w:val="auto"/>
          <w:kern w:val="0"/>
          <w:sz w:val="24"/>
          <w:szCs w:val="32"/>
          <w:highlight w:val="none"/>
        </w:rPr>
      </w:pPr>
      <w:r>
        <w:rPr>
          <w:snapToGrid w:val="0"/>
          <w:color w:val="auto"/>
          <w:kern w:val="0"/>
          <w:sz w:val="24"/>
          <w:szCs w:val="32"/>
          <w:highlight w:val="none"/>
        </w:rPr>
        <w:t>通信地址：</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49D6D41F">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乙方</w:t>
      </w:r>
      <w:r>
        <w:rPr>
          <w:snapToGrid w:val="0"/>
          <w:color w:val="auto"/>
          <w:kern w:val="0"/>
          <w:sz w:val="24"/>
          <w:szCs w:val="32"/>
          <w:highlight w:val="none"/>
        </w:rPr>
        <w:t>对项目</w:t>
      </w:r>
      <w:r>
        <w:rPr>
          <w:rFonts w:hint="eastAsia"/>
          <w:snapToGrid w:val="0"/>
          <w:color w:val="auto"/>
          <w:kern w:val="0"/>
          <w:sz w:val="24"/>
          <w:szCs w:val="32"/>
          <w:highlight w:val="none"/>
        </w:rPr>
        <w:t>负责人</w:t>
      </w:r>
      <w:r>
        <w:rPr>
          <w:snapToGrid w:val="0"/>
          <w:color w:val="auto"/>
          <w:kern w:val="0"/>
          <w:sz w:val="24"/>
          <w:szCs w:val="32"/>
          <w:highlight w:val="none"/>
        </w:rPr>
        <w:t>的授权范围如下：</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rPr>
        <w:t>。</w:t>
      </w:r>
    </w:p>
    <w:p w14:paraId="5194893E">
      <w:pPr>
        <w:widowControl w:val="0"/>
        <w:adjustRightInd w:val="0"/>
        <w:snapToGrid w:val="0"/>
        <w:rPr>
          <w:color w:val="auto"/>
          <w:highlight w:val="none"/>
        </w:rPr>
      </w:pPr>
    </w:p>
    <w:p w14:paraId="4A620383">
      <w:pPr>
        <w:widowControl w:val="0"/>
        <w:adjustRightInd w:val="0"/>
        <w:snapToGrid w:val="0"/>
        <w:spacing w:line="300" w:lineRule="auto"/>
        <w:ind w:firstLine="482" w:firstLineChars="200"/>
        <w:rPr>
          <w:rFonts w:hint="eastAsia" w:hAnsi="宋体"/>
          <w:b/>
          <w:bCs/>
          <w:snapToGrid w:val="0"/>
          <w:color w:val="auto"/>
          <w:kern w:val="0"/>
          <w:sz w:val="24"/>
          <w:highlight w:val="none"/>
        </w:rPr>
      </w:pPr>
      <w:r>
        <w:rPr>
          <w:rFonts w:hint="eastAsia" w:hAnsi="宋体"/>
          <w:b/>
          <w:bCs/>
          <w:snapToGrid w:val="0"/>
          <w:color w:val="auto"/>
          <w:kern w:val="0"/>
          <w:sz w:val="24"/>
          <w:highlight w:val="none"/>
        </w:rPr>
        <w:t>五、合同价款支付</w:t>
      </w:r>
    </w:p>
    <w:p w14:paraId="2D2D995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w:t>
      </w:r>
      <w:r>
        <w:rPr>
          <w:rFonts w:hint="eastAsia" w:cs="宋体"/>
          <w:snapToGrid w:val="0"/>
          <w:color w:val="auto"/>
          <w:kern w:val="0"/>
          <w:sz w:val="24"/>
          <w:szCs w:val="21"/>
          <w:highlight w:val="none"/>
        </w:rPr>
        <w:t>从第1个结算周期起每期扣留100万元，直至扣足1500万元</w:t>
      </w:r>
      <w:r>
        <w:rPr>
          <w:rFonts w:hint="eastAsia" w:cs="宋体"/>
          <w:snapToGrid w:val="0"/>
          <w:color w:val="auto"/>
          <w:kern w:val="0"/>
          <w:sz w:val="24"/>
          <w:szCs w:val="21"/>
          <w:highlight w:val="none"/>
        </w:rPr>
        <w:t>；后续结算周期，每期按应付金额结清）；剩余款项待项目结束，经甲方及相关部门验收通过并结算完成后30天内结清。</w:t>
      </w:r>
    </w:p>
    <w:p w14:paraId="495FCB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2、超额收益分成的支付时间及方式：每个月核算一次并先予以挂账，按季度兑现，季度结束后30天内全额付清，乙方提供增值税专用发票。</w:t>
      </w:r>
    </w:p>
    <w:p w14:paraId="7B17C92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3、安全费的支付时间及方式：</w:t>
      </w:r>
    </w:p>
    <w:p w14:paraId="5A8DDA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按3元/吨计提，其中归属乙方承包范围使用的安全生产费用1.5元/吨，乙方每月提供安全生产费用使用清单（含发票、财务记账科目等）交第三方审计单位审核安全生产费用是否符合使用范围，符合的由甲方进行支付；每年末，财务核算时，如超出使用标准的，超出部分由乙方自行承担。</w:t>
      </w:r>
    </w:p>
    <w:p w14:paraId="0F0082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注：安全生产费用使用范围：</w:t>
      </w:r>
    </w:p>
    <w:p w14:paraId="2199583C">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完善、改造和维护安全防护设施设备（不含</w:t>
      </w:r>
      <w:r>
        <w:rPr>
          <w:rFonts w:ascii="宋体" w:hAnsi="宋体" w:cs="宋体"/>
          <w:snapToGrid w:val="0"/>
          <w:color w:val="auto"/>
          <w:kern w:val="0"/>
          <w:sz w:val="24"/>
          <w:szCs w:val="24"/>
          <w:highlight w:val="none"/>
        </w:rPr>
        <w:t>“三同时”</w:t>
      </w:r>
      <w:r>
        <w:rPr>
          <w:rFonts w:cs="宋体"/>
          <w:snapToGrid w:val="0"/>
          <w:color w:val="auto"/>
          <w:kern w:val="0"/>
          <w:sz w:val="24"/>
          <w:szCs w:val="24"/>
          <w:highlight w:val="none"/>
        </w:rPr>
        <w:t>要求初期投入的安全设施）和重大事故隐患治理支出，包括矿山综合防尘、防灭火、防治水、危险气体监测、支护及防治边帮滑坡、机电设备、供配电系统、运输系统等完善、改造和维护支出以及实施露天矿边坡治理等支出；</w:t>
      </w:r>
    </w:p>
    <w:p w14:paraId="12DAC33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14:paraId="6D7F475A">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开展重大危险源检测、评估、监控支出，安全风险分级管控和事故隐患排查整改支出，机械化、智能化建设，安全生产信息化建设、运维和网络安全支出；</w:t>
      </w:r>
    </w:p>
    <w:p w14:paraId="46E1410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安全生产检查、评估评价（不含新建、改建、扩建项目安全评价）、咨询、标准化建设等应由乙方承担的支出；</w:t>
      </w:r>
    </w:p>
    <w:p w14:paraId="4A87A03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配备和更新现场作业人员安全防护用品支出；</w:t>
      </w:r>
    </w:p>
    <w:p w14:paraId="5019A064">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⑥</w:t>
      </w:r>
      <w:r>
        <w:rPr>
          <w:rFonts w:cs="宋体"/>
          <w:snapToGrid w:val="0"/>
          <w:color w:val="auto"/>
          <w:kern w:val="0"/>
          <w:sz w:val="24"/>
          <w:szCs w:val="24"/>
          <w:highlight w:val="none"/>
        </w:rPr>
        <w:t>安全生产宣传、教育、培训和从业人员发现并报告事故隐患的奖励支出；</w:t>
      </w:r>
    </w:p>
    <w:p w14:paraId="022AEA55">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⑦</w:t>
      </w:r>
      <w:r>
        <w:rPr>
          <w:rFonts w:cs="宋体"/>
          <w:snapToGrid w:val="0"/>
          <w:color w:val="auto"/>
          <w:kern w:val="0"/>
          <w:sz w:val="24"/>
          <w:szCs w:val="24"/>
          <w:highlight w:val="none"/>
        </w:rPr>
        <w:t>安全生产适用的新技术、新标准、新工艺、智能化、机器人等新装备的推广应用支出；</w:t>
      </w:r>
    </w:p>
    <w:p w14:paraId="436C75BA">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⑧</w:t>
      </w:r>
      <w:r>
        <w:rPr>
          <w:rFonts w:cs="宋体"/>
          <w:snapToGrid w:val="0"/>
          <w:color w:val="auto"/>
          <w:kern w:val="0"/>
          <w:sz w:val="24"/>
          <w:szCs w:val="24"/>
          <w:highlight w:val="none"/>
        </w:rPr>
        <w:t>安全设施及特种设备检测检验、检定校准支出；</w:t>
      </w:r>
    </w:p>
    <w:p w14:paraId="32ED38EA">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⑨</w:t>
      </w:r>
      <w:r>
        <w:rPr>
          <w:rFonts w:cs="宋体"/>
          <w:snapToGrid w:val="0"/>
          <w:color w:val="auto"/>
          <w:kern w:val="0"/>
          <w:sz w:val="24"/>
          <w:szCs w:val="24"/>
          <w:highlight w:val="none"/>
        </w:rPr>
        <w:t>安全生产责任保险支出；</w:t>
      </w:r>
    </w:p>
    <w:p w14:paraId="51AD3968">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⑩</w:t>
      </w:r>
      <w:r>
        <w:rPr>
          <w:rFonts w:cs="宋体"/>
          <w:snapToGrid w:val="0"/>
          <w:color w:val="auto"/>
          <w:kern w:val="0"/>
          <w:sz w:val="24"/>
          <w:szCs w:val="24"/>
          <w:highlight w:val="none"/>
        </w:rPr>
        <w:t>与安全生产直接相关的其他支出。</w:t>
      </w:r>
    </w:p>
    <w:p w14:paraId="7D8020CC">
      <w:pPr>
        <w:widowControl w:val="0"/>
        <w:adjustRightInd w:val="0"/>
        <w:snapToGrid w:val="0"/>
        <w:spacing w:line="300" w:lineRule="auto"/>
        <w:ind w:firstLine="480" w:firstLineChars="200"/>
        <w:rPr>
          <w:rFonts w:cs="宋体"/>
          <w:bCs/>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bCs/>
          <w:snapToGrid w:val="0"/>
          <w:color w:val="auto"/>
          <w:kern w:val="0"/>
          <w:sz w:val="24"/>
          <w:szCs w:val="21"/>
          <w:highlight w:val="none"/>
        </w:rPr>
        <w:t>如采用银行承兑汇票支付矿产品销售款的，以贴现后收到的金额作为实收销售款，贴现利息由购买方或</w:t>
      </w:r>
      <w:r>
        <w:rPr>
          <w:rFonts w:hint="eastAsia" w:cs="宋体"/>
          <w:bCs/>
          <w:snapToGrid w:val="0"/>
          <w:color w:val="auto"/>
          <w:kern w:val="0"/>
          <w:sz w:val="24"/>
          <w:szCs w:val="21"/>
          <w:highlight w:val="none"/>
        </w:rPr>
        <w:t>乙方</w:t>
      </w:r>
      <w:r>
        <w:rPr>
          <w:rFonts w:hint="eastAsia" w:cs="宋体"/>
          <w:bCs/>
          <w:snapToGrid w:val="0"/>
          <w:color w:val="auto"/>
          <w:kern w:val="0"/>
          <w:sz w:val="24"/>
          <w:szCs w:val="21"/>
          <w:highlight w:val="none"/>
        </w:rPr>
        <w:t>承担（利息按贴现当日利率结算）</w:t>
      </w:r>
      <w:r>
        <w:rPr>
          <w:rFonts w:hint="eastAsia" w:cs="宋体"/>
          <w:bCs/>
          <w:snapToGrid w:val="0"/>
          <w:color w:val="auto"/>
          <w:kern w:val="0"/>
          <w:sz w:val="24"/>
          <w:szCs w:val="21"/>
          <w:highlight w:val="none"/>
        </w:rPr>
        <w:t>。</w:t>
      </w:r>
    </w:p>
    <w:p w14:paraId="37772008">
      <w:pPr>
        <w:widowControl w:val="0"/>
        <w:adjustRightInd w:val="0"/>
        <w:snapToGrid w:val="0"/>
        <w:rPr>
          <w:color w:val="auto"/>
          <w:highlight w:val="none"/>
        </w:rPr>
      </w:pPr>
    </w:p>
    <w:p w14:paraId="7014985D">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六、履约保证金、预缴货款、销售担保</w:t>
      </w:r>
    </w:p>
    <w:p w14:paraId="6126103C">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1、履约保证金</w:t>
      </w:r>
    </w:p>
    <w:p w14:paraId="0C49AFBB">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（1）履约保证金递交时间：在签订合同前向甲方提交。</w:t>
      </w:r>
    </w:p>
    <w:p w14:paraId="01E75BEC">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（2）履约保证金形式：现金、国有或股份制商业银行县（区、市）级及以上银行出具的银行保函（银行保函有效期至项目结束日期，若延期的，需重新开具）。</w:t>
      </w:r>
    </w:p>
    <w:p w14:paraId="23BE2F0C">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（3）履约保证金的金额及退还：签订合同前乙方提交合同价1%的履约保证金，待项目结束后，七个工作日内退还（不计息）。</w:t>
      </w:r>
    </w:p>
    <w:p w14:paraId="521FAFAF">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2、预缴货款</w:t>
      </w:r>
    </w:p>
    <w:p w14:paraId="24A3B2A1">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本项目按照先款后货进行自提销售。乙方必须在签订合同后，销售前预缴货款2000万元（支付到甲方指定账户），当预缴货款低于</w:t>
      </w:r>
      <w:r>
        <w:rPr>
          <w:rFonts w:hint="eastAsia" w:cs="宋体"/>
          <w:snapToGrid w:val="0"/>
          <w:color w:val="auto"/>
          <w:kern w:val="0"/>
          <w:sz w:val="24"/>
          <w:szCs w:val="21"/>
          <w:highlight w:val="none"/>
        </w:rPr>
        <w:t>200万元</w:t>
      </w:r>
      <w:r>
        <w:rPr>
          <w:rFonts w:hint="eastAsia" w:cs="宋体"/>
          <w:snapToGrid w:val="0"/>
          <w:color w:val="auto"/>
          <w:kern w:val="0"/>
          <w:sz w:val="24"/>
          <w:szCs w:val="21"/>
          <w:highlight w:val="none"/>
        </w:rPr>
        <w:t>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14:paraId="37088D1A">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3、销售担保</w:t>
      </w:r>
    </w:p>
    <w:p w14:paraId="5E19E447">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（1）具备生产条件后，乙方提交销售担保6000万元，待项目结束后，7个工作日内返还（不计息）。</w:t>
      </w:r>
    </w:p>
    <w:p w14:paraId="22575CB9">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（2）销售担保形式：现金、国有或股份制商业银行县（区、市）级及以上银行出具的银行保函（银行保函有效期至项目结束日期，若延期的，需重新开具）。</w:t>
      </w:r>
    </w:p>
    <w:p w14:paraId="0C8CF263">
      <w:pPr>
        <w:widowControl w:val="0"/>
        <w:adjustRightInd w:val="0"/>
        <w:snapToGrid w:val="0"/>
        <w:rPr>
          <w:color w:val="auto"/>
          <w:highlight w:val="none"/>
        </w:rPr>
      </w:pPr>
    </w:p>
    <w:p w14:paraId="163B76E4">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七、组成合同的文件</w:t>
      </w:r>
    </w:p>
    <w:p w14:paraId="024CC1C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组成合同的各项文件应互相解释，互为说明。解释合同文件的优先顺序如下：</w:t>
      </w:r>
    </w:p>
    <w:p w14:paraId="55B2A491">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（1）</w:t>
      </w:r>
      <w:r>
        <w:rPr>
          <w:rFonts w:hint="eastAsia"/>
          <w:snapToGrid w:val="0"/>
          <w:color w:val="auto"/>
          <w:kern w:val="0"/>
          <w:sz w:val="24"/>
          <w:szCs w:val="24"/>
          <w:highlight w:val="none"/>
        </w:rPr>
        <w:t>本</w:t>
      </w:r>
      <w:r>
        <w:rPr>
          <w:snapToGrid w:val="0"/>
          <w:color w:val="auto"/>
          <w:kern w:val="0"/>
          <w:sz w:val="24"/>
          <w:szCs w:val="24"/>
          <w:highlight w:val="none"/>
        </w:rPr>
        <w:t>合同</w:t>
      </w:r>
      <w:r>
        <w:rPr>
          <w:rFonts w:hint="eastAsia"/>
          <w:snapToGrid w:val="0"/>
          <w:color w:val="auto"/>
          <w:kern w:val="0"/>
          <w:sz w:val="24"/>
          <w:szCs w:val="24"/>
          <w:highlight w:val="none"/>
        </w:rPr>
        <w:t>及其变更、补充协议、</w:t>
      </w:r>
      <w:r>
        <w:rPr>
          <w:snapToGrid w:val="0"/>
          <w:color w:val="auto"/>
          <w:kern w:val="0"/>
          <w:sz w:val="24"/>
          <w:szCs w:val="24"/>
          <w:highlight w:val="none"/>
        </w:rPr>
        <w:t>合同附件（含</w:t>
      </w:r>
      <w:r>
        <w:rPr>
          <w:rFonts w:hint="eastAsia"/>
          <w:snapToGrid w:val="0"/>
          <w:color w:val="auto"/>
          <w:kern w:val="0"/>
          <w:sz w:val="24"/>
          <w:szCs w:val="24"/>
          <w:highlight w:val="none"/>
        </w:rPr>
        <w:t>《</w:t>
      </w:r>
      <w:r>
        <w:rPr>
          <w:rFonts w:hint="eastAsia"/>
          <w:snapToGrid w:val="0"/>
          <w:color w:val="auto"/>
          <w:kern w:val="0"/>
          <w:sz w:val="24"/>
          <w:szCs w:val="24"/>
          <w:highlight w:val="none"/>
        </w:rPr>
        <w:t>销售代理及运营协议书》</w:t>
      </w:r>
      <w:r>
        <w:rPr>
          <w:snapToGrid w:val="0"/>
          <w:color w:val="auto"/>
          <w:kern w:val="0"/>
          <w:sz w:val="24"/>
          <w:szCs w:val="24"/>
          <w:highlight w:val="none"/>
        </w:rPr>
        <w:t>、</w:t>
      </w:r>
      <w:r>
        <w:rPr>
          <w:rFonts w:hint="eastAsia"/>
          <w:snapToGrid w:val="0"/>
          <w:color w:val="auto"/>
          <w:kern w:val="0"/>
          <w:sz w:val="24"/>
          <w:szCs w:val="24"/>
          <w:highlight w:val="none"/>
        </w:rPr>
        <w:t>《外运配套码头等工程设计施工合同》</w:t>
      </w:r>
      <w:r>
        <w:rPr>
          <w:snapToGrid w:val="0"/>
          <w:color w:val="auto"/>
          <w:kern w:val="0"/>
          <w:sz w:val="24"/>
          <w:szCs w:val="24"/>
          <w:highlight w:val="none"/>
        </w:rPr>
        <w:t>、</w:t>
      </w:r>
      <w:r>
        <w:rPr>
          <w:rFonts w:hint="eastAsia"/>
          <w:snapToGrid w:val="0"/>
          <w:color w:val="auto"/>
          <w:kern w:val="0"/>
          <w:sz w:val="24"/>
          <w:szCs w:val="24"/>
          <w:highlight w:val="none"/>
        </w:rPr>
        <w:t>《非煤矿山外包工程安全生产管理协议》</w:t>
      </w:r>
      <w:r>
        <w:rPr>
          <w:snapToGrid w:val="0"/>
          <w:color w:val="auto"/>
          <w:kern w:val="0"/>
          <w:sz w:val="24"/>
          <w:szCs w:val="24"/>
          <w:highlight w:val="none"/>
        </w:rPr>
        <w:t>、</w:t>
      </w:r>
      <w:r>
        <w:rPr>
          <w:rFonts w:hint="eastAsia"/>
          <w:snapToGrid w:val="0"/>
          <w:color w:val="auto"/>
          <w:kern w:val="0"/>
          <w:sz w:val="24"/>
          <w:szCs w:val="24"/>
          <w:highlight w:val="none"/>
        </w:rPr>
        <w:t>《廉政责任书》</w:t>
      </w:r>
      <w:r>
        <w:rPr>
          <w:snapToGrid w:val="0"/>
          <w:color w:val="auto"/>
          <w:kern w:val="0"/>
          <w:sz w:val="24"/>
          <w:szCs w:val="24"/>
          <w:highlight w:val="none"/>
        </w:rPr>
        <w:t>及评标期间和合同谈判过程中的澄清文件和补充资料）；</w:t>
      </w:r>
    </w:p>
    <w:p w14:paraId="41602E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（2）中标（成交）通知书；</w:t>
      </w:r>
    </w:p>
    <w:p w14:paraId="21D6CEE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（3）投标文件；</w:t>
      </w:r>
    </w:p>
    <w:p w14:paraId="48CD4E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（4）招标文件；</w:t>
      </w:r>
    </w:p>
    <w:p w14:paraId="074DA1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（5）有关技术文件、图纸；</w:t>
      </w:r>
    </w:p>
    <w:p w14:paraId="4845C5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（6）国家法律、行政法规和规章制度规定或合同约定的作为合同组成部分的其他文件。</w:t>
      </w:r>
    </w:p>
    <w:p w14:paraId="37B24779">
      <w:pPr>
        <w:widowControl w:val="0"/>
        <w:adjustRightInd w:val="0"/>
        <w:snapToGrid w:val="0"/>
        <w:rPr>
          <w:color w:val="auto"/>
          <w:highlight w:val="none"/>
        </w:rPr>
      </w:pPr>
    </w:p>
    <w:p w14:paraId="4D6CC4FF">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八、生产规模</w:t>
      </w:r>
    </w:p>
    <w:p w14:paraId="60CE54E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1、矿山开采规模：575万吨/年。</w:t>
      </w:r>
    </w:p>
    <w:p w14:paraId="669B51AB">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2、生产加工线建设规模：不少于300万吨/年，其中：水洗碎石</w:t>
      </w:r>
      <w:r>
        <w:rPr>
          <w:rFonts w:hint="eastAsia" w:cs="宋体"/>
          <w:snapToGrid w:val="0"/>
          <w:color w:val="auto"/>
          <w:kern w:val="0"/>
          <w:sz w:val="24"/>
          <w:szCs w:val="24"/>
          <w:highlight w:val="none"/>
          <w:u w:val="single"/>
        </w:rPr>
        <w:t xml:space="preserve"> 不少于200 </w:t>
      </w:r>
      <w:r>
        <w:rPr>
          <w:rFonts w:hint="eastAsia" w:cs="宋体"/>
          <w:snapToGrid w:val="0"/>
          <w:color w:val="auto"/>
          <w:kern w:val="0"/>
          <w:sz w:val="24"/>
          <w:szCs w:val="24"/>
          <w:highlight w:val="none"/>
        </w:rPr>
        <w:t>万吨/年，整形机制砂</w:t>
      </w:r>
      <w:r>
        <w:rPr>
          <w:rFonts w:hint="eastAsia" w:cs="宋体"/>
          <w:snapToGrid w:val="0"/>
          <w:color w:val="auto"/>
          <w:kern w:val="0"/>
          <w:sz w:val="24"/>
          <w:szCs w:val="24"/>
          <w:highlight w:val="none"/>
          <w:u w:val="single"/>
        </w:rPr>
        <w:t xml:space="preserve"> 不少于100 </w:t>
      </w:r>
      <w:r>
        <w:rPr>
          <w:rFonts w:hint="eastAsia" w:cs="宋体"/>
          <w:snapToGrid w:val="0"/>
          <w:color w:val="auto"/>
          <w:kern w:val="0"/>
          <w:sz w:val="24"/>
          <w:szCs w:val="24"/>
          <w:highlight w:val="none"/>
        </w:rPr>
        <w:t>万吨/年。双方协商一致后产品种类比例可调。</w:t>
      </w:r>
    </w:p>
    <w:p w14:paraId="6F98F8B7">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3、产品类型：</w:t>
      </w:r>
    </w:p>
    <w:p w14:paraId="5A8A7E63">
      <w:pPr>
        <w:widowControl w:val="0"/>
        <w:adjustRightInd w:val="0"/>
        <w:snapToGrid w:val="0"/>
        <w:spacing w:line="300" w:lineRule="auto"/>
        <w:ind w:firstLine="480" w:firstLineChars="200"/>
        <w:rPr>
          <w:color w:val="auto"/>
          <w:sz w:val="24"/>
          <w:szCs w:val="24"/>
          <w:highlight w:val="none"/>
        </w:rPr>
      </w:pPr>
      <w:r>
        <w:rPr>
          <w:rFonts w:hint="eastAsia"/>
          <w:color w:val="auto"/>
          <w:sz w:val="24"/>
          <w:szCs w:val="24"/>
          <w:highlight w:val="none"/>
        </w:rPr>
        <w:t>（1）抛海石料：根据市场需求调整规格。</w:t>
      </w:r>
    </w:p>
    <w:p w14:paraId="0E1F8A30">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（2）宕渣：最大块度不大于</w:t>
      </w:r>
      <w:r>
        <w:rPr>
          <w:rFonts w:hint="eastAsia" w:cs="宋体"/>
          <w:snapToGrid w:val="0"/>
          <w:color w:val="auto"/>
          <w:kern w:val="0"/>
          <w:sz w:val="24"/>
          <w:szCs w:val="24"/>
          <w:highlight w:val="none"/>
          <w:u w:val="single"/>
        </w:rPr>
        <w:t xml:space="preserve">  500  </w:t>
      </w:r>
      <w:r>
        <w:rPr>
          <w:rFonts w:hint="eastAsia" w:cs="宋体"/>
          <w:snapToGrid w:val="0"/>
          <w:color w:val="auto"/>
          <w:kern w:val="0"/>
          <w:sz w:val="24"/>
          <w:szCs w:val="24"/>
          <w:highlight w:val="none"/>
        </w:rPr>
        <w:t>mm。</w:t>
      </w:r>
    </w:p>
    <w:p w14:paraId="6B050E54">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（3）水洗碎石：4.75-9.5mm、9.5-13.5mm、13.5-26.5mm，各档可调。</w:t>
      </w:r>
    </w:p>
    <w:p w14:paraId="3C03A3E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（4）整形机制砂：0-4.75mm。</w:t>
      </w:r>
    </w:p>
    <w:p w14:paraId="72B2AFD9">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注：产品包括并不限于宕碴和砂石料加工，乙方应根据约定标准进行矿产品生产销售，并对相关产品销售负有兜底责任。</w:t>
      </w:r>
    </w:p>
    <w:p w14:paraId="17BB2921">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4、生产产品比例：正式投产后原则上每月生产砂石骨料不低于开采总量的50%。实际生产中如遇市场需求产品配比需调整，由甲方下达产品规格调整函确定。如对所生产产品进行重大调整的，由双方协商确定。</w:t>
      </w:r>
    </w:p>
    <w:p w14:paraId="4C11121D">
      <w:pPr>
        <w:widowControl w:val="0"/>
        <w:adjustRightInd w:val="0"/>
        <w:snapToGrid w:val="0"/>
        <w:rPr>
          <w:color w:val="auto"/>
          <w:highlight w:val="none"/>
        </w:rPr>
      </w:pPr>
    </w:p>
    <w:p w14:paraId="45F0CD28">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九、质量标准与验收</w:t>
      </w:r>
    </w:p>
    <w:p w14:paraId="6201359F">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（一）质量标准</w:t>
      </w:r>
    </w:p>
    <w:p w14:paraId="41FB639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1、矿山基建施工一次性验收合格。矿山工程通过竣工验收并取得安全生产许可证、</w:t>
      </w:r>
      <w:r>
        <w:rPr>
          <w:rFonts w:hint="eastAsia" w:hAnsi="宋体"/>
          <w:color w:val="auto"/>
          <w:sz w:val="24"/>
          <w:highlight w:val="none"/>
        </w:rPr>
        <w:t>智能化数字监管平台（矿山安全生产监管平台、矿产资源开发利用监管平台等）</w:t>
      </w:r>
      <w:r>
        <w:rPr>
          <w:rFonts w:hint="eastAsia" w:cs="宋体"/>
          <w:snapToGrid w:val="0"/>
          <w:color w:val="auto"/>
          <w:kern w:val="0"/>
          <w:sz w:val="24"/>
          <w:szCs w:val="21"/>
          <w:highlight w:val="none"/>
        </w:rPr>
        <w:t>投入运行；加工厂房、生产线、设备安装通过消防环保、节能、卫生三同时验收，并取得排污许可证、消防验收合格证等相关证照为标准。确保达到《浙江省智能化绿色矿山（露采）建设与评价标准》（T/ZMA 001-2023）相关要求。</w:t>
      </w:r>
    </w:p>
    <w:p w14:paraId="6427FBC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2、强风化层及山体表土剥离干净，开采爆破后石料粒径不大于500mm（抛海石除外），&lt;5mm物料含量不大于2%。</w:t>
      </w:r>
    </w:p>
    <w:p w14:paraId="6CF216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矿山采掘施工过程：设备、材料及工程质量100%合格，产能及产品调试达标，满足《金属非金属矿山安全规程》、《爆破安全规程》及浙江省、宁波市有关安全、环保要求，矿山整体建设应符合《加快建设绿色矿山的实施意见》（国土资规</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2017</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号）中《非金属矿行业绿色矿山建设要求》和《砂石行业绿色矿山建设规范》（DZ/T0316-2018）、《机制砂石骨料工厂设计规范》、《职业健康安全管理体系要求》（GB/T28001-2011）等标准，还要满足《企业安全生产费用提取和使用管理办法》（财资〔2022〕136号）、《道路交通标》（GB5768）、《安全色》（GB2893）、《安全标志》（GB2894）等安全及相关规定，上述如有新标准及规范的，按最新标准及规范执行。</w:t>
      </w:r>
    </w:p>
    <w:p w14:paraId="1E652BB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4、矿产品质量要求：</w:t>
      </w:r>
    </w:p>
    <w:p w14:paraId="2A4B650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（1）宕渣质量要求</w:t>
      </w:r>
      <w:r>
        <w:rPr>
          <w:rFonts w:hint="eastAsia" w:cs="宋体"/>
          <w:snapToGrid w:val="0"/>
          <w:color w:val="auto"/>
          <w:kern w:val="0"/>
          <w:sz w:val="24"/>
          <w:szCs w:val="21"/>
          <w:highlight w:val="none"/>
        </w:rPr>
        <w:t>：粒经（最长内径）不大于500mm（抛海石除外），无剥离残留物。</w:t>
      </w:r>
    </w:p>
    <w:p w14:paraId="296E7017">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u w:val="single"/>
        </w:rPr>
        <w:t>（</w:t>
      </w:r>
      <w:r>
        <w:rPr>
          <w:rFonts w:cs="宋体"/>
          <w:snapToGrid w:val="0"/>
          <w:color w:val="auto"/>
          <w:kern w:val="0"/>
          <w:sz w:val="24"/>
          <w:szCs w:val="24"/>
          <w:highlight w:val="none"/>
          <w:u w:val="single"/>
        </w:rPr>
        <w:t>2）</w:t>
      </w:r>
      <w:r>
        <w:rPr>
          <w:rFonts w:hint="eastAsia" w:cs="宋体"/>
          <w:snapToGrid w:val="0"/>
          <w:color w:val="auto"/>
          <w:kern w:val="0"/>
          <w:sz w:val="24"/>
          <w:szCs w:val="24"/>
          <w:highlight w:val="none"/>
          <w:u w:val="single"/>
        </w:rPr>
        <w:t>整形</w:t>
      </w:r>
      <w:r>
        <w:rPr>
          <w:rFonts w:cs="宋体"/>
          <w:snapToGrid w:val="0"/>
          <w:color w:val="auto"/>
          <w:kern w:val="0"/>
          <w:sz w:val="24"/>
          <w:szCs w:val="24"/>
          <w:highlight w:val="none"/>
          <w:u w:val="single"/>
        </w:rPr>
        <w:t>机制砂质量要求</w:t>
      </w:r>
      <w:r>
        <w:rPr>
          <w:rFonts w:cs="宋体"/>
          <w:snapToGrid w:val="0"/>
          <w:color w:val="auto"/>
          <w:kern w:val="0"/>
          <w:sz w:val="24"/>
          <w:szCs w:val="24"/>
          <w:highlight w:val="none"/>
        </w:rPr>
        <w:t>：经整形</w:t>
      </w:r>
      <w:r>
        <w:rPr>
          <w:rFonts w:hint="eastAsia" w:cs="宋体"/>
          <w:snapToGrid w:val="0"/>
          <w:color w:val="auto"/>
          <w:kern w:val="0"/>
          <w:sz w:val="24"/>
          <w:szCs w:val="24"/>
          <w:highlight w:val="none"/>
        </w:rPr>
        <w:t>，</w:t>
      </w:r>
      <w:r>
        <w:rPr>
          <w:rFonts w:cs="宋体"/>
          <w:snapToGrid w:val="0"/>
          <w:color w:val="auto"/>
          <w:kern w:val="0"/>
          <w:sz w:val="24"/>
          <w:szCs w:val="24"/>
          <w:highlight w:val="none"/>
        </w:rPr>
        <w:t>规格：0-4.75mm；细度模数：2.6及以下；氯离子含量：＜0.003%；含水率</w:t>
      </w:r>
      <w:r>
        <w:rPr>
          <w:rFonts w:cs="宋体"/>
          <w:snapToGrid w:val="0"/>
          <w:color w:val="auto"/>
          <w:kern w:val="0"/>
          <w:sz w:val="24"/>
          <w:szCs w:val="24"/>
          <w:highlight w:val="none"/>
          <w:u w:val="single"/>
        </w:rPr>
        <w:t xml:space="preserve">  </w:t>
      </w:r>
      <w:r>
        <w:rPr>
          <w:rFonts w:ascii="宋体" w:hAnsi="宋体" w:cs="宋体"/>
          <w:snapToGrid w:val="0"/>
          <w:color w:val="auto"/>
          <w:kern w:val="0"/>
          <w:sz w:val="24"/>
          <w:szCs w:val="24"/>
          <w:highlight w:val="none"/>
          <w:u w:val="single"/>
        </w:rPr>
        <w:t>≤</w:t>
      </w:r>
      <w:r>
        <w:rPr>
          <w:rFonts w:cs="宋体"/>
          <w:snapToGrid w:val="0"/>
          <w:color w:val="auto"/>
          <w:kern w:val="0"/>
          <w:sz w:val="24"/>
          <w:szCs w:val="24"/>
          <w:highlight w:val="none"/>
          <w:u w:val="single"/>
        </w:rPr>
        <w:t xml:space="preserve">10  </w:t>
      </w:r>
      <w:r>
        <w:rPr>
          <w:rFonts w:cs="宋体"/>
          <w:snapToGrid w:val="0"/>
          <w:color w:val="auto"/>
          <w:kern w:val="0"/>
          <w:sz w:val="24"/>
          <w:szCs w:val="24"/>
          <w:highlight w:val="none"/>
        </w:rPr>
        <w:t>%。</w:t>
      </w:r>
    </w:p>
    <w:p w14:paraId="0CCEF9F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除上述质量指标外，</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还要满足（符合）国家、省市、行业相关规定，其余质量指标需达到《建设用砂》（GB/T14684-2022）I类砂标准（或最高质量类别）要求，并达到《宁波市机制砂生产技术规程》（甬DX/JS017-2022）、浙江省《机制砂应用技术规程》（DBJ33/T1297-2023）I类砂标准（或最高质量类别）要求，同时机制砂的质量需满足《宁波市预拌混凝土管理暂行规定》（甬建发〔2022〕2号）规定的各强度等级的预拌混凝土对机制砂的使用要求和销售市场的需方要求。</w:t>
      </w:r>
    </w:p>
    <w:p w14:paraId="7B579FB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②若工期（合同期限）之内，有新的质量或技术标准发布，乙方应按新的质量或技术标准执行以符合其质量、技术最高要求。</w:t>
      </w:r>
    </w:p>
    <w:p w14:paraId="6B971169">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若生产过程中甲方应市场需求对</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机制砂的质量、规格等进行调整，甲方将在生产计划中予以明确，乙方应无条件执行。</w:t>
      </w:r>
    </w:p>
    <w:p w14:paraId="1D83D29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如</w:t>
      </w:r>
      <w:r>
        <w:rPr>
          <w:rFonts w:hint="eastAsia" w:cs="宋体"/>
          <w:snapToGrid w:val="0"/>
          <w:color w:val="auto"/>
          <w:kern w:val="0"/>
          <w:sz w:val="24"/>
          <w:szCs w:val="24"/>
          <w:highlight w:val="none"/>
        </w:rPr>
        <w:t>整形</w:t>
      </w:r>
      <w:r>
        <w:rPr>
          <w:rFonts w:cs="宋体"/>
          <w:snapToGrid w:val="0"/>
          <w:color w:val="auto"/>
          <w:kern w:val="0"/>
          <w:sz w:val="24"/>
          <w:szCs w:val="24"/>
          <w:highlight w:val="none"/>
        </w:rPr>
        <w:t>机制砂质量未达到要求，或造成甲方无法销售的，甲方有权要求乙方暂停生产并要求乙方改进生产线，直至产品质量符合要求为止，由此造成的产量进度、销量进度违约，由乙方承担。投资建设增加的费用由乙方承担，不予另行结算。</w:t>
      </w:r>
    </w:p>
    <w:p w14:paraId="04905F86">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⑤整形机制砂销售所需的检测检验（包括型式检验）报告及合格证由供应商负责提供。</w:t>
      </w:r>
    </w:p>
    <w:p w14:paraId="6531F4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（3）水洗碎石质量要求</w:t>
      </w:r>
      <w:r>
        <w:rPr>
          <w:rFonts w:hint="eastAsia" w:cs="宋体"/>
          <w:snapToGrid w:val="0"/>
          <w:color w:val="auto"/>
          <w:kern w:val="0"/>
          <w:sz w:val="24"/>
          <w:szCs w:val="21"/>
          <w:highlight w:val="none"/>
        </w:rPr>
        <w:t>：经整形，水洗碎石：4.75-9.5mm、9.5-13.5mm、13.5-26.5mm，各档可调。</w:t>
      </w:r>
    </w:p>
    <w:p w14:paraId="487999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①乙方提供的生产线须满足同时生产上述二种及以上规格的要求，且同时可以按甲方的要求进行切换，对于规格的要求甲方将在每期的生产计划中予以明确。</w:t>
      </w:r>
    </w:p>
    <w:p w14:paraId="7C107E96">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除上述整形和规格（粒级）质量指标外，水洗碎石其余质量指标需达到《建设用卵石、碎石》（GB/T14685-2022）Ⅰ类质量指标要求，同时水洗碎石的质量需满足《公路路面基层施工技术细则》（JTG/TF20-2015）、《公路沥青路面施工技术规范》（JTGF40-2004）、《公路桥涵施工技术规范》（JTG/T 3650-2020）规定的最高等级公路（高速公路）的公路路面基层施工、公路沥青路面施工、公路桥涵施工对所使用的碎石质量要求。</w:t>
      </w:r>
    </w:p>
    <w:p w14:paraId="1FD52F6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水洗碎石的质量还要满足（符合）国家、省市、行业相关规定；若工期（合同期限）之内，有新的质量或技术标准发布，乙方应按新的质量或技术标准执行以符合其质量、技术的最高要求。</w:t>
      </w:r>
    </w:p>
    <w:p w14:paraId="5087BC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④若生产过程中甲方应市场需求对水洗碎石的规格进行调整，除相互调整以上规格之外，甲方也可以要求乙方生产其他规格的水洗碎石，乙方应无条件执行，甲方将在生产计划中予以明确。</w:t>
      </w:r>
    </w:p>
    <w:p w14:paraId="024C35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⑤如水洗碎石质量未达到要求，或造成甲方无法销售的，甲方有权要求乙方暂停生产并要求乙方改进生产线，直至产品质量符合要求为止，由此造成的产量进度、销量进度违约，由乙方承担。投资建设增加的费用由乙方承担，不予另行结算。</w:t>
      </w:r>
    </w:p>
    <w:p w14:paraId="0827153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⑥水洗碎石销售所需的检测检验报告及合格证由供应商负责提供。</w:t>
      </w:r>
    </w:p>
    <w:p w14:paraId="40BC303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（4）其它新增石料产品（若有）质量要求</w:t>
      </w:r>
      <w:r>
        <w:rPr>
          <w:rFonts w:hint="eastAsia" w:cs="宋体"/>
          <w:snapToGrid w:val="0"/>
          <w:color w:val="auto"/>
          <w:kern w:val="0"/>
          <w:sz w:val="24"/>
          <w:szCs w:val="21"/>
          <w:highlight w:val="none"/>
        </w:rPr>
        <w:t>：按甲方要求和相关规定执行。</w:t>
      </w:r>
    </w:p>
    <w:p w14:paraId="0E9367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5、场内运输要求：矿区场内运输按相关部门管理要求，相应证件必须齐全。</w:t>
      </w:r>
    </w:p>
    <w:p w14:paraId="4801496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6、运输要求：乙方针对石料场外运输业务，需由取得《道路运输经营许可证》的单位负责运输，且须符合甲方当地综合行政执法局、路政、交警等职能部门对道路运输的相关规定。</w:t>
      </w:r>
      <w:r>
        <w:rPr>
          <w:rFonts w:hint="eastAsia" w:cs="宋体"/>
          <w:snapToGrid w:val="0"/>
          <w:color w:val="auto"/>
          <w:kern w:val="0"/>
          <w:sz w:val="24"/>
          <w:szCs w:val="21"/>
          <w:highlight w:val="none"/>
        </w:rPr>
        <w:t>乙方针对砂石料场外海上运输业务，需符合《国内水路运输管理条例》、《国内水路运输管理规定》等相关规定。</w:t>
      </w:r>
    </w:p>
    <w:p w14:paraId="746A0E3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7、污水处理产生的泥粉达到除水并现场压制成“泥饼”的要求，“泥饼”含水率不超过25%。</w:t>
      </w:r>
    </w:p>
    <w:p w14:paraId="2E730AAE">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（二）验收</w:t>
      </w:r>
    </w:p>
    <w:p w14:paraId="170B899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建设工程、生产加工线建设按国家行业规范、标准和招标文件进行验收，同时投标文件已明确的设计、承诺等技术内容也将作为验收依据。双方可能根据项目的不断深化对生产线建设要求进行修改、细化；各类设计图纸使用前，必须经专家进行方案或图纸审查，审查期间，如甲方参与审查，甲方提出的合理化建议乙方应进行采纳。矿山工程根据实际须进行变更时，应按照上级管理部门的要求执行变更流程并对变更后建设的工程项目再次验收。</w:t>
      </w:r>
    </w:p>
    <w:p w14:paraId="30A9E9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2、所有材料必须有质保书或合格证，符合施工图纸和规范要求，且品牌、产地需报采购人备案，否则，因此产生的后果均由乙方负责。</w:t>
      </w:r>
    </w:p>
    <w:p w14:paraId="0170B61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3、所有设备均需有产品合格证和质保书、试验（试车）报告等必要资料，符合国家规定的技术标准和设计图纸要求的标准，并且须经甲方验收合格后方可使用。</w:t>
      </w:r>
    </w:p>
    <w:p w14:paraId="5C054B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4、矿山使用特种设备，供应商从购买、安装、使用、检测、鉴定均应按照《特种设备安全法》的相关规定执行。</w:t>
      </w:r>
    </w:p>
    <w:p w14:paraId="23B15D35">
      <w:pPr>
        <w:widowControl w:val="0"/>
        <w:adjustRightInd w:val="0"/>
        <w:snapToGrid w:val="0"/>
        <w:rPr>
          <w:color w:val="auto"/>
          <w:highlight w:val="none"/>
        </w:rPr>
      </w:pPr>
    </w:p>
    <w:p w14:paraId="66517752">
      <w:pPr>
        <w:pStyle w:val="20"/>
        <w:adjustRightInd w:val="0"/>
        <w:snapToGrid w:val="0"/>
        <w:spacing w:line="300" w:lineRule="auto"/>
        <w:ind w:firstLine="482" w:firstLineChars="200"/>
        <w:jc w:val="both"/>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十、矿山开采要求</w:t>
      </w:r>
    </w:p>
    <w:p w14:paraId="5E2B48C5">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（一）基本要求</w:t>
      </w:r>
    </w:p>
    <w:p w14:paraId="5E5B600D">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按照金属非金属矿山建设相关标准、规范要求，乙方依照矿山预评价报告提出的建议，编制矿山《安全设施设计》和《初步设计》并严格按照评审通过的《安全设施设计》和《初步设计》组织实施矿山建设、矿产资源开发开采和生产加工，并按要求落实各项安全对策措施和防护设施设备，确保安全生产，在6个月内试生产后达到满足竣工验收审核、报批要求并取得安全生产许可证。</w:t>
      </w:r>
    </w:p>
    <w:p w14:paraId="7280B5B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按照《浙江省绿色矿山管理办法》（浙自然资规〔2022〕5号）、《浙江省应急管理厅关于印发&lt;浙江省矿山安全生产数字化基础部分建设指南（试行）&gt;等3个文件的通知》（浙应急基础〔2023〕119号）、《关于全面推进矿山数字化建设的通知》（浙自然资函〔2022〕104号）智能化绿色矿山“164”体系等要求进行绿色矿山建设、智能化数字监管平台（矿山安全生产监管平台、矿产资源开发利用监管平台等）建设和矿产资源开发利用，修复改善矿区环境，美化开采区地表景观。矿山正式投产6个月内完成浙江省绿色矿山建设。</w:t>
      </w:r>
    </w:p>
    <w:p w14:paraId="4EC7923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按照《建设项目环境影响报告表》及批复组织实施矿山环保设施建设，严格矿山开采和生产加工、矿产品存储、运输等各工艺环节中的环境保护工作，落实《建设项目环境影响报告表》及批复提出的各项污染防治措施，项目竣工验收后须取得排污许可证。矿山合同履行期中严格“三废”管理、危险废物保存、处置等确保符合环保要求。</w:t>
      </w:r>
    </w:p>
    <w:p w14:paraId="5940D09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4、严格按照《职业危害防治法》的有关要求，定期开展职业危害评价、职业危害检测和从业人员健康体检，职业危害禁忌症员工不得从事本项目相关禁忌工作。</w:t>
      </w:r>
    </w:p>
    <w:p w14:paraId="268F532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严格按照《浙江省矿山粉尘防治技术规范（暂行）》要求，做好矿山粉尘防治。矿山凿岩、机械采掘、石料铲装等环节必须采取喷淋抑尘措施。矿区内装运、振动、破碎、筛分、储运等环节应全程封闭，采用湿式作业。矿区专用道路及成品料堆场必须做到地面硬化、分仓、雨污分流系统畅通。</w:t>
      </w:r>
    </w:p>
    <w:p w14:paraId="6375C34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严格按照评审通过的《施工设计方案》等要求，组织实施矿产资源开发利用和地质环境保护工作。必须严格按照“边开采、边治理、边恢复”的原则对矿区范围内的资源进行开采，在矿山关闭的同时完成矿山地质环境治理恢复和土地复垦工作。在矿山开发开采时需采取地质灾害防治措施，确保不发生地质灾害。</w:t>
      </w:r>
    </w:p>
    <w:p w14:paraId="37D158E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7、合同履行期应进行的安全评价、环保、职业危害检测、安全管理人员、特种作业人员和特种设备定期检定、检测等须严格按照相关要求执行。</w:t>
      </w:r>
    </w:p>
    <w:p w14:paraId="754C7526">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（二）矿山必要基础设施建设要求</w:t>
      </w:r>
    </w:p>
    <w:p w14:paraId="11372DD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包括但不限于：</w:t>
      </w:r>
    </w:p>
    <w:p w14:paraId="0CE64E7A">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1、矿山工程：包含清表、基建区剥离、基建采准工作面准备、矿山公路（矿山汽车运输开拓系统、内外部运输道路）、一破卸料口、消防高位水池、将上述剥离料（废料、剥离土、宕渣料等）运至指定的区域、道路建设（通往生产加工区域、外运配套码头连接线路）、满足矿山工程废土堆存场所（前期）防护及排水、截水沟、沉淀池、安全设施等的矿山工程。上述工程一次单独验收，按完成安全生产设施竣工验收、取得安全生产许可证为节点。</w:t>
      </w:r>
    </w:p>
    <w:p w14:paraId="7A5D48BA">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2、碎石及机制砂加工生产线建设工程：包括建设完成1条产能不低于1000吨每小时的碎石、机制砂（湿法）生产线、环保设施（污水循环系统、淤泥压滤机等）、10万吨料场建设，上述工程一次单独验收、按完成安全生产设施、环保、节能、职业卫生三同时投入竣工验收，并取得环保、排污许可等相关证照为节点。砂石生产线须由有相应设计资质的单位进行施工图设计，并按图施工建设。</w:t>
      </w:r>
    </w:p>
    <w:p w14:paraId="67BC006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3、按要求完成智能化数字监管平台（矿山安全生产监管平台、矿产资源开发利用监管平台等）建设及省级绿色矿山建设，并通过验收，平台须保证接入政府监管平台和甲方平台，信息可靠、完整、清晰，并在矿山合同履行期可持续运行。智能化数字监管平台软件部分由甲方提供，主要硬件设备推荐品牌为海康、大华或宇视。</w:t>
      </w:r>
    </w:p>
    <w:p w14:paraId="3269555A">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4、地磅设施：至少须配备2组地磅设施（每组两套、载荷不得低于80吨），且必须具备物料识别功能，并要求进行间隔期≤2个月/次的保养和维护。</w:t>
      </w:r>
    </w:p>
    <w:p w14:paraId="0DFC2BE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5、配套管理用房不少于1500平方米</w:t>
      </w:r>
      <w:r>
        <w:rPr>
          <w:rFonts w:hint="eastAsia"/>
          <w:snapToGrid w:val="0"/>
          <w:color w:val="auto"/>
          <w:kern w:val="0"/>
          <w:sz w:val="24"/>
          <w:szCs w:val="21"/>
          <w:highlight w:val="none"/>
        </w:rPr>
        <w:t>（</w:t>
      </w:r>
      <w:r>
        <w:rPr>
          <w:rFonts w:hint="eastAsia" w:cs="宋体"/>
          <w:bCs/>
          <w:snapToGrid w:val="0"/>
          <w:color w:val="auto"/>
          <w:kern w:val="0"/>
          <w:sz w:val="24"/>
          <w:szCs w:val="21"/>
          <w:highlight w:val="none"/>
        </w:rPr>
        <w:t>档案室不少于50平方米，档案材料能够保存至少10年）</w:t>
      </w:r>
      <w:r>
        <w:rPr>
          <w:rFonts w:hint="eastAsia" w:cs="宋体"/>
          <w:bCs/>
          <w:snapToGrid w:val="0"/>
          <w:color w:val="auto"/>
          <w:kern w:val="0"/>
          <w:sz w:val="24"/>
          <w:szCs w:val="21"/>
          <w:highlight w:val="none"/>
        </w:rPr>
        <w:t>，</w:t>
      </w:r>
      <w:r>
        <w:rPr>
          <w:rFonts w:hint="eastAsia"/>
          <w:snapToGrid w:val="0"/>
          <w:color w:val="auto"/>
          <w:kern w:val="0"/>
          <w:sz w:val="24"/>
          <w:szCs w:val="21"/>
          <w:highlight w:val="none"/>
        </w:rPr>
        <w:t>其中给甲方办公用房不少于200平方米，并配置必要的办公家具等设备。</w:t>
      </w:r>
    </w:p>
    <w:p w14:paraId="1E2DC87D">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6、厂房、管理用房：根据项目需求须建设的厂房、管理用房等，全部由乙方负责办理相关审批工作，并须由相应设计资质、施工资质的单位承建，如乙方无相关设计或施工资质的，允许分包，分包人须经甲方认可。厂房、管理用房建设完成后需按相关规定进行验收，以验收通过为节点。</w:t>
      </w:r>
    </w:p>
    <w:p w14:paraId="5D712F63">
      <w:pPr>
        <w:widowControl w:val="0"/>
        <w:adjustRightInd w:val="0"/>
        <w:snapToGrid w:val="0"/>
        <w:spacing w:line="300" w:lineRule="auto"/>
        <w:ind w:firstLine="480" w:firstLineChars="200"/>
        <w:rPr>
          <w:snapToGrid w:val="0"/>
          <w:color w:val="auto"/>
          <w:kern w:val="0"/>
          <w:sz w:val="24"/>
          <w:szCs w:val="21"/>
          <w:highlight w:val="none"/>
        </w:rPr>
      </w:pPr>
      <w:r>
        <w:rPr>
          <w:rFonts w:hint="eastAsia"/>
          <w:snapToGrid w:val="0"/>
          <w:color w:val="auto"/>
          <w:kern w:val="0"/>
          <w:sz w:val="24"/>
          <w:szCs w:val="21"/>
          <w:highlight w:val="none"/>
        </w:rPr>
        <w:t>7、供水供电设施建设：应具有满足矿山生产、生活用水用电等基本设施。</w:t>
      </w:r>
    </w:p>
    <w:p w14:paraId="71BA286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（三）其他要求</w:t>
      </w:r>
    </w:p>
    <w:p w14:paraId="5A33C9D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1、涉及矿山开采所需要的水、电、道路、加工堆放场地、办公及生活场所等，由乙方根据需要与当地政府协商解决，相关费用由乙方自行承担。</w:t>
      </w:r>
    </w:p>
    <w:p w14:paraId="0FD35E5B">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另矿区红线内有约376.7亩租赁的矿区用地（其中10亩土地租赁期限为2023年12月7日至2028年12月6日；36亩土地租赁期限为2023年2月22日至2028年2月21日；126亩土地租赁期限为2023年1月1日至2027年12月31日；7.7亩土地租赁期限为2023年4月1日至2028年3月31日；197亩土地租赁期限为2023年4月1日至2028年3月31日；以上约376.7亩土地租赁费均为5000元/亩/年）权属属于第三方，因矿山开采及生产需要而承租，甲方仅有租赁合同约定的租赁期限内的使用权，若本矿山项目合同履行期超过了土地租赁期限，则超过期限的土地续租由乙方根据需要与当地政府和土地权属人进行协商，租赁费及相关费用由乙方自行承担。</w:t>
      </w:r>
    </w:p>
    <w:p w14:paraId="3AD7785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2、乙方不得在矿区及周边范围内新建与采矿生产无关的建筑物、构筑物等设施。</w:t>
      </w:r>
    </w:p>
    <w:p w14:paraId="77306CA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采矿权或合同终止后，乙方应在三个月内自行拆除矿区内生产加工设备及设施，组织开展相关闭矿准备工作并须通过相关部门验收。如未及时拆除，甲方将委托第三方处置，产生的相关费用由乙方承担。本条甲方决定保留的除外。</w:t>
      </w:r>
    </w:p>
    <w:p w14:paraId="17C64F9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应在料场边坡设置监测设施并定期进行测量监测，并定期将安全监测成果提交甲方。在安全监测过程中，若发现监测数据异常，危及施工安全时应立即停止施工，撤离人员、设备，并及时进行防护。完成安全防护后，根据监测成果证明已达到继续施工的安全要求后才能继续施工。</w:t>
      </w:r>
    </w:p>
    <w:p w14:paraId="2DE726F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负责提供砂石等成品石料的检验检测实验室及配备检测检验人员（持证上岗），并按甲方和销售（客户）及相关规定要求提供产品合格证或检测检验报告（包括型式检验检测）；由乙方负责申领机制砂生产销售涉及的“宁波市建设用砂生产经营企业登记备案证”及相关报批工作，并承担机制砂生产经营涉及的“宁波市地方建筑材料全过程在线监管平台”的线上运营管理。</w:t>
      </w:r>
    </w:p>
    <w:p w14:paraId="17CFDCC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涉及矿山开采的采矿许可证及安全生产许可证延期办理、矿山安全评价、边坡检测、隐蔽致灾因素普查、建筑物防雷检测、特种设备定期检定、地磅定期检定、爆破震动监测、环保监测、职业危害因素检测等相关报告类事项，均由乙方负责委托、资料准备，负责开采过程中因乙方原因造成的政策问题处理、周边环境纠纷处置等事项，相关费用由乙方承担。</w:t>
      </w:r>
    </w:p>
    <w:p w14:paraId="1C54A2F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负责矿山开采加工阶段的各类技术报告的编制和组织落实，包括但不限于：节能报告编制（包括报批及验收）、卫生三同时（包括职业病危害预评价、防护设计及职业病危害控制效果评价）、水土保持（包括水土保持方案编制、检测实施及验收）、竣工环保验收、矿山边坡稳定性分析评估等所有相关工作和延伸工作，并承担相关费用。</w:t>
      </w:r>
    </w:p>
    <w:p w14:paraId="75FCC92D">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8、涉及本矿山开采加工及配套码头施工运营阶段的安全生产、环境保护、绿色矿山、各类计量结算账单、各类技术资料等所有资料均由乙方安排专人负责编制或整理及保管，项目结束后交由甲方存档。</w:t>
      </w:r>
    </w:p>
    <w:p w14:paraId="071A0EED">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（四）特别要求</w:t>
      </w:r>
    </w:p>
    <w:p w14:paraId="54E4D40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1、采矿权有效期未满，若因政策性或社会公共利益需要提前关闭矿山，造成合同实际无法履行的，甲方有权解除合同，乙方的损失只计直接损失，直接损失原则上按剩余开采量</w:t>
      </w:r>
      <w:r>
        <w:rPr>
          <w:rFonts w:hint="eastAsia" w:cs="宋体"/>
          <w:snapToGrid w:val="0"/>
          <w:color w:val="auto"/>
          <w:kern w:val="0"/>
          <w:sz w:val="24"/>
          <w:szCs w:val="21"/>
          <w:highlight w:val="none"/>
        </w:rPr>
        <w:t>（不含矿区附近可能存在的80万吨开采量）</w:t>
      </w:r>
      <w:r>
        <w:rPr>
          <w:rFonts w:hint="eastAsia" w:cs="宋体"/>
          <w:snapToGrid w:val="0"/>
          <w:color w:val="auto"/>
          <w:kern w:val="0"/>
          <w:sz w:val="24"/>
          <w:szCs w:val="21"/>
          <w:highlight w:val="none"/>
        </w:rPr>
        <w:t>协商处理。</w:t>
      </w:r>
    </w:p>
    <w:p w14:paraId="69A6AFB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2、采矿权期限届满的处理：《采矿许可证》有效期届满，矿区范围内尚有资源可供开采。根据办理延续登记的情况按以下方式处置：</w:t>
      </w:r>
    </w:p>
    <w:p w14:paraId="3AAFC88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（1）若延续登记获得批准，乙方须按甲方要求继续开采，相关费用按中标单价执行，甲方不再支付其他任何费用；</w:t>
      </w:r>
    </w:p>
    <w:p w14:paraId="04AD0D6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（2）若延续登记未获批准，甲方有权终止合同，乙方需及时采取措施消除安全隐患，完成矿区地质环境和生态环境的治理恢复，并通过验收。在3个月内无条件自行清场完毕。且乙方不得因此向甲方提出索赔。</w:t>
      </w:r>
    </w:p>
    <w:p w14:paraId="7DE910BF">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3、本项目禁止转包，主体项目禁止分包，未经甲方同意禁止非主体项目分包。甲方发现乙方违反规定的，有权单方面解除合同，取消乙方的项目实施资格。</w:t>
      </w:r>
    </w:p>
    <w:p w14:paraId="71345CC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4、乙方必须依法合理开发开采石料，不得损害、破坏周围自然生态环境或设施。因开采施工过程中使国家或他人遭受损失的，乙方应当负责赔偿。</w:t>
      </w:r>
    </w:p>
    <w:p w14:paraId="00D845F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乙方在采矿过程中发现安全生产隐患、地质灾害隐患或造成矿山地质环境破坏的，应当立即停止作业，及时向甲方报告，做好矿区安全隐患的整改和矿山地质环境治理工作。</w:t>
      </w:r>
    </w:p>
    <w:p w14:paraId="0401D2F4">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5、在采矿过程中发现具有重要科学文化价值的文物及地质遗迹时，应立即停止施工，并及时报告甲方及相关主管部门。</w:t>
      </w:r>
    </w:p>
    <w:p w14:paraId="55069E8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6、本项目矿区按合同签订时的现状移交，乙方可自行前往现场踏勘。</w:t>
      </w:r>
    </w:p>
    <w:p w14:paraId="79FC75B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7、乙方须在项目所在地设立分公司，并配有行政管理人员，负责项目的整体运营，</w:t>
      </w:r>
      <w:r>
        <w:rPr>
          <w:rFonts w:hint="eastAsia" w:cs="宋体"/>
          <w:bCs/>
          <w:snapToGrid w:val="0"/>
          <w:color w:val="auto"/>
          <w:kern w:val="0"/>
          <w:sz w:val="24"/>
          <w:szCs w:val="21"/>
          <w:highlight w:val="none"/>
        </w:rPr>
        <w:t>应在项目所在地设有办公地点（办公地址距离甲方、市县级应急管理部门、其他职能部门车程不超过1小时），配备有办公设施、员工生活场所，需常驻至少3名以上本项目专职人员开展工作，办公地点面积需满足《办公建筑设计标准》（JGJ/T 67-2019）4.2.3中普通办公室每人使用面积不应小于6m²要求。按照应急管理要求配备至少1辆应急车辆，车辆不得长期挪做他用。</w:t>
      </w:r>
    </w:p>
    <w:p w14:paraId="653DECA9">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若在合同工期内，符合相关规定及满足可行性要求的情况下，甲方鉴于开发石料新产品的需要，要求乙方增加石料新产品的生产加工（或要求乙方变更开采工艺），乙方应无条件执行，相关费用以后续双方商定为准。</w:t>
      </w:r>
    </w:p>
    <w:p w14:paraId="3FED610C">
      <w:pPr>
        <w:widowControl w:val="0"/>
        <w:adjustRightInd w:val="0"/>
        <w:snapToGrid w:val="0"/>
        <w:rPr>
          <w:color w:val="auto"/>
          <w:highlight w:val="none"/>
        </w:rPr>
      </w:pPr>
    </w:p>
    <w:p w14:paraId="10B0E85F">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十一、销售管理</w:t>
      </w:r>
    </w:p>
    <w:p w14:paraId="6DCF44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w:t>
      </w:r>
      <w:r>
        <w:rPr>
          <w:rFonts w:hint="eastAsia" w:cs="宋体"/>
          <w:snapToGrid w:val="0"/>
          <w:color w:val="auto"/>
          <w:kern w:val="0"/>
          <w:sz w:val="24"/>
          <w:szCs w:val="21"/>
          <w:highlight w:val="none"/>
        </w:rPr>
        <w:t>须</w:t>
      </w:r>
      <w:r>
        <w:rPr>
          <w:rFonts w:hint="eastAsia" w:cs="宋体"/>
          <w:snapToGrid w:val="0"/>
          <w:color w:val="auto"/>
          <w:kern w:val="0"/>
          <w:sz w:val="24"/>
          <w:szCs w:val="21"/>
          <w:highlight w:val="none"/>
        </w:rPr>
        <w:t>承诺销售矿产品总产量80%以上（全年不得小于460万吨），具体比例根据甲方计划确定，甲方具有优先分配权，乙方应有固定的销售客户</w:t>
      </w:r>
      <w:r>
        <w:rPr>
          <w:rFonts w:hint="eastAsia" w:cs="宋体"/>
          <w:snapToGrid w:val="0"/>
          <w:color w:val="auto"/>
          <w:kern w:val="0"/>
          <w:sz w:val="24"/>
          <w:szCs w:val="21"/>
          <w:highlight w:val="none"/>
        </w:rPr>
        <w:t>（除乙方及乙方有</w:t>
      </w:r>
      <w:r>
        <w:rPr>
          <w:rFonts w:hint="eastAsia" w:cs="宋体"/>
          <w:snapToGrid w:val="0"/>
          <w:color w:val="auto"/>
          <w:kern w:val="0"/>
          <w:sz w:val="24"/>
          <w:szCs w:val="21"/>
          <w:highlight w:val="none"/>
        </w:rPr>
        <w:t>10%以上（含本数）股权投资关系的关联公司以外，不得在象山县境内销售</w:t>
      </w:r>
      <w:r>
        <w:rPr>
          <w:rFonts w:hint="eastAsia" w:cs="宋体"/>
          <w:snapToGrid w:val="0"/>
          <w:color w:val="auto"/>
          <w:kern w:val="0"/>
          <w:sz w:val="24"/>
          <w:szCs w:val="21"/>
          <w:highlight w:val="none"/>
        </w:rPr>
        <w:t>）</w:t>
      </w:r>
      <w:r>
        <w:rPr>
          <w:rFonts w:hint="eastAsia" w:cs="宋体"/>
          <w:snapToGrid w:val="0"/>
          <w:color w:val="auto"/>
          <w:kern w:val="0"/>
          <w:sz w:val="24"/>
          <w:szCs w:val="21"/>
          <w:highlight w:val="none"/>
        </w:rPr>
        <w:t>，并开拓多元化市场的销售渠道。</w:t>
      </w:r>
    </w:p>
    <w:p w14:paraId="437B215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如有象山县县域内政府投资项目需本项目保障的，应优先保供。</w:t>
      </w:r>
    </w:p>
    <w:p w14:paraId="65BC21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照先款后货进行自提销售。乙方必须在签订合同后，销售前预缴货款2000万元（支付到甲方指定账户），当预缴货款低于200万元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14:paraId="7D671C8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w:t>
      </w:r>
      <w:r>
        <w:rPr>
          <w:rFonts w:hint="eastAsia" w:cs="宋体"/>
          <w:snapToGrid w:val="0"/>
          <w:color w:val="auto"/>
          <w:kern w:val="0"/>
          <w:sz w:val="24"/>
          <w:szCs w:val="21"/>
          <w:highlight w:val="none"/>
        </w:rPr>
        <w:t>乙方不得低于销售指导价销售，若低于销售指导价销售的，差额部分由乙方承担（每月核算一次，每季度结算一次），从预缴货款中扣除。</w:t>
      </w:r>
    </w:p>
    <w:p w14:paraId="77BE9B8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乙方实际销售价超过销售指导价的，则按照约定比例分成，奖励给乙方的分成每个月核算一次并先予以挂账，按季度兑现。</w:t>
      </w:r>
    </w:p>
    <w:p w14:paraId="6662135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bCs/>
          <w:snapToGrid w:val="0"/>
          <w:color w:val="auto"/>
          <w:kern w:val="0"/>
          <w:sz w:val="24"/>
          <w:szCs w:val="21"/>
          <w:highlight w:val="none"/>
        </w:rPr>
        <w:t>4、</w:t>
      </w: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r>
        <w:rPr>
          <w:rFonts w:hint="eastAsia" w:cs="宋体"/>
          <w:bCs/>
          <w:snapToGrid w:val="0"/>
          <w:color w:val="auto"/>
          <w:kern w:val="0"/>
          <w:sz w:val="24"/>
          <w:szCs w:val="21"/>
          <w:highlight w:val="none"/>
        </w:rPr>
        <w:t>。</w:t>
      </w:r>
    </w:p>
    <w:p w14:paraId="5B8DB7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sz w:val="24"/>
          <w:szCs w:val="21"/>
          <w:highlight w:val="none"/>
        </w:rPr>
        <w:t>5、</w:t>
      </w:r>
      <w:r>
        <w:rPr>
          <w:rFonts w:hint="eastAsia" w:cs="宋体"/>
          <w:snapToGrid w:val="0"/>
          <w:color w:val="auto"/>
          <w:kern w:val="0"/>
          <w:sz w:val="24"/>
          <w:szCs w:val="21"/>
          <w:highlight w:val="none"/>
        </w:rPr>
        <w:t>矿产品销售受国家政策调控影响或县域内重大项目保障需要的，甲方根据需求调整生产计划，双方协商解决。矿产品销售受市场行情影响，可能有较大波动，甲方根据市场需求调整生产计划，乙方须无条件服从，不得以此为理由向甲方进行费用索赔。</w:t>
      </w:r>
    </w:p>
    <w:p w14:paraId="0CCB71A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6、定价机制</w:t>
      </w:r>
    </w:p>
    <w:p w14:paraId="730BD846">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（1）设立定价领导小组，根据需要对矿产品（包括宕渣产品、各类型石料产品）销售指导价进行定价，小组组长由象山交通集团分管领导担任，小组成员包括</w:t>
      </w:r>
      <w:r>
        <w:rPr>
          <w:rFonts w:hint="eastAsia" w:cs="宋体"/>
          <w:snapToGrid w:val="0"/>
          <w:color w:val="auto"/>
          <w:kern w:val="0"/>
          <w:sz w:val="24"/>
          <w:szCs w:val="21"/>
          <w:highlight w:val="none"/>
        </w:rPr>
        <w:t>甲方</w:t>
      </w:r>
      <w:r>
        <w:rPr>
          <w:rFonts w:hint="eastAsia" w:cs="宋体"/>
          <w:snapToGrid w:val="0"/>
          <w:color w:val="auto"/>
          <w:kern w:val="0"/>
          <w:sz w:val="24"/>
          <w:szCs w:val="21"/>
          <w:highlight w:val="none"/>
        </w:rPr>
        <w:t>负责人、</w:t>
      </w:r>
      <w:r>
        <w:rPr>
          <w:rFonts w:hint="eastAsia" w:cs="宋体"/>
          <w:snapToGrid w:val="0"/>
          <w:color w:val="auto"/>
          <w:kern w:val="0"/>
          <w:sz w:val="24"/>
          <w:szCs w:val="21"/>
          <w:highlight w:val="none"/>
        </w:rPr>
        <w:t>甲方</w:t>
      </w:r>
      <w:r>
        <w:rPr>
          <w:rFonts w:hint="eastAsia" w:cs="宋体"/>
          <w:snapToGrid w:val="0"/>
          <w:color w:val="auto"/>
          <w:kern w:val="0"/>
          <w:sz w:val="24"/>
          <w:szCs w:val="21"/>
          <w:highlight w:val="none"/>
        </w:rPr>
        <w:t>销售负责人、</w:t>
      </w:r>
      <w:r>
        <w:rPr>
          <w:rFonts w:hint="eastAsia" w:cs="宋体"/>
          <w:snapToGrid w:val="0"/>
          <w:color w:val="auto"/>
          <w:kern w:val="0"/>
          <w:sz w:val="24"/>
          <w:szCs w:val="21"/>
          <w:highlight w:val="none"/>
        </w:rPr>
        <w:t>甲方</w:t>
      </w:r>
      <w:r>
        <w:rPr>
          <w:rFonts w:hint="eastAsia" w:cs="宋体"/>
          <w:snapToGrid w:val="0"/>
          <w:color w:val="auto"/>
          <w:kern w:val="0"/>
          <w:sz w:val="24"/>
          <w:szCs w:val="21"/>
          <w:highlight w:val="none"/>
        </w:rPr>
        <w:t>法务、</w:t>
      </w:r>
      <w:r>
        <w:rPr>
          <w:rFonts w:hint="eastAsia" w:cs="宋体"/>
          <w:snapToGrid w:val="0"/>
          <w:color w:val="auto"/>
          <w:kern w:val="0"/>
          <w:sz w:val="24"/>
          <w:szCs w:val="21"/>
          <w:highlight w:val="none"/>
        </w:rPr>
        <w:t>乙方</w:t>
      </w:r>
      <w:r>
        <w:rPr>
          <w:rFonts w:hint="eastAsia" w:cs="宋体"/>
          <w:snapToGrid w:val="0"/>
          <w:color w:val="auto"/>
          <w:kern w:val="0"/>
          <w:sz w:val="24"/>
          <w:szCs w:val="21"/>
          <w:highlight w:val="none"/>
        </w:rPr>
        <w:t>项目负责人、</w:t>
      </w:r>
      <w:r>
        <w:rPr>
          <w:rFonts w:hint="eastAsia" w:cs="宋体"/>
          <w:snapToGrid w:val="0"/>
          <w:color w:val="auto"/>
          <w:kern w:val="0"/>
          <w:sz w:val="24"/>
          <w:szCs w:val="21"/>
          <w:highlight w:val="none"/>
        </w:rPr>
        <w:t>乙方</w:t>
      </w:r>
      <w:r>
        <w:rPr>
          <w:rFonts w:hint="eastAsia" w:cs="宋体"/>
          <w:snapToGrid w:val="0"/>
          <w:color w:val="auto"/>
          <w:kern w:val="0"/>
          <w:sz w:val="24"/>
          <w:szCs w:val="21"/>
          <w:highlight w:val="none"/>
        </w:rPr>
        <w:t>销售负责人、</w:t>
      </w:r>
      <w:r>
        <w:rPr>
          <w:rFonts w:hint="eastAsia" w:cs="宋体"/>
          <w:snapToGrid w:val="0"/>
          <w:color w:val="auto"/>
          <w:kern w:val="0"/>
          <w:sz w:val="24"/>
          <w:szCs w:val="21"/>
          <w:highlight w:val="none"/>
        </w:rPr>
        <w:t>甲方</w:t>
      </w:r>
      <w:r>
        <w:rPr>
          <w:rFonts w:hint="eastAsia" w:cs="宋体"/>
          <w:snapToGrid w:val="0"/>
          <w:color w:val="auto"/>
          <w:kern w:val="0"/>
          <w:sz w:val="24"/>
          <w:szCs w:val="21"/>
          <w:highlight w:val="none"/>
        </w:rPr>
        <w:t>委托的第三方咨询公司人员组成，销售指导价经由定价领导小组形成初审意见，报象山交通集团定价委员会审核批准执行。</w:t>
      </w:r>
    </w:p>
    <w:p w14:paraId="2874F6D5">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（2）销售指导价遵循以实际市场成交价为定价原则，</w:t>
      </w:r>
      <w:r>
        <w:rPr>
          <w:rFonts w:hint="eastAsia" w:cs="宋体"/>
          <w:snapToGrid w:val="0"/>
          <w:color w:val="auto"/>
          <w:kern w:val="0"/>
          <w:sz w:val="24"/>
          <w:szCs w:val="21"/>
          <w:highlight w:val="none"/>
        </w:rPr>
        <w:t>乙方</w:t>
      </w:r>
      <w:r>
        <w:rPr>
          <w:rFonts w:hint="eastAsia" w:cs="宋体"/>
          <w:snapToGrid w:val="0"/>
          <w:color w:val="auto"/>
          <w:kern w:val="0"/>
          <w:sz w:val="24"/>
          <w:szCs w:val="21"/>
          <w:highlight w:val="none"/>
        </w:rPr>
        <w:t>每月30日前提交定价申请报告，</w:t>
      </w:r>
      <w:r>
        <w:rPr>
          <w:rFonts w:hint="eastAsia" w:cs="宋体"/>
          <w:snapToGrid w:val="0"/>
          <w:color w:val="auto"/>
          <w:kern w:val="0"/>
          <w:sz w:val="24"/>
          <w:szCs w:val="21"/>
          <w:highlight w:val="none"/>
        </w:rPr>
        <w:t>甲方</w:t>
      </w:r>
      <w:r>
        <w:rPr>
          <w:rFonts w:hint="eastAsia" w:cs="宋体"/>
          <w:snapToGrid w:val="0"/>
          <w:color w:val="auto"/>
          <w:kern w:val="0"/>
          <w:sz w:val="24"/>
          <w:szCs w:val="21"/>
          <w:highlight w:val="none"/>
        </w:rPr>
        <w:t>视市场行情变动情况提交定价申请报告，报告中需说明市场行情、定价理由、销售区域、运输方式等内容，第三方咨询公司出具定价报告，提交定价领导小组初审，象山交通集团定价委员会对销售指导价有最终决定权。</w:t>
      </w:r>
    </w:p>
    <w:p w14:paraId="2A2E1788">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（3）最终确定的销售指导价不得低于按以下办法计算的价格：</w:t>
      </w:r>
    </w:p>
    <w:p w14:paraId="45498131">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①当月《宁波建设工程造价信息综合版》（市区）发布的塘碴、碎石（综合）、机制砂（中）除税信息价减25元/吨后分别乘以78%、75%、69%（四舍五入保留小数点2位）的价格（含3%的增值税）。</w:t>
      </w:r>
    </w:p>
    <w:p w14:paraId="2FEE04E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②若上述①的价格高于</w:t>
      </w:r>
      <w:r>
        <w:rPr>
          <w:rFonts w:hint="eastAsia" w:cs="宋体"/>
          <w:snapToGrid w:val="0"/>
          <w:color w:val="auto"/>
          <w:kern w:val="0"/>
          <w:sz w:val="24"/>
          <w:szCs w:val="21"/>
          <w:highlight w:val="none"/>
        </w:rPr>
        <w:t>甲方</w:t>
      </w:r>
      <w:r>
        <w:rPr>
          <w:rFonts w:hint="eastAsia" w:cs="宋体"/>
          <w:snapToGrid w:val="0"/>
          <w:color w:val="auto"/>
          <w:kern w:val="0"/>
          <w:sz w:val="24"/>
          <w:szCs w:val="21"/>
          <w:highlight w:val="none"/>
        </w:rPr>
        <w:t>后续可能持有的卢家山或雷公山矿产品外销价格时，则参照卢家山或雷公山矿产品外销的价格确定。</w:t>
      </w:r>
    </w:p>
    <w:p w14:paraId="593ECC10">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（4）若上述①的价格用于计算</w:t>
      </w:r>
      <w:r>
        <w:rPr>
          <w:rFonts w:hint="eastAsia" w:cs="宋体"/>
          <w:snapToGrid w:val="0"/>
          <w:color w:val="auto"/>
          <w:kern w:val="0"/>
          <w:sz w:val="24"/>
          <w:szCs w:val="21"/>
          <w:highlight w:val="none"/>
        </w:rPr>
        <w:t>乙方</w:t>
      </w:r>
      <w:r>
        <w:rPr>
          <w:rFonts w:hint="eastAsia" w:cs="宋体"/>
          <w:snapToGrid w:val="0"/>
          <w:color w:val="auto"/>
          <w:kern w:val="0"/>
          <w:sz w:val="24"/>
          <w:szCs w:val="21"/>
          <w:highlight w:val="none"/>
        </w:rPr>
        <w:t>应承担的差额部分时，此价格适用于上月21日至当月20日的销售量。</w:t>
      </w:r>
    </w:p>
    <w:p w14:paraId="379F7FFA">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（5）销售月份中</w:t>
      </w:r>
      <w:r>
        <w:rPr>
          <w:rFonts w:hint="eastAsia" w:cs="宋体"/>
          <w:snapToGrid w:val="0"/>
          <w:color w:val="auto"/>
          <w:kern w:val="0"/>
          <w:sz w:val="24"/>
          <w:szCs w:val="21"/>
          <w:highlight w:val="none"/>
        </w:rPr>
        <w:t>甲方</w:t>
      </w:r>
      <w:r>
        <w:rPr>
          <w:rFonts w:hint="eastAsia" w:cs="宋体"/>
          <w:snapToGrid w:val="0"/>
          <w:color w:val="auto"/>
          <w:kern w:val="0"/>
          <w:sz w:val="24"/>
          <w:szCs w:val="21"/>
          <w:highlight w:val="none"/>
        </w:rPr>
        <w:t>或</w:t>
      </w:r>
      <w:r>
        <w:rPr>
          <w:rFonts w:hint="eastAsia" w:cs="宋体"/>
          <w:snapToGrid w:val="0"/>
          <w:color w:val="auto"/>
          <w:kern w:val="0"/>
          <w:sz w:val="24"/>
          <w:szCs w:val="21"/>
          <w:highlight w:val="none"/>
        </w:rPr>
        <w:t>乙方</w:t>
      </w:r>
      <w:r>
        <w:rPr>
          <w:rFonts w:hint="eastAsia" w:cs="宋体"/>
          <w:snapToGrid w:val="0"/>
          <w:color w:val="auto"/>
          <w:kern w:val="0"/>
          <w:sz w:val="24"/>
          <w:szCs w:val="21"/>
          <w:highlight w:val="none"/>
        </w:rPr>
        <w:t>均未提交定价申请报告的，则沿用最新审核批准的销售指导价。</w:t>
      </w:r>
    </w:p>
    <w:p w14:paraId="083CEA94">
      <w:pPr>
        <w:widowControl w:val="0"/>
        <w:adjustRightInd w:val="0"/>
        <w:snapToGrid w:val="0"/>
        <w:rPr>
          <w:color w:val="auto"/>
          <w:highlight w:val="none"/>
        </w:rPr>
      </w:pPr>
    </w:p>
    <w:p w14:paraId="23FFF022">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十二、甲方负责内容</w:t>
      </w:r>
    </w:p>
    <w:p w14:paraId="2CABFC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1、甲方负责办理矿山开发行政许可需由甲方办理的各类手续及其法律法规需要由甲方办理的各类手续。</w:t>
      </w:r>
    </w:p>
    <w:p w14:paraId="5D13E3B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2、甲方负责开取矿产品销售发票。</w:t>
      </w:r>
    </w:p>
    <w:p w14:paraId="5F14FE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3、向乙方支付劳务报酬、超额收益分成。</w:t>
      </w:r>
    </w:p>
    <w:p w14:paraId="437B79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4、负责矿区日常监督管理工作等。</w:t>
      </w:r>
    </w:p>
    <w:p w14:paraId="72FBD14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5、协助乙方办理配套码头、航道的行政审批手续。</w:t>
      </w:r>
    </w:p>
    <w:p w14:paraId="4199B3DE">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6、协助乙方办理相关必要的手续。</w:t>
      </w:r>
    </w:p>
    <w:p w14:paraId="4096225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7、本项目爆破、生产安全、水运工程、矿山基建工程的监理由甲方负责委托，费用由甲方承担，乙方必须接受监理单位的监理。</w:t>
      </w:r>
    </w:p>
    <w:p w14:paraId="5AB0438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8、以下事项，甲方委托第三方咨询机构进行：</w:t>
      </w:r>
    </w:p>
    <w:p w14:paraId="371AE59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套基础设施投资建设的施工图预算（不含设备购置费）审核及施工阶段全过程造价控制及结算审核（包括但不限于：2000吨级临时码头工程、航道疏浚工程、外运航道回淤维护、矿山开采系统、生产加工及厂房工程、生活管理设施工程、附属配套工程、矿山地质环境保护与土地复垦工程等）。</w:t>
      </w:r>
    </w:p>
    <w:p w14:paraId="1DE776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（2）对购置的所有设备（包括生产加工设备、供电设备等）进行全过程造价控制及结算审核。</w:t>
      </w:r>
    </w:p>
    <w:p w14:paraId="53BADF4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对完成的所有矿区及配套基础设施建设、设备购置后的建设投资以及外运航道疏浚回淤维护费由具备会计师事务所执业证书的单位对其进行财务竣工决算，包括对其竣工结算及重新组价的生产、加工服务费进行审核确认。</w:t>
      </w:r>
    </w:p>
    <w:p w14:paraId="43137BA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（4）在生产加工销售开始后，每月核定销售计量，并出具生产、加工服务费的支付建议。</w:t>
      </w:r>
    </w:p>
    <w:p w14:paraId="5D7BBAF7">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（5）对矿产品销售单位超额收益分享核算，以及其实际销售价未达到销售指导价的补差核算，并出具支付建议。</w:t>
      </w:r>
    </w:p>
    <w:p w14:paraId="6EC074E3">
      <w:pPr>
        <w:pStyle w:val="829"/>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（6）对安全施工、安全生产所实际发生的安全生产费进行支付审核。</w:t>
      </w:r>
    </w:p>
    <w:p w14:paraId="68511C8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（7）协助甲方进行市场询价，按合同约定向甲方提供相关</w:t>
      </w:r>
      <w:r>
        <w:rPr>
          <w:rFonts w:hint="eastAsia" w:cs="宋体"/>
          <w:snapToGrid w:val="0"/>
          <w:color w:val="auto"/>
          <w:kern w:val="0"/>
          <w:sz w:val="24"/>
          <w:szCs w:val="21"/>
          <w:highlight w:val="none"/>
        </w:rPr>
        <w:t>定</w:t>
      </w:r>
      <w:r>
        <w:rPr>
          <w:rFonts w:hint="eastAsia" w:cs="宋体"/>
          <w:snapToGrid w:val="0"/>
          <w:color w:val="auto"/>
          <w:kern w:val="0"/>
          <w:sz w:val="24"/>
          <w:szCs w:val="21"/>
          <w:highlight w:val="none"/>
        </w:rPr>
        <w:t>价依据和建议。</w:t>
      </w:r>
    </w:p>
    <w:p w14:paraId="0AC04E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（8）矿区生产结束后的拆除、平整、矿山地质环境保护与土地复垦、闭矿等工程的审核。</w:t>
      </w:r>
    </w:p>
    <w:p w14:paraId="0E9C97B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（9）每一期的石料生产、加工费支付均需造价部门和会计师事务所盖章确认，每年度出具项目跟踪年度报告。</w:t>
      </w:r>
    </w:p>
    <w:p w14:paraId="287547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（10）生产销售、闭矿审批完成，对本项目进行竣工财务决算，并出具竣工财务决算报告。</w:t>
      </w:r>
    </w:p>
    <w:p w14:paraId="365755B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乙方应做好项目审计、稽查和检查等的配合，包括但不限于：</w:t>
      </w:r>
    </w:p>
    <w:p w14:paraId="4F80AFD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（1）与本工程项目相关的审计和稽查，</w:t>
      </w:r>
      <w:r>
        <w:rPr>
          <w:rFonts w:hint="eastAsia" w:cs="宋体"/>
          <w:snapToGrid w:val="0"/>
          <w:color w:val="auto"/>
          <w:kern w:val="0"/>
          <w:sz w:val="24"/>
          <w:szCs w:val="21"/>
          <w:highlight w:val="none"/>
        </w:rPr>
        <w:t>乙方</w:t>
      </w:r>
      <w:r>
        <w:rPr>
          <w:rFonts w:hint="eastAsia"/>
          <w:color w:val="auto"/>
          <w:sz w:val="24"/>
          <w:highlight w:val="none"/>
        </w:rPr>
        <w:t>应高度重视并委派专人积极予以配合；</w:t>
      </w:r>
    </w:p>
    <w:p w14:paraId="16E69AD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（2）有关单位对本项目的各种检查等活动，</w:t>
      </w:r>
      <w:r>
        <w:rPr>
          <w:rFonts w:hint="eastAsia" w:cs="宋体"/>
          <w:snapToGrid w:val="0"/>
          <w:color w:val="auto"/>
          <w:kern w:val="0"/>
          <w:sz w:val="24"/>
          <w:szCs w:val="21"/>
          <w:highlight w:val="none"/>
        </w:rPr>
        <w:t>乙方</w:t>
      </w:r>
      <w:r>
        <w:rPr>
          <w:rFonts w:hint="eastAsia"/>
          <w:color w:val="auto"/>
          <w:sz w:val="24"/>
          <w:highlight w:val="none"/>
        </w:rPr>
        <w:t>有义务予以积极配合开展各项工作；</w:t>
      </w:r>
    </w:p>
    <w:p w14:paraId="27CE9B0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（3）本项目有关的各类统计报表、汇报材料包括交（竣）工验收和项目后评价报告等，</w:t>
      </w:r>
      <w:r>
        <w:rPr>
          <w:rFonts w:hint="eastAsia" w:cs="宋体"/>
          <w:snapToGrid w:val="0"/>
          <w:color w:val="auto"/>
          <w:kern w:val="0"/>
          <w:sz w:val="24"/>
          <w:szCs w:val="21"/>
          <w:highlight w:val="none"/>
        </w:rPr>
        <w:t>乙方</w:t>
      </w:r>
      <w:r>
        <w:rPr>
          <w:rFonts w:hint="eastAsia"/>
          <w:color w:val="auto"/>
          <w:sz w:val="24"/>
          <w:highlight w:val="none"/>
        </w:rPr>
        <w:t>有义务配合甲方做好编制工作并提供相应的资料；</w:t>
      </w:r>
    </w:p>
    <w:p w14:paraId="3C1EE1A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w:t>
      </w:r>
      <w:r>
        <w:rPr>
          <w:rFonts w:hint="eastAsia" w:cs="宋体"/>
          <w:snapToGrid w:val="0"/>
          <w:color w:val="auto"/>
          <w:kern w:val="0"/>
          <w:sz w:val="24"/>
          <w:szCs w:val="21"/>
          <w:highlight w:val="none"/>
        </w:rPr>
        <w:t>乙方</w:t>
      </w:r>
      <w:r>
        <w:rPr>
          <w:rFonts w:hint="eastAsia"/>
          <w:color w:val="auto"/>
          <w:sz w:val="24"/>
          <w:highlight w:val="none"/>
        </w:rPr>
        <w:t>应按甲方、监理人和有关文件要求，建立相应的计量、支付和变更台帐，同时</w:t>
      </w:r>
      <w:r>
        <w:rPr>
          <w:rFonts w:hint="eastAsia" w:cs="宋体"/>
          <w:snapToGrid w:val="0"/>
          <w:color w:val="auto"/>
          <w:kern w:val="0"/>
          <w:sz w:val="24"/>
          <w:szCs w:val="21"/>
          <w:highlight w:val="none"/>
        </w:rPr>
        <w:t>乙方</w:t>
      </w:r>
      <w:r>
        <w:rPr>
          <w:rFonts w:hint="eastAsia"/>
          <w:color w:val="auto"/>
          <w:sz w:val="24"/>
          <w:highlight w:val="none"/>
        </w:rPr>
        <w:t>应配合甲方、监理人建立相应的台帐，并保持其持续有效直至工程决算完成。</w:t>
      </w:r>
    </w:p>
    <w:p w14:paraId="07C338F5">
      <w:pPr>
        <w:pStyle w:val="829"/>
        <w:adjustRightInd w:val="0"/>
        <w:snapToGrid w:val="0"/>
        <w:spacing w:line="300" w:lineRule="auto"/>
        <w:ind w:firstLine="480" w:firstLineChars="200"/>
        <w:rPr>
          <w:color w:val="auto"/>
          <w:sz w:val="24"/>
          <w:highlight w:val="none"/>
        </w:rPr>
      </w:pPr>
      <w:r>
        <w:rPr>
          <w:rFonts w:hint="eastAsia"/>
          <w:color w:val="auto"/>
          <w:sz w:val="24"/>
          <w:highlight w:val="none"/>
        </w:rPr>
        <w:t>9、本项目所需用电，如由甲方先行实施的，乙方在合同签订后30天内支付相应款项给甲方。</w:t>
      </w:r>
    </w:p>
    <w:p w14:paraId="676CC374">
      <w:pPr>
        <w:widowControl w:val="0"/>
        <w:adjustRightInd w:val="0"/>
        <w:snapToGrid w:val="0"/>
        <w:rPr>
          <w:color w:val="auto"/>
          <w:highlight w:val="none"/>
        </w:rPr>
      </w:pPr>
    </w:p>
    <w:p w14:paraId="529318AC">
      <w:pPr>
        <w:pStyle w:val="829"/>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十三、结算</w:t>
      </w:r>
    </w:p>
    <w:p w14:paraId="70266F0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1、结算说明</w:t>
      </w:r>
    </w:p>
    <w:p w14:paraId="0D7E32A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（1）矿区及配套基础设施投资核定时：如达到投标承诺90%及以上的，按其投标相关费用执行；如未达到投标承诺90%的，按最终审定的“矿区及配套基础设施投资”审定价，调整最终生产加工费结算单价。</w:t>
      </w:r>
    </w:p>
    <w:p w14:paraId="6BA7D08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14:paraId="77E50BD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14:paraId="3D6981F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（2）外运配套码头、矿山地质环境保护与土地复垦费根据最终审定的价格进行分摊。</w:t>
      </w:r>
    </w:p>
    <w:p w14:paraId="13AC9A8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（3）矿山及外运配套码头基本建设期安全生产费用列入工程建设概算中，乙方应按照</w:t>
      </w:r>
      <w:r>
        <w:rPr>
          <w:rFonts w:hint="eastAsia"/>
          <w:color w:val="auto"/>
          <w:sz w:val="24"/>
          <w:highlight w:val="none"/>
        </w:rPr>
        <w:t>码头设计施工图及</w:t>
      </w:r>
      <w:r>
        <w:rPr>
          <w:rFonts w:hint="eastAsia"/>
          <w:color w:val="auto"/>
          <w:sz w:val="24"/>
          <w:highlight w:val="none"/>
        </w:rPr>
        <w:t>《安全设施设计》组织施工建设，乙方在基本建设期的安全投入应按照《企业安全生产费用提取和使用管理办法》（财资〔2022〕136号）文件规定提足、用足安全生产费用，工程完工后乙方应提供工程资料及安全设施购买发票，甲方提供工程监理资料给第三方咨询机构进行审核后，甲方按实结算。</w:t>
      </w:r>
    </w:p>
    <w:p w14:paraId="5FB1222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注：基本建设期安全费用包含在外运配套码头、矿山基础设施投资建设的组价中，根据甲方要求单独核算，乙方不应因安全费用发生变化而向甲方提出增加投资费用的要求。</w:t>
      </w:r>
    </w:p>
    <w:p w14:paraId="29782E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2、费用结算</w:t>
      </w:r>
    </w:p>
    <w:p w14:paraId="02A45E8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（1）石料开采加工费结算：每个月石料开采加工费=各产品综合单价×当月销售量。</w:t>
      </w:r>
    </w:p>
    <w:p w14:paraId="13637F1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（2）外运配套码头成交供应商如明示或暗示不建造，则各产品综合单价扣除外运配套码头的2.55元/吨暂定单价计算每个月石料开采加工费。成交供应商如有前期工作、设计等费用，结算时不得计算。</w:t>
      </w:r>
    </w:p>
    <w:p w14:paraId="224A022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（3）超额收益分成：当实际销售价超过【销售指导价×1.07】时，超过部分【实际销售价-销售指导价×1.07】乙方向甲方收取70%超额收益分成。</w:t>
      </w:r>
    </w:p>
    <w:p w14:paraId="555BB53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（4）矿山建设（包括码头建设）如采用生产出来的碎石、砂的，碎石、砂按实扣回。</w:t>
      </w:r>
    </w:p>
    <w:p w14:paraId="3A43E482">
      <w:pPr>
        <w:widowControl w:val="0"/>
        <w:adjustRightInd w:val="0"/>
        <w:snapToGrid w:val="0"/>
        <w:rPr>
          <w:color w:val="auto"/>
          <w:highlight w:val="none"/>
        </w:rPr>
      </w:pPr>
    </w:p>
    <w:p w14:paraId="59A22DC9">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十四、知识产权保护</w:t>
      </w:r>
    </w:p>
    <w:p w14:paraId="3DC35A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乙方对其所提供的服务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A7B6756">
      <w:pPr>
        <w:widowControl w:val="0"/>
        <w:adjustRightInd w:val="0"/>
        <w:snapToGrid w:val="0"/>
        <w:rPr>
          <w:color w:val="auto"/>
          <w:highlight w:val="none"/>
        </w:rPr>
      </w:pPr>
    </w:p>
    <w:p w14:paraId="3B380DB5">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十五、保密义务</w:t>
      </w:r>
    </w:p>
    <w:p w14:paraId="7072ACD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7A5CECD8">
      <w:pPr>
        <w:widowControl w:val="0"/>
        <w:adjustRightInd w:val="0"/>
        <w:snapToGrid w:val="0"/>
        <w:rPr>
          <w:color w:val="auto"/>
          <w:highlight w:val="none"/>
        </w:rPr>
      </w:pPr>
    </w:p>
    <w:p w14:paraId="59F724B6">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十六、</w:t>
      </w:r>
      <w:r>
        <w:rPr>
          <w:rFonts w:hint="eastAsia" w:cs="宋体"/>
          <w:b/>
          <w:bCs/>
          <w:snapToGrid w:val="0"/>
          <w:color w:val="auto"/>
          <w:kern w:val="0"/>
          <w:sz w:val="24"/>
          <w:szCs w:val="21"/>
          <w:highlight w:val="none"/>
        </w:rPr>
        <w:t>违约</w:t>
      </w:r>
      <w:r>
        <w:rPr>
          <w:rFonts w:hint="eastAsia"/>
          <w:b/>
          <w:bCs/>
          <w:color w:val="auto"/>
          <w:sz w:val="24"/>
          <w:highlight w:val="none"/>
        </w:rPr>
        <w:t>责任</w:t>
      </w:r>
    </w:p>
    <w:p w14:paraId="794838E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乙方明确表示或者以其行为表明不履行合同主要义务的，</w:t>
      </w:r>
      <w:r>
        <w:rPr>
          <w:rFonts w:hint="eastAsia" w:cs="宋体"/>
          <w:snapToGrid w:val="0"/>
          <w:color w:val="auto"/>
          <w:kern w:val="0"/>
          <w:sz w:val="24"/>
          <w:szCs w:val="21"/>
          <w:highlight w:val="none"/>
        </w:rPr>
        <w:t>或消极履行合同义务或其他违约行为导致合同目的无法实现的</w:t>
      </w:r>
      <w:r>
        <w:rPr>
          <w:rFonts w:hint="eastAsia" w:cs="宋体"/>
          <w:snapToGrid w:val="0"/>
          <w:color w:val="auto"/>
          <w:kern w:val="0"/>
          <w:sz w:val="24"/>
          <w:szCs w:val="21"/>
          <w:highlight w:val="none"/>
        </w:rPr>
        <w:t>，属于根本违约，甲方有权单方面解除合同，由于乙方原因造成的，</w:t>
      </w:r>
      <w:r>
        <w:rPr>
          <w:rFonts w:hint="eastAsia" w:cs="宋体"/>
          <w:snapToGrid w:val="0"/>
          <w:color w:val="auto"/>
          <w:kern w:val="0"/>
          <w:sz w:val="24"/>
          <w:szCs w:val="21"/>
          <w:highlight w:val="none"/>
        </w:rPr>
        <w:t>乙方前期所投入的所有设施设备、甲方应付乙方而未支付的费用等归甲方所有</w:t>
      </w:r>
      <w:r>
        <w:rPr>
          <w:rFonts w:hint="eastAsia" w:cs="宋体"/>
          <w:snapToGrid w:val="0"/>
          <w:color w:val="auto"/>
          <w:kern w:val="0"/>
          <w:sz w:val="24"/>
          <w:szCs w:val="21"/>
          <w:highlight w:val="none"/>
        </w:rPr>
        <w:t>，同时没收履约保证金及销售担保，如不足弥补甲方损失的，甲方有权追索；甲方违反合同约定乙方采取不安抗辩措施的除外。</w:t>
      </w:r>
    </w:p>
    <w:p w14:paraId="62BBC72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1、项目施工建设及生产运行过程中发生的社会负面影响较大的安全事件的违约责任</w:t>
      </w:r>
    </w:p>
    <w:p w14:paraId="58D3860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（1）因乙方原因引起的被县级、市级、省级、国家级新闻媒体负面曝光，每曝光一次，甲方按负面影响的程度依次课以2万元、5万元、25万元、50万元的违约金。</w:t>
      </w:r>
    </w:p>
    <w:p w14:paraId="45C954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以上负面新闻包括并不限于以下内容：乙方未按照矿山开采设计、矿山安全规程要求规范施工作业，被上级有关部门或外部专家检查后曝光；在矿山采掘作业、爆破施工、矿石运输过程中产生的林地属性争议、爆破震动投诉、沿线道路村庄噪声、矿石抛洒等环境投诉问题，乙方未能及时处理。</w:t>
      </w:r>
    </w:p>
    <w:p w14:paraId="57C5D31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乙方拖欠工资等问题引起5人以上人员集体上访等原因造成甲方被相关部门处罚，经核实是乙方责任的，甲方课以相关部门处罚金额双倍的违约金。如甲方因此垫付相关费用的，甲方有权直接从应付加工费或履约保证金中扣除。</w:t>
      </w:r>
    </w:p>
    <w:p w14:paraId="5B3F3AA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（3）如因乙方环保、安全、越界开采矿产资源、破坏林地等原因造成甲方被相关部门处罚，经核实是乙方责任的，甲方课以相关部门处罚金额双倍的违约金。</w:t>
      </w:r>
    </w:p>
    <w:p w14:paraId="23B9B5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按照《安全生产严重失信主体名单管理办法》（中华人民共和国应急管理部令第11号）规定，如乙方被有关部门纳入进失信名单，甲方按照有关部门的规定执行，因此造成的损失全部由乙方承担，甲方从履约保证金及销售担保中扣除，</w:t>
      </w:r>
      <w:r>
        <w:rPr>
          <w:rFonts w:hint="eastAsia" w:cs="宋体"/>
          <w:snapToGrid w:val="0"/>
          <w:color w:val="auto"/>
          <w:kern w:val="0"/>
          <w:sz w:val="24"/>
          <w:szCs w:val="21"/>
          <w:highlight w:val="none"/>
        </w:rPr>
        <w:t>影响较为恶劣且对合同履行造成实质性影响的，甲方有权终止合同。</w:t>
      </w:r>
    </w:p>
    <w:p w14:paraId="266FA0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因乙方原因发生质量事故、生产安全事故、环保事件、职业病发生等，造成人身和财产损失的，乙方承担全部行政、民事、刑事责任，除承担损害赔偿责任外，如甲方因此被相关部门处罚的，乙方另按管理部门罚款的双倍金额支付甲方违约金。</w:t>
      </w:r>
    </w:p>
    <w:p w14:paraId="236A682A">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2、项目施工建设过程中未严格执行国家、省、市“三同时”管理规定的违约责任</w:t>
      </w:r>
    </w:p>
    <w:p w14:paraId="442AE2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未严格按照《建设项目安全设施“三同时”监督管理办法》、《金属非金属矿山建设项目安全设施设计编写提纲》、《金属非金属矿山建设项目安全设施设计重大变更范围》，对矿山系统建设项目（矿山开采系统、生产加工系统、公辅工程设施）、外运配套码头建设项目开展安全预评价、安全设施设计、安全设施建设及竣工验收等过程管理不规范，存在工程质量差、安全投入不足、项目建设进度未按甲方要求按期完成，导致矿山安全生产许可证不能及时取得（环保要求同），违约责任如下：</w:t>
      </w:r>
    </w:p>
    <w:p w14:paraId="3C471BB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（1）因政策面原因、甲方战略调整导致的安全、环保设施发生变更，变更审批、备案前的工程延误不计入违约事项，双方须在变更获批后同期变更基本建设期约定。</w:t>
      </w:r>
    </w:p>
    <w:p w14:paraId="0EFFABB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因乙方原因未在开工令发出之日起9个月内完成矿山基础设施建设及设备安装、试生产、安全设施竣工验收（取得安全生产许可证）的，甲方课以5000元/天违约金，因甲方政策处理等原因及其他非因乙方原因的除外。</w:t>
      </w:r>
    </w:p>
    <w:p w14:paraId="016AD8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项目建设过程中，甲方发现乙方未按照矿山建设工程《安全设施设计报告》中的安全设施目录施工建设、生产加工生产线、工程基础、设备选型、工程材料与设计不符，造成以上工程的投资建设质量未达到合同约定标准的，甲方有权要求乙方补建安全设施、工程返工直至工程质量达到合同约定的标准为止，因此造成的工期延误及甲方投资损失全部由乙方负责，甲方按延误工期5000元/天课以违约金。情形严重者甲方有权终止合同。</w:t>
      </w:r>
    </w:p>
    <w:p w14:paraId="7B0FFED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（4）外运配套码头（不包括维护期疏浚）未在18个月完工的，甲方按延误工期5000元/天课以违约金。</w:t>
      </w:r>
    </w:p>
    <w:p w14:paraId="2FAF7D2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3、项目生产经营过程中违反安全、环保、职业危害、消防等国家法律、法规及地方有关规定的违约责任</w:t>
      </w:r>
    </w:p>
    <w:p w14:paraId="7A6135D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乙方安全生产存在重大隐患，被相关主管部门责令停工停产的，每停工停产一天按10000元/天支付甲方违约金；因主管部门督察（检查）、甲方例行检查发现乙方存在问题或安全隐患，需要立即整改的，乙方拒不整改或未按时间节点完成整改，甲方有权要求局部停工、停产，甲方按照</w:t>
      </w:r>
      <w:r>
        <w:rPr>
          <w:rFonts w:hint="eastAsia" w:cs="宋体"/>
          <w:snapToGrid w:val="0"/>
          <w:color w:val="auto"/>
          <w:kern w:val="0"/>
          <w:sz w:val="24"/>
          <w:szCs w:val="21"/>
          <w:highlight w:val="none"/>
        </w:rPr>
        <w:t>每次</w:t>
      </w:r>
      <w:r>
        <w:rPr>
          <w:rFonts w:hint="eastAsia" w:cs="宋体"/>
          <w:snapToGrid w:val="0"/>
          <w:color w:val="auto"/>
          <w:kern w:val="0"/>
          <w:sz w:val="24"/>
          <w:szCs w:val="21"/>
          <w:highlight w:val="none"/>
        </w:rPr>
        <w:t>整改通知课以1万元违约金。</w:t>
      </w:r>
    </w:p>
    <w:p w14:paraId="7E5AFF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未按照《关于加强非煤矿山安全生产工作的指导意见》（矿安〔2022〕4号）的要求，定期开展安全教育培训、安全应急预案演练、安全生产检查、风险辨识管控及隐患排查治理，确保安全费用足额投入而导致生产事故的发生或被上级主管部门约谈，违约责任如下：</w:t>
      </w:r>
    </w:p>
    <w:p w14:paraId="03F9504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1）乙方发生设备设施环保事故、火灾事故、人员轻伤事故，甲方按照一次事故课以5000元违约金，因环保、安全事故导致的行政处罚按照本节相关规定处理。</w:t>
      </w:r>
    </w:p>
    <w:p w14:paraId="0E8A7B4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如发生重伤事故，甲方将按每起事故课以2万元违约金；若发生死亡事故的，乙方除按照《安全生产法》的有关规定承担相应的法律责任外，甲方课以每死亡1人50万元违约金，并有权要求乙方更换适合本项目的安全负责人，因此造成的停工、停产损失，经第三方咨询机构定损后，甲方有权从履约保证金及销售担保中据实扣除。</w:t>
      </w:r>
    </w:p>
    <w:p w14:paraId="71A9374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如发生一起2人及以上死亡或一个月内连续发生两起1人死亡事故，或在黑名单期间又发生死亡事故的，视同违约，乙方必须在三个月内无条件退场，甲方不予经济补偿；退场期间的财产处理由退出方自行解决，甲方无责任和义务承担协调任务，亦不对资产交接、资金往来、劳务工资及事故善后处理、罚款和遗留问题的处理等承担责任。</w:t>
      </w:r>
    </w:p>
    <w:p w14:paraId="03BB684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须按《浙江省矿山粉尘防治技术规范（暂行）》要求，做好矿山粉尘防治。矿山凿岩、机械采掘、石料铲装等环节必须采取喷淋抑尘措施。矿区专用道路及成品料堆场应做到地面硬化。若粉尘废水防治措施或其他生态环境问题未达到要求，被生态环境部门查处，在规定时间内未能整改完成的，甲方课以每次20万元的违约金。</w:t>
      </w:r>
    </w:p>
    <w:p w14:paraId="479B530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（4）乙方若未在规定时间内达到绿色矿山建设要求的，未在整改期内完成整改的，或被移出绿色矿山名录的，课以20万元的违约金，并由乙方承担因此造成的所有损失。</w:t>
      </w:r>
    </w:p>
    <w:p w14:paraId="2CCC8C4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监控系统的视频记录3个月内不得删除；故障超过48小时未修复完好的，支付违约金1万元，并承担全部责任；人为无故关闭视频监控系统，每次课以10万元违约金。人为无故关闭视频监控系统，同时造成资源被盗窃或损失的，没收履约保证金。</w:t>
      </w:r>
    </w:p>
    <w:p w14:paraId="3E2E79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（6）凡甲方提供的图纸、数据等资料，乙方必须专人负责妥善保管，并做好技术和矿山资源保密工作，如有遗失和泄密，乙方承担因此造成的所有损失。</w:t>
      </w:r>
    </w:p>
    <w:p w14:paraId="17E8B73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4、项目生产经营过程中生产组织计划、产品内控管理存在问题违约责任</w:t>
      </w:r>
    </w:p>
    <w:p w14:paraId="55C941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具备生产条件后，乙方生产经营活动应该有计划、有组织、有步骤的合理规划和安排，每月甲方下达的生产计划、销售计划经双方有效沟通和确认后，应按期完成，相关违约事项约定如下：</w:t>
      </w:r>
    </w:p>
    <w:p w14:paraId="24D520E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每年一月份乙方应该在充分识别矿山开采、生产加工、市场销售风险基础上，编制年度生产工作计划和安全环保工作安排并报甲方备案，其中年度产量、销量、开停车事件需分解到月，重点工作任务应包含年度安全（环保）生产目标、教育培训计划、安全（环保）投入保障计划、生产设备大修保养计划、隐患排查治理工作方案等内容，年度生产经营过程中，违约责任如下：</w:t>
      </w:r>
    </w:p>
    <w:p w14:paraId="1F5D00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1）乙方未经甲方书面批准停产超过5天的，超出的天数甲方课以每天2万元的违约金；连续超过20天的或累计超过40天的，视为根本违约。</w:t>
      </w:r>
    </w:p>
    <w:p w14:paraId="4DF9ACB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2）乙方复工复产前未获得上级主管部门批准，乙方自行组织生产的，甲方课以每次2万元的违约金。</w:t>
      </w:r>
    </w:p>
    <w:p w14:paraId="7E62A9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3）乙方应保证按采购需求（时间、数量、质量）进行开采加工，因乙方原因造成年度产量未达到460万吨的，甲方课以50万元违约金。</w:t>
      </w:r>
    </w:p>
    <w:p w14:paraId="2A1E396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4）当项目结束时乙方生产砂石产品比例未达到开采总量50%（因甲方调配原因除外），乙方承担未达到部分的砂石与宕渣的差价</w:t>
      </w:r>
      <w:r>
        <w:rPr>
          <w:rFonts w:hint="eastAsia" w:cs="宋体"/>
          <w:snapToGrid w:val="0"/>
          <w:color w:val="auto"/>
          <w:kern w:val="0"/>
          <w:sz w:val="24"/>
          <w:szCs w:val="21"/>
          <w:highlight w:val="none"/>
        </w:rPr>
        <w:t>（差价以销售指导价平均值为基准）</w:t>
      </w:r>
      <w:r>
        <w:rPr>
          <w:rFonts w:hint="eastAsia" w:cs="宋体"/>
          <w:snapToGrid w:val="0"/>
          <w:color w:val="auto"/>
          <w:kern w:val="0"/>
          <w:sz w:val="24"/>
          <w:szCs w:val="21"/>
          <w:highlight w:val="none"/>
        </w:rPr>
        <w:t>，差价从预缴货款或销售担保中扣除。</w:t>
      </w:r>
    </w:p>
    <w:p w14:paraId="648CD6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5）每季度甲方对乙方进行安全教育培训、安全费用投入使用、隐患排查治理综合检查，乙方未按照年度生产计划完成本条款各项工作，甲方课以5000元/项违约金。</w:t>
      </w:r>
    </w:p>
    <w:p w14:paraId="0A09C0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6）每半年甲方对乙方安全应急预案管理、生产系统检维修工作进行专题检查，乙方未按照年度生产计划完成本条款各项工作，未及时整改的，甲方课以5万元/项违约金。</w:t>
      </w:r>
    </w:p>
    <w:p w14:paraId="3328DA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w:t>
      </w:r>
      <w:r>
        <w:rPr>
          <w:rFonts w:hint="eastAsia" w:cs="宋体"/>
          <w:snapToGrid w:val="0"/>
          <w:color w:val="auto"/>
          <w:kern w:val="0"/>
          <w:sz w:val="24"/>
          <w:szCs w:val="21"/>
          <w:highlight w:val="none"/>
        </w:rPr>
        <w:t>因乙方原因造成矿产品质量或服务要求，每季度达到3次及以上的有效投诉，课以2万元/次违约金。如发生退货情形的，由乙方赔偿被退货产品的所有费用，再次或多次发生退货情形的，除由乙方赔偿被退货产品的所有费用外，还课以2万元/次违约金。</w:t>
      </w:r>
    </w:p>
    <w:p w14:paraId="4161170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5、销售违约责任</w:t>
      </w:r>
    </w:p>
    <w:p w14:paraId="0261F57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（1）正式投产后，采购人每两年对供应商进行销售业绩考核，供应商未完成</w:t>
      </w:r>
      <w:r>
        <w:rPr>
          <w:rFonts w:hint="eastAsia" w:cs="宋体"/>
          <w:snapToGrid w:val="0"/>
          <w:color w:val="auto"/>
          <w:kern w:val="0"/>
          <w:sz w:val="24"/>
          <w:szCs w:val="21"/>
          <w:highlight w:val="none"/>
        </w:rPr>
        <w:t>中标包销比例</w:t>
      </w:r>
      <w:r>
        <w:rPr>
          <w:rFonts w:hint="eastAsia" w:cs="宋体"/>
          <w:snapToGrid w:val="0"/>
          <w:color w:val="auto"/>
          <w:kern w:val="0"/>
          <w:sz w:val="24"/>
          <w:szCs w:val="21"/>
          <w:highlight w:val="none"/>
        </w:rPr>
        <w:t>80%的，或未完成采购人优先调配后剩余可承销部分80%的，采购人没收供应商全部剩余预缴货款、销售担保和履约保证金。</w:t>
      </w:r>
      <w:r>
        <w:rPr>
          <w:rFonts w:hint="eastAsia" w:cs="宋体"/>
          <w:snapToGrid w:val="0"/>
          <w:color w:val="auto"/>
          <w:kern w:val="0"/>
          <w:sz w:val="24"/>
          <w:szCs w:val="21"/>
          <w:highlight w:val="none"/>
        </w:rPr>
        <w:t>没收预缴货款、销售担保和履约保证金后，经双方协商一致继续履行合同的，供应商需重新提交合同约定的预缴货款、销售担保和履约保证金。</w:t>
      </w:r>
    </w:p>
    <w:p w14:paraId="1CF4C5E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正式投产满五年，供应商应保证按</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w:t>
      </w:r>
      <w:r>
        <w:rPr>
          <w:rFonts w:hint="eastAsia" w:cs="宋体"/>
          <w:snapToGrid w:val="0"/>
          <w:color w:val="auto"/>
          <w:kern w:val="0"/>
          <w:sz w:val="24"/>
          <w:szCs w:val="21"/>
          <w:highlight w:val="none"/>
        </w:rPr>
        <w:t>完成矿产品销售责任，如未完成</w:t>
      </w:r>
      <w:r>
        <w:rPr>
          <w:rFonts w:hint="eastAsia" w:cs="宋体"/>
          <w:i/>
          <w:iCs/>
          <w:snapToGrid w:val="0"/>
          <w:color w:val="auto"/>
          <w:kern w:val="0"/>
          <w:sz w:val="24"/>
          <w:szCs w:val="21"/>
          <w:highlight w:val="none"/>
        </w:rPr>
        <w:t>[中标]</w:t>
      </w:r>
      <w:r>
        <w:rPr>
          <w:rFonts w:hint="eastAsia" w:cs="宋体"/>
          <w:snapToGrid w:val="0"/>
          <w:color w:val="auto"/>
          <w:kern w:val="0"/>
          <w:sz w:val="24"/>
          <w:szCs w:val="21"/>
          <w:highlight w:val="none"/>
        </w:rPr>
        <w:t>包销比例</w:t>
      </w:r>
      <w:r>
        <w:rPr>
          <w:rFonts w:hint="eastAsia" w:cs="宋体"/>
          <w:snapToGrid w:val="0"/>
          <w:color w:val="auto"/>
          <w:kern w:val="0"/>
          <w:sz w:val="24"/>
          <w:szCs w:val="21"/>
          <w:highlight w:val="none"/>
        </w:rPr>
        <w:t>的，视为根本违约，采购人有权单方面解除合同，成交供应商前期所投入的所有设施设备、采购人应付成交供应商而未支付的费用等归采购人所有，同时没收全部剩余预缴货款、履约保证金及销售担保。因采购人调配原因除外</w:t>
      </w:r>
    </w:p>
    <w:p w14:paraId="75582A8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开采出的石料归甲方所有，乙方不得私自外运、外卖，如乙方私自外运、外卖，按该货物当期销售指导价的10倍向甲方支付违约金，违约金甲方从预缴货款中扣除。涉嫌违法犯罪的，甲方有权移送公安机关处理。</w:t>
      </w:r>
    </w:p>
    <w:p w14:paraId="52640B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（3）乙方未履行矿产品的保管责任，造成资源流失的，以流失资源当期销售指导价10倍向甲方支付违约金，违约金甲方从预缴货款中扣除。</w:t>
      </w:r>
    </w:p>
    <w:p w14:paraId="6322CF7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应科学安排年度生产计划，享有优先调配宕渣、石料生产、销售周期的权力，每月乙方接到甲方自销生产指令后，应该严格按照甲方的采购需求保质保量生产，如乙方未按照甲方工作指令进行生产或生产产品不符合客户质量要求，因此造成的损失，经第三方咨询机构定损后，甲方据实从预留货款中扣除。</w:t>
      </w:r>
    </w:p>
    <w:p w14:paraId="497EBDFC">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6、项目部生产组织架构及人员履职存在问题的违约责任</w:t>
      </w:r>
    </w:p>
    <w:p w14:paraId="1E4B42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配备的项目组成员（指项目负责人、技术负责人、安全负责人、专职安全员、工程技术人员）月到位率不少于每月22日历天（有特殊情况少于上述时间的，应通知甲方，并征得甲方书面同意），且涉及到爆破等环节，必须到位，月到位率达不到规定的，承担1000元/人/天的违约金，从开采加工费中扣除。</w:t>
      </w:r>
    </w:p>
    <w:p w14:paraId="48485C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主要管理人员（指项目负责人、技术负责人、安全负责人、专职安全员、工程技术人员）在项目实施期间如出现不听甲方的正常工作指挥，影响恶劣的，甲方有权要求乙方及时调换主要管理人员直至符合采购文件要求止。如发现主要管理人员中有不称职或有其他违背职业道德发生，甲方有权要求乙方无条件更换该主要管理人员并提供具有更佳工程经验的主要管理人员，经甲方考核同意后再上岗，否则由此造成的一切损失由乙方赔偿。</w:t>
      </w:r>
    </w:p>
    <w:p w14:paraId="1B0239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（3）乙方主要管理人员未履行安全管理规范的，每发现1次，课以1000元/人/次的违约金。</w:t>
      </w:r>
    </w:p>
    <w:p w14:paraId="3F5449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每季度对乙方所配置的安全负责人、安全管理人员进行考核。当季度考核不合格的，课以500元/人违约金，第二个季度考核不合格的，课以2000元/人违约金，第三个季度仍不合格的，甲方责令乙方更换安全管理人员。</w:t>
      </w:r>
    </w:p>
    <w:p w14:paraId="1F908A1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7、项目部承包商管理存在问题的违约责任</w:t>
      </w:r>
    </w:p>
    <w:p w14:paraId="070DC15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乙方违反约定进行转包或分包或挂靠的，甲方有权单方解除合同，取消乙方的项目实施资格。乙方被取消项目实施资格的，乙方除赔偿甲方所有损失外，还须向甲方支付合同总价款10%的违约金。</w:t>
      </w:r>
    </w:p>
    <w:p w14:paraId="35BED031">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8、甲方违约责任</w:t>
      </w:r>
    </w:p>
    <w:p w14:paraId="7445BA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（1）甲方逾期一个月未按合同约定支付款项的，按中国人民银行同期基准利率（LPR）向乙方支付逾期付款利息。超过90天仍未支付，乙方有权暂停矿山开发和销售工作。</w:t>
      </w:r>
    </w:p>
    <w:p w14:paraId="320BAEC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（2）如因甲方原因导致合同解除/终止，乙方前期投入所有设施设备等经第三方评估后双方协商解决，协商不成的通过法律途径解决。</w:t>
      </w:r>
    </w:p>
    <w:p w14:paraId="053D8B5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9、特别说明</w:t>
      </w:r>
    </w:p>
    <w:p w14:paraId="2516A0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因不可抗力因素【地震、海啸、火山爆发、泥石流、暴雨（雪）、台风、龙卷风、水灾等自然灾害、战争、骚乱、暴动（但纯属乙方或其分包人派遣与雇用的人员由于本合同建设原因引起者除外）、核反应、辐射或放射性污染、空中飞行物体坠落或非甲方或乙方责任造成的爆炸（及火灾）、瘟疫等】强制性政策影响，乙方未能按甲方要求进度完成任务的不承担违约责任。</w:t>
      </w:r>
    </w:p>
    <w:p w14:paraId="700530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安全、环保、职业危害等按照国家、省、市最新相关规定和要求执行，乙方应对相关规定充分识别，如项目现场现状及采购文件与公告附件的相关资料有不一致的，投标乙方应以现状及采购文件为准，并制定投标方案。</w:t>
      </w:r>
    </w:p>
    <w:p w14:paraId="1229A01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（3）上述各项违约金除注明出处的，甲方有权在加工服务款中或履约保证金或销售担保中扣除，如履约保证金或销售担保扣减后，乙方应立即将保证金或担保补齐至约定金额</w:t>
      </w:r>
      <w:r>
        <w:rPr>
          <w:rFonts w:hint="eastAsia" w:cs="宋体"/>
          <w:snapToGrid w:val="0"/>
          <w:color w:val="auto"/>
          <w:kern w:val="0"/>
          <w:sz w:val="24"/>
          <w:szCs w:val="21"/>
          <w:highlight w:val="none"/>
        </w:rPr>
        <w:t>。</w:t>
      </w:r>
    </w:p>
    <w:p w14:paraId="61F039CC">
      <w:pPr>
        <w:widowControl w:val="0"/>
        <w:adjustRightInd w:val="0"/>
        <w:snapToGrid w:val="0"/>
        <w:rPr>
          <w:color w:val="auto"/>
          <w:highlight w:val="none"/>
        </w:rPr>
      </w:pPr>
    </w:p>
    <w:p w14:paraId="57E628F7">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十七、合同变更、中止与终止</w:t>
      </w:r>
    </w:p>
    <w:p w14:paraId="33BE6E1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1、合同的变更</w:t>
      </w:r>
    </w:p>
    <w:p w14:paraId="2B9314F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政府采购合同履行中，在不改变合同其他条款的前提下，甲方可以在合同价款10%的范围内追加与合同标的相同的服务，并就此与乙方协商一致后签订补充协议。</w:t>
      </w:r>
    </w:p>
    <w:p w14:paraId="44983E0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2、合同的中止</w:t>
      </w:r>
    </w:p>
    <w:p w14:paraId="1F90FE9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（1）合同履行过程中因乙方就采购文件、采购过程或结果提起投诉的，甲方认为有必要的，可以中止合同的履行。</w:t>
      </w:r>
    </w:p>
    <w:p w14:paraId="1882E0F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FFD008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809251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（4）甲方不得以行政区划调整、政府换届、机构或者职能调整以及相关责任人更替为由中止合同。</w:t>
      </w:r>
    </w:p>
    <w:p w14:paraId="71E191B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3、合同的终止</w:t>
      </w:r>
    </w:p>
    <w:p w14:paraId="759F0A1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（1）合同因有效期限届满而终止；</w:t>
      </w:r>
    </w:p>
    <w:p w14:paraId="7152153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（2）乙方未按合同约定履行，构成根本性违约的，甲方有权终止合同，并追究乙方的违约责任。</w:t>
      </w:r>
    </w:p>
    <w:p w14:paraId="75043C7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4、涉及国家利益、社会公共利益的情形</w:t>
      </w:r>
    </w:p>
    <w:p w14:paraId="3E8F78B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政府采购合同继续履行将损害国家利益和社会公共利益的，双方当事人应当变更、中止或者终止合同。有过错的一方应当承担赔偿责任，双方都有过错的，各自承担相应的责任。</w:t>
      </w:r>
    </w:p>
    <w:p w14:paraId="2116F134">
      <w:pPr>
        <w:widowControl w:val="0"/>
        <w:adjustRightInd w:val="0"/>
        <w:snapToGrid w:val="0"/>
        <w:rPr>
          <w:color w:val="auto"/>
          <w:highlight w:val="none"/>
        </w:rPr>
      </w:pPr>
    </w:p>
    <w:p w14:paraId="083020E0">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十八、合同分包</w:t>
      </w:r>
    </w:p>
    <w:p w14:paraId="3969E1B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1、乙方不得将合同转包给其他乙方。涉及合同分包的，乙方应根据采购文件和投标（响应）文件规定进行合同分包。</w:t>
      </w:r>
    </w:p>
    <w:p w14:paraId="2E04964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2、乙方执行政府采购政策向中小企业依法分包的，乙方应当按采购文件和投标（响应）文件签订分包意向协议，分包意向协议属于本合同组成部分。</w:t>
      </w:r>
    </w:p>
    <w:p w14:paraId="0106CEA2">
      <w:pPr>
        <w:widowControl w:val="0"/>
        <w:adjustRightInd w:val="0"/>
        <w:snapToGrid w:val="0"/>
        <w:rPr>
          <w:color w:val="auto"/>
          <w:highlight w:val="none"/>
        </w:rPr>
      </w:pPr>
    </w:p>
    <w:p w14:paraId="7D31DB57">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十九、不可抗力</w:t>
      </w:r>
    </w:p>
    <w:p w14:paraId="7CB8852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1、不可抗力是指合同双方不能预见、不能避免且不能克服的客观情况。</w:t>
      </w:r>
    </w:p>
    <w:p w14:paraId="4DD9FC5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2、任何一方对由于不可抗力造成的部分或全部不能履行合同不承担违约责任。但迟延履行后发生不可抗力的，不能免除责任。</w:t>
      </w:r>
    </w:p>
    <w:p w14:paraId="3EB3871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51D772">
      <w:pPr>
        <w:widowControl w:val="0"/>
        <w:adjustRightInd w:val="0"/>
        <w:snapToGrid w:val="0"/>
        <w:rPr>
          <w:color w:val="auto"/>
          <w:highlight w:val="none"/>
        </w:rPr>
      </w:pPr>
    </w:p>
    <w:p w14:paraId="46C2E756">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二十、解决争议的方法</w:t>
      </w:r>
    </w:p>
    <w:p w14:paraId="3E31AD8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1、因本合同及合同有关事项发生的争议，由甲乙双方友好协商解决。协商不成时，可以向有关组织申请调解。合同一方或双方不愿调解或调解不成的，向项目所在地人民法院起诉的方式解决争议。</w:t>
      </w:r>
    </w:p>
    <w:p w14:paraId="12DBD5D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2、如甲乙双方有争议的事项不影响合同其他部分的履行，在争议解决期间，合同其他部分应当继续履行。</w:t>
      </w:r>
    </w:p>
    <w:p w14:paraId="16A83862">
      <w:pPr>
        <w:widowControl w:val="0"/>
        <w:adjustRightInd w:val="0"/>
        <w:snapToGrid w:val="0"/>
        <w:rPr>
          <w:color w:val="auto"/>
          <w:highlight w:val="none"/>
        </w:rPr>
      </w:pPr>
    </w:p>
    <w:p w14:paraId="4E87CAD0">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二十一、法律适用</w:t>
      </w:r>
    </w:p>
    <w:p w14:paraId="4A7C64C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1、本合同的订立、生效、解释、履行及与本合同有关的争议解决，均适用法律、行政法规。</w:t>
      </w:r>
    </w:p>
    <w:p w14:paraId="2133109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2、本合同条款与法律、行政法规的强制性规定不一致的，双方当事人应按照法律、行政法规的强制性规定修改本合同的相关条款。</w:t>
      </w:r>
    </w:p>
    <w:p w14:paraId="3F114D92">
      <w:pPr>
        <w:widowControl w:val="0"/>
        <w:adjustRightInd w:val="0"/>
        <w:snapToGrid w:val="0"/>
        <w:rPr>
          <w:color w:val="auto"/>
          <w:highlight w:val="none"/>
        </w:rPr>
      </w:pPr>
    </w:p>
    <w:p w14:paraId="15D9C185">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二十二、通知</w:t>
      </w:r>
    </w:p>
    <w:p w14:paraId="5DE1B8D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1、本合同任何一方向对方发出的通知、信件、数据电文等，应当发送至本条款所约定的通讯地址、联系人、联系电话或电子邮箱。</w:t>
      </w:r>
    </w:p>
    <w:p w14:paraId="377E2DA3">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甲方</w:t>
      </w:r>
      <w:r>
        <w:rPr>
          <w:snapToGrid w:val="0"/>
          <w:color w:val="auto"/>
          <w:kern w:val="0"/>
          <w:sz w:val="24"/>
          <w:szCs w:val="32"/>
          <w:highlight w:val="none"/>
        </w:rPr>
        <w:t>接收文件的地点：</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7EA98BE5">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指定的接收人为：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4968CD8C">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w:t>
      </w:r>
      <w:r>
        <w:rPr>
          <w:rFonts w:hint="eastAsia"/>
          <w:snapToGrid w:val="0"/>
          <w:color w:val="auto"/>
          <w:kern w:val="0"/>
          <w:sz w:val="24"/>
          <w:szCs w:val="32"/>
          <w:highlight w:val="none"/>
        </w:rPr>
        <w:t>联系电话</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54A2495A">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甲方</w:t>
      </w:r>
      <w:r>
        <w:rPr>
          <w:snapToGrid w:val="0"/>
          <w:color w:val="auto"/>
          <w:kern w:val="0"/>
          <w:sz w:val="24"/>
          <w:szCs w:val="32"/>
          <w:highlight w:val="none"/>
        </w:rPr>
        <w:t>指定的</w:t>
      </w:r>
      <w:r>
        <w:rPr>
          <w:rFonts w:hint="eastAsia"/>
          <w:snapToGrid w:val="0"/>
          <w:color w:val="auto"/>
          <w:kern w:val="0"/>
          <w:sz w:val="24"/>
          <w:szCs w:val="32"/>
          <w:highlight w:val="none"/>
        </w:rPr>
        <w:t>电子邮箱</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70E4E533">
      <w:pPr>
        <w:adjustRightInd w:val="0"/>
        <w:snapToGrid w:val="0"/>
        <w:spacing w:line="300" w:lineRule="auto"/>
        <w:ind w:firstLine="480" w:firstLineChars="200"/>
        <w:rPr>
          <w:snapToGrid w:val="0"/>
          <w:color w:val="auto"/>
          <w:kern w:val="0"/>
          <w:sz w:val="24"/>
          <w:szCs w:val="32"/>
          <w:highlight w:val="none"/>
        </w:rPr>
      </w:pPr>
      <w:r>
        <w:rPr>
          <w:rFonts w:hint="eastAsia"/>
          <w:snapToGrid w:val="0"/>
          <w:color w:val="auto"/>
          <w:kern w:val="0"/>
          <w:sz w:val="24"/>
          <w:szCs w:val="32"/>
          <w:highlight w:val="none"/>
        </w:rPr>
        <w:t>乙方</w:t>
      </w:r>
      <w:r>
        <w:rPr>
          <w:snapToGrid w:val="0"/>
          <w:color w:val="auto"/>
          <w:kern w:val="0"/>
          <w:sz w:val="24"/>
          <w:szCs w:val="32"/>
          <w:highlight w:val="none"/>
        </w:rPr>
        <w:t>接收文件的地点：</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snapToGrid w:val="0"/>
          <w:color w:val="auto"/>
          <w:kern w:val="0"/>
          <w:sz w:val="24"/>
          <w:szCs w:val="32"/>
          <w:highlight w:val="none"/>
        </w:rPr>
        <w:t>；</w:t>
      </w:r>
    </w:p>
    <w:p w14:paraId="1839B7C3">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指定的接收人为：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794B6C68">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w:t>
      </w:r>
      <w:r>
        <w:rPr>
          <w:rFonts w:hint="eastAsia"/>
          <w:snapToGrid w:val="0"/>
          <w:color w:val="auto"/>
          <w:kern w:val="0"/>
          <w:sz w:val="24"/>
          <w:szCs w:val="32"/>
          <w:highlight w:val="none"/>
        </w:rPr>
        <w:t>联系电话</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5D8AD74D">
      <w:pPr>
        <w:adjustRightInd w:val="0"/>
        <w:snapToGrid w:val="0"/>
        <w:spacing w:line="300" w:lineRule="auto"/>
        <w:ind w:firstLine="480" w:firstLineChars="200"/>
        <w:rPr>
          <w:snapToGrid w:val="0"/>
          <w:color w:val="auto"/>
          <w:kern w:val="0"/>
          <w:sz w:val="24"/>
          <w:szCs w:val="32"/>
          <w:highlight w:val="none"/>
          <w:u w:val="single"/>
        </w:rPr>
      </w:pPr>
      <w:r>
        <w:rPr>
          <w:rFonts w:hint="eastAsia"/>
          <w:snapToGrid w:val="0"/>
          <w:color w:val="auto"/>
          <w:kern w:val="0"/>
          <w:sz w:val="24"/>
          <w:szCs w:val="32"/>
          <w:highlight w:val="none"/>
        </w:rPr>
        <w:t>乙方</w:t>
      </w:r>
      <w:r>
        <w:rPr>
          <w:snapToGrid w:val="0"/>
          <w:color w:val="auto"/>
          <w:kern w:val="0"/>
          <w:sz w:val="24"/>
          <w:szCs w:val="32"/>
          <w:highlight w:val="none"/>
        </w:rPr>
        <w:t>指定的</w:t>
      </w:r>
      <w:r>
        <w:rPr>
          <w:rFonts w:hint="eastAsia"/>
          <w:snapToGrid w:val="0"/>
          <w:color w:val="auto"/>
          <w:kern w:val="0"/>
          <w:sz w:val="24"/>
          <w:szCs w:val="32"/>
          <w:highlight w:val="none"/>
        </w:rPr>
        <w:t>电子邮箱</w:t>
      </w:r>
      <w:r>
        <w:rPr>
          <w:snapToGrid w:val="0"/>
          <w:color w:val="auto"/>
          <w:kern w:val="0"/>
          <w:sz w:val="24"/>
          <w:szCs w:val="32"/>
          <w:highlight w:val="none"/>
        </w:rPr>
        <w:t>为：</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u w:val="single"/>
        </w:rPr>
        <w:t xml:space="preserve">     </w:t>
      </w:r>
      <w:r>
        <w:rPr>
          <w:snapToGrid w:val="0"/>
          <w:color w:val="auto"/>
          <w:kern w:val="0"/>
          <w:sz w:val="24"/>
          <w:szCs w:val="32"/>
          <w:highlight w:val="none"/>
          <w:u w:val="single"/>
        </w:rPr>
        <w:t xml:space="preserve"> </w:t>
      </w:r>
      <w:r>
        <w:rPr>
          <w:rFonts w:hint="eastAsia"/>
          <w:snapToGrid w:val="0"/>
          <w:color w:val="auto"/>
          <w:kern w:val="0"/>
          <w:sz w:val="24"/>
          <w:szCs w:val="32"/>
          <w:highlight w:val="none"/>
        </w:rPr>
        <w:t>；</w:t>
      </w:r>
    </w:p>
    <w:p w14:paraId="3272993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2、一方当事人变更名称、住所、联系人、联系电话或电子邮箱等信息的，应当在变更后3日内及时书面通知对方，对方实际收到变更通知前的送达仍为有效送达。</w:t>
      </w:r>
    </w:p>
    <w:p w14:paraId="716B95B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3、本合同一方给另一方的通知均应采用书面形式，传真或快递送到本合同中规定的对方的地址和办理签收手续。</w:t>
      </w:r>
    </w:p>
    <w:p w14:paraId="475B47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4、通知以送达之日或通知书中规定的生效之日起生效，两者中以较迟之日为准。</w:t>
      </w:r>
    </w:p>
    <w:p w14:paraId="13DA7D1D">
      <w:pPr>
        <w:widowControl w:val="0"/>
        <w:adjustRightInd w:val="0"/>
        <w:snapToGrid w:val="0"/>
        <w:rPr>
          <w:color w:val="auto"/>
          <w:highlight w:val="none"/>
        </w:rPr>
      </w:pPr>
    </w:p>
    <w:p w14:paraId="3FFE8845">
      <w:pPr>
        <w:pStyle w:val="829"/>
        <w:adjustRightInd w:val="0"/>
        <w:snapToGrid w:val="0"/>
        <w:spacing w:line="300" w:lineRule="auto"/>
        <w:ind w:firstLine="482" w:firstLineChars="200"/>
        <w:rPr>
          <w:b/>
          <w:bCs/>
          <w:color w:val="auto"/>
          <w:sz w:val="24"/>
          <w:highlight w:val="none"/>
        </w:rPr>
      </w:pPr>
      <w:bookmarkStart w:id="139" w:name="_Toc92031841"/>
      <w:r>
        <w:rPr>
          <w:rFonts w:hint="eastAsia"/>
          <w:b/>
          <w:bCs/>
          <w:color w:val="auto"/>
          <w:sz w:val="24"/>
          <w:highlight w:val="none"/>
        </w:rPr>
        <w:t>二十三</w:t>
      </w:r>
      <w:r>
        <w:rPr>
          <w:b/>
          <w:bCs/>
          <w:color w:val="auto"/>
          <w:sz w:val="24"/>
          <w:highlight w:val="none"/>
        </w:rPr>
        <w:t>、补充协议</w:t>
      </w:r>
      <w:bookmarkEnd w:id="139"/>
    </w:p>
    <w:p w14:paraId="22BE8487">
      <w:pPr>
        <w:adjustRightInd w:val="0"/>
        <w:snapToGrid w:val="0"/>
        <w:spacing w:line="300" w:lineRule="auto"/>
        <w:ind w:firstLine="480" w:firstLineChars="200"/>
        <w:rPr>
          <w:color w:val="auto"/>
          <w:sz w:val="24"/>
          <w:highlight w:val="none"/>
        </w:rPr>
      </w:pPr>
      <w:r>
        <w:rPr>
          <w:color w:val="auto"/>
          <w:sz w:val="24"/>
          <w:highlight w:val="none"/>
        </w:rPr>
        <w:t>合同未尽事宜，合同当事人另行签订补充协议</w:t>
      </w:r>
      <w:r>
        <w:rPr>
          <w:rFonts w:hint="eastAsia"/>
          <w:color w:val="auto"/>
          <w:sz w:val="24"/>
          <w:highlight w:val="none"/>
        </w:rPr>
        <w:t>，</w:t>
      </w:r>
      <w:r>
        <w:rPr>
          <w:color w:val="auto"/>
          <w:sz w:val="24"/>
          <w:highlight w:val="none"/>
        </w:rPr>
        <w:t>补充协议是合同的组成部分。</w:t>
      </w:r>
    </w:p>
    <w:p w14:paraId="01EEF122">
      <w:pPr>
        <w:widowControl w:val="0"/>
        <w:adjustRightInd w:val="0"/>
        <w:snapToGrid w:val="0"/>
        <w:rPr>
          <w:color w:val="auto"/>
          <w:highlight w:val="none"/>
        </w:rPr>
      </w:pPr>
      <w:bookmarkStart w:id="140" w:name="_Toc92031842"/>
    </w:p>
    <w:p w14:paraId="46A560C5">
      <w:pPr>
        <w:adjustRightInd w:val="0"/>
        <w:snapToGrid w:val="0"/>
        <w:spacing w:line="300" w:lineRule="auto"/>
        <w:ind w:firstLine="482" w:firstLineChars="200"/>
        <w:rPr>
          <w:b/>
          <w:bCs/>
          <w:color w:val="auto"/>
          <w:sz w:val="24"/>
          <w:highlight w:val="none"/>
        </w:rPr>
      </w:pPr>
      <w:r>
        <w:rPr>
          <w:rFonts w:hint="eastAsia"/>
          <w:b/>
          <w:bCs/>
          <w:color w:val="auto"/>
          <w:sz w:val="24"/>
          <w:highlight w:val="none"/>
        </w:rPr>
        <w:t>二十四</w:t>
      </w:r>
      <w:r>
        <w:rPr>
          <w:b/>
          <w:bCs/>
          <w:color w:val="auto"/>
          <w:sz w:val="24"/>
          <w:highlight w:val="none"/>
        </w:rPr>
        <w:t>、合同生效</w:t>
      </w:r>
      <w:bookmarkEnd w:id="140"/>
    </w:p>
    <w:p w14:paraId="517E40FB">
      <w:pPr>
        <w:adjustRightInd w:val="0"/>
        <w:snapToGrid w:val="0"/>
        <w:spacing w:line="300" w:lineRule="auto"/>
        <w:ind w:firstLine="480" w:firstLineChars="200"/>
        <w:rPr>
          <w:color w:val="auto"/>
          <w:sz w:val="24"/>
          <w:highlight w:val="none"/>
        </w:rPr>
      </w:pPr>
      <w:r>
        <w:rPr>
          <w:color w:val="auto"/>
          <w:sz w:val="24"/>
          <w:highlight w:val="none"/>
        </w:rPr>
        <w:t>本合同自</w:t>
      </w:r>
      <w:r>
        <w:rPr>
          <w:color w:val="auto"/>
          <w:sz w:val="24"/>
          <w:highlight w:val="none"/>
          <w:u w:val="single"/>
        </w:rPr>
        <w:t xml:space="preserve">  </w:t>
      </w:r>
      <w:r>
        <w:rPr>
          <w:rFonts w:hint="eastAsia"/>
          <w:color w:val="auto"/>
          <w:sz w:val="24"/>
          <w:highlight w:val="none"/>
          <w:u w:val="single"/>
        </w:rPr>
        <w:t xml:space="preserve"> 双方签字盖章且乙方提供有效的履约保证金后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生效。</w:t>
      </w:r>
    </w:p>
    <w:p w14:paraId="738FBEBD">
      <w:pPr>
        <w:widowControl w:val="0"/>
        <w:adjustRightInd w:val="0"/>
        <w:snapToGrid w:val="0"/>
        <w:rPr>
          <w:color w:val="auto"/>
          <w:highlight w:val="none"/>
        </w:rPr>
      </w:pPr>
      <w:bookmarkStart w:id="141" w:name="_Toc92031843"/>
    </w:p>
    <w:p w14:paraId="6C954587">
      <w:pPr>
        <w:pStyle w:val="829"/>
        <w:adjustRightInd w:val="0"/>
        <w:snapToGrid w:val="0"/>
        <w:spacing w:line="300" w:lineRule="auto"/>
        <w:ind w:firstLine="482" w:firstLineChars="200"/>
        <w:rPr>
          <w:b/>
          <w:bCs/>
          <w:color w:val="auto"/>
          <w:sz w:val="24"/>
          <w:highlight w:val="none"/>
        </w:rPr>
      </w:pPr>
      <w:r>
        <w:rPr>
          <w:rFonts w:hint="eastAsia"/>
          <w:b/>
          <w:bCs/>
          <w:color w:val="auto"/>
          <w:sz w:val="24"/>
          <w:highlight w:val="none"/>
        </w:rPr>
        <w:t>二十五</w:t>
      </w:r>
      <w:r>
        <w:rPr>
          <w:b/>
          <w:bCs/>
          <w:color w:val="auto"/>
          <w:sz w:val="24"/>
          <w:highlight w:val="none"/>
        </w:rPr>
        <w:t>、</w:t>
      </w:r>
      <w:r>
        <w:rPr>
          <w:rFonts w:cs="宋体"/>
          <w:b/>
          <w:bCs/>
          <w:snapToGrid w:val="0"/>
          <w:color w:val="auto"/>
          <w:kern w:val="0"/>
          <w:sz w:val="24"/>
          <w:szCs w:val="21"/>
          <w:highlight w:val="none"/>
        </w:rPr>
        <w:t>合同</w:t>
      </w:r>
      <w:r>
        <w:rPr>
          <w:b/>
          <w:bCs/>
          <w:color w:val="auto"/>
          <w:sz w:val="24"/>
          <w:highlight w:val="none"/>
        </w:rPr>
        <w:t>份数</w:t>
      </w:r>
      <w:bookmarkEnd w:id="141"/>
    </w:p>
    <w:p w14:paraId="35994966">
      <w:pPr>
        <w:adjustRightInd w:val="0"/>
        <w:snapToGrid w:val="0"/>
        <w:spacing w:line="300" w:lineRule="auto"/>
        <w:ind w:firstLine="480" w:firstLineChars="200"/>
        <w:rPr>
          <w:color w:val="auto"/>
          <w:sz w:val="24"/>
          <w:highlight w:val="none"/>
        </w:rPr>
      </w:pPr>
      <w:r>
        <w:rPr>
          <w:color w:val="auto"/>
          <w:sz w:val="24"/>
          <w:highlight w:val="none"/>
        </w:rPr>
        <w:t>本合同一式</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份，均具有同等法律效力，甲方执</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份，乙方执</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份。</w:t>
      </w:r>
    </w:p>
    <w:p w14:paraId="54A1A38C">
      <w:pPr>
        <w:adjustRightInd w:val="0"/>
        <w:snapToGrid w:val="0"/>
        <w:spacing w:line="300" w:lineRule="auto"/>
        <w:ind w:firstLine="480" w:firstLineChars="200"/>
        <w:rPr>
          <w:color w:val="auto"/>
          <w:sz w:val="24"/>
          <w:highlight w:val="none"/>
        </w:rPr>
      </w:pPr>
      <w:bookmarkStart w:id="142" w:name="_Toc92031839"/>
      <w:r>
        <w:rPr>
          <w:rFonts w:hint="eastAsia"/>
          <w:color w:val="auto"/>
          <w:sz w:val="24"/>
          <w:highlight w:val="none"/>
        </w:rPr>
        <w:t>合同</w:t>
      </w:r>
      <w:r>
        <w:rPr>
          <w:color w:val="auto"/>
          <w:sz w:val="24"/>
          <w:highlight w:val="none"/>
        </w:rPr>
        <w:t>签订时间</w:t>
      </w:r>
      <w:bookmarkEnd w:id="142"/>
      <w:r>
        <w:rPr>
          <w:rFonts w:hint="eastAsia"/>
          <w:color w:val="auto"/>
          <w:sz w:val="24"/>
          <w:highlight w:val="none"/>
        </w:rPr>
        <w:t>：</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日签订。</w:t>
      </w:r>
    </w:p>
    <w:p w14:paraId="580C155D">
      <w:pPr>
        <w:adjustRightInd w:val="0"/>
        <w:snapToGrid w:val="0"/>
        <w:spacing w:line="300" w:lineRule="auto"/>
        <w:ind w:firstLine="480" w:firstLineChars="200"/>
        <w:rPr>
          <w:color w:val="auto"/>
          <w:sz w:val="24"/>
          <w:highlight w:val="none"/>
        </w:rPr>
      </w:pPr>
      <w:r>
        <w:rPr>
          <w:rFonts w:hint="eastAsia"/>
          <w:color w:val="auto"/>
          <w:sz w:val="24"/>
          <w:highlight w:val="none"/>
        </w:rPr>
        <w:t>合同</w:t>
      </w:r>
      <w:r>
        <w:rPr>
          <w:color w:val="auto"/>
          <w:sz w:val="24"/>
          <w:highlight w:val="none"/>
        </w:rPr>
        <w:t>签订地点</w:t>
      </w:r>
      <w:r>
        <w:rPr>
          <w:rFonts w:hint="eastAsia"/>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项目所在地</w:t>
      </w:r>
      <w:r>
        <w:rPr>
          <w:color w:val="auto"/>
          <w:sz w:val="24"/>
          <w:highlight w:val="none"/>
          <w:u w:val="single"/>
        </w:rPr>
        <w:t xml:space="preserve">          </w:t>
      </w:r>
      <w:r>
        <w:rPr>
          <w:color w:val="auto"/>
          <w:sz w:val="24"/>
          <w:highlight w:val="none"/>
        </w:rPr>
        <w:t>。</w:t>
      </w:r>
    </w:p>
    <w:p w14:paraId="629C7304">
      <w:pPr>
        <w:widowControl w:val="0"/>
        <w:adjustRightInd w:val="0"/>
        <w:snapToGrid w:val="0"/>
        <w:rPr>
          <w:color w:val="auto"/>
          <w:highlight w:val="none"/>
        </w:rPr>
      </w:pPr>
    </w:p>
    <w:p w14:paraId="26F53F50">
      <w:pPr>
        <w:widowControl w:val="0"/>
        <w:adjustRightInd w:val="0"/>
        <w:snapToGrid w:val="0"/>
        <w:rPr>
          <w:color w:val="auto"/>
          <w:highlight w:val="none"/>
        </w:rPr>
      </w:pPr>
    </w:p>
    <w:p w14:paraId="27A768BA">
      <w:pPr>
        <w:widowControl w:val="0"/>
        <w:adjustRightInd w:val="0"/>
        <w:snapToGrid w:val="0"/>
        <w:rPr>
          <w:color w:val="auto"/>
          <w:highlight w:val="none"/>
        </w:rPr>
      </w:pPr>
    </w:p>
    <w:p w14:paraId="46288F2C">
      <w:pPr>
        <w:widowControl w:val="0"/>
        <w:adjustRightInd w:val="0"/>
        <w:snapToGrid w:val="0"/>
        <w:rPr>
          <w:color w:val="auto"/>
          <w:highlight w:val="none"/>
        </w:rPr>
      </w:pPr>
    </w:p>
    <w:p w14:paraId="43848DBC">
      <w:pPr>
        <w:widowControl w:val="0"/>
        <w:adjustRightInd w:val="0"/>
        <w:snapToGrid w:val="0"/>
        <w:rPr>
          <w:color w:val="auto"/>
          <w:highlight w:val="none"/>
        </w:rPr>
      </w:pPr>
    </w:p>
    <w:p w14:paraId="710CC483">
      <w:pPr>
        <w:widowControl w:val="0"/>
        <w:adjustRightInd w:val="0"/>
        <w:snapToGrid w:val="0"/>
        <w:rPr>
          <w:color w:val="auto"/>
          <w:highlight w:val="none"/>
        </w:rPr>
      </w:pPr>
    </w:p>
    <w:p w14:paraId="784E383A">
      <w:pPr>
        <w:widowControl w:val="0"/>
        <w:adjustRightInd w:val="0"/>
        <w:snapToGrid w:val="0"/>
        <w:rPr>
          <w:color w:val="auto"/>
          <w:highlight w:val="none"/>
        </w:rPr>
      </w:pPr>
    </w:p>
    <w:p w14:paraId="7C87F3EA">
      <w:pPr>
        <w:widowControl w:val="0"/>
        <w:adjustRightInd w:val="0"/>
        <w:snapToGrid w:val="0"/>
        <w:rPr>
          <w:color w:val="auto"/>
          <w:highlight w:val="none"/>
        </w:rPr>
      </w:pPr>
    </w:p>
    <w:tbl>
      <w:tblPr>
        <w:tblStyle w:val="60"/>
        <w:tblW w:w="5000" w:type="pct"/>
        <w:tblInd w:w="0" w:type="dxa"/>
        <w:tblLayout w:type="autofit"/>
        <w:tblCellMar>
          <w:top w:w="0" w:type="dxa"/>
          <w:left w:w="108" w:type="dxa"/>
          <w:bottom w:w="0" w:type="dxa"/>
          <w:right w:w="108" w:type="dxa"/>
        </w:tblCellMar>
      </w:tblPr>
      <w:tblGrid>
        <w:gridCol w:w="3045"/>
        <w:gridCol w:w="1830"/>
        <w:gridCol w:w="3101"/>
        <w:gridCol w:w="1708"/>
      </w:tblGrid>
      <w:tr w14:paraId="1D7AB706">
        <w:tblPrEx>
          <w:tblCellMar>
            <w:top w:w="0" w:type="dxa"/>
            <w:left w:w="108" w:type="dxa"/>
            <w:bottom w:w="0" w:type="dxa"/>
            <w:right w:w="108" w:type="dxa"/>
          </w:tblCellMar>
        </w:tblPrEx>
        <w:trPr>
          <w:trHeight w:val="490" w:hRule="atLeast"/>
        </w:trPr>
        <w:tc>
          <w:tcPr>
            <w:tcW w:w="2517" w:type="pct"/>
            <w:gridSpan w:val="2"/>
            <w:vAlign w:val="center"/>
          </w:tcPr>
          <w:p w14:paraId="06A55C69">
            <w:pPr>
              <w:widowControl w:val="0"/>
              <w:adjustRightInd w:val="0"/>
              <w:snapToGrid w:val="0"/>
              <w:spacing w:line="300" w:lineRule="auto"/>
              <w:rPr>
                <w:snapToGrid w:val="0"/>
                <w:color w:val="auto"/>
                <w:kern w:val="0"/>
                <w:sz w:val="24"/>
                <w:highlight w:val="none"/>
              </w:rPr>
            </w:pPr>
            <w:r>
              <w:rPr>
                <w:snapToGrid w:val="0"/>
                <w:color w:val="auto"/>
                <w:kern w:val="0"/>
                <w:sz w:val="24"/>
                <w:szCs w:val="21"/>
                <w:highlight w:val="none"/>
              </w:rPr>
              <w:t>甲方</w:t>
            </w:r>
          </w:p>
        </w:tc>
        <w:tc>
          <w:tcPr>
            <w:tcW w:w="2483" w:type="pct"/>
            <w:gridSpan w:val="2"/>
            <w:vAlign w:val="center"/>
          </w:tcPr>
          <w:p w14:paraId="10D6DA20">
            <w:pPr>
              <w:widowControl w:val="0"/>
              <w:adjustRightInd w:val="0"/>
              <w:snapToGrid w:val="0"/>
              <w:spacing w:line="300" w:lineRule="auto"/>
              <w:rPr>
                <w:snapToGrid w:val="0"/>
                <w:color w:val="auto"/>
                <w:kern w:val="0"/>
                <w:sz w:val="24"/>
                <w:highlight w:val="none"/>
              </w:rPr>
            </w:pPr>
            <w:r>
              <w:rPr>
                <w:snapToGrid w:val="0"/>
                <w:color w:val="auto"/>
                <w:kern w:val="0"/>
                <w:sz w:val="24"/>
                <w:szCs w:val="21"/>
                <w:highlight w:val="none"/>
              </w:rPr>
              <w:t>乙方</w:t>
            </w:r>
          </w:p>
        </w:tc>
      </w:tr>
      <w:tr w14:paraId="133BA7D6">
        <w:tblPrEx>
          <w:tblCellMar>
            <w:top w:w="0" w:type="dxa"/>
            <w:left w:w="108" w:type="dxa"/>
            <w:bottom w:w="0" w:type="dxa"/>
            <w:right w:w="108" w:type="dxa"/>
          </w:tblCellMar>
        </w:tblPrEx>
        <w:trPr>
          <w:trHeight w:val="917" w:hRule="atLeast"/>
        </w:trPr>
        <w:tc>
          <w:tcPr>
            <w:tcW w:w="1572" w:type="pct"/>
            <w:vAlign w:val="center"/>
          </w:tcPr>
          <w:p w14:paraId="07CC19E7">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单位名称</w:t>
            </w:r>
            <w:r>
              <w:rPr>
                <w:rFonts w:hint="eastAsia"/>
                <w:snapToGrid w:val="0"/>
                <w:color w:val="auto"/>
                <w:kern w:val="0"/>
                <w:sz w:val="24"/>
                <w:szCs w:val="21"/>
                <w:highlight w:val="none"/>
              </w:rPr>
              <w:t>（公章或合同章）：</w:t>
            </w:r>
          </w:p>
        </w:tc>
        <w:tc>
          <w:tcPr>
            <w:tcW w:w="945" w:type="pct"/>
            <w:vAlign w:val="center"/>
          </w:tcPr>
          <w:p w14:paraId="3C0A79A7">
            <w:pPr>
              <w:widowControl w:val="0"/>
              <w:adjustRightInd w:val="0"/>
              <w:snapToGrid w:val="0"/>
              <w:spacing w:line="300" w:lineRule="auto"/>
              <w:rPr>
                <w:snapToGrid w:val="0"/>
                <w:color w:val="auto"/>
                <w:kern w:val="0"/>
                <w:sz w:val="24"/>
                <w:szCs w:val="21"/>
                <w:highlight w:val="none"/>
              </w:rPr>
            </w:pPr>
          </w:p>
        </w:tc>
        <w:tc>
          <w:tcPr>
            <w:tcW w:w="1601" w:type="pct"/>
            <w:vAlign w:val="center"/>
          </w:tcPr>
          <w:p w14:paraId="78E9C120">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单位名称</w:t>
            </w:r>
            <w:r>
              <w:rPr>
                <w:rFonts w:hint="eastAsia"/>
                <w:snapToGrid w:val="0"/>
                <w:color w:val="auto"/>
                <w:kern w:val="0"/>
                <w:sz w:val="24"/>
                <w:szCs w:val="21"/>
                <w:highlight w:val="none"/>
              </w:rPr>
              <w:t>（公章或合同章）：</w:t>
            </w:r>
          </w:p>
        </w:tc>
        <w:tc>
          <w:tcPr>
            <w:tcW w:w="882" w:type="pct"/>
            <w:vAlign w:val="center"/>
          </w:tcPr>
          <w:p w14:paraId="3AA2D113">
            <w:pPr>
              <w:widowControl w:val="0"/>
              <w:adjustRightInd w:val="0"/>
              <w:snapToGrid w:val="0"/>
              <w:spacing w:line="300" w:lineRule="auto"/>
              <w:rPr>
                <w:snapToGrid w:val="0"/>
                <w:color w:val="auto"/>
                <w:kern w:val="0"/>
                <w:sz w:val="24"/>
                <w:szCs w:val="21"/>
                <w:highlight w:val="none"/>
              </w:rPr>
            </w:pPr>
          </w:p>
        </w:tc>
      </w:tr>
      <w:tr w14:paraId="525DB50E">
        <w:tblPrEx>
          <w:tblCellMar>
            <w:top w:w="0" w:type="dxa"/>
            <w:left w:w="108" w:type="dxa"/>
            <w:bottom w:w="0" w:type="dxa"/>
            <w:right w:w="108" w:type="dxa"/>
          </w:tblCellMar>
        </w:tblPrEx>
        <w:trPr>
          <w:trHeight w:val="1171" w:hRule="atLeast"/>
        </w:trPr>
        <w:tc>
          <w:tcPr>
            <w:tcW w:w="1572" w:type="pct"/>
            <w:vMerge w:val="restart"/>
            <w:vAlign w:val="center"/>
          </w:tcPr>
          <w:p w14:paraId="72A27FBA">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法定代表人</w:t>
            </w:r>
          </w:p>
          <w:p w14:paraId="5F0AEB3E">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或其</w:t>
            </w:r>
            <w:r>
              <w:rPr>
                <w:snapToGrid w:val="0"/>
                <w:color w:val="auto"/>
                <w:kern w:val="0"/>
                <w:sz w:val="24"/>
                <w:szCs w:val="21"/>
                <w:highlight w:val="none"/>
              </w:rPr>
              <w:t>委托代理人</w:t>
            </w:r>
            <w:r>
              <w:rPr>
                <w:rFonts w:hint="eastAsia"/>
                <w:snapToGrid w:val="0"/>
                <w:color w:val="auto"/>
                <w:kern w:val="0"/>
                <w:sz w:val="24"/>
                <w:szCs w:val="21"/>
                <w:highlight w:val="none"/>
              </w:rPr>
              <w:t>（签章）：</w:t>
            </w:r>
          </w:p>
        </w:tc>
        <w:tc>
          <w:tcPr>
            <w:tcW w:w="945" w:type="pct"/>
            <w:vMerge w:val="restart"/>
            <w:vAlign w:val="center"/>
          </w:tcPr>
          <w:p w14:paraId="40EFA049">
            <w:pPr>
              <w:widowControl w:val="0"/>
              <w:adjustRightInd w:val="0"/>
              <w:snapToGrid w:val="0"/>
              <w:spacing w:line="300" w:lineRule="auto"/>
              <w:rPr>
                <w:snapToGrid w:val="0"/>
                <w:color w:val="auto"/>
                <w:kern w:val="0"/>
                <w:sz w:val="24"/>
                <w:szCs w:val="21"/>
                <w:highlight w:val="none"/>
              </w:rPr>
            </w:pPr>
          </w:p>
        </w:tc>
        <w:tc>
          <w:tcPr>
            <w:tcW w:w="1601" w:type="pct"/>
            <w:vAlign w:val="center"/>
          </w:tcPr>
          <w:p w14:paraId="43E4E68A">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法定代表人</w:t>
            </w:r>
          </w:p>
          <w:p w14:paraId="3F6D03B1">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或其</w:t>
            </w:r>
            <w:r>
              <w:rPr>
                <w:snapToGrid w:val="0"/>
                <w:color w:val="auto"/>
                <w:kern w:val="0"/>
                <w:sz w:val="24"/>
                <w:szCs w:val="21"/>
                <w:highlight w:val="none"/>
              </w:rPr>
              <w:t>委托代理人</w:t>
            </w:r>
            <w:r>
              <w:rPr>
                <w:rFonts w:hint="eastAsia"/>
                <w:snapToGrid w:val="0"/>
                <w:color w:val="auto"/>
                <w:kern w:val="0"/>
                <w:sz w:val="24"/>
                <w:szCs w:val="21"/>
                <w:highlight w:val="none"/>
              </w:rPr>
              <w:t>（签章）：</w:t>
            </w:r>
          </w:p>
        </w:tc>
        <w:tc>
          <w:tcPr>
            <w:tcW w:w="882" w:type="pct"/>
            <w:vAlign w:val="center"/>
          </w:tcPr>
          <w:p w14:paraId="543362AF">
            <w:pPr>
              <w:widowControl w:val="0"/>
              <w:adjustRightInd w:val="0"/>
              <w:snapToGrid w:val="0"/>
              <w:spacing w:line="300" w:lineRule="auto"/>
              <w:rPr>
                <w:snapToGrid w:val="0"/>
                <w:color w:val="auto"/>
                <w:kern w:val="0"/>
                <w:sz w:val="24"/>
                <w:szCs w:val="21"/>
                <w:highlight w:val="none"/>
              </w:rPr>
            </w:pPr>
          </w:p>
        </w:tc>
      </w:tr>
      <w:tr w14:paraId="78806A7B">
        <w:tblPrEx>
          <w:tblCellMar>
            <w:top w:w="0" w:type="dxa"/>
            <w:left w:w="108" w:type="dxa"/>
            <w:bottom w:w="0" w:type="dxa"/>
            <w:right w:w="108" w:type="dxa"/>
          </w:tblCellMar>
        </w:tblPrEx>
        <w:trPr>
          <w:trHeight w:val="483" w:hRule="atLeast"/>
        </w:trPr>
        <w:tc>
          <w:tcPr>
            <w:tcW w:w="1572" w:type="pct"/>
            <w:vMerge w:val="continue"/>
            <w:vAlign w:val="center"/>
          </w:tcPr>
          <w:p w14:paraId="6FF7BFFC">
            <w:pPr>
              <w:widowControl w:val="0"/>
              <w:adjustRightInd w:val="0"/>
              <w:snapToGrid w:val="0"/>
              <w:spacing w:line="300" w:lineRule="auto"/>
              <w:rPr>
                <w:snapToGrid w:val="0"/>
                <w:color w:val="auto"/>
                <w:kern w:val="0"/>
                <w:sz w:val="24"/>
                <w:szCs w:val="21"/>
                <w:highlight w:val="none"/>
              </w:rPr>
            </w:pPr>
          </w:p>
        </w:tc>
        <w:tc>
          <w:tcPr>
            <w:tcW w:w="945" w:type="pct"/>
            <w:vMerge w:val="continue"/>
            <w:vAlign w:val="center"/>
          </w:tcPr>
          <w:p w14:paraId="0E8D27F4">
            <w:pPr>
              <w:widowControl w:val="0"/>
              <w:adjustRightInd w:val="0"/>
              <w:snapToGrid w:val="0"/>
              <w:spacing w:line="300" w:lineRule="auto"/>
              <w:rPr>
                <w:snapToGrid w:val="0"/>
                <w:color w:val="auto"/>
                <w:kern w:val="0"/>
                <w:sz w:val="24"/>
                <w:szCs w:val="21"/>
                <w:highlight w:val="none"/>
              </w:rPr>
            </w:pPr>
          </w:p>
        </w:tc>
        <w:tc>
          <w:tcPr>
            <w:tcW w:w="1601" w:type="pct"/>
            <w:vAlign w:val="center"/>
          </w:tcPr>
          <w:p w14:paraId="5842636D">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拥有者性别：</w:t>
            </w:r>
          </w:p>
        </w:tc>
        <w:tc>
          <w:tcPr>
            <w:tcW w:w="882" w:type="pct"/>
            <w:vAlign w:val="center"/>
          </w:tcPr>
          <w:p w14:paraId="05ED37C0">
            <w:pPr>
              <w:widowControl w:val="0"/>
              <w:adjustRightInd w:val="0"/>
              <w:snapToGrid w:val="0"/>
              <w:spacing w:line="300" w:lineRule="auto"/>
              <w:rPr>
                <w:snapToGrid w:val="0"/>
                <w:color w:val="auto"/>
                <w:kern w:val="0"/>
                <w:sz w:val="24"/>
                <w:szCs w:val="21"/>
                <w:highlight w:val="none"/>
              </w:rPr>
            </w:pPr>
          </w:p>
        </w:tc>
      </w:tr>
      <w:tr w14:paraId="256696C1">
        <w:tblPrEx>
          <w:tblCellMar>
            <w:top w:w="0" w:type="dxa"/>
            <w:left w:w="108" w:type="dxa"/>
            <w:bottom w:w="0" w:type="dxa"/>
            <w:right w:w="108" w:type="dxa"/>
          </w:tblCellMar>
        </w:tblPrEx>
        <w:trPr>
          <w:trHeight w:val="397" w:hRule="atLeast"/>
        </w:trPr>
        <w:tc>
          <w:tcPr>
            <w:tcW w:w="1572" w:type="pct"/>
            <w:vAlign w:val="center"/>
          </w:tcPr>
          <w:p w14:paraId="7181F78D">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住所：</w:t>
            </w:r>
          </w:p>
        </w:tc>
        <w:tc>
          <w:tcPr>
            <w:tcW w:w="945" w:type="pct"/>
            <w:vAlign w:val="center"/>
          </w:tcPr>
          <w:p w14:paraId="2202DAA1">
            <w:pPr>
              <w:widowControl w:val="0"/>
              <w:adjustRightInd w:val="0"/>
              <w:snapToGrid w:val="0"/>
              <w:spacing w:line="300" w:lineRule="auto"/>
              <w:rPr>
                <w:snapToGrid w:val="0"/>
                <w:color w:val="auto"/>
                <w:kern w:val="0"/>
                <w:sz w:val="24"/>
                <w:szCs w:val="21"/>
                <w:highlight w:val="none"/>
              </w:rPr>
            </w:pPr>
          </w:p>
        </w:tc>
        <w:tc>
          <w:tcPr>
            <w:tcW w:w="1601" w:type="pct"/>
            <w:vAlign w:val="center"/>
          </w:tcPr>
          <w:p w14:paraId="628A1672">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住所：</w:t>
            </w:r>
          </w:p>
        </w:tc>
        <w:tc>
          <w:tcPr>
            <w:tcW w:w="882" w:type="pct"/>
            <w:vAlign w:val="center"/>
          </w:tcPr>
          <w:p w14:paraId="668C09F3">
            <w:pPr>
              <w:widowControl w:val="0"/>
              <w:adjustRightInd w:val="0"/>
              <w:snapToGrid w:val="0"/>
              <w:spacing w:line="300" w:lineRule="auto"/>
              <w:rPr>
                <w:snapToGrid w:val="0"/>
                <w:color w:val="auto"/>
                <w:kern w:val="0"/>
                <w:sz w:val="24"/>
                <w:szCs w:val="21"/>
                <w:highlight w:val="none"/>
              </w:rPr>
            </w:pPr>
          </w:p>
        </w:tc>
      </w:tr>
      <w:tr w14:paraId="0158E8CC">
        <w:tblPrEx>
          <w:tblCellMar>
            <w:top w:w="0" w:type="dxa"/>
            <w:left w:w="108" w:type="dxa"/>
            <w:bottom w:w="0" w:type="dxa"/>
            <w:right w:w="108" w:type="dxa"/>
          </w:tblCellMar>
        </w:tblPrEx>
        <w:trPr>
          <w:trHeight w:val="397" w:hRule="atLeast"/>
        </w:trPr>
        <w:tc>
          <w:tcPr>
            <w:tcW w:w="1572" w:type="pct"/>
            <w:vAlign w:val="center"/>
          </w:tcPr>
          <w:p w14:paraId="6BB23E08">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联系人</w:t>
            </w:r>
            <w:r>
              <w:rPr>
                <w:rFonts w:hint="eastAsia"/>
                <w:snapToGrid w:val="0"/>
                <w:color w:val="auto"/>
                <w:kern w:val="0"/>
                <w:sz w:val="24"/>
                <w:szCs w:val="21"/>
                <w:highlight w:val="none"/>
              </w:rPr>
              <w:t>：</w:t>
            </w:r>
          </w:p>
        </w:tc>
        <w:tc>
          <w:tcPr>
            <w:tcW w:w="945" w:type="pct"/>
            <w:vAlign w:val="center"/>
          </w:tcPr>
          <w:p w14:paraId="3002A388">
            <w:pPr>
              <w:widowControl w:val="0"/>
              <w:adjustRightInd w:val="0"/>
              <w:snapToGrid w:val="0"/>
              <w:spacing w:line="300" w:lineRule="auto"/>
              <w:rPr>
                <w:snapToGrid w:val="0"/>
                <w:color w:val="auto"/>
                <w:kern w:val="0"/>
                <w:sz w:val="24"/>
                <w:szCs w:val="21"/>
                <w:highlight w:val="none"/>
              </w:rPr>
            </w:pPr>
          </w:p>
        </w:tc>
        <w:tc>
          <w:tcPr>
            <w:tcW w:w="1601" w:type="pct"/>
            <w:vAlign w:val="center"/>
          </w:tcPr>
          <w:p w14:paraId="70485E29">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联系人</w:t>
            </w:r>
            <w:r>
              <w:rPr>
                <w:rFonts w:hint="eastAsia"/>
                <w:snapToGrid w:val="0"/>
                <w:color w:val="auto"/>
                <w:kern w:val="0"/>
                <w:sz w:val="24"/>
                <w:szCs w:val="21"/>
                <w:highlight w:val="none"/>
              </w:rPr>
              <w:t>：</w:t>
            </w:r>
          </w:p>
        </w:tc>
        <w:tc>
          <w:tcPr>
            <w:tcW w:w="882" w:type="pct"/>
            <w:vAlign w:val="center"/>
          </w:tcPr>
          <w:p w14:paraId="23514F38">
            <w:pPr>
              <w:widowControl w:val="0"/>
              <w:adjustRightInd w:val="0"/>
              <w:snapToGrid w:val="0"/>
              <w:spacing w:line="300" w:lineRule="auto"/>
              <w:rPr>
                <w:snapToGrid w:val="0"/>
                <w:color w:val="auto"/>
                <w:kern w:val="0"/>
                <w:sz w:val="24"/>
                <w:szCs w:val="21"/>
                <w:highlight w:val="none"/>
              </w:rPr>
            </w:pPr>
          </w:p>
        </w:tc>
      </w:tr>
      <w:tr w14:paraId="061BC545">
        <w:tblPrEx>
          <w:tblCellMar>
            <w:top w:w="0" w:type="dxa"/>
            <w:left w:w="108" w:type="dxa"/>
            <w:bottom w:w="0" w:type="dxa"/>
            <w:right w:w="108" w:type="dxa"/>
          </w:tblCellMar>
        </w:tblPrEx>
        <w:trPr>
          <w:trHeight w:val="397" w:hRule="atLeast"/>
        </w:trPr>
        <w:tc>
          <w:tcPr>
            <w:tcW w:w="1572" w:type="pct"/>
            <w:vAlign w:val="center"/>
          </w:tcPr>
          <w:p w14:paraId="4AE7783B">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联系电话</w:t>
            </w:r>
            <w:r>
              <w:rPr>
                <w:rFonts w:hint="eastAsia"/>
                <w:snapToGrid w:val="0"/>
                <w:color w:val="auto"/>
                <w:kern w:val="0"/>
                <w:sz w:val="24"/>
                <w:szCs w:val="21"/>
                <w:highlight w:val="none"/>
              </w:rPr>
              <w:t>：</w:t>
            </w:r>
          </w:p>
        </w:tc>
        <w:tc>
          <w:tcPr>
            <w:tcW w:w="945" w:type="pct"/>
            <w:vAlign w:val="center"/>
          </w:tcPr>
          <w:p w14:paraId="2CFC4A06">
            <w:pPr>
              <w:widowControl w:val="0"/>
              <w:adjustRightInd w:val="0"/>
              <w:snapToGrid w:val="0"/>
              <w:spacing w:line="300" w:lineRule="auto"/>
              <w:rPr>
                <w:snapToGrid w:val="0"/>
                <w:color w:val="auto"/>
                <w:kern w:val="0"/>
                <w:sz w:val="24"/>
                <w:szCs w:val="21"/>
                <w:highlight w:val="none"/>
              </w:rPr>
            </w:pPr>
          </w:p>
        </w:tc>
        <w:tc>
          <w:tcPr>
            <w:tcW w:w="1601" w:type="pct"/>
            <w:vAlign w:val="center"/>
          </w:tcPr>
          <w:p w14:paraId="65B09E45">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联系电话</w:t>
            </w:r>
            <w:r>
              <w:rPr>
                <w:rFonts w:hint="eastAsia"/>
                <w:snapToGrid w:val="0"/>
                <w:color w:val="auto"/>
                <w:kern w:val="0"/>
                <w:sz w:val="24"/>
                <w:szCs w:val="21"/>
                <w:highlight w:val="none"/>
              </w:rPr>
              <w:t>：</w:t>
            </w:r>
          </w:p>
        </w:tc>
        <w:tc>
          <w:tcPr>
            <w:tcW w:w="882" w:type="pct"/>
            <w:vAlign w:val="center"/>
          </w:tcPr>
          <w:p w14:paraId="43B4B1F4">
            <w:pPr>
              <w:widowControl w:val="0"/>
              <w:adjustRightInd w:val="0"/>
              <w:snapToGrid w:val="0"/>
              <w:spacing w:line="300" w:lineRule="auto"/>
              <w:rPr>
                <w:snapToGrid w:val="0"/>
                <w:color w:val="auto"/>
                <w:kern w:val="0"/>
                <w:sz w:val="24"/>
                <w:szCs w:val="21"/>
                <w:highlight w:val="none"/>
              </w:rPr>
            </w:pPr>
          </w:p>
        </w:tc>
      </w:tr>
      <w:tr w14:paraId="4823A68D">
        <w:tblPrEx>
          <w:tblCellMar>
            <w:top w:w="0" w:type="dxa"/>
            <w:left w:w="108" w:type="dxa"/>
            <w:bottom w:w="0" w:type="dxa"/>
            <w:right w:w="108" w:type="dxa"/>
          </w:tblCellMar>
        </w:tblPrEx>
        <w:trPr>
          <w:trHeight w:val="397" w:hRule="atLeast"/>
        </w:trPr>
        <w:tc>
          <w:tcPr>
            <w:tcW w:w="1572" w:type="pct"/>
            <w:vAlign w:val="center"/>
          </w:tcPr>
          <w:p w14:paraId="726BA38F">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通信地址：</w:t>
            </w:r>
          </w:p>
        </w:tc>
        <w:tc>
          <w:tcPr>
            <w:tcW w:w="945" w:type="pct"/>
            <w:vAlign w:val="center"/>
          </w:tcPr>
          <w:p w14:paraId="266E8755">
            <w:pPr>
              <w:widowControl w:val="0"/>
              <w:adjustRightInd w:val="0"/>
              <w:snapToGrid w:val="0"/>
              <w:spacing w:line="300" w:lineRule="auto"/>
              <w:rPr>
                <w:snapToGrid w:val="0"/>
                <w:color w:val="auto"/>
                <w:kern w:val="0"/>
                <w:sz w:val="24"/>
                <w:szCs w:val="21"/>
                <w:highlight w:val="none"/>
              </w:rPr>
            </w:pPr>
          </w:p>
        </w:tc>
        <w:tc>
          <w:tcPr>
            <w:tcW w:w="1601" w:type="pct"/>
            <w:vAlign w:val="center"/>
          </w:tcPr>
          <w:p w14:paraId="794A8E62">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通信地址：</w:t>
            </w:r>
          </w:p>
        </w:tc>
        <w:tc>
          <w:tcPr>
            <w:tcW w:w="882" w:type="pct"/>
            <w:vAlign w:val="center"/>
          </w:tcPr>
          <w:p w14:paraId="3C4542E2">
            <w:pPr>
              <w:widowControl w:val="0"/>
              <w:adjustRightInd w:val="0"/>
              <w:snapToGrid w:val="0"/>
              <w:spacing w:line="300" w:lineRule="auto"/>
              <w:rPr>
                <w:snapToGrid w:val="0"/>
                <w:color w:val="auto"/>
                <w:kern w:val="0"/>
                <w:sz w:val="24"/>
                <w:szCs w:val="21"/>
                <w:highlight w:val="none"/>
              </w:rPr>
            </w:pPr>
          </w:p>
        </w:tc>
      </w:tr>
      <w:tr w14:paraId="032AF358">
        <w:tblPrEx>
          <w:tblCellMar>
            <w:top w:w="0" w:type="dxa"/>
            <w:left w:w="108" w:type="dxa"/>
            <w:bottom w:w="0" w:type="dxa"/>
            <w:right w:w="108" w:type="dxa"/>
          </w:tblCellMar>
        </w:tblPrEx>
        <w:trPr>
          <w:trHeight w:val="397" w:hRule="atLeast"/>
        </w:trPr>
        <w:tc>
          <w:tcPr>
            <w:tcW w:w="1572" w:type="pct"/>
            <w:vAlign w:val="center"/>
          </w:tcPr>
          <w:p w14:paraId="1AB94FE2">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邮政编码</w:t>
            </w:r>
            <w:r>
              <w:rPr>
                <w:rFonts w:hint="eastAsia"/>
                <w:snapToGrid w:val="0"/>
                <w:color w:val="auto"/>
                <w:kern w:val="0"/>
                <w:sz w:val="24"/>
                <w:szCs w:val="21"/>
                <w:highlight w:val="none"/>
              </w:rPr>
              <w:t>：</w:t>
            </w:r>
          </w:p>
        </w:tc>
        <w:tc>
          <w:tcPr>
            <w:tcW w:w="945" w:type="pct"/>
            <w:vAlign w:val="center"/>
          </w:tcPr>
          <w:p w14:paraId="523A50B7">
            <w:pPr>
              <w:widowControl w:val="0"/>
              <w:adjustRightInd w:val="0"/>
              <w:snapToGrid w:val="0"/>
              <w:spacing w:line="300" w:lineRule="auto"/>
              <w:rPr>
                <w:snapToGrid w:val="0"/>
                <w:color w:val="auto"/>
                <w:kern w:val="0"/>
                <w:sz w:val="24"/>
                <w:szCs w:val="21"/>
                <w:highlight w:val="none"/>
              </w:rPr>
            </w:pPr>
          </w:p>
        </w:tc>
        <w:tc>
          <w:tcPr>
            <w:tcW w:w="1601" w:type="pct"/>
            <w:vAlign w:val="center"/>
          </w:tcPr>
          <w:p w14:paraId="22375E7D">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邮政编码</w:t>
            </w:r>
            <w:r>
              <w:rPr>
                <w:rFonts w:hint="eastAsia"/>
                <w:snapToGrid w:val="0"/>
                <w:color w:val="auto"/>
                <w:kern w:val="0"/>
                <w:sz w:val="24"/>
                <w:szCs w:val="21"/>
                <w:highlight w:val="none"/>
              </w:rPr>
              <w:t>：</w:t>
            </w:r>
          </w:p>
        </w:tc>
        <w:tc>
          <w:tcPr>
            <w:tcW w:w="882" w:type="pct"/>
            <w:vAlign w:val="center"/>
          </w:tcPr>
          <w:p w14:paraId="4130AB5D">
            <w:pPr>
              <w:widowControl w:val="0"/>
              <w:adjustRightInd w:val="0"/>
              <w:snapToGrid w:val="0"/>
              <w:spacing w:line="300" w:lineRule="auto"/>
              <w:rPr>
                <w:snapToGrid w:val="0"/>
                <w:color w:val="auto"/>
                <w:kern w:val="0"/>
                <w:sz w:val="24"/>
                <w:szCs w:val="21"/>
                <w:highlight w:val="none"/>
              </w:rPr>
            </w:pPr>
          </w:p>
        </w:tc>
      </w:tr>
      <w:tr w14:paraId="3B3B2D43">
        <w:tblPrEx>
          <w:tblCellMar>
            <w:top w:w="0" w:type="dxa"/>
            <w:left w:w="108" w:type="dxa"/>
            <w:bottom w:w="0" w:type="dxa"/>
            <w:right w:w="108" w:type="dxa"/>
          </w:tblCellMar>
        </w:tblPrEx>
        <w:trPr>
          <w:trHeight w:val="397" w:hRule="atLeast"/>
        </w:trPr>
        <w:tc>
          <w:tcPr>
            <w:tcW w:w="1572" w:type="pct"/>
            <w:vAlign w:val="center"/>
          </w:tcPr>
          <w:p w14:paraId="21C6214E">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电子邮箱：</w:t>
            </w:r>
          </w:p>
        </w:tc>
        <w:tc>
          <w:tcPr>
            <w:tcW w:w="945" w:type="pct"/>
            <w:vAlign w:val="center"/>
          </w:tcPr>
          <w:p w14:paraId="48F878DE">
            <w:pPr>
              <w:widowControl w:val="0"/>
              <w:adjustRightInd w:val="0"/>
              <w:snapToGrid w:val="0"/>
              <w:spacing w:line="300" w:lineRule="auto"/>
              <w:rPr>
                <w:snapToGrid w:val="0"/>
                <w:color w:val="auto"/>
                <w:kern w:val="0"/>
                <w:sz w:val="24"/>
                <w:szCs w:val="21"/>
                <w:highlight w:val="none"/>
              </w:rPr>
            </w:pPr>
          </w:p>
        </w:tc>
        <w:tc>
          <w:tcPr>
            <w:tcW w:w="1601" w:type="pct"/>
            <w:vAlign w:val="center"/>
          </w:tcPr>
          <w:p w14:paraId="7F41AAB8">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电子邮箱：</w:t>
            </w:r>
          </w:p>
        </w:tc>
        <w:tc>
          <w:tcPr>
            <w:tcW w:w="882" w:type="pct"/>
            <w:vAlign w:val="center"/>
          </w:tcPr>
          <w:p w14:paraId="153F5F64">
            <w:pPr>
              <w:widowControl w:val="0"/>
              <w:adjustRightInd w:val="0"/>
              <w:snapToGrid w:val="0"/>
              <w:spacing w:line="300" w:lineRule="auto"/>
              <w:rPr>
                <w:snapToGrid w:val="0"/>
                <w:color w:val="auto"/>
                <w:kern w:val="0"/>
                <w:sz w:val="24"/>
                <w:szCs w:val="21"/>
                <w:highlight w:val="none"/>
              </w:rPr>
            </w:pPr>
          </w:p>
        </w:tc>
      </w:tr>
      <w:tr w14:paraId="14EDEEA4">
        <w:tblPrEx>
          <w:tblCellMar>
            <w:top w:w="0" w:type="dxa"/>
            <w:left w:w="108" w:type="dxa"/>
            <w:bottom w:w="0" w:type="dxa"/>
            <w:right w:w="108" w:type="dxa"/>
          </w:tblCellMar>
        </w:tblPrEx>
        <w:trPr>
          <w:trHeight w:val="397" w:hRule="atLeast"/>
        </w:trPr>
        <w:tc>
          <w:tcPr>
            <w:tcW w:w="1572" w:type="pct"/>
            <w:vAlign w:val="center"/>
          </w:tcPr>
          <w:p w14:paraId="68442413">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统一社会信用代码：</w:t>
            </w:r>
          </w:p>
        </w:tc>
        <w:tc>
          <w:tcPr>
            <w:tcW w:w="945" w:type="pct"/>
            <w:vAlign w:val="center"/>
          </w:tcPr>
          <w:p w14:paraId="1928EAB6">
            <w:pPr>
              <w:widowControl w:val="0"/>
              <w:adjustRightInd w:val="0"/>
              <w:snapToGrid w:val="0"/>
              <w:spacing w:line="300" w:lineRule="auto"/>
              <w:rPr>
                <w:snapToGrid w:val="0"/>
                <w:color w:val="auto"/>
                <w:kern w:val="0"/>
                <w:sz w:val="24"/>
                <w:szCs w:val="21"/>
                <w:highlight w:val="none"/>
              </w:rPr>
            </w:pPr>
          </w:p>
        </w:tc>
        <w:tc>
          <w:tcPr>
            <w:tcW w:w="1601" w:type="pct"/>
            <w:vAlign w:val="center"/>
          </w:tcPr>
          <w:p w14:paraId="51C0FA9E">
            <w:pPr>
              <w:widowControl w:val="0"/>
              <w:adjustRightInd w:val="0"/>
              <w:snapToGrid w:val="0"/>
              <w:spacing w:line="300" w:lineRule="auto"/>
              <w:rPr>
                <w:snapToGrid w:val="0"/>
                <w:color w:val="auto"/>
                <w:kern w:val="0"/>
                <w:sz w:val="24"/>
                <w:szCs w:val="21"/>
                <w:highlight w:val="none"/>
              </w:rPr>
            </w:pPr>
            <w:r>
              <w:rPr>
                <w:rFonts w:hint="eastAsia"/>
                <w:snapToGrid w:val="0"/>
                <w:color w:val="auto"/>
                <w:kern w:val="0"/>
                <w:sz w:val="24"/>
                <w:szCs w:val="21"/>
                <w:highlight w:val="none"/>
              </w:rPr>
              <w:t>统一社会信用代码：</w:t>
            </w:r>
          </w:p>
        </w:tc>
        <w:tc>
          <w:tcPr>
            <w:tcW w:w="882" w:type="pct"/>
            <w:vAlign w:val="center"/>
          </w:tcPr>
          <w:p w14:paraId="735B6992">
            <w:pPr>
              <w:widowControl w:val="0"/>
              <w:adjustRightInd w:val="0"/>
              <w:snapToGrid w:val="0"/>
              <w:spacing w:line="300" w:lineRule="auto"/>
              <w:rPr>
                <w:snapToGrid w:val="0"/>
                <w:color w:val="auto"/>
                <w:kern w:val="0"/>
                <w:sz w:val="24"/>
                <w:szCs w:val="21"/>
                <w:highlight w:val="none"/>
              </w:rPr>
            </w:pPr>
          </w:p>
        </w:tc>
      </w:tr>
      <w:tr w14:paraId="709CF0DF">
        <w:tblPrEx>
          <w:tblCellMar>
            <w:top w:w="0" w:type="dxa"/>
            <w:left w:w="108" w:type="dxa"/>
            <w:bottom w:w="0" w:type="dxa"/>
            <w:right w:w="108" w:type="dxa"/>
          </w:tblCellMar>
        </w:tblPrEx>
        <w:trPr>
          <w:trHeight w:val="397" w:hRule="atLeast"/>
        </w:trPr>
        <w:tc>
          <w:tcPr>
            <w:tcW w:w="1572" w:type="pct"/>
            <w:vAlign w:val="center"/>
          </w:tcPr>
          <w:p w14:paraId="06E8D2F0">
            <w:pPr>
              <w:widowControl w:val="0"/>
              <w:adjustRightInd w:val="0"/>
              <w:snapToGrid w:val="0"/>
              <w:spacing w:line="300" w:lineRule="auto"/>
              <w:rPr>
                <w:snapToGrid w:val="0"/>
                <w:color w:val="auto"/>
                <w:kern w:val="0"/>
                <w:sz w:val="24"/>
                <w:szCs w:val="21"/>
                <w:highlight w:val="none"/>
              </w:rPr>
            </w:pPr>
          </w:p>
        </w:tc>
        <w:tc>
          <w:tcPr>
            <w:tcW w:w="945" w:type="pct"/>
            <w:vAlign w:val="center"/>
          </w:tcPr>
          <w:p w14:paraId="2CF0EDFF">
            <w:pPr>
              <w:widowControl w:val="0"/>
              <w:adjustRightInd w:val="0"/>
              <w:snapToGrid w:val="0"/>
              <w:spacing w:line="300" w:lineRule="auto"/>
              <w:rPr>
                <w:snapToGrid w:val="0"/>
                <w:color w:val="auto"/>
                <w:kern w:val="0"/>
                <w:sz w:val="24"/>
                <w:szCs w:val="21"/>
                <w:highlight w:val="none"/>
              </w:rPr>
            </w:pPr>
          </w:p>
        </w:tc>
        <w:tc>
          <w:tcPr>
            <w:tcW w:w="1601" w:type="pct"/>
            <w:vAlign w:val="center"/>
          </w:tcPr>
          <w:p w14:paraId="31E71AF1">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开户名称</w:t>
            </w:r>
            <w:r>
              <w:rPr>
                <w:rFonts w:hint="eastAsia"/>
                <w:snapToGrid w:val="0"/>
                <w:color w:val="auto"/>
                <w:kern w:val="0"/>
                <w:sz w:val="24"/>
                <w:szCs w:val="21"/>
                <w:highlight w:val="none"/>
              </w:rPr>
              <w:t>：</w:t>
            </w:r>
          </w:p>
        </w:tc>
        <w:tc>
          <w:tcPr>
            <w:tcW w:w="882" w:type="pct"/>
            <w:vAlign w:val="center"/>
          </w:tcPr>
          <w:p w14:paraId="0A015816">
            <w:pPr>
              <w:widowControl w:val="0"/>
              <w:adjustRightInd w:val="0"/>
              <w:snapToGrid w:val="0"/>
              <w:spacing w:line="300" w:lineRule="auto"/>
              <w:rPr>
                <w:snapToGrid w:val="0"/>
                <w:color w:val="auto"/>
                <w:kern w:val="0"/>
                <w:sz w:val="24"/>
                <w:szCs w:val="21"/>
                <w:highlight w:val="none"/>
              </w:rPr>
            </w:pPr>
          </w:p>
        </w:tc>
      </w:tr>
      <w:tr w14:paraId="336ACFBD">
        <w:tblPrEx>
          <w:tblCellMar>
            <w:top w:w="0" w:type="dxa"/>
            <w:left w:w="108" w:type="dxa"/>
            <w:bottom w:w="0" w:type="dxa"/>
            <w:right w:w="108" w:type="dxa"/>
          </w:tblCellMar>
        </w:tblPrEx>
        <w:trPr>
          <w:trHeight w:val="397" w:hRule="atLeast"/>
        </w:trPr>
        <w:tc>
          <w:tcPr>
            <w:tcW w:w="1572" w:type="pct"/>
            <w:vAlign w:val="center"/>
          </w:tcPr>
          <w:p w14:paraId="4FD193A5">
            <w:pPr>
              <w:widowControl w:val="0"/>
              <w:adjustRightInd w:val="0"/>
              <w:snapToGrid w:val="0"/>
              <w:spacing w:line="300" w:lineRule="auto"/>
              <w:rPr>
                <w:snapToGrid w:val="0"/>
                <w:color w:val="auto"/>
                <w:kern w:val="0"/>
                <w:sz w:val="24"/>
                <w:szCs w:val="21"/>
                <w:highlight w:val="none"/>
              </w:rPr>
            </w:pPr>
          </w:p>
        </w:tc>
        <w:tc>
          <w:tcPr>
            <w:tcW w:w="945" w:type="pct"/>
            <w:vAlign w:val="center"/>
          </w:tcPr>
          <w:p w14:paraId="361A0BDD">
            <w:pPr>
              <w:widowControl w:val="0"/>
              <w:adjustRightInd w:val="0"/>
              <w:snapToGrid w:val="0"/>
              <w:spacing w:line="300" w:lineRule="auto"/>
              <w:rPr>
                <w:snapToGrid w:val="0"/>
                <w:color w:val="auto"/>
                <w:kern w:val="0"/>
                <w:sz w:val="24"/>
                <w:szCs w:val="21"/>
                <w:highlight w:val="none"/>
              </w:rPr>
            </w:pPr>
          </w:p>
        </w:tc>
        <w:tc>
          <w:tcPr>
            <w:tcW w:w="1601" w:type="pct"/>
            <w:vAlign w:val="center"/>
          </w:tcPr>
          <w:p w14:paraId="2045FED8">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开户银行</w:t>
            </w:r>
            <w:r>
              <w:rPr>
                <w:rFonts w:hint="eastAsia"/>
                <w:snapToGrid w:val="0"/>
                <w:color w:val="auto"/>
                <w:kern w:val="0"/>
                <w:sz w:val="24"/>
                <w:szCs w:val="21"/>
                <w:highlight w:val="none"/>
              </w:rPr>
              <w:t>：</w:t>
            </w:r>
          </w:p>
        </w:tc>
        <w:tc>
          <w:tcPr>
            <w:tcW w:w="882" w:type="pct"/>
            <w:vAlign w:val="center"/>
          </w:tcPr>
          <w:p w14:paraId="384E6AFA">
            <w:pPr>
              <w:widowControl w:val="0"/>
              <w:adjustRightInd w:val="0"/>
              <w:snapToGrid w:val="0"/>
              <w:spacing w:line="300" w:lineRule="auto"/>
              <w:rPr>
                <w:snapToGrid w:val="0"/>
                <w:color w:val="auto"/>
                <w:kern w:val="0"/>
                <w:sz w:val="24"/>
                <w:szCs w:val="21"/>
                <w:highlight w:val="none"/>
              </w:rPr>
            </w:pPr>
          </w:p>
        </w:tc>
      </w:tr>
      <w:tr w14:paraId="7A3EE61B">
        <w:tblPrEx>
          <w:tblCellMar>
            <w:top w:w="0" w:type="dxa"/>
            <w:left w:w="108" w:type="dxa"/>
            <w:bottom w:w="0" w:type="dxa"/>
            <w:right w:w="108" w:type="dxa"/>
          </w:tblCellMar>
        </w:tblPrEx>
        <w:trPr>
          <w:trHeight w:val="397" w:hRule="atLeast"/>
        </w:trPr>
        <w:tc>
          <w:tcPr>
            <w:tcW w:w="1572" w:type="pct"/>
            <w:vAlign w:val="center"/>
          </w:tcPr>
          <w:p w14:paraId="23B0541D">
            <w:pPr>
              <w:widowControl w:val="0"/>
              <w:adjustRightInd w:val="0"/>
              <w:snapToGrid w:val="0"/>
              <w:spacing w:line="300" w:lineRule="auto"/>
              <w:rPr>
                <w:snapToGrid w:val="0"/>
                <w:color w:val="auto"/>
                <w:kern w:val="0"/>
                <w:sz w:val="24"/>
                <w:szCs w:val="21"/>
                <w:highlight w:val="none"/>
              </w:rPr>
            </w:pPr>
          </w:p>
        </w:tc>
        <w:tc>
          <w:tcPr>
            <w:tcW w:w="945" w:type="pct"/>
            <w:vAlign w:val="center"/>
          </w:tcPr>
          <w:p w14:paraId="3E9796D4">
            <w:pPr>
              <w:widowControl w:val="0"/>
              <w:adjustRightInd w:val="0"/>
              <w:snapToGrid w:val="0"/>
              <w:spacing w:line="300" w:lineRule="auto"/>
              <w:rPr>
                <w:snapToGrid w:val="0"/>
                <w:color w:val="auto"/>
                <w:kern w:val="0"/>
                <w:sz w:val="24"/>
                <w:szCs w:val="21"/>
                <w:highlight w:val="none"/>
              </w:rPr>
            </w:pPr>
          </w:p>
        </w:tc>
        <w:tc>
          <w:tcPr>
            <w:tcW w:w="1601" w:type="pct"/>
            <w:vAlign w:val="center"/>
          </w:tcPr>
          <w:p w14:paraId="588228FE">
            <w:pPr>
              <w:widowControl w:val="0"/>
              <w:adjustRightInd w:val="0"/>
              <w:snapToGrid w:val="0"/>
              <w:spacing w:line="300" w:lineRule="auto"/>
              <w:rPr>
                <w:snapToGrid w:val="0"/>
                <w:color w:val="auto"/>
                <w:kern w:val="0"/>
                <w:sz w:val="24"/>
                <w:szCs w:val="21"/>
                <w:highlight w:val="none"/>
              </w:rPr>
            </w:pPr>
            <w:r>
              <w:rPr>
                <w:snapToGrid w:val="0"/>
                <w:color w:val="auto"/>
                <w:kern w:val="0"/>
                <w:sz w:val="24"/>
                <w:szCs w:val="21"/>
                <w:highlight w:val="none"/>
              </w:rPr>
              <w:t>银行账号</w:t>
            </w:r>
            <w:r>
              <w:rPr>
                <w:rFonts w:hint="eastAsia"/>
                <w:snapToGrid w:val="0"/>
                <w:color w:val="auto"/>
                <w:kern w:val="0"/>
                <w:sz w:val="24"/>
                <w:szCs w:val="21"/>
                <w:highlight w:val="none"/>
              </w:rPr>
              <w:t>：</w:t>
            </w:r>
          </w:p>
        </w:tc>
        <w:tc>
          <w:tcPr>
            <w:tcW w:w="882" w:type="pct"/>
            <w:vAlign w:val="center"/>
          </w:tcPr>
          <w:p w14:paraId="146B7A48">
            <w:pPr>
              <w:widowControl w:val="0"/>
              <w:adjustRightInd w:val="0"/>
              <w:snapToGrid w:val="0"/>
              <w:spacing w:line="300" w:lineRule="auto"/>
              <w:rPr>
                <w:snapToGrid w:val="0"/>
                <w:color w:val="auto"/>
                <w:kern w:val="0"/>
                <w:sz w:val="24"/>
                <w:szCs w:val="21"/>
                <w:highlight w:val="none"/>
              </w:rPr>
            </w:pPr>
          </w:p>
        </w:tc>
      </w:tr>
      <w:tr w14:paraId="7ED2446A">
        <w:tblPrEx>
          <w:tblCellMar>
            <w:top w:w="0" w:type="dxa"/>
            <w:left w:w="108" w:type="dxa"/>
            <w:bottom w:w="0" w:type="dxa"/>
            <w:right w:w="108" w:type="dxa"/>
          </w:tblCellMar>
        </w:tblPrEx>
        <w:trPr>
          <w:trHeight w:val="397" w:hRule="atLeast"/>
        </w:trPr>
        <w:tc>
          <w:tcPr>
            <w:tcW w:w="5000" w:type="pct"/>
            <w:gridSpan w:val="4"/>
            <w:vAlign w:val="center"/>
          </w:tcPr>
          <w:p w14:paraId="5A0EA4B9">
            <w:pPr>
              <w:pStyle w:val="25"/>
              <w:adjustRightInd w:val="0"/>
              <w:snapToGrid w:val="0"/>
              <w:spacing w:after="0" w:line="300" w:lineRule="auto"/>
              <w:ind w:left="0" w:leftChars="0"/>
              <w:rPr>
                <w:snapToGrid w:val="0"/>
                <w:color w:val="auto"/>
                <w:kern w:val="0"/>
                <w:sz w:val="24"/>
                <w:szCs w:val="21"/>
                <w:highlight w:val="none"/>
              </w:rPr>
            </w:pPr>
            <w:r>
              <w:rPr>
                <w:rFonts w:hint="eastAsia"/>
                <w:snapToGrid w:val="0"/>
                <w:color w:val="auto"/>
                <w:kern w:val="0"/>
                <w:sz w:val="24"/>
                <w:szCs w:val="21"/>
                <w:highlight w:val="none"/>
              </w:rPr>
              <w:t>注：涉及联合体或其他合同主体的信息应按上表格式加列。</w:t>
            </w:r>
          </w:p>
        </w:tc>
      </w:tr>
    </w:tbl>
    <w:p w14:paraId="363B6EF4">
      <w:pPr>
        <w:widowControl w:val="0"/>
        <w:adjustRightInd w:val="0"/>
        <w:snapToGrid w:val="0"/>
        <w:rPr>
          <w:color w:val="auto"/>
          <w:highlight w:val="none"/>
        </w:rPr>
      </w:pPr>
    </w:p>
    <w:p w14:paraId="661F3AFE">
      <w:pPr>
        <w:widowControl w:val="0"/>
        <w:adjustRightInd w:val="0"/>
        <w:snapToGrid w:val="0"/>
        <w:rPr>
          <w:color w:val="auto"/>
          <w:highlight w:val="none"/>
        </w:rPr>
      </w:pPr>
    </w:p>
    <w:p w14:paraId="381D7F93">
      <w:pPr>
        <w:widowControl w:val="0"/>
        <w:adjustRightInd w:val="0"/>
        <w:snapToGrid w:val="0"/>
        <w:rPr>
          <w:color w:val="auto"/>
          <w:highlight w:val="none"/>
        </w:rPr>
      </w:pPr>
    </w:p>
    <w:p w14:paraId="12CEC8B3">
      <w:pPr>
        <w:widowControl w:val="0"/>
        <w:adjustRightInd w:val="0"/>
        <w:snapToGrid w:val="0"/>
        <w:rPr>
          <w:color w:val="auto"/>
          <w:highlight w:val="none"/>
        </w:rPr>
      </w:pPr>
    </w:p>
    <w:p w14:paraId="79177981">
      <w:pPr>
        <w:widowControl w:val="0"/>
        <w:adjustRightInd w:val="0"/>
        <w:snapToGrid w:val="0"/>
        <w:rPr>
          <w:color w:val="auto"/>
          <w:highlight w:val="none"/>
        </w:rPr>
      </w:pPr>
    </w:p>
    <w:p w14:paraId="423628F7">
      <w:pPr>
        <w:widowControl w:val="0"/>
        <w:adjustRightInd w:val="0"/>
        <w:snapToGrid w:val="0"/>
        <w:rPr>
          <w:color w:val="auto"/>
          <w:highlight w:val="none"/>
        </w:rPr>
      </w:pPr>
    </w:p>
    <w:p w14:paraId="29296C91">
      <w:pPr>
        <w:widowControl w:val="0"/>
        <w:adjustRightInd w:val="0"/>
        <w:snapToGrid w:val="0"/>
        <w:rPr>
          <w:color w:val="auto"/>
          <w:highlight w:val="none"/>
        </w:rPr>
      </w:pPr>
    </w:p>
    <w:p w14:paraId="1F1C205A">
      <w:pPr>
        <w:widowControl w:val="0"/>
        <w:adjustRightInd w:val="0"/>
        <w:snapToGrid w:val="0"/>
        <w:rPr>
          <w:color w:val="auto"/>
          <w:highlight w:val="none"/>
        </w:rPr>
      </w:pPr>
    </w:p>
    <w:p w14:paraId="1154521D">
      <w:pPr>
        <w:widowControl w:val="0"/>
        <w:adjustRightInd w:val="0"/>
        <w:snapToGrid w:val="0"/>
        <w:rPr>
          <w:color w:val="auto"/>
          <w:highlight w:val="none"/>
        </w:rPr>
      </w:pPr>
    </w:p>
    <w:p w14:paraId="173A8761">
      <w:pPr>
        <w:widowControl w:val="0"/>
        <w:adjustRightInd w:val="0"/>
        <w:snapToGrid w:val="0"/>
        <w:rPr>
          <w:color w:val="auto"/>
          <w:highlight w:val="none"/>
        </w:rPr>
      </w:pPr>
    </w:p>
    <w:p w14:paraId="19245530">
      <w:pPr>
        <w:widowControl w:val="0"/>
        <w:adjustRightInd w:val="0"/>
        <w:snapToGrid w:val="0"/>
        <w:rPr>
          <w:color w:val="auto"/>
          <w:highlight w:val="none"/>
        </w:rPr>
      </w:pPr>
    </w:p>
    <w:p w14:paraId="1109A481">
      <w:pPr>
        <w:widowControl w:val="0"/>
        <w:adjustRightInd w:val="0"/>
        <w:snapToGrid w:val="0"/>
        <w:rPr>
          <w:color w:val="auto"/>
          <w:highlight w:val="none"/>
        </w:rPr>
      </w:pPr>
    </w:p>
    <w:p w14:paraId="6008F64B">
      <w:pPr>
        <w:widowControl w:val="0"/>
        <w:adjustRightInd w:val="0"/>
        <w:snapToGrid w:val="0"/>
        <w:rPr>
          <w:color w:val="auto"/>
          <w:highlight w:val="none"/>
        </w:rPr>
      </w:pPr>
    </w:p>
    <w:p w14:paraId="1F5262CF">
      <w:pPr>
        <w:widowControl w:val="0"/>
        <w:adjustRightInd w:val="0"/>
        <w:snapToGrid w:val="0"/>
        <w:rPr>
          <w:color w:val="auto"/>
          <w:highlight w:val="none"/>
        </w:rPr>
      </w:pPr>
    </w:p>
    <w:p w14:paraId="4A07A9F3">
      <w:pPr>
        <w:widowControl w:val="0"/>
        <w:adjustRightInd w:val="0"/>
        <w:snapToGrid w:val="0"/>
        <w:rPr>
          <w:color w:val="auto"/>
          <w:highlight w:val="none"/>
        </w:rPr>
      </w:pPr>
    </w:p>
    <w:p w14:paraId="327164E6">
      <w:pPr>
        <w:widowControl w:val="0"/>
        <w:adjustRightInd w:val="0"/>
        <w:snapToGrid w:val="0"/>
        <w:rPr>
          <w:color w:val="auto"/>
          <w:highlight w:val="none"/>
        </w:rPr>
      </w:pPr>
    </w:p>
    <w:p w14:paraId="3CA68D42">
      <w:pPr>
        <w:widowControl w:val="0"/>
        <w:adjustRightInd w:val="0"/>
        <w:snapToGrid w:val="0"/>
        <w:rPr>
          <w:color w:val="auto"/>
          <w:highlight w:val="none"/>
        </w:rPr>
      </w:pPr>
    </w:p>
    <w:p w14:paraId="74F0FA45">
      <w:pPr>
        <w:widowControl w:val="0"/>
        <w:adjustRightInd w:val="0"/>
        <w:snapToGrid w:val="0"/>
        <w:rPr>
          <w:color w:val="auto"/>
          <w:highlight w:val="none"/>
        </w:rPr>
      </w:pPr>
    </w:p>
    <w:p w14:paraId="34173884">
      <w:pPr>
        <w:widowControl w:val="0"/>
        <w:adjustRightInd w:val="0"/>
        <w:snapToGrid w:val="0"/>
        <w:rPr>
          <w:color w:val="auto"/>
          <w:highlight w:val="none"/>
        </w:rPr>
      </w:pPr>
    </w:p>
    <w:p w14:paraId="0963D17E">
      <w:pPr>
        <w:widowControl w:val="0"/>
        <w:adjustRightInd w:val="0"/>
        <w:snapToGrid w:val="0"/>
        <w:rPr>
          <w:color w:val="auto"/>
          <w:highlight w:val="none"/>
        </w:rPr>
      </w:pPr>
    </w:p>
    <w:p w14:paraId="6356FCAC">
      <w:pPr>
        <w:pStyle w:val="417"/>
        <w:ind w:firstLine="0" w:firstLineChars="0"/>
        <w:jc w:val="center"/>
        <w:rPr>
          <w:color w:val="auto"/>
          <w:highlight w:val="none"/>
        </w:rPr>
      </w:pPr>
      <w:bookmarkStart w:id="143" w:name="_Toc173762011"/>
      <w:r>
        <w:rPr>
          <w:rFonts w:hint="eastAsia"/>
          <w:color w:val="auto"/>
          <w:highlight w:val="none"/>
        </w:rPr>
        <w:t>二、销售代理及运营协议书</w:t>
      </w:r>
      <w:bookmarkEnd w:id="143"/>
    </w:p>
    <w:p w14:paraId="1B282EA6">
      <w:pPr>
        <w:widowControl w:val="0"/>
        <w:adjustRightInd w:val="0"/>
        <w:snapToGrid w:val="0"/>
        <w:rPr>
          <w:color w:val="auto"/>
          <w:highlight w:val="none"/>
        </w:rPr>
      </w:pPr>
    </w:p>
    <w:p w14:paraId="6F9259D0">
      <w:pPr>
        <w:widowControl w:val="0"/>
        <w:adjustRightInd w:val="0"/>
        <w:snapToGrid w:val="0"/>
        <w:rPr>
          <w:color w:val="auto"/>
          <w:highlight w:val="none"/>
        </w:rPr>
      </w:pPr>
    </w:p>
    <w:p w14:paraId="5C8C73A7">
      <w:pPr>
        <w:widowControl w:val="0"/>
        <w:adjustRightInd w:val="0"/>
        <w:snapToGrid w:val="0"/>
        <w:rPr>
          <w:color w:val="auto"/>
          <w:highlight w:val="none"/>
        </w:rPr>
      </w:pPr>
    </w:p>
    <w:p w14:paraId="133DA78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采购人：</w:t>
      </w:r>
      <w:r>
        <w:rPr>
          <w:rFonts w:hint="eastAsia" w:cs="宋体"/>
          <w:snapToGrid w:val="0"/>
          <w:color w:val="auto"/>
          <w:kern w:val="0"/>
          <w:sz w:val="24"/>
          <w:szCs w:val="21"/>
          <w:highlight w:val="none"/>
          <w:u w:val="single"/>
        </w:rPr>
        <w:t xml:space="preserve">   宁波交运资源开发有限公司   </w:t>
      </w:r>
      <w:r>
        <w:rPr>
          <w:rFonts w:hint="eastAsia" w:cs="宋体"/>
          <w:snapToGrid w:val="0"/>
          <w:color w:val="auto"/>
          <w:kern w:val="0"/>
          <w:sz w:val="24"/>
          <w:szCs w:val="21"/>
          <w:highlight w:val="none"/>
        </w:rPr>
        <w:t>（以下简称甲方）</w:t>
      </w:r>
    </w:p>
    <w:p w14:paraId="3F4FF7E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成交供应商：</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（以下简称乙方）</w:t>
      </w:r>
    </w:p>
    <w:p w14:paraId="79E60BF1">
      <w:pPr>
        <w:widowControl w:val="0"/>
        <w:adjustRightInd w:val="0"/>
        <w:snapToGrid w:val="0"/>
        <w:rPr>
          <w:color w:val="auto"/>
          <w:highlight w:val="none"/>
        </w:rPr>
      </w:pPr>
    </w:p>
    <w:p w14:paraId="09651125">
      <w:pPr>
        <w:widowControl w:val="0"/>
        <w:adjustRightInd w:val="0"/>
        <w:snapToGrid w:val="0"/>
        <w:rPr>
          <w:color w:val="auto"/>
          <w:highlight w:val="none"/>
        </w:rPr>
      </w:pPr>
    </w:p>
    <w:p w14:paraId="054F5D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根据甲乙双方签订的《象山县爵溪街道小微企业集聚区建筑用石料（凝灰岩）矿开采加工、配套设施建设及矿产品销售代理一体化服务项目项目主体合同》（以下简称“《项目主体合同》”）及相关勘探技术资料，乙方承包象山县爵溪街道小微企业集聚区建筑用石料（凝灰岩）矿开采加工（下称“本项目”），预计出产建筑用石材（宕渣）约</w:t>
      </w:r>
      <w:r>
        <w:rPr>
          <w:rFonts w:cs="宋体"/>
          <w:snapToGrid w:val="0"/>
          <w:color w:val="auto"/>
          <w:kern w:val="0"/>
          <w:sz w:val="24"/>
          <w:szCs w:val="21"/>
          <w:highlight w:val="none"/>
        </w:rPr>
        <w:t>2581.04</w:t>
      </w:r>
      <w:r>
        <w:rPr>
          <w:rFonts w:hint="eastAsia" w:cs="宋体"/>
          <w:snapToGrid w:val="0"/>
          <w:color w:val="auto"/>
          <w:kern w:val="0"/>
          <w:sz w:val="24"/>
          <w:szCs w:val="21"/>
          <w:highlight w:val="none"/>
        </w:rPr>
        <w:t>万吨和约80万吨工程石料（甲方指定的临近矿区附近），以及矿山清表工程产出的原土。甲乙双方兹就项目出产石材（宕渣）和原土的销售代理及运营有关事项，经自愿、平等协商达成一致，特订立本合同，以资共同遵守。</w:t>
      </w:r>
    </w:p>
    <w:p w14:paraId="50CF805B">
      <w:pPr>
        <w:widowControl w:val="0"/>
        <w:adjustRightInd w:val="0"/>
        <w:snapToGrid w:val="0"/>
        <w:rPr>
          <w:color w:val="auto"/>
          <w:highlight w:val="none"/>
        </w:rPr>
      </w:pPr>
    </w:p>
    <w:p w14:paraId="437C03F1">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一、</w:t>
      </w:r>
      <w:r>
        <w:rPr>
          <w:rFonts w:hint="eastAsia" w:cs="宋体"/>
          <w:snapToGrid w:val="0"/>
          <w:color w:val="auto"/>
          <w:kern w:val="0"/>
          <w:sz w:val="24"/>
          <w:szCs w:val="21"/>
          <w:highlight w:val="none"/>
        </w:rPr>
        <w:t>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[1-中标包销比例]</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由甲方负责销售、约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[中标包销比例]</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由乙方负责销售（全年不得小于</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460</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万吨），具体比例根据甲方计划确定，甲方具有优先分配权，乙方不得在象山县境内销售</w:t>
      </w:r>
      <w:r>
        <w:rPr>
          <w:rFonts w:hint="eastAsia" w:cs="宋体"/>
          <w:snapToGrid w:val="0"/>
          <w:color w:val="auto"/>
          <w:kern w:val="0"/>
          <w:sz w:val="24"/>
          <w:szCs w:val="21"/>
          <w:highlight w:val="none"/>
        </w:rPr>
        <w:t>（除乙方及乙方有10%以上（含本数）股权投资关系的关联公司以外）</w:t>
      </w:r>
      <w:r>
        <w:rPr>
          <w:rFonts w:hint="eastAsia" w:cs="宋体"/>
          <w:snapToGrid w:val="0"/>
          <w:color w:val="auto"/>
          <w:kern w:val="0"/>
          <w:sz w:val="24"/>
          <w:szCs w:val="21"/>
          <w:highlight w:val="none"/>
        </w:rPr>
        <w:t>。清表工程产出的原土需留足矿山地质环境保护与土地复垦所需土方。</w:t>
      </w:r>
    </w:p>
    <w:p w14:paraId="07B00913">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二、</w:t>
      </w:r>
      <w:r>
        <w:rPr>
          <w:rFonts w:hint="eastAsia" w:cs="宋体"/>
          <w:snapToGrid w:val="0"/>
          <w:color w:val="auto"/>
          <w:kern w:val="0"/>
          <w:sz w:val="24"/>
          <w:szCs w:val="21"/>
          <w:highlight w:val="none"/>
        </w:rPr>
        <w:t>甲方委托乙方作为项目出产矿产品的销售代理及运营单位，承担出产矿产品的保管、加工、销售代理与向买方交付产品的工作。</w:t>
      </w:r>
    </w:p>
    <w:p w14:paraId="0758CD3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本协议所约定的销售价、指导价等，均指上车价（陆运）或船上交货价（海运），上车或上船费属石料开采加工费，已包含在乙方合同单价内。</w:t>
      </w:r>
    </w:p>
    <w:p w14:paraId="74C44F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宕渣、碎石、砂等所有矿产品及其他物料一旦用于销售，装车出厂前必须过磅称重，当月销售量按照双方共同确认的场地内的地磅计重系统称重数量为准。</w:t>
      </w:r>
    </w:p>
    <w:p w14:paraId="2A1D6529">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三、</w:t>
      </w:r>
      <w:r>
        <w:rPr>
          <w:rFonts w:hint="eastAsia" w:cs="宋体"/>
          <w:snapToGrid w:val="0"/>
          <w:color w:val="auto"/>
          <w:kern w:val="0"/>
          <w:sz w:val="24"/>
          <w:szCs w:val="21"/>
          <w:highlight w:val="none"/>
        </w:rPr>
        <w:t>具备生产条件后，乙方生产经营活动应该有计划、有组织、有步骤的合理规划和安排，每月甲方下达的生产计划、销售计划经双方有效沟通和确认后，应按期完成，如有违约按《项目主体合同》约定承担。</w:t>
      </w:r>
    </w:p>
    <w:p w14:paraId="44BE8F37">
      <w:pPr>
        <w:widowControl w:val="0"/>
        <w:adjustRightInd w:val="0"/>
        <w:snapToGrid w:val="0"/>
        <w:spacing w:line="300" w:lineRule="auto"/>
        <w:ind w:firstLine="482" w:firstLineChars="200"/>
        <w:rPr>
          <w:rFonts w:cs="宋体"/>
          <w:snapToGrid w:val="0"/>
          <w:color w:val="auto"/>
          <w:kern w:val="0"/>
          <w:sz w:val="24"/>
          <w:szCs w:val="21"/>
          <w:highlight w:val="none"/>
        </w:rPr>
      </w:pPr>
      <w:r>
        <w:rPr>
          <w:rFonts w:hint="eastAsia" w:cs="宋体"/>
          <w:b/>
          <w:bCs/>
          <w:snapToGrid w:val="0"/>
          <w:color w:val="auto"/>
          <w:kern w:val="0"/>
          <w:sz w:val="24"/>
          <w:szCs w:val="21"/>
          <w:highlight w:val="none"/>
        </w:rPr>
        <w:t>四、</w:t>
      </w:r>
      <w:r>
        <w:rPr>
          <w:rFonts w:hint="eastAsia" w:cs="宋体"/>
          <w:snapToGrid w:val="0"/>
          <w:color w:val="auto"/>
          <w:kern w:val="0"/>
          <w:sz w:val="24"/>
          <w:szCs w:val="21"/>
          <w:highlight w:val="none"/>
        </w:rPr>
        <w:t>生产产品比例：正式投产后原则上每月生产砂石骨料不低于开采总量的50%。实际生产中如遇市场需求产品配比需调整，由甲方下达产品规格调整函确定。如对所生产产品进行重大调整的，由双方协商确定。</w:t>
      </w:r>
    </w:p>
    <w:p w14:paraId="5D890918">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五、具体款项结算与销售代理约定如下：</w:t>
      </w:r>
    </w:p>
    <w:p w14:paraId="6D2ECEEF">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（一）甲方负责销售产量</w:t>
      </w:r>
    </w:p>
    <w:p w14:paraId="37C5924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 xml:space="preserve">[1-中标包销比例] </w:t>
      </w:r>
      <w:r>
        <w:rPr>
          <w:rFonts w:hint="eastAsia" w:cs="宋体"/>
          <w:snapToGrid w:val="0"/>
          <w:color w:val="auto"/>
          <w:kern w:val="0"/>
          <w:sz w:val="24"/>
          <w:szCs w:val="21"/>
          <w:highlight w:val="none"/>
        </w:rPr>
        <w:t>由甲方负责销售，产品种类每月根据甲方下达的生产计划、销售计划经双方有效沟通和确认后的区分，运输由买方负责，乙方负责矿产品上车，</w:t>
      </w:r>
      <w:r>
        <w:rPr>
          <w:rFonts w:hint="eastAsia"/>
          <w:color w:val="auto"/>
          <w:sz w:val="23"/>
          <w:szCs w:val="23"/>
          <w:highlight w:val="none"/>
        </w:rPr>
        <w:t>过磅称重由双方共同确认</w:t>
      </w:r>
      <w:r>
        <w:rPr>
          <w:rFonts w:hint="eastAsia" w:cs="宋体"/>
          <w:snapToGrid w:val="0"/>
          <w:color w:val="auto"/>
          <w:kern w:val="0"/>
          <w:sz w:val="24"/>
          <w:szCs w:val="21"/>
          <w:highlight w:val="none"/>
        </w:rPr>
        <w:t>。</w:t>
      </w:r>
    </w:p>
    <w:p w14:paraId="31894D3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买方将款项直接支付到甲方指定账户，甲方负责销售所得的款项不参与超额收益分成，甲方支付乙方对应产品的石料开采加工费。</w:t>
      </w:r>
    </w:p>
    <w:p w14:paraId="7B630865">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（二）乙方负责销售产量</w:t>
      </w:r>
    </w:p>
    <w:p w14:paraId="2146025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1、本项目出产矿产品中约</w:t>
      </w:r>
      <w:r>
        <w:rPr>
          <w:rFonts w:hint="eastAsia" w:cs="宋体"/>
          <w:snapToGrid w:val="0"/>
          <w:color w:val="auto"/>
          <w:kern w:val="0"/>
          <w:sz w:val="24"/>
          <w:szCs w:val="21"/>
          <w:highlight w:val="none"/>
          <w:u w:val="single"/>
        </w:rPr>
        <w:t xml:space="preserve">  </w:t>
      </w:r>
      <w:r>
        <w:rPr>
          <w:rFonts w:hint="eastAsia" w:cs="宋体"/>
          <w:i/>
          <w:iCs/>
          <w:snapToGrid w:val="0"/>
          <w:color w:val="auto"/>
          <w:kern w:val="0"/>
          <w:sz w:val="24"/>
          <w:szCs w:val="21"/>
          <w:highlight w:val="none"/>
          <w:u w:val="single"/>
        </w:rPr>
        <w:t xml:space="preserve">[中标包销比例]  </w:t>
      </w:r>
      <w:r>
        <w:rPr>
          <w:rFonts w:hint="eastAsia" w:cs="宋体"/>
          <w:snapToGrid w:val="0"/>
          <w:color w:val="auto"/>
          <w:kern w:val="0"/>
          <w:sz w:val="24"/>
          <w:szCs w:val="21"/>
          <w:highlight w:val="none"/>
        </w:rPr>
        <w:t>由乙方负责销售，产品种类每月根据甲方下达的生产计划、销售计划经双方有效沟通和确认后的区分。</w:t>
      </w:r>
    </w:p>
    <w:p w14:paraId="15D513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2、乙方需在收到甲方通知后6个月内投资建成年产300万吨以上的砂石骨料生产线，并启动生产。砂石加工生产线所需土地在本项目红线范围内，但</w:t>
      </w:r>
      <w:r>
        <w:rPr>
          <w:rFonts w:hint="eastAsia"/>
          <w:color w:val="auto"/>
          <w:sz w:val="23"/>
          <w:szCs w:val="23"/>
          <w:highlight w:val="none"/>
        </w:rPr>
        <w:t>若本矿山项目合同履行期超过了土地租赁期限，则超过期限的土地续租由乙方根据需要与当地政府和土地权属人进行协商，租赁费及相关费用由乙方自行承担</w:t>
      </w:r>
      <w:r>
        <w:rPr>
          <w:rFonts w:hint="eastAsia" w:cs="宋体"/>
          <w:snapToGrid w:val="0"/>
          <w:color w:val="auto"/>
          <w:kern w:val="0"/>
          <w:sz w:val="24"/>
          <w:szCs w:val="21"/>
          <w:highlight w:val="none"/>
        </w:rPr>
        <w:t>（相关费用已包含在中标单价中，具体见《项目主体合同》约定），乙方负责建设砂石加工生产线及配套设施，所有建设费用【包括建筑、土建、结构、设备（包括砂石加工设备等）采购及安装调试、给排水、电气、自动化、通信、暖通、内电、外电等辅助设施】、制造费用（包括人工费用、管理费用、运行费用、环保费用、设备折旧、其他费用）等与生产加工相关的所有费用由乙方承担。</w:t>
      </w:r>
    </w:p>
    <w:p w14:paraId="2A60E40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3、正式投产后，甲方每2年对乙方进行销售业绩考核，乙方未完成中标包销比例80%的，或甲方优先调配后剩余可承销部分80%的，甲方没收乙方全部剩余预缴货款、销售担保和履约保证金。</w:t>
      </w:r>
      <w:r>
        <w:rPr>
          <w:rFonts w:hint="eastAsia" w:cs="宋体"/>
          <w:snapToGrid w:val="0"/>
          <w:color w:val="auto"/>
          <w:kern w:val="0"/>
          <w:sz w:val="24"/>
          <w:szCs w:val="21"/>
          <w:highlight w:val="none"/>
        </w:rPr>
        <w:t>没收预缴货款、销售担保和履约保证金后，经双方协商一致继续履行合同的，供应商需重新提交合同约定的预缴货款、销售担保和履约保证金。</w:t>
      </w:r>
    </w:p>
    <w:p w14:paraId="62180C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正式投产满五年，乙方应保证按中标包销比例完成矿产品销售责任，如未完成的，视为根本违约，甲方有权单方面解除合同，乙方前期所投入的所有设施设备、甲方应付乙方而未支付的费用等归甲方所有，同时没收全部剩余预缴货款、履约保证金及销售担保。因甲方调配原因除外。</w:t>
      </w:r>
    </w:p>
    <w:p w14:paraId="4FB1BEC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4、乙方确定买方后，甲方与买方签订供货合同，甲方开具正式发票，销售所得款项，买方直接支付到甲方指定账户。</w:t>
      </w:r>
    </w:p>
    <w:p w14:paraId="70F1430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如采用银行承兑汇票支付矿产品销售款的，以贴现后收到的金额作为实收销售款，贴现利息由买方或乙方承担（利息按贴现当日利率结算）。</w:t>
      </w:r>
    </w:p>
    <w:p w14:paraId="72A5D9E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乙方应建立回款监督机制，原则上遵循行业内先付款后交货的惯例，保障季度销售回款率达到100%。</w:t>
      </w:r>
    </w:p>
    <w:p w14:paraId="5FA57C1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5、本协议约定的实际销售价、销售指导价均为含税价，定义如下：</w:t>
      </w:r>
    </w:p>
    <w:p w14:paraId="6A972E7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（1）实际销售价：实际销售的上车价（陆运）或船上交货价（海运）。</w:t>
      </w:r>
    </w:p>
    <w:p w14:paraId="44DF55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（2）销售指导价：由《项目主体合同》约定的</w:t>
      </w:r>
      <w:r>
        <w:rPr>
          <w:rFonts w:hint="eastAsia" w:cs="宋体"/>
          <w:snapToGrid w:val="0"/>
          <w:color w:val="auto"/>
          <w:kern w:val="0"/>
          <w:sz w:val="24"/>
          <w:szCs w:val="21"/>
          <w:highlight w:val="none"/>
        </w:rPr>
        <w:t>定</w:t>
      </w:r>
      <w:r>
        <w:rPr>
          <w:rFonts w:hint="eastAsia" w:cs="宋体"/>
          <w:snapToGrid w:val="0"/>
          <w:color w:val="auto"/>
          <w:kern w:val="0"/>
          <w:sz w:val="24"/>
          <w:szCs w:val="21"/>
          <w:highlight w:val="none"/>
        </w:rPr>
        <w:t>价机制评价小组确定的销售价格。、乙方不得低于销售指导价销售，若低于销售指导价销售的，差额部分由乙方承担（每月核算一次，每季度结算一次），从预缴货款中扣除。</w:t>
      </w:r>
    </w:p>
    <w:p w14:paraId="7EB480D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w:t>
      </w:r>
      <w:r>
        <w:rPr>
          <w:rFonts w:hint="eastAsia" w:cs="宋体"/>
          <w:snapToGrid w:val="0"/>
          <w:color w:val="auto"/>
          <w:kern w:val="0"/>
          <w:sz w:val="24"/>
          <w:szCs w:val="21"/>
          <w:highlight w:val="none"/>
        </w:rPr>
        <w:t>超额收益分成：当实际销售价超过【销售指导价×1.07】时，超过部分【实际销售价-销售指导价×1.07】乙方向甲方收取70%超额收益分成。</w:t>
      </w:r>
    </w:p>
    <w:p w14:paraId="6DBFCBB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（三）结算与付款</w:t>
      </w:r>
    </w:p>
    <w:p w14:paraId="71F6FF0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1、双方完成每个月宕渣及砂石骨料销售后，按月统计宕渣及砂石骨料工程量及石料开采加工费。每个月石料开采加工费=各产品综合单价×当月销售量，作为甲方每个月支付石料开采加工费的依据。</w:t>
      </w:r>
    </w:p>
    <w:p w14:paraId="2BA277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开采加工费（不含安全生产费）的支付时间及方式：投入生产后，每一个自然月为一个结算周期，根据结算周期内甲方的销售数量结算石料开采加工费，乙方于每个结算周期结束后30日内提供本期服务费100%的增值税专用发票，甲方在收到发票后15个工作日内支付款项（其中：从第1个结算周期起每期扣留100万元，直至扣足1500万元；后续结算周期，每期按应付金额结清）；剩余款项待项目结束，经甲方及相关部门验收通过并结算完成后30天内结清。</w:t>
      </w:r>
    </w:p>
    <w:p w14:paraId="12CB65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3、超额收益分成的支付时间及方式：每个月核算一次并先予以挂账，按季度兑现，季度结束后30天内全额付清，乙方提供正式发票。</w:t>
      </w:r>
    </w:p>
    <w:p w14:paraId="1FFD5EE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4、安全费的支付时间及方式：</w:t>
      </w:r>
    </w:p>
    <w:p w14:paraId="562FB3B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按3元/吨计提，其中归属乙方承包范围使用的安全生产费用1.5元/吨，乙方每月提供安全生产费用使用清单（含发票、财务记账科目等）交第三方咨询公司审核安全生产费用是否符合使用范围，符合的由甲方进行支付；每年末，财务决算时，如超出使用标准的，超出部分由乙方自行承担。</w:t>
      </w:r>
    </w:p>
    <w:p w14:paraId="7F0F4D59">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六、销售担保</w:t>
      </w:r>
    </w:p>
    <w:p w14:paraId="09173A8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具备生产条件后，供应商提交销售担保6000万元，待项目结束后，7个工作日内返还（不计息）。销售担保形式：现金、国有或股份制商业银行县（区、市）级及以上银行出具的银行保函（银行保函有效期至项目结束日期，若延期的，需重新开具）。</w:t>
      </w:r>
    </w:p>
    <w:p w14:paraId="5B2E30B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本项目按照先款后货进行自提销售。乙方必须在签订合同后，销售前预缴货款2000万元（支付到甲方指定账户），当预缴货款低于200万元时，下一次提货前须补足2000万元的预缴货款。未补足2000万元预缴货款的，甲方禁止乙方提货，若继续提货的，甲方按矿产品双倍销售指导价的单价在销售担保中向乙方追索货款。2000万元的预缴货款及销售担保6000万元不足时，乙方须在15天内补足。</w:t>
      </w:r>
    </w:p>
    <w:p w14:paraId="161032EE">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七、甲方的权利与义务</w:t>
      </w:r>
    </w:p>
    <w:p w14:paraId="067E826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1、甲方作为石材（宕渣）的所有权人，乙方提供销售明细，了解材料销售情况，对乙方按照约定条件进行考核。</w:t>
      </w:r>
    </w:p>
    <w:p w14:paraId="3E5D1D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2、甲方应按时提供乙方建设生产线所需的土地，并负责完成土地的政策处理，保证乙方建设生产线免受周边村民干扰。</w:t>
      </w:r>
    </w:p>
    <w:p w14:paraId="153EDC6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3、甲方应按时足额支付乙方石料开采加工费、超额收益分成等费用。</w:t>
      </w:r>
    </w:p>
    <w:p w14:paraId="279A3449">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八、乙方的权利与义务</w:t>
      </w:r>
    </w:p>
    <w:p w14:paraId="61D4985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1、砂石加工生产线由乙方自主管理、自负盈亏、独立用工，独立承担生产，承担环保、安全、质量管控等责任。乙方可根据市场行情，在《项目主体合同》有关约束条件下生产适销对路的砂石骨料。</w:t>
      </w:r>
    </w:p>
    <w:p w14:paraId="33E4B71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石料开采加工是一项带有危险性的工作，乙方须建立完善的安全管理制度，对员工定期进行安全教育培训，确保生产人员的人身安全。如果发生生产作业员工和管理人员或第三人人身伤害或死亡事故的，一切赔偿由乙方自行承担，甲方不承担任何费用。</w:t>
      </w:r>
    </w:p>
    <w:p w14:paraId="6851C34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3、从原料入料口到成品装车的所有系统的运行及维护，达到安全生产标准化和绿色矿山建设标准。包括但不限于以下内容：</w:t>
      </w:r>
    </w:p>
    <w:p w14:paraId="23BC67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（1）整条生产线及污水处理系统的运行及维护；</w:t>
      </w:r>
    </w:p>
    <w:p w14:paraId="0DE6555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（2）所有成品仓、半成品仓、泥粉堆场及贮料罐的运行、维护及装车；供排水设施、消防系统、厂内外供配电设施、除尘设施的运行及维护、安全生产双重预防体系的建设维护与运行；</w:t>
      </w:r>
    </w:p>
    <w:p w14:paraId="586419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（3）所有系统运行维护所需的人工、电力、各种耗材、易损件、备品、备件、备机（含电机、减速机等关键配件）、工器具、特种设备检测、环保检测及维持生产系统正常运行必备的检测检验等；</w:t>
      </w:r>
    </w:p>
    <w:p w14:paraId="133A21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（4）所属厂区（含进厂道路）环境卫生清扫、洒水降尘、绿化养护、照明及监控、车间维护清理、雨污管网及化粪池清淤。</w:t>
      </w:r>
    </w:p>
    <w:p w14:paraId="3830479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4、综合单价还包含但不限于以下内容：</w:t>
      </w:r>
    </w:p>
    <w:p w14:paraId="2F3623B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（1）人工费（工资、社保、福利、劳动防护等）；</w:t>
      </w:r>
    </w:p>
    <w:p w14:paraId="4B0543D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（2）电费（厂区内生产加工及办公用一切电力消耗）；</w:t>
      </w:r>
    </w:p>
    <w:p w14:paraId="2407EA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（3）水费、水资源费、污水处理费等；</w:t>
      </w:r>
    </w:p>
    <w:p w14:paraId="5EC637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（4）维修、保养费（生产过程中的易损件、磨耗件、机油、润滑油、药剂等机物料消耗、正常设备检修、日常维护保养消耗、设备修理保养机械费、技术服务费、第三方检测费等）；</w:t>
      </w:r>
    </w:p>
    <w:p w14:paraId="75470D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（5）工艺清理，含全部生产区域的积料、路面、排水沟、渠清理、生产线清堵等；</w:t>
      </w:r>
    </w:p>
    <w:p w14:paraId="41CAC2D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（6）成品料的装卸及搬运，厂内装料车辆运输指挥管理；</w:t>
      </w:r>
    </w:p>
    <w:p w14:paraId="1AA2A0E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（7）粉尘、渣土装车，废泥处理的费用；</w:t>
      </w:r>
    </w:p>
    <w:p w14:paraId="6C02B69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（8）生产管理费（办公费、差旅费、职业卫生、安全生产、环保、水保措施费等费用）；</w:t>
      </w:r>
    </w:p>
    <w:p w14:paraId="3F23E3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（9）厂区内消防、安全防护保障费用；</w:t>
      </w:r>
    </w:p>
    <w:p w14:paraId="5EE5F4D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（10）厂区厂房、变电站日常维护等；</w:t>
      </w:r>
    </w:p>
    <w:p w14:paraId="36EE30F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（11）国家要求缴纳的一切税费。</w:t>
      </w:r>
    </w:p>
    <w:p w14:paraId="6AD89C23">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九、违约责任</w:t>
      </w:r>
    </w:p>
    <w:p w14:paraId="12EADDF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1、乙方违反合同约定，《项目主体合同》有约定，从其约定。</w:t>
      </w:r>
    </w:p>
    <w:p w14:paraId="5751C19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2、乙方篡改、虚构生产销售数据，骗取甲方石料开采加工费、隐匿或盗取甲方石材（宕渣或矿产品）的，按照骗取工程款或材料金额10倍计取违约金。涉嫌违法犯罪的，甲方有权移送公安机关处理。</w:t>
      </w:r>
    </w:p>
    <w:p w14:paraId="01F70AE6">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十、本协议一式四份，经双方盖章、签字后生效，甲方和乙方各执二份。</w:t>
      </w:r>
    </w:p>
    <w:p w14:paraId="7D69BB32">
      <w:pPr>
        <w:widowControl w:val="0"/>
        <w:adjustRightInd w:val="0"/>
        <w:snapToGrid w:val="0"/>
        <w:rPr>
          <w:color w:val="auto"/>
          <w:highlight w:val="none"/>
        </w:rPr>
      </w:pPr>
    </w:p>
    <w:p w14:paraId="5C3F5C5C">
      <w:pPr>
        <w:widowControl w:val="0"/>
        <w:adjustRightInd w:val="0"/>
        <w:snapToGrid w:val="0"/>
        <w:rPr>
          <w:color w:val="auto"/>
          <w:highlight w:val="none"/>
        </w:rPr>
      </w:pPr>
    </w:p>
    <w:p w14:paraId="05C71542">
      <w:pPr>
        <w:widowControl w:val="0"/>
        <w:adjustRightInd w:val="0"/>
        <w:snapToGrid w:val="0"/>
        <w:rPr>
          <w:color w:val="auto"/>
          <w:highlight w:val="none"/>
        </w:rPr>
      </w:pPr>
    </w:p>
    <w:p w14:paraId="418744AA">
      <w:pPr>
        <w:widowControl w:val="0"/>
        <w:adjustRightInd w:val="0"/>
        <w:snapToGrid w:val="0"/>
        <w:rPr>
          <w:color w:val="auto"/>
          <w:highlight w:val="none"/>
        </w:rPr>
      </w:pPr>
    </w:p>
    <w:p w14:paraId="7D6216BB">
      <w:pPr>
        <w:widowControl w:val="0"/>
        <w:adjustRightInd w:val="0"/>
        <w:snapToGrid w:val="0"/>
        <w:rPr>
          <w:color w:val="auto"/>
          <w:highlight w:val="none"/>
        </w:rPr>
      </w:pPr>
    </w:p>
    <w:p w14:paraId="370EF022">
      <w:pPr>
        <w:widowControl w:val="0"/>
        <w:adjustRightInd w:val="0"/>
        <w:snapToGrid w:val="0"/>
        <w:rPr>
          <w:color w:val="auto"/>
          <w:highlight w:val="none"/>
        </w:rPr>
      </w:pPr>
    </w:p>
    <w:p w14:paraId="531F06EA">
      <w:pPr>
        <w:widowControl w:val="0"/>
        <w:adjustRightInd w:val="0"/>
        <w:snapToGrid w:val="0"/>
        <w:rPr>
          <w:color w:val="auto"/>
          <w:highlight w:val="none"/>
        </w:rPr>
      </w:pPr>
    </w:p>
    <w:p w14:paraId="6859328C">
      <w:pPr>
        <w:widowControl w:val="0"/>
        <w:adjustRightInd w:val="0"/>
        <w:snapToGrid w:val="0"/>
        <w:rPr>
          <w:color w:val="auto"/>
          <w:highlight w:val="none"/>
        </w:rPr>
      </w:pPr>
    </w:p>
    <w:p w14:paraId="40F50225">
      <w:pPr>
        <w:widowControl w:val="0"/>
        <w:adjustRightInd w:val="0"/>
        <w:snapToGrid w:val="0"/>
        <w:rPr>
          <w:color w:val="auto"/>
          <w:highlight w:val="none"/>
        </w:rPr>
      </w:pPr>
    </w:p>
    <w:p w14:paraId="126024C1">
      <w:pPr>
        <w:widowControl w:val="0"/>
        <w:adjustRightInd w:val="0"/>
        <w:snapToGrid w:val="0"/>
        <w:rPr>
          <w:color w:val="auto"/>
          <w:highlight w:val="none"/>
        </w:rPr>
      </w:pPr>
    </w:p>
    <w:p w14:paraId="0D6EB564">
      <w:pPr>
        <w:widowControl w:val="0"/>
        <w:adjustRightInd w:val="0"/>
        <w:snapToGrid w:val="0"/>
        <w:rPr>
          <w:color w:val="auto"/>
          <w:highlight w:val="none"/>
        </w:rPr>
      </w:pPr>
    </w:p>
    <w:p w14:paraId="6B31766C">
      <w:pPr>
        <w:widowControl w:val="0"/>
        <w:adjustRightInd w:val="0"/>
        <w:snapToGrid w:val="0"/>
        <w:rPr>
          <w:color w:val="auto"/>
          <w:highlight w:val="none"/>
        </w:rPr>
      </w:pPr>
    </w:p>
    <w:p w14:paraId="6398F6CE">
      <w:pPr>
        <w:widowControl w:val="0"/>
        <w:adjustRightInd w:val="0"/>
        <w:snapToGrid w:val="0"/>
        <w:rPr>
          <w:color w:val="auto"/>
          <w:highlight w:val="none"/>
        </w:rPr>
      </w:pPr>
    </w:p>
    <w:p w14:paraId="7E413A7D">
      <w:pPr>
        <w:widowControl w:val="0"/>
        <w:adjustRightInd w:val="0"/>
        <w:snapToGrid w:val="0"/>
        <w:rPr>
          <w:color w:val="auto"/>
          <w:highlight w:val="none"/>
        </w:rPr>
      </w:pPr>
    </w:p>
    <w:p w14:paraId="276DBEB4">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甲方：（盖单位章）                       乙方：（盖单位章）</w:t>
      </w:r>
    </w:p>
    <w:p w14:paraId="3839CB72">
      <w:pPr>
        <w:widowControl w:val="0"/>
        <w:adjustRightInd w:val="0"/>
        <w:snapToGrid w:val="0"/>
        <w:rPr>
          <w:color w:val="auto"/>
          <w:highlight w:val="none"/>
        </w:rPr>
      </w:pPr>
    </w:p>
    <w:p w14:paraId="1C3E95E7">
      <w:pPr>
        <w:widowControl w:val="0"/>
        <w:adjustRightInd w:val="0"/>
        <w:snapToGrid w:val="0"/>
        <w:rPr>
          <w:color w:val="auto"/>
          <w:highlight w:val="none"/>
        </w:rPr>
      </w:pPr>
    </w:p>
    <w:p w14:paraId="28098F51">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法定代表人或                             法定代表人或</w:t>
      </w:r>
    </w:p>
    <w:p w14:paraId="11CBEC72">
      <w:pPr>
        <w:widowControl w:val="0"/>
        <w:adjustRightInd w:val="0"/>
        <w:snapToGrid w:val="0"/>
        <w:spacing w:line="300" w:lineRule="auto"/>
        <w:rPr>
          <w:rFonts w:cs="宋体"/>
          <w:snapToGrid w:val="0"/>
          <w:color w:val="auto"/>
          <w:kern w:val="0"/>
          <w:sz w:val="24"/>
          <w:szCs w:val="21"/>
          <w:highlight w:val="none"/>
        </w:rPr>
      </w:pPr>
      <w:r>
        <w:rPr>
          <w:rFonts w:hint="eastAsia" w:cs="宋体"/>
          <w:snapToGrid w:val="0"/>
          <w:color w:val="auto"/>
          <w:kern w:val="0"/>
          <w:sz w:val="24"/>
          <w:szCs w:val="21"/>
          <w:highlight w:val="none"/>
        </w:rPr>
        <w:t>其委托代理人：（签字或盖章）             其委托代理人：（签字或盖章）</w:t>
      </w:r>
    </w:p>
    <w:p w14:paraId="573A98F8">
      <w:pPr>
        <w:widowControl w:val="0"/>
        <w:adjustRightInd w:val="0"/>
        <w:snapToGrid w:val="0"/>
        <w:rPr>
          <w:color w:val="auto"/>
          <w:highlight w:val="none"/>
        </w:rPr>
      </w:pPr>
    </w:p>
    <w:p w14:paraId="7E0B4DD6">
      <w:pPr>
        <w:widowControl w:val="0"/>
        <w:adjustRightInd w:val="0"/>
        <w:snapToGrid w:val="0"/>
        <w:rPr>
          <w:color w:val="auto"/>
          <w:highlight w:val="none"/>
        </w:rPr>
      </w:pPr>
    </w:p>
    <w:p w14:paraId="12B61297">
      <w:pPr>
        <w:widowControl w:val="0"/>
        <w:adjustRightInd w:val="0"/>
        <w:snapToGrid w:val="0"/>
        <w:rPr>
          <w:color w:val="auto"/>
          <w:highlight w:val="none"/>
        </w:rPr>
      </w:pPr>
    </w:p>
    <w:p w14:paraId="6DF3EA78">
      <w:pPr>
        <w:widowControl w:val="0"/>
        <w:adjustRightInd w:val="0"/>
        <w:snapToGrid w:val="0"/>
        <w:spacing w:line="300" w:lineRule="auto"/>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4176DF9A">
      <w:pPr>
        <w:widowControl w:val="0"/>
        <w:adjustRightInd w:val="0"/>
        <w:snapToGrid w:val="0"/>
        <w:rPr>
          <w:color w:val="auto"/>
          <w:highlight w:val="none"/>
        </w:rPr>
      </w:pPr>
    </w:p>
    <w:p w14:paraId="086CE0E7">
      <w:pPr>
        <w:widowControl w:val="0"/>
        <w:adjustRightInd w:val="0"/>
        <w:snapToGrid w:val="0"/>
        <w:rPr>
          <w:color w:val="auto"/>
          <w:highlight w:val="none"/>
        </w:rPr>
      </w:pPr>
    </w:p>
    <w:p w14:paraId="53FCBC1C">
      <w:pPr>
        <w:widowControl w:val="0"/>
        <w:adjustRightInd w:val="0"/>
        <w:snapToGrid w:val="0"/>
        <w:rPr>
          <w:color w:val="auto"/>
          <w:highlight w:val="none"/>
        </w:rPr>
      </w:pPr>
    </w:p>
    <w:p w14:paraId="21C94EDF">
      <w:pPr>
        <w:widowControl w:val="0"/>
        <w:adjustRightInd w:val="0"/>
        <w:snapToGrid w:val="0"/>
        <w:rPr>
          <w:color w:val="auto"/>
          <w:highlight w:val="none"/>
        </w:rPr>
      </w:pPr>
    </w:p>
    <w:p w14:paraId="42E38C8A">
      <w:pPr>
        <w:widowControl w:val="0"/>
        <w:adjustRightInd w:val="0"/>
        <w:snapToGrid w:val="0"/>
        <w:rPr>
          <w:color w:val="auto"/>
          <w:highlight w:val="none"/>
        </w:rPr>
      </w:pPr>
    </w:p>
    <w:p w14:paraId="2E936792">
      <w:pPr>
        <w:widowControl w:val="0"/>
        <w:adjustRightInd w:val="0"/>
        <w:snapToGrid w:val="0"/>
        <w:rPr>
          <w:color w:val="auto"/>
          <w:highlight w:val="none"/>
        </w:rPr>
      </w:pPr>
    </w:p>
    <w:p w14:paraId="48639C03">
      <w:pPr>
        <w:widowControl w:val="0"/>
        <w:adjustRightInd w:val="0"/>
        <w:snapToGrid w:val="0"/>
        <w:rPr>
          <w:color w:val="auto"/>
          <w:highlight w:val="none"/>
        </w:rPr>
      </w:pPr>
    </w:p>
    <w:p w14:paraId="6618F515">
      <w:pPr>
        <w:widowControl w:val="0"/>
        <w:adjustRightInd w:val="0"/>
        <w:snapToGrid w:val="0"/>
        <w:rPr>
          <w:color w:val="auto"/>
          <w:highlight w:val="none"/>
        </w:rPr>
      </w:pPr>
    </w:p>
    <w:p w14:paraId="486D823E">
      <w:pPr>
        <w:widowControl w:val="0"/>
        <w:adjustRightInd w:val="0"/>
        <w:snapToGrid w:val="0"/>
        <w:rPr>
          <w:color w:val="auto"/>
          <w:highlight w:val="none"/>
        </w:rPr>
      </w:pPr>
    </w:p>
    <w:p w14:paraId="2EB91BCA">
      <w:pPr>
        <w:widowControl w:val="0"/>
        <w:adjustRightInd w:val="0"/>
        <w:snapToGrid w:val="0"/>
        <w:rPr>
          <w:color w:val="auto"/>
          <w:highlight w:val="none"/>
        </w:rPr>
      </w:pPr>
    </w:p>
    <w:p w14:paraId="7A9CC907">
      <w:pPr>
        <w:widowControl w:val="0"/>
        <w:adjustRightInd w:val="0"/>
        <w:snapToGrid w:val="0"/>
        <w:rPr>
          <w:color w:val="auto"/>
          <w:highlight w:val="none"/>
        </w:rPr>
      </w:pPr>
    </w:p>
    <w:p w14:paraId="67B0771C">
      <w:pPr>
        <w:widowControl w:val="0"/>
        <w:adjustRightInd w:val="0"/>
        <w:snapToGrid w:val="0"/>
        <w:rPr>
          <w:color w:val="auto"/>
          <w:highlight w:val="none"/>
        </w:rPr>
      </w:pPr>
    </w:p>
    <w:p w14:paraId="17522802">
      <w:pPr>
        <w:widowControl w:val="0"/>
        <w:adjustRightInd w:val="0"/>
        <w:snapToGrid w:val="0"/>
        <w:rPr>
          <w:color w:val="auto"/>
          <w:highlight w:val="none"/>
        </w:rPr>
      </w:pPr>
    </w:p>
    <w:p w14:paraId="3DA10FB9">
      <w:pPr>
        <w:widowControl w:val="0"/>
        <w:adjustRightInd w:val="0"/>
        <w:snapToGrid w:val="0"/>
        <w:rPr>
          <w:color w:val="auto"/>
          <w:highlight w:val="none"/>
        </w:rPr>
      </w:pPr>
    </w:p>
    <w:p w14:paraId="01FE251D">
      <w:pPr>
        <w:widowControl w:val="0"/>
        <w:adjustRightInd w:val="0"/>
        <w:snapToGrid w:val="0"/>
        <w:rPr>
          <w:color w:val="auto"/>
          <w:highlight w:val="none"/>
        </w:rPr>
      </w:pPr>
    </w:p>
    <w:p w14:paraId="7756F60F">
      <w:pPr>
        <w:widowControl w:val="0"/>
        <w:adjustRightInd w:val="0"/>
        <w:snapToGrid w:val="0"/>
        <w:rPr>
          <w:color w:val="auto"/>
          <w:highlight w:val="none"/>
        </w:rPr>
      </w:pPr>
    </w:p>
    <w:p w14:paraId="5715879E">
      <w:pPr>
        <w:widowControl w:val="0"/>
        <w:adjustRightInd w:val="0"/>
        <w:snapToGrid w:val="0"/>
        <w:rPr>
          <w:color w:val="auto"/>
          <w:highlight w:val="none"/>
        </w:rPr>
      </w:pPr>
    </w:p>
    <w:p w14:paraId="44AAC1A7">
      <w:pPr>
        <w:widowControl w:val="0"/>
        <w:adjustRightInd w:val="0"/>
        <w:snapToGrid w:val="0"/>
        <w:rPr>
          <w:color w:val="auto"/>
          <w:highlight w:val="none"/>
        </w:rPr>
      </w:pPr>
    </w:p>
    <w:p w14:paraId="567865C4">
      <w:pPr>
        <w:widowControl w:val="0"/>
        <w:adjustRightInd w:val="0"/>
        <w:snapToGrid w:val="0"/>
        <w:rPr>
          <w:color w:val="auto"/>
          <w:highlight w:val="none"/>
        </w:rPr>
      </w:pPr>
    </w:p>
    <w:p w14:paraId="1CDEA1F6">
      <w:pPr>
        <w:widowControl w:val="0"/>
        <w:adjustRightInd w:val="0"/>
        <w:snapToGrid w:val="0"/>
        <w:rPr>
          <w:color w:val="auto"/>
          <w:highlight w:val="none"/>
        </w:rPr>
      </w:pPr>
    </w:p>
    <w:p w14:paraId="60E1FB3D">
      <w:pPr>
        <w:widowControl w:val="0"/>
        <w:adjustRightInd w:val="0"/>
        <w:snapToGrid w:val="0"/>
        <w:rPr>
          <w:color w:val="auto"/>
          <w:highlight w:val="none"/>
        </w:rPr>
      </w:pPr>
    </w:p>
    <w:p w14:paraId="667A7CA1">
      <w:pPr>
        <w:widowControl w:val="0"/>
        <w:adjustRightInd w:val="0"/>
        <w:snapToGrid w:val="0"/>
        <w:rPr>
          <w:color w:val="auto"/>
          <w:highlight w:val="none"/>
        </w:rPr>
      </w:pPr>
    </w:p>
    <w:p w14:paraId="76C3BFA8">
      <w:pPr>
        <w:widowControl w:val="0"/>
        <w:adjustRightInd w:val="0"/>
        <w:snapToGrid w:val="0"/>
        <w:rPr>
          <w:color w:val="auto"/>
          <w:highlight w:val="none"/>
        </w:rPr>
      </w:pPr>
    </w:p>
    <w:p w14:paraId="39744F60">
      <w:pPr>
        <w:widowControl w:val="0"/>
        <w:adjustRightInd w:val="0"/>
        <w:snapToGrid w:val="0"/>
        <w:rPr>
          <w:color w:val="auto"/>
          <w:highlight w:val="none"/>
        </w:rPr>
      </w:pPr>
    </w:p>
    <w:p w14:paraId="57694C8B">
      <w:pPr>
        <w:widowControl w:val="0"/>
        <w:adjustRightInd w:val="0"/>
        <w:snapToGrid w:val="0"/>
        <w:rPr>
          <w:color w:val="auto"/>
          <w:highlight w:val="none"/>
        </w:rPr>
      </w:pPr>
    </w:p>
    <w:p w14:paraId="10312FDA">
      <w:pPr>
        <w:widowControl w:val="0"/>
        <w:adjustRightInd w:val="0"/>
        <w:snapToGrid w:val="0"/>
        <w:rPr>
          <w:color w:val="auto"/>
          <w:highlight w:val="none"/>
        </w:rPr>
      </w:pPr>
    </w:p>
    <w:p w14:paraId="0AAA00A9">
      <w:pPr>
        <w:widowControl w:val="0"/>
        <w:adjustRightInd w:val="0"/>
        <w:snapToGrid w:val="0"/>
        <w:rPr>
          <w:color w:val="auto"/>
          <w:highlight w:val="none"/>
        </w:rPr>
      </w:pPr>
    </w:p>
    <w:p w14:paraId="10E090E7">
      <w:pPr>
        <w:widowControl w:val="0"/>
        <w:adjustRightInd w:val="0"/>
        <w:snapToGrid w:val="0"/>
        <w:rPr>
          <w:color w:val="auto"/>
          <w:highlight w:val="none"/>
        </w:rPr>
      </w:pPr>
    </w:p>
    <w:p w14:paraId="742C961A">
      <w:pPr>
        <w:widowControl w:val="0"/>
        <w:adjustRightInd w:val="0"/>
        <w:snapToGrid w:val="0"/>
        <w:rPr>
          <w:color w:val="auto"/>
          <w:highlight w:val="none"/>
        </w:rPr>
      </w:pPr>
    </w:p>
    <w:p w14:paraId="7C04201F">
      <w:pPr>
        <w:widowControl w:val="0"/>
        <w:adjustRightInd w:val="0"/>
        <w:snapToGrid w:val="0"/>
        <w:rPr>
          <w:color w:val="auto"/>
          <w:highlight w:val="none"/>
        </w:rPr>
      </w:pPr>
    </w:p>
    <w:p w14:paraId="59DCC510">
      <w:pPr>
        <w:widowControl w:val="0"/>
        <w:adjustRightInd w:val="0"/>
        <w:snapToGrid w:val="0"/>
        <w:rPr>
          <w:color w:val="auto"/>
          <w:highlight w:val="none"/>
        </w:rPr>
      </w:pPr>
    </w:p>
    <w:p w14:paraId="76EB2F16">
      <w:pPr>
        <w:widowControl w:val="0"/>
        <w:adjustRightInd w:val="0"/>
        <w:snapToGrid w:val="0"/>
        <w:rPr>
          <w:color w:val="auto"/>
          <w:highlight w:val="none"/>
        </w:rPr>
      </w:pPr>
    </w:p>
    <w:p w14:paraId="2F4921DC">
      <w:pPr>
        <w:widowControl w:val="0"/>
        <w:adjustRightInd w:val="0"/>
        <w:snapToGrid w:val="0"/>
        <w:rPr>
          <w:color w:val="auto"/>
          <w:highlight w:val="none"/>
        </w:rPr>
      </w:pPr>
    </w:p>
    <w:p w14:paraId="02EDB3EA">
      <w:pPr>
        <w:widowControl w:val="0"/>
        <w:adjustRightInd w:val="0"/>
        <w:snapToGrid w:val="0"/>
        <w:rPr>
          <w:color w:val="auto"/>
          <w:highlight w:val="none"/>
        </w:rPr>
      </w:pPr>
    </w:p>
    <w:p w14:paraId="3B647C64">
      <w:pPr>
        <w:widowControl w:val="0"/>
        <w:adjustRightInd w:val="0"/>
        <w:snapToGrid w:val="0"/>
        <w:rPr>
          <w:color w:val="auto"/>
          <w:highlight w:val="none"/>
        </w:rPr>
      </w:pPr>
    </w:p>
    <w:p w14:paraId="3365A1B1">
      <w:pPr>
        <w:widowControl w:val="0"/>
        <w:adjustRightInd w:val="0"/>
        <w:snapToGrid w:val="0"/>
        <w:rPr>
          <w:color w:val="auto"/>
          <w:highlight w:val="none"/>
        </w:rPr>
      </w:pPr>
    </w:p>
    <w:p w14:paraId="7232154F">
      <w:pPr>
        <w:widowControl w:val="0"/>
        <w:adjustRightInd w:val="0"/>
        <w:snapToGrid w:val="0"/>
        <w:rPr>
          <w:color w:val="auto"/>
          <w:highlight w:val="none"/>
        </w:rPr>
      </w:pPr>
    </w:p>
    <w:p w14:paraId="78BE73F2">
      <w:pPr>
        <w:widowControl w:val="0"/>
        <w:adjustRightInd w:val="0"/>
        <w:snapToGrid w:val="0"/>
        <w:rPr>
          <w:color w:val="auto"/>
          <w:highlight w:val="none"/>
        </w:rPr>
      </w:pPr>
    </w:p>
    <w:p w14:paraId="46E41CC7">
      <w:pPr>
        <w:pStyle w:val="417"/>
        <w:ind w:firstLine="0" w:firstLineChars="0"/>
        <w:jc w:val="center"/>
        <w:rPr>
          <w:color w:val="auto"/>
          <w:highlight w:val="none"/>
        </w:rPr>
      </w:pPr>
      <w:bookmarkStart w:id="144" w:name="_Toc173762012"/>
      <w:r>
        <w:rPr>
          <w:rFonts w:hint="eastAsia"/>
          <w:color w:val="auto"/>
          <w:highlight w:val="none"/>
        </w:rPr>
        <w:t>三、外运配套码头等工程设计施工合同</w:t>
      </w:r>
      <w:bookmarkEnd w:id="144"/>
    </w:p>
    <w:p w14:paraId="78CF0CD1">
      <w:pPr>
        <w:widowControl w:val="0"/>
        <w:adjustRightInd w:val="0"/>
        <w:snapToGrid w:val="0"/>
        <w:rPr>
          <w:color w:val="auto"/>
          <w:highlight w:val="none"/>
        </w:rPr>
      </w:pPr>
    </w:p>
    <w:p w14:paraId="1AE41C45">
      <w:pPr>
        <w:widowControl w:val="0"/>
        <w:adjustRightInd w:val="0"/>
        <w:snapToGrid w:val="0"/>
        <w:rPr>
          <w:color w:val="auto"/>
          <w:highlight w:val="none"/>
        </w:rPr>
      </w:pPr>
    </w:p>
    <w:p w14:paraId="2A4290A2">
      <w:pPr>
        <w:widowControl w:val="0"/>
        <w:adjustRightInd w:val="0"/>
        <w:snapToGrid w:val="0"/>
        <w:rPr>
          <w:color w:val="auto"/>
          <w:highlight w:val="none"/>
        </w:rPr>
      </w:pPr>
    </w:p>
    <w:p w14:paraId="7A873D07">
      <w:pPr>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第一节 合同</w:t>
      </w:r>
      <w:r>
        <w:rPr>
          <w:rFonts w:ascii="华文中宋" w:hAnsi="华文中宋" w:eastAsia="华文中宋"/>
          <w:b/>
          <w:color w:val="auto"/>
          <w:sz w:val="28"/>
          <w:szCs w:val="28"/>
          <w:highlight w:val="none"/>
        </w:rPr>
        <w:t>协议书</w:t>
      </w:r>
    </w:p>
    <w:p w14:paraId="61E5CC30">
      <w:pPr>
        <w:widowControl w:val="0"/>
        <w:adjustRightInd w:val="0"/>
        <w:snapToGrid w:val="0"/>
        <w:rPr>
          <w:color w:val="auto"/>
          <w:highlight w:val="none"/>
        </w:rPr>
      </w:pPr>
    </w:p>
    <w:p w14:paraId="6F4E04CC">
      <w:pPr>
        <w:widowControl w:val="0"/>
        <w:adjustRightInd w:val="0"/>
        <w:snapToGrid w:val="0"/>
        <w:rPr>
          <w:color w:val="auto"/>
          <w:highlight w:val="none"/>
        </w:rPr>
      </w:pPr>
    </w:p>
    <w:p w14:paraId="4A9109FE">
      <w:pPr>
        <w:widowControl w:val="0"/>
        <w:adjustRightInd w:val="0"/>
        <w:snapToGrid w:val="0"/>
        <w:rPr>
          <w:color w:val="auto"/>
          <w:highlight w:val="none"/>
        </w:rPr>
      </w:pPr>
    </w:p>
    <w:p w14:paraId="313D37EB">
      <w:pPr>
        <w:spacing w:before="240" w:line="30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宁波交运资源开发有限公司  </w:t>
      </w:r>
      <w:r>
        <w:rPr>
          <w:rFonts w:hint="eastAsia" w:ascii="宋体" w:hAnsi="宋体"/>
          <w:color w:val="auto"/>
          <w:sz w:val="24"/>
          <w:highlight w:val="none"/>
        </w:rPr>
        <w:t>（以下简称“发包人”）为实施</w:t>
      </w:r>
      <w:r>
        <w:rPr>
          <w:rFonts w:hint="eastAsia" w:ascii="宋体" w:hAnsi="宋体"/>
          <w:color w:val="auto"/>
          <w:sz w:val="24"/>
          <w:highlight w:val="none"/>
          <w:u w:val="single"/>
        </w:rPr>
        <w:t xml:space="preserve">  外运配套码头（包括外运配套码头工程、航道疏浚工程、码头水域疏浚工程和维护期疏浚）、矿山地质环境保护与土地复垦工程  </w:t>
      </w:r>
      <w:r>
        <w:rPr>
          <w:rFonts w:hint="eastAsia" w:ascii="宋体" w:hAnsi="宋体"/>
          <w:color w:val="auto"/>
          <w:sz w:val="24"/>
          <w:highlight w:val="none"/>
        </w:rPr>
        <w:t>，已接受</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（以下简称“承包人”）对该项目设计施工总承包投标。发包人和承包人共同达成如下协议。</w:t>
      </w:r>
    </w:p>
    <w:p w14:paraId="14970E50">
      <w:pPr>
        <w:spacing w:line="300" w:lineRule="auto"/>
        <w:ind w:firstLine="480" w:firstLineChars="200"/>
        <w:rPr>
          <w:color w:val="auto"/>
          <w:sz w:val="24"/>
          <w:highlight w:val="none"/>
        </w:rPr>
      </w:pPr>
      <w:r>
        <w:rPr>
          <w:rFonts w:hint="eastAsia"/>
          <w:color w:val="auto"/>
          <w:sz w:val="24"/>
          <w:highlight w:val="none"/>
        </w:rPr>
        <w:t>1.</w:t>
      </w:r>
      <w:r>
        <w:rPr>
          <w:rFonts w:hint="eastAsia" w:hAnsi="宋体"/>
          <w:color w:val="auto"/>
          <w:sz w:val="24"/>
          <w:highlight w:val="none"/>
        </w:rPr>
        <w:t>本协议书与下列文件一起构成合同文件：</w:t>
      </w:r>
    </w:p>
    <w:p w14:paraId="020CC1AC">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1</w:t>
      </w:r>
      <w:r>
        <w:rPr>
          <w:rFonts w:hint="eastAsia" w:hAnsi="宋体"/>
          <w:color w:val="auto"/>
          <w:sz w:val="24"/>
          <w:highlight w:val="none"/>
        </w:rPr>
        <w:t>）中标通知书；</w:t>
      </w:r>
    </w:p>
    <w:p w14:paraId="3E6E9636">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2</w:t>
      </w:r>
      <w:r>
        <w:rPr>
          <w:rFonts w:hint="eastAsia" w:hAnsi="宋体"/>
          <w:color w:val="auto"/>
          <w:sz w:val="24"/>
          <w:highlight w:val="none"/>
        </w:rPr>
        <w:t>）投标函及投标函附录；</w:t>
      </w:r>
    </w:p>
    <w:p w14:paraId="33856E56">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3</w:t>
      </w:r>
      <w:r>
        <w:rPr>
          <w:rFonts w:hint="eastAsia" w:hAnsi="宋体"/>
          <w:color w:val="auto"/>
          <w:sz w:val="24"/>
          <w:highlight w:val="none"/>
        </w:rPr>
        <w:t>）专用合同条款；</w:t>
      </w:r>
    </w:p>
    <w:p w14:paraId="20E6A61F">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4</w:t>
      </w:r>
      <w:r>
        <w:rPr>
          <w:rFonts w:hint="eastAsia" w:hAnsi="宋体"/>
          <w:color w:val="auto"/>
          <w:sz w:val="24"/>
          <w:highlight w:val="none"/>
        </w:rPr>
        <w:t>）通用合同条款；</w:t>
      </w:r>
    </w:p>
    <w:p w14:paraId="4B7FB4AC">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5</w:t>
      </w:r>
      <w:r>
        <w:rPr>
          <w:rFonts w:hint="eastAsia" w:hAnsi="宋体"/>
          <w:color w:val="auto"/>
          <w:sz w:val="24"/>
          <w:highlight w:val="none"/>
        </w:rPr>
        <w:t>）发包人要求；</w:t>
      </w:r>
    </w:p>
    <w:p w14:paraId="7D431A46">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6</w:t>
      </w:r>
      <w:r>
        <w:rPr>
          <w:rFonts w:hint="eastAsia" w:hAnsi="宋体"/>
          <w:color w:val="auto"/>
          <w:sz w:val="24"/>
          <w:highlight w:val="none"/>
        </w:rPr>
        <w:t>）价格清单；</w:t>
      </w:r>
    </w:p>
    <w:p w14:paraId="1253EFEF">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7</w:t>
      </w:r>
      <w:r>
        <w:rPr>
          <w:rFonts w:hint="eastAsia" w:hAnsi="宋体"/>
          <w:color w:val="auto"/>
          <w:sz w:val="24"/>
          <w:highlight w:val="none"/>
        </w:rPr>
        <w:t>）承包人建议；</w:t>
      </w:r>
    </w:p>
    <w:p w14:paraId="39286B15">
      <w:pPr>
        <w:spacing w:line="300" w:lineRule="auto"/>
        <w:ind w:firstLine="480" w:firstLineChars="200"/>
        <w:rPr>
          <w:color w:val="auto"/>
          <w:sz w:val="24"/>
          <w:highlight w:val="none"/>
        </w:rPr>
      </w:pPr>
      <w:r>
        <w:rPr>
          <w:rFonts w:hint="eastAsia" w:hAnsi="宋体"/>
          <w:color w:val="auto"/>
          <w:sz w:val="24"/>
          <w:highlight w:val="none"/>
        </w:rPr>
        <w:t>（</w:t>
      </w:r>
      <w:r>
        <w:rPr>
          <w:rFonts w:hint="eastAsia"/>
          <w:color w:val="auto"/>
          <w:sz w:val="24"/>
          <w:highlight w:val="none"/>
        </w:rPr>
        <w:t>8</w:t>
      </w:r>
      <w:r>
        <w:rPr>
          <w:rFonts w:hint="eastAsia" w:hAnsi="宋体"/>
          <w:color w:val="auto"/>
          <w:sz w:val="24"/>
          <w:highlight w:val="none"/>
        </w:rPr>
        <w:t>）其他合同文件。</w:t>
      </w:r>
    </w:p>
    <w:p w14:paraId="5EA0D480">
      <w:pPr>
        <w:spacing w:line="300" w:lineRule="auto"/>
        <w:ind w:firstLine="480" w:firstLineChars="200"/>
        <w:rPr>
          <w:color w:val="auto"/>
          <w:sz w:val="24"/>
          <w:highlight w:val="none"/>
        </w:rPr>
      </w:pPr>
      <w:r>
        <w:rPr>
          <w:rFonts w:hint="eastAsia"/>
          <w:color w:val="auto"/>
          <w:sz w:val="24"/>
          <w:highlight w:val="none"/>
        </w:rPr>
        <w:t>2.</w:t>
      </w:r>
      <w:r>
        <w:rPr>
          <w:rFonts w:hint="eastAsia" w:hAnsi="宋体"/>
          <w:color w:val="auto"/>
          <w:sz w:val="24"/>
          <w:highlight w:val="none"/>
        </w:rPr>
        <w:t>上述文件互相补充和解释，如有不明确或不一致之处，以合同约定次序在先者为准。</w:t>
      </w:r>
    </w:p>
    <w:p w14:paraId="5B052477">
      <w:pPr>
        <w:spacing w:line="300" w:lineRule="auto"/>
        <w:ind w:firstLine="480" w:firstLineChars="200"/>
        <w:rPr>
          <w:color w:val="auto"/>
          <w:sz w:val="24"/>
          <w:highlight w:val="none"/>
        </w:rPr>
      </w:pPr>
      <w:r>
        <w:rPr>
          <w:rFonts w:hint="eastAsia"/>
          <w:color w:val="auto"/>
          <w:sz w:val="24"/>
          <w:highlight w:val="none"/>
        </w:rPr>
        <w:t>3.</w:t>
      </w:r>
      <w:r>
        <w:rPr>
          <w:rFonts w:hint="eastAsia" w:hAnsi="宋体"/>
          <w:color w:val="auto"/>
          <w:sz w:val="24"/>
          <w:highlight w:val="none"/>
        </w:rPr>
        <w:t>签约合同价：</w:t>
      </w:r>
      <w:r>
        <w:rPr>
          <w:rFonts w:hint="eastAsia" w:hAnsi="宋体"/>
          <w:color w:val="auto"/>
          <w:sz w:val="24"/>
          <w:highlight w:val="none"/>
        </w:rPr>
        <w:t>暂估人民币（大写）</w:t>
      </w:r>
      <w:r>
        <w:rPr>
          <w:rFonts w:hint="eastAsia" w:hAnsi="宋体"/>
          <w:color w:val="auto"/>
          <w:sz w:val="24"/>
          <w:highlight w:val="none"/>
          <w:u w:val="single"/>
        </w:rPr>
        <w:t xml:space="preserve"> 柒仟肆佰柒拾柒万伍仟贰佰贰拾肆 </w:t>
      </w:r>
      <w:r>
        <w:rPr>
          <w:rFonts w:hint="eastAsia" w:hAnsi="宋体"/>
          <w:color w:val="auto"/>
          <w:sz w:val="24"/>
          <w:highlight w:val="none"/>
        </w:rPr>
        <w:t>元（￥</w:t>
      </w:r>
      <w:r>
        <w:rPr>
          <w:rFonts w:hint="eastAsia" w:hAnsi="宋体"/>
          <w:color w:val="auto"/>
          <w:sz w:val="24"/>
          <w:highlight w:val="none"/>
          <w:u w:val="single"/>
        </w:rPr>
        <w:t xml:space="preserve"> </w:t>
      </w:r>
      <w:r>
        <w:rPr>
          <w:rFonts w:hAnsi="宋体"/>
          <w:color w:val="auto"/>
          <w:sz w:val="24"/>
          <w:highlight w:val="none"/>
          <w:u w:val="single"/>
        </w:rPr>
        <w:t>74775224</w:t>
      </w:r>
      <w:r>
        <w:rPr>
          <w:rFonts w:hint="eastAsia" w:hAnsi="宋体"/>
          <w:color w:val="auto"/>
          <w:sz w:val="24"/>
          <w:highlight w:val="none"/>
          <w:u w:val="single"/>
        </w:rPr>
        <w:t xml:space="preserve"> </w:t>
      </w:r>
      <w:r>
        <w:rPr>
          <w:rFonts w:hint="eastAsia" w:hAnsi="宋体"/>
          <w:color w:val="auto"/>
          <w:sz w:val="24"/>
          <w:highlight w:val="none"/>
        </w:rPr>
        <w:t>）。</w:t>
      </w:r>
    </w:p>
    <w:p w14:paraId="6F54CDA2">
      <w:pPr>
        <w:spacing w:line="300" w:lineRule="auto"/>
        <w:ind w:firstLine="480" w:firstLineChars="200"/>
        <w:rPr>
          <w:color w:val="auto"/>
          <w:sz w:val="24"/>
          <w:highlight w:val="none"/>
        </w:rPr>
      </w:pPr>
      <w:r>
        <w:rPr>
          <w:rFonts w:hint="eastAsia"/>
          <w:color w:val="auto"/>
          <w:sz w:val="24"/>
          <w:highlight w:val="none"/>
        </w:rPr>
        <w:t>4.</w:t>
      </w:r>
      <w:r>
        <w:rPr>
          <w:rFonts w:hint="eastAsia" w:hAnsi="宋体"/>
          <w:color w:val="auto"/>
          <w:sz w:val="24"/>
          <w:highlight w:val="none"/>
        </w:rPr>
        <w:t>承包人项目经理：</w:t>
      </w:r>
      <w:r>
        <w:rPr>
          <w:rFonts w:hint="eastAsia" w:hAnsi="宋体"/>
          <w:color w:val="auto"/>
          <w:sz w:val="24"/>
          <w:highlight w:val="none"/>
          <w:u w:val="single"/>
        </w:rPr>
        <w:t xml:space="preserve">        </w:t>
      </w:r>
      <w:r>
        <w:rPr>
          <w:rFonts w:hint="eastAsia" w:hAnsi="宋体"/>
          <w:color w:val="auto"/>
          <w:sz w:val="24"/>
          <w:highlight w:val="none"/>
        </w:rPr>
        <w:t>；设计负责人：</w:t>
      </w:r>
      <w:r>
        <w:rPr>
          <w:rFonts w:hint="eastAsia" w:hAnsi="宋体"/>
          <w:color w:val="auto"/>
          <w:sz w:val="24"/>
          <w:highlight w:val="none"/>
          <w:u w:val="single"/>
        </w:rPr>
        <w:t xml:space="preserve">        </w:t>
      </w:r>
      <w:r>
        <w:rPr>
          <w:rFonts w:hint="eastAsia" w:hAnsi="宋体"/>
          <w:color w:val="auto"/>
          <w:sz w:val="24"/>
          <w:highlight w:val="none"/>
        </w:rPr>
        <w:t>；施工负责人</w:t>
      </w:r>
      <w:r>
        <w:rPr>
          <w:rFonts w:hint="eastAsia"/>
          <w:color w:val="auto"/>
          <w:sz w:val="24"/>
          <w:highlight w:val="none"/>
        </w:rPr>
        <w:t>：</w:t>
      </w:r>
      <w:r>
        <w:rPr>
          <w:rFonts w:hint="eastAsia" w:hAnsi="宋体"/>
          <w:color w:val="auto"/>
          <w:sz w:val="24"/>
          <w:highlight w:val="none"/>
          <w:u w:val="single"/>
        </w:rPr>
        <w:t xml:space="preserve">        </w:t>
      </w:r>
      <w:r>
        <w:rPr>
          <w:rFonts w:hint="eastAsia" w:hAnsi="宋体"/>
          <w:color w:val="auto"/>
          <w:sz w:val="24"/>
          <w:highlight w:val="none"/>
        </w:rPr>
        <w:t>。</w:t>
      </w:r>
    </w:p>
    <w:p w14:paraId="0D7AAB47">
      <w:pPr>
        <w:spacing w:line="300" w:lineRule="auto"/>
        <w:ind w:firstLine="480" w:firstLineChars="200"/>
        <w:rPr>
          <w:rFonts w:hint="eastAsia" w:hAnsi="宋体"/>
          <w:color w:val="auto"/>
          <w:sz w:val="24"/>
          <w:highlight w:val="none"/>
        </w:rPr>
      </w:pPr>
      <w:r>
        <w:rPr>
          <w:rFonts w:hint="eastAsia"/>
          <w:color w:val="auto"/>
          <w:sz w:val="24"/>
          <w:highlight w:val="none"/>
        </w:rPr>
        <w:t>5.</w:t>
      </w:r>
      <w:r>
        <w:rPr>
          <w:rFonts w:hint="eastAsia" w:hAnsi="宋体"/>
          <w:color w:val="auto"/>
          <w:sz w:val="24"/>
          <w:highlight w:val="none"/>
        </w:rPr>
        <w:t>工程质量符合的标准和要求：</w:t>
      </w:r>
      <w:r>
        <w:rPr>
          <w:rFonts w:hint="eastAsia" w:hAnsi="宋体"/>
          <w:color w:val="auto"/>
          <w:sz w:val="24"/>
          <w:highlight w:val="none"/>
          <w:u w:val="single"/>
        </w:rPr>
        <w:t xml:space="preserve">  详见第二节“专用合同条款”约定  。</w:t>
      </w:r>
    </w:p>
    <w:p w14:paraId="749C52AA">
      <w:pPr>
        <w:spacing w:line="300" w:lineRule="auto"/>
        <w:ind w:firstLine="480" w:firstLineChars="200"/>
        <w:rPr>
          <w:color w:val="auto"/>
          <w:sz w:val="24"/>
          <w:highlight w:val="none"/>
        </w:rPr>
      </w:pPr>
      <w:r>
        <w:rPr>
          <w:rFonts w:hint="eastAsia"/>
          <w:color w:val="auto"/>
          <w:sz w:val="24"/>
          <w:highlight w:val="none"/>
        </w:rPr>
        <w:t>6.</w:t>
      </w:r>
      <w:r>
        <w:rPr>
          <w:rFonts w:hint="eastAsia" w:hAnsi="宋体"/>
          <w:color w:val="auto"/>
          <w:sz w:val="24"/>
          <w:highlight w:val="none"/>
        </w:rPr>
        <w:t>承包人承诺按合同约定承担工程的设计、实施、竣工及缺陷修复。</w:t>
      </w:r>
    </w:p>
    <w:p w14:paraId="2C1C276A">
      <w:pPr>
        <w:spacing w:line="300" w:lineRule="auto"/>
        <w:ind w:firstLine="480" w:firstLineChars="200"/>
        <w:rPr>
          <w:color w:val="auto"/>
          <w:sz w:val="24"/>
          <w:highlight w:val="none"/>
        </w:rPr>
      </w:pPr>
      <w:r>
        <w:rPr>
          <w:rFonts w:hint="eastAsia"/>
          <w:color w:val="auto"/>
          <w:sz w:val="24"/>
          <w:highlight w:val="none"/>
        </w:rPr>
        <w:t>7.</w:t>
      </w:r>
      <w:r>
        <w:rPr>
          <w:rFonts w:hint="eastAsia" w:hAnsi="宋体"/>
          <w:color w:val="auto"/>
          <w:sz w:val="24"/>
          <w:highlight w:val="none"/>
        </w:rPr>
        <w:t>发包人承诺按合同约定的条件、时间和方式向承包人支付合同价款。</w:t>
      </w:r>
    </w:p>
    <w:p w14:paraId="4F20D776">
      <w:pPr>
        <w:spacing w:line="300" w:lineRule="auto"/>
        <w:ind w:firstLine="480" w:firstLineChars="200"/>
        <w:rPr>
          <w:color w:val="auto"/>
          <w:sz w:val="24"/>
          <w:highlight w:val="none"/>
          <w:u w:val="single"/>
        </w:rPr>
      </w:pPr>
      <w:r>
        <w:rPr>
          <w:color w:val="auto"/>
          <w:sz w:val="24"/>
          <w:highlight w:val="none"/>
        </w:rPr>
        <w:t>8.承包人计划开始工作时间：</w:t>
      </w:r>
      <w:r>
        <w:rPr>
          <w:color w:val="auto"/>
          <w:sz w:val="24"/>
          <w:highlight w:val="none"/>
          <w:u w:val="single"/>
        </w:rPr>
        <w:t xml:space="preserve">   合同签订后   </w:t>
      </w:r>
      <w:r>
        <w:rPr>
          <w:color w:val="auto"/>
          <w:sz w:val="24"/>
          <w:highlight w:val="none"/>
        </w:rPr>
        <w:t>，实际开始工作时间按照监理人开始工作通知中载明的开始工作时间为准。工期为</w:t>
      </w:r>
      <w:r>
        <w:rPr>
          <w:color w:val="auto"/>
          <w:sz w:val="24"/>
          <w:highlight w:val="none"/>
          <w:u w:val="single"/>
        </w:rPr>
        <w:t xml:space="preserve">  </w:t>
      </w:r>
      <w:r>
        <w:rPr>
          <w:color w:val="auto"/>
          <w:sz w:val="24"/>
          <w:highlight w:val="none"/>
          <w:u w:val="single"/>
        </w:rPr>
        <w:t>（1）外运配套码头：须在合同签订后18个月内完成，包括前期工作、初步设计、施工图设计以及具备开工条件的一切行政许可、施工和验收。（2）维护期疏浚：视船舶航行情况另行确定。（3）</w:t>
      </w:r>
      <w:r>
        <w:rPr>
          <w:color w:val="auto"/>
          <w:sz w:val="24"/>
          <w:szCs w:val="21"/>
          <w:highlight w:val="none"/>
          <w:u w:val="single"/>
        </w:rPr>
        <w:t>矿山地质环境保护与土地复垦：开采截止时间同时完成（若开采截止时间延长，则工期顺延）</w:t>
      </w:r>
      <w:r>
        <w:rPr>
          <w:color w:val="auto"/>
          <w:sz w:val="24"/>
          <w:highlight w:val="none"/>
          <w:u w:val="single"/>
        </w:rPr>
        <w:t xml:space="preserve">  </w:t>
      </w:r>
      <w:r>
        <w:rPr>
          <w:color w:val="auto"/>
          <w:sz w:val="24"/>
          <w:highlight w:val="none"/>
        </w:rPr>
        <w:t>。</w:t>
      </w:r>
    </w:p>
    <w:p w14:paraId="39F6AE6C">
      <w:pPr>
        <w:spacing w:line="300" w:lineRule="auto"/>
        <w:ind w:firstLine="480" w:firstLineChars="200"/>
        <w:rPr>
          <w:color w:val="auto"/>
          <w:sz w:val="24"/>
          <w:highlight w:val="none"/>
        </w:rPr>
      </w:pPr>
      <w:r>
        <w:rPr>
          <w:rFonts w:hint="eastAsia"/>
          <w:color w:val="auto"/>
          <w:sz w:val="24"/>
          <w:highlight w:val="none"/>
        </w:rPr>
        <w:t>9.</w:t>
      </w:r>
      <w:r>
        <w:rPr>
          <w:rFonts w:hint="eastAsia" w:hAnsi="宋体"/>
          <w:color w:val="auto"/>
          <w:sz w:val="24"/>
          <w:highlight w:val="none"/>
        </w:rPr>
        <w:t>本协议书一式</w:t>
      </w:r>
      <w:r>
        <w:rPr>
          <w:rFonts w:hint="eastAsia" w:hAnsi="宋体"/>
          <w:color w:val="auto"/>
          <w:sz w:val="24"/>
          <w:highlight w:val="none"/>
          <w:u w:val="single"/>
        </w:rPr>
        <w:t xml:space="preserve">        </w:t>
      </w:r>
      <w:r>
        <w:rPr>
          <w:rFonts w:hint="eastAsia" w:hAnsi="宋体"/>
          <w:color w:val="auto"/>
          <w:sz w:val="24"/>
          <w:highlight w:val="none"/>
        </w:rPr>
        <w:t>份，合同双方各执一份。</w:t>
      </w:r>
    </w:p>
    <w:p w14:paraId="478E35EF">
      <w:pPr>
        <w:spacing w:line="300" w:lineRule="auto"/>
        <w:ind w:firstLine="480" w:firstLineChars="200"/>
        <w:rPr>
          <w:color w:val="auto"/>
          <w:sz w:val="24"/>
          <w:highlight w:val="none"/>
        </w:rPr>
      </w:pPr>
      <w:r>
        <w:rPr>
          <w:rFonts w:hint="eastAsia"/>
          <w:color w:val="auto"/>
          <w:sz w:val="24"/>
          <w:highlight w:val="none"/>
        </w:rPr>
        <w:t>10.</w:t>
      </w:r>
      <w:r>
        <w:rPr>
          <w:rFonts w:hint="eastAsia" w:hAnsi="宋体"/>
          <w:color w:val="auto"/>
          <w:sz w:val="24"/>
          <w:highlight w:val="none"/>
        </w:rPr>
        <w:t>合同未尽事宜，双方另行签订补充协议。补充协议是合同的组成部分。</w:t>
      </w:r>
    </w:p>
    <w:p w14:paraId="35B7DD5A">
      <w:pPr>
        <w:widowControl w:val="0"/>
        <w:adjustRightInd w:val="0"/>
        <w:snapToGrid w:val="0"/>
        <w:rPr>
          <w:color w:val="auto"/>
          <w:highlight w:val="none"/>
        </w:rPr>
      </w:pPr>
    </w:p>
    <w:p w14:paraId="69B3A321">
      <w:pPr>
        <w:widowControl w:val="0"/>
        <w:adjustRightInd w:val="0"/>
        <w:snapToGrid w:val="0"/>
        <w:rPr>
          <w:color w:val="auto"/>
          <w:highlight w:val="none"/>
        </w:rPr>
      </w:pPr>
    </w:p>
    <w:p w14:paraId="10F1F7DA">
      <w:pPr>
        <w:widowControl w:val="0"/>
        <w:adjustRightInd w:val="0"/>
        <w:snapToGrid w:val="0"/>
        <w:rPr>
          <w:color w:val="auto"/>
          <w:highlight w:val="none"/>
        </w:rPr>
      </w:pPr>
    </w:p>
    <w:p w14:paraId="56BBCEF6">
      <w:pPr>
        <w:widowControl w:val="0"/>
        <w:adjustRightInd w:val="0"/>
        <w:snapToGrid w:val="0"/>
        <w:rPr>
          <w:color w:val="auto"/>
          <w:highlight w:val="none"/>
        </w:rPr>
      </w:pPr>
    </w:p>
    <w:p w14:paraId="730FC02B">
      <w:pPr>
        <w:widowControl w:val="0"/>
        <w:adjustRightInd w:val="0"/>
        <w:snapToGrid w:val="0"/>
        <w:rPr>
          <w:color w:val="auto"/>
          <w:highlight w:val="none"/>
        </w:rPr>
      </w:pPr>
    </w:p>
    <w:p w14:paraId="4E57D948">
      <w:pPr>
        <w:widowControl w:val="0"/>
        <w:adjustRightInd w:val="0"/>
        <w:snapToGrid w:val="0"/>
        <w:rPr>
          <w:color w:val="auto"/>
          <w:highlight w:val="none"/>
        </w:rPr>
      </w:pPr>
    </w:p>
    <w:p w14:paraId="247DF1CB">
      <w:pPr>
        <w:widowControl w:val="0"/>
        <w:adjustRightInd w:val="0"/>
        <w:snapToGrid w:val="0"/>
        <w:rPr>
          <w:color w:val="auto"/>
          <w:highlight w:val="none"/>
        </w:rPr>
      </w:pPr>
    </w:p>
    <w:p w14:paraId="2940976F">
      <w:pPr>
        <w:widowControl w:val="0"/>
        <w:adjustRightInd w:val="0"/>
        <w:snapToGrid w:val="0"/>
        <w:rPr>
          <w:color w:val="auto"/>
          <w:highlight w:val="none"/>
        </w:rPr>
      </w:pPr>
    </w:p>
    <w:p w14:paraId="52F3EB30">
      <w:pPr>
        <w:widowControl w:val="0"/>
        <w:adjustRightInd w:val="0"/>
        <w:snapToGrid w:val="0"/>
        <w:rPr>
          <w:color w:val="auto"/>
          <w:highlight w:val="none"/>
        </w:rPr>
      </w:pPr>
    </w:p>
    <w:p w14:paraId="351CCDE4">
      <w:pPr>
        <w:widowControl w:val="0"/>
        <w:adjustRightInd w:val="0"/>
        <w:snapToGrid w:val="0"/>
        <w:rPr>
          <w:color w:val="auto"/>
          <w:highlight w:val="none"/>
        </w:rPr>
      </w:pPr>
    </w:p>
    <w:p w14:paraId="7FE550E4">
      <w:pPr>
        <w:widowControl w:val="0"/>
        <w:adjustRightInd w:val="0"/>
        <w:snapToGrid w:val="0"/>
        <w:rPr>
          <w:color w:val="auto"/>
          <w:highlight w:val="none"/>
        </w:rPr>
      </w:pPr>
    </w:p>
    <w:p w14:paraId="2B86163C">
      <w:pPr>
        <w:widowControl w:val="0"/>
        <w:adjustRightInd w:val="0"/>
        <w:snapToGrid w:val="0"/>
        <w:rPr>
          <w:color w:val="auto"/>
          <w:highlight w:val="none"/>
        </w:rPr>
      </w:pPr>
    </w:p>
    <w:p w14:paraId="520FCF31">
      <w:pPr>
        <w:spacing w:line="300" w:lineRule="auto"/>
        <w:jc w:val="left"/>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 xml:space="preserve">（盖单位章）    </w:t>
      </w:r>
      <w:r>
        <w:rPr>
          <w:color w:val="auto"/>
          <w:sz w:val="24"/>
          <w:highlight w:val="none"/>
        </w:rPr>
        <w:t xml:space="preserve"> </w:t>
      </w:r>
      <w:r>
        <w:rPr>
          <w:rFonts w:hint="eastAsia"/>
          <w:color w:val="auto"/>
          <w:sz w:val="24"/>
          <w:highlight w:val="none"/>
        </w:rPr>
        <w:t xml:space="preserve">  承包人：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（盖单位章）</w:t>
      </w:r>
    </w:p>
    <w:p w14:paraId="7014F4DC">
      <w:pPr>
        <w:widowControl w:val="0"/>
        <w:adjustRightInd w:val="0"/>
        <w:snapToGrid w:val="0"/>
        <w:rPr>
          <w:color w:val="auto"/>
          <w:highlight w:val="none"/>
        </w:rPr>
      </w:pPr>
    </w:p>
    <w:p w14:paraId="6F0291DB">
      <w:pPr>
        <w:widowControl w:val="0"/>
        <w:adjustRightInd w:val="0"/>
        <w:snapToGrid w:val="0"/>
        <w:rPr>
          <w:color w:val="auto"/>
          <w:highlight w:val="none"/>
        </w:rPr>
      </w:pPr>
    </w:p>
    <w:p w14:paraId="50A27B2A">
      <w:pPr>
        <w:widowControl w:val="0"/>
        <w:adjustRightInd w:val="0"/>
        <w:snapToGrid w:val="0"/>
        <w:rPr>
          <w:color w:val="auto"/>
          <w:highlight w:val="none"/>
        </w:rPr>
      </w:pPr>
    </w:p>
    <w:p w14:paraId="438C6B02">
      <w:pPr>
        <w:spacing w:line="300" w:lineRule="auto"/>
        <w:jc w:val="left"/>
        <w:rPr>
          <w:color w:val="auto"/>
          <w:sz w:val="24"/>
          <w:highlight w:val="none"/>
        </w:rPr>
      </w:pP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 xml:space="preserve">（签字） </w:t>
      </w:r>
      <w:r>
        <w:rPr>
          <w:color w:val="auto"/>
          <w:sz w:val="24"/>
          <w:highlight w:val="none"/>
        </w:rPr>
        <w:t xml:space="preserve">      </w:t>
      </w: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（签字）</w:t>
      </w:r>
    </w:p>
    <w:p w14:paraId="1F3772FF">
      <w:pPr>
        <w:widowControl w:val="0"/>
        <w:adjustRightInd w:val="0"/>
        <w:snapToGrid w:val="0"/>
        <w:rPr>
          <w:color w:val="auto"/>
          <w:highlight w:val="none"/>
        </w:rPr>
      </w:pPr>
    </w:p>
    <w:p w14:paraId="2D4363B3">
      <w:pPr>
        <w:widowControl w:val="0"/>
        <w:adjustRightInd w:val="0"/>
        <w:snapToGrid w:val="0"/>
        <w:rPr>
          <w:color w:val="auto"/>
          <w:highlight w:val="none"/>
        </w:rPr>
      </w:pPr>
    </w:p>
    <w:p w14:paraId="0D549350">
      <w:pPr>
        <w:widowControl w:val="0"/>
        <w:adjustRightInd w:val="0"/>
        <w:snapToGrid w:val="0"/>
        <w:rPr>
          <w:color w:val="auto"/>
          <w:highlight w:val="none"/>
        </w:rPr>
      </w:pPr>
    </w:p>
    <w:p w14:paraId="7CF20E41">
      <w:pPr>
        <w:spacing w:line="300" w:lineRule="auto"/>
        <w:jc w:val="left"/>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6D19CE58">
      <w:pPr>
        <w:widowControl w:val="0"/>
        <w:adjustRightInd w:val="0"/>
        <w:snapToGrid w:val="0"/>
        <w:rPr>
          <w:color w:val="auto"/>
          <w:highlight w:val="none"/>
        </w:rPr>
      </w:pPr>
    </w:p>
    <w:p w14:paraId="0C34C051">
      <w:pPr>
        <w:widowControl w:val="0"/>
        <w:adjustRightInd w:val="0"/>
        <w:snapToGrid w:val="0"/>
        <w:rPr>
          <w:color w:val="auto"/>
          <w:highlight w:val="none"/>
        </w:rPr>
      </w:pPr>
    </w:p>
    <w:p w14:paraId="71AAC6BE">
      <w:pPr>
        <w:widowControl w:val="0"/>
        <w:adjustRightInd w:val="0"/>
        <w:snapToGrid w:val="0"/>
        <w:rPr>
          <w:color w:val="auto"/>
          <w:highlight w:val="none"/>
        </w:rPr>
      </w:pPr>
    </w:p>
    <w:p w14:paraId="32420B19">
      <w:pPr>
        <w:widowControl w:val="0"/>
        <w:adjustRightInd w:val="0"/>
        <w:snapToGrid w:val="0"/>
        <w:rPr>
          <w:color w:val="auto"/>
          <w:highlight w:val="none"/>
        </w:rPr>
      </w:pPr>
    </w:p>
    <w:p w14:paraId="50852FA7">
      <w:pPr>
        <w:widowControl w:val="0"/>
        <w:adjustRightInd w:val="0"/>
        <w:snapToGrid w:val="0"/>
        <w:rPr>
          <w:color w:val="auto"/>
          <w:highlight w:val="none"/>
        </w:rPr>
      </w:pPr>
    </w:p>
    <w:p w14:paraId="29ABEDEA">
      <w:pPr>
        <w:widowControl w:val="0"/>
        <w:adjustRightInd w:val="0"/>
        <w:snapToGrid w:val="0"/>
        <w:rPr>
          <w:color w:val="auto"/>
          <w:highlight w:val="none"/>
        </w:rPr>
      </w:pPr>
    </w:p>
    <w:p w14:paraId="0D6A99FF">
      <w:pPr>
        <w:widowControl w:val="0"/>
        <w:adjustRightInd w:val="0"/>
        <w:snapToGrid w:val="0"/>
        <w:rPr>
          <w:color w:val="auto"/>
          <w:highlight w:val="none"/>
        </w:rPr>
      </w:pPr>
    </w:p>
    <w:p w14:paraId="4725818D">
      <w:pPr>
        <w:widowControl w:val="0"/>
        <w:adjustRightInd w:val="0"/>
        <w:snapToGrid w:val="0"/>
        <w:rPr>
          <w:color w:val="auto"/>
          <w:highlight w:val="none"/>
        </w:rPr>
      </w:pPr>
    </w:p>
    <w:p w14:paraId="460747B1">
      <w:pPr>
        <w:widowControl w:val="0"/>
        <w:adjustRightInd w:val="0"/>
        <w:snapToGrid w:val="0"/>
        <w:rPr>
          <w:color w:val="auto"/>
          <w:highlight w:val="none"/>
        </w:rPr>
      </w:pPr>
    </w:p>
    <w:p w14:paraId="266B429D">
      <w:pPr>
        <w:widowControl w:val="0"/>
        <w:adjustRightInd w:val="0"/>
        <w:snapToGrid w:val="0"/>
        <w:rPr>
          <w:color w:val="auto"/>
          <w:highlight w:val="none"/>
        </w:rPr>
      </w:pPr>
    </w:p>
    <w:p w14:paraId="33BACF33">
      <w:pPr>
        <w:widowControl w:val="0"/>
        <w:adjustRightInd w:val="0"/>
        <w:snapToGrid w:val="0"/>
        <w:rPr>
          <w:color w:val="auto"/>
          <w:highlight w:val="none"/>
        </w:rPr>
      </w:pPr>
    </w:p>
    <w:p w14:paraId="448F1D9B">
      <w:pPr>
        <w:widowControl w:val="0"/>
        <w:adjustRightInd w:val="0"/>
        <w:snapToGrid w:val="0"/>
        <w:rPr>
          <w:color w:val="auto"/>
          <w:highlight w:val="none"/>
        </w:rPr>
      </w:pPr>
    </w:p>
    <w:p w14:paraId="6F93C781">
      <w:pPr>
        <w:widowControl w:val="0"/>
        <w:adjustRightInd w:val="0"/>
        <w:snapToGrid w:val="0"/>
        <w:rPr>
          <w:color w:val="auto"/>
          <w:highlight w:val="none"/>
        </w:rPr>
      </w:pPr>
    </w:p>
    <w:p w14:paraId="67577260">
      <w:pPr>
        <w:widowControl w:val="0"/>
        <w:adjustRightInd w:val="0"/>
        <w:snapToGrid w:val="0"/>
        <w:rPr>
          <w:color w:val="auto"/>
          <w:highlight w:val="none"/>
        </w:rPr>
      </w:pPr>
    </w:p>
    <w:p w14:paraId="7E750A58">
      <w:pPr>
        <w:widowControl w:val="0"/>
        <w:adjustRightInd w:val="0"/>
        <w:snapToGrid w:val="0"/>
        <w:rPr>
          <w:color w:val="auto"/>
          <w:highlight w:val="none"/>
        </w:rPr>
      </w:pPr>
    </w:p>
    <w:p w14:paraId="7E87D91B">
      <w:pPr>
        <w:widowControl w:val="0"/>
        <w:adjustRightInd w:val="0"/>
        <w:snapToGrid w:val="0"/>
        <w:rPr>
          <w:color w:val="auto"/>
          <w:highlight w:val="none"/>
        </w:rPr>
      </w:pPr>
    </w:p>
    <w:p w14:paraId="4D64B3F7">
      <w:pPr>
        <w:widowControl w:val="0"/>
        <w:adjustRightInd w:val="0"/>
        <w:snapToGrid w:val="0"/>
        <w:rPr>
          <w:color w:val="auto"/>
          <w:highlight w:val="none"/>
        </w:rPr>
      </w:pPr>
    </w:p>
    <w:p w14:paraId="0D2B7C5E">
      <w:pPr>
        <w:widowControl w:val="0"/>
        <w:adjustRightInd w:val="0"/>
        <w:snapToGrid w:val="0"/>
        <w:rPr>
          <w:color w:val="auto"/>
          <w:highlight w:val="none"/>
        </w:rPr>
      </w:pPr>
    </w:p>
    <w:p w14:paraId="76AA053A">
      <w:pPr>
        <w:widowControl w:val="0"/>
        <w:adjustRightInd w:val="0"/>
        <w:snapToGrid w:val="0"/>
        <w:rPr>
          <w:color w:val="auto"/>
          <w:highlight w:val="none"/>
        </w:rPr>
      </w:pPr>
    </w:p>
    <w:p w14:paraId="49626523">
      <w:pPr>
        <w:widowControl w:val="0"/>
        <w:adjustRightInd w:val="0"/>
        <w:snapToGrid w:val="0"/>
        <w:rPr>
          <w:color w:val="auto"/>
          <w:highlight w:val="none"/>
        </w:rPr>
      </w:pPr>
    </w:p>
    <w:p w14:paraId="4CBD539A">
      <w:pPr>
        <w:widowControl w:val="0"/>
        <w:adjustRightInd w:val="0"/>
        <w:snapToGrid w:val="0"/>
        <w:rPr>
          <w:color w:val="auto"/>
          <w:highlight w:val="none"/>
        </w:rPr>
      </w:pPr>
    </w:p>
    <w:p w14:paraId="07B6253E">
      <w:pPr>
        <w:widowControl w:val="0"/>
        <w:adjustRightInd w:val="0"/>
        <w:snapToGrid w:val="0"/>
        <w:rPr>
          <w:color w:val="auto"/>
          <w:highlight w:val="none"/>
        </w:rPr>
      </w:pPr>
    </w:p>
    <w:p w14:paraId="2DE99655">
      <w:pPr>
        <w:widowControl w:val="0"/>
        <w:adjustRightInd w:val="0"/>
        <w:snapToGrid w:val="0"/>
        <w:rPr>
          <w:color w:val="auto"/>
          <w:highlight w:val="none"/>
        </w:rPr>
      </w:pPr>
    </w:p>
    <w:p w14:paraId="45511291">
      <w:pPr>
        <w:widowControl w:val="0"/>
        <w:adjustRightInd w:val="0"/>
        <w:snapToGrid w:val="0"/>
        <w:rPr>
          <w:color w:val="auto"/>
          <w:highlight w:val="none"/>
        </w:rPr>
      </w:pPr>
    </w:p>
    <w:p w14:paraId="40CAB71D">
      <w:pPr>
        <w:widowControl w:val="0"/>
        <w:adjustRightInd w:val="0"/>
        <w:snapToGrid w:val="0"/>
        <w:rPr>
          <w:color w:val="auto"/>
          <w:highlight w:val="none"/>
        </w:rPr>
      </w:pPr>
    </w:p>
    <w:p w14:paraId="2038401A">
      <w:pPr>
        <w:widowControl w:val="0"/>
        <w:adjustRightInd w:val="0"/>
        <w:snapToGrid w:val="0"/>
        <w:rPr>
          <w:color w:val="auto"/>
          <w:highlight w:val="none"/>
        </w:rPr>
      </w:pPr>
    </w:p>
    <w:p w14:paraId="3C84BBD4">
      <w:pPr>
        <w:widowControl w:val="0"/>
        <w:adjustRightInd w:val="0"/>
        <w:snapToGrid w:val="0"/>
        <w:rPr>
          <w:color w:val="auto"/>
          <w:highlight w:val="none"/>
        </w:rPr>
      </w:pPr>
    </w:p>
    <w:p w14:paraId="78EDCE73">
      <w:pPr>
        <w:widowControl w:val="0"/>
        <w:adjustRightInd w:val="0"/>
        <w:snapToGrid w:val="0"/>
        <w:rPr>
          <w:color w:val="auto"/>
          <w:highlight w:val="none"/>
        </w:rPr>
      </w:pPr>
    </w:p>
    <w:p w14:paraId="25AE9386">
      <w:pPr>
        <w:widowControl w:val="0"/>
        <w:adjustRightInd w:val="0"/>
        <w:snapToGrid w:val="0"/>
        <w:rPr>
          <w:color w:val="auto"/>
          <w:highlight w:val="none"/>
        </w:rPr>
      </w:pPr>
    </w:p>
    <w:p w14:paraId="41977F38">
      <w:pPr>
        <w:widowControl w:val="0"/>
        <w:adjustRightInd w:val="0"/>
        <w:snapToGrid w:val="0"/>
        <w:rPr>
          <w:color w:val="auto"/>
          <w:highlight w:val="none"/>
        </w:rPr>
      </w:pPr>
    </w:p>
    <w:p w14:paraId="1665D0AA">
      <w:pPr>
        <w:widowControl w:val="0"/>
        <w:adjustRightInd w:val="0"/>
        <w:snapToGrid w:val="0"/>
        <w:rPr>
          <w:color w:val="auto"/>
          <w:highlight w:val="none"/>
        </w:rPr>
      </w:pPr>
    </w:p>
    <w:p w14:paraId="77E52A28">
      <w:pPr>
        <w:widowControl w:val="0"/>
        <w:adjustRightInd w:val="0"/>
        <w:snapToGrid w:val="0"/>
        <w:rPr>
          <w:color w:val="auto"/>
          <w:highlight w:val="none"/>
        </w:rPr>
      </w:pPr>
    </w:p>
    <w:p w14:paraId="51D07F34">
      <w:pPr>
        <w:widowControl w:val="0"/>
        <w:adjustRightInd w:val="0"/>
        <w:snapToGrid w:val="0"/>
        <w:rPr>
          <w:color w:val="auto"/>
          <w:highlight w:val="none"/>
        </w:rPr>
      </w:pPr>
    </w:p>
    <w:p w14:paraId="6D156700">
      <w:pPr>
        <w:widowControl w:val="0"/>
        <w:adjustRightInd w:val="0"/>
        <w:snapToGrid w:val="0"/>
        <w:rPr>
          <w:color w:val="auto"/>
          <w:highlight w:val="none"/>
        </w:rPr>
      </w:pPr>
    </w:p>
    <w:p w14:paraId="1E1245E2">
      <w:pPr>
        <w:widowControl w:val="0"/>
        <w:adjustRightInd w:val="0"/>
        <w:snapToGrid w:val="0"/>
        <w:rPr>
          <w:color w:val="auto"/>
          <w:highlight w:val="none"/>
        </w:rPr>
      </w:pPr>
    </w:p>
    <w:p w14:paraId="05712425">
      <w:pPr>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第二节 通用合同条款</w:t>
      </w:r>
    </w:p>
    <w:p w14:paraId="4DA0F1DA">
      <w:pPr>
        <w:widowControl w:val="0"/>
        <w:adjustRightInd w:val="0"/>
        <w:snapToGrid w:val="0"/>
        <w:rPr>
          <w:color w:val="auto"/>
          <w:highlight w:val="none"/>
        </w:rPr>
      </w:pPr>
    </w:p>
    <w:p w14:paraId="18F1EED3">
      <w:pPr>
        <w:widowControl w:val="0"/>
        <w:adjustRightInd w:val="0"/>
        <w:snapToGrid w:val="0"/>
        <w:rPr>
          <w:color w:val="auto"/>
          <w:highlight w:val="none"/>
        </w:rPr>
      </w:pPr>
    </w:p>
    <w:p w14:paraId="782F830F">
      <w:pPr>
        <w:widowControl w:val="0"/>
        <w:adjustRightInd w:val="0"/>
        <w:snapToGrid w:val="0"/>
        <w:rPr>
          <w:color w:val="auto"/>
          <w:highlight w:val="none"/>
        </w:rPr>
      </w:pPr>
    </w:p>
    <w:p w14:paraId="3C5DB6C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45" w:name="_Toc11199691"/>
      <w:r>
        <w:rPr>
          <w:rFonts w:eastAsia="华文中宋"/>
          <w:b/>
          <w:bCs/>
          <w:snapToGrid w:val="0"/>
          <w:color w:val="auto"/>
          <w:kern w:val="0"/>
          <w:sz w:val="28"/>
          <w:szCs w:val="28"/>
          <w:highlight w:val="none"/>
        </w:rPr>
        <w:t>1.一般约定</w:t>
      </w:r>
      <w:bookmarkEnd w:id="145"/>
    </w:p>
    <w:p w14:paraId="72397B8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6" w:name="_Toc11199692"/>
      <w:r>
        <w:rPr>
          <w:rFonts w:eastAsia="华文中宋"/>
          <w:b/>
          <w:bCs/>
          <w:snapToGrid w:val="0"/>
          <w:color w:val="auto"/>
          <w:kern w:val="0"/>
          <w:sz w:val="24"/>
          <w:highlight w:val="none"/>
        </w:rPr>
        <w:t>1.1词语定义</w:t>
      </w:r>
      <w:bookmarkEnd w:id="146"/>
    </w:p>
    <w:p w14:paraId="2244F3B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通用合同条款、专用合同条款中的下列词语应具有本款所赋予的含义。</w:t>
      </w:r>
    </w:p>
    <w:p w14:paraId="4A45745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1.1.1合同</w:t>
      </w:r>
    </w:p>
    <w:p w14:paraId="658CF96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1.1.1.1合同文件（或称合同）：指合同协议书、中标通知书、投标函及投标函附录、专用合同条款、通用合同条款、发包人要求、价格清单、承包人建议书，以及其他构成合同组成部分的文件。</w:t>
      </w:r>
    </w:p>
    <w:p w14:paraId="6C49EA4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1.1.1.2合同协议书：指第1.5款所指的合同协议书。</w:t>
      </w:r>
    </w:p>
    <w:p w14:paraId="6AAD35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1.1.1.3中标通知书：指发包人通知承包人中标的函件。中标通知书随附的澄清、说明、补正事项纪要等，是中标通知书的组成部分。</w:t>
      </w:r>
    </w:p>
    <w:p w14:paraId="11F6DB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1.1.1.4投标函：指构成合同文件组成部分的由承包人填写并签署的投标函。</w:t>
      </w:r>
    </w:p>
    <w:p w14:paraId="463EAE8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1.1.1.5投标函附录：指附在投标函后构成合同文件的投标函附录。</w:t>
      </w:r>
    </w:p>
    <w:p w14:paraId="6DB985D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1.1.1.6发包人要求：指构成合同文件组成部分的名为发包人要求的文件，包括招标项目的目的、范围、设计与其他技术标准和要求，以及合同双方当事人约定对其所作的修改或补充。</w:t>
      </w:r>
    </w:p>
    <w:p w14:paraId="014FA5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1.1.1.7价格清单：指构成合同文件组成部分的由承包人按规定的格式和要求填写并标明价格的清单。</w:t>
      </w:r>
    </w:p>
    <w:p w14:paraId="679C55D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1.1.1.8承包人建议书：指构成合同文件组成部分的名为承包人建议书的文件。承包人建议书由承包人随投标函一起提交。承包人建议书应包括承包人的设计图纸及相应说明等设计文件。</w:t>
      </w:r>
    </w:p>
    <w:p w14:paraId="73974CB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1.1.1.9其他合同文件：指经合同双方当事人确认构成合同文件的其他文件。</w:t>
      </w:r>
    </w:p>
    <w:p w14:paraId="0E67D63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1.1.2合同当事人和人员</w:t>
      </w:r>
    </w:p>
    <w:p w14:paraId="4091B0A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1.1.2.1合同当事人：指发包人和（或）承包人。</w:t>
      </w:r>
    </w:p>
    <w:p w14:paraId="3032EB1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1.1.2.2发包人：指专用合同条款中指明并与承包人在合同协议书中签字的当事人。</w:t>
      </w:r>
    </w:p>
    <w:p w14:paraId="2C724EF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1.1.2.3承包人：指与发包人签订合同协议书的当事人。</w:t>
      </w:r>
    </w:p>
    <w:p w14:paraId="384D142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1.1.2.4承包人项目经理：指承包人指定代表承包人履行义务的负责人。</w:t>
      </w:r>
    </w:p>
    <w:p w14:paraId="000A162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1.1.2.5设计负责人：指承包人指定负责组织指导协调设计工作并具有相应资格的人员。</w:t>
      </w:r>
    </w:p>
    <w:p w14:paraId="1DFF7E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1.1.2.6施工负责人：指承包人指定负责组织指导协调施工工作并具有相应资格的人员。</w:t>
      </w:r>
    </w:p>
    <w:p w14:paraId="6DB13D2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1.1.2.7采购负责人：指承包人指定负责组织指导协调采购工作的人员。</w:t>
      </w:r>
    </w:p>
    <w:p w14:paraId="4383896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1.1.2.8分包人：指从承包人处分包合同中某一部分工作，并与其签订分包合同的分包人。</w:t>
      </w:r>
    </w:p>
    <w:p w14:paraId="283B5A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1.1.2.9监理人：指在专用合同条款中指明的，受发包人委托对合同履行实施管理的法人或其他组织。属于国家强制监理的，监理人应当具有相应的监理资质。</w:t>
      </w:r>
    </w:p>
    <w:p w14:paraId="0807484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1.1.2.7总监理工程师：指由监理人委派对合同履行实施管理的全权负责人。</w:t>
      </w:r>
    </w:p>
    <w:p w14:paraId="1A6BB99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1.1.3工程和设备</w:t>
      </w:r>
    </w:p>
    <w:p w14:paraId="31BC60E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1.1.3.1工程：指永久工程和（或）临时工程。</w:t>
      </w:r>
    </w:p>
    <w:p w14:paraId="22DE3F7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1.1.3.2永久工程：指按合同约定建造并移交给发包人的工程，包括工程设备。</w:t>
      </w:r>
    </w:p>
    <w:p w14:paraId="4336290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1.1.3.3临时工程：指为完成合同约定的永久工程所修建的各类临时性工程，不包括施工设备。</w:t>
      </w:r>
    </w:p>
    <w:p w14:paraId="0FD1A99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1.1.3.4区段工程：指专用合同条款中指明特定范围的能单独接收并使用的永久工程。</w:t>
      </w:r>
    </w:p>
    <w:p w14:paraId="796500B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1.1.3.5工程设备：指构成或计划构成永久工程的机电设备、仪器装置、运载工具及其他类似的设备和装置。</w:t>
      </w:r>
    </w:p>
    <w:p w14:paraId="32D86E8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1.1.3.6施工设备：指为完成合同约定的各项工作所需的设备、器具和其他物品，不包括临时工程和材料。</w:t>
      </w:r>
    </w:p>
    <w:p w14:paraId="3414FDF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1.1.3.7临时设施：指为完成合同约定的各项工作所服务的临时性生产和生活设施。</w:t>
      </w:r>
    </w:p>
    <w:p w14:paraId="2460E80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1.1.3.8承包人设备：指承包人为工程实施提供的施工设备。</w:t>
      </w:r>
    </w:p>
    <w:p w14:paraId="34B1CD2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1.1.3.9施工场地（或称工地、现场）：指用于合同工程施工的场所，以及在合同中指定作为施工场地组成部分的其他场所，包括永久占地和临时占地。</w:t>
      </w:r>
    </w:p>
    <w:p w14:paraId="24171F2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1.1.3.10永久占地：指专用合同条款中指明为实施合同工程需永久占用的土地。</w:t>
      </w:r>
    </w:p>
    <w:p w14:paraId="26126BB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1.1.3.11临时占地：指专用合同条款中指明为实施合同工程需临时占用的土地。</w:t>
      </w:r>
    </w:p>
    <w:p w14:paraId="2BBC0C5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1.1.4日期、检验和竣工</w:t>
      </w:r>
    </w:p>
    <w:p w14:paraId="68319DB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1.1.4.1开始工作通知：指监理人按第11.1款通知承包人开始工作的函件。</w:t>
      </w:r>
    </w:p>
    <w:p w14:paraId="527DA1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1.1.4.2开始工作日期：指监理人按第11.1款发出的开始工作通知中写明的开始工作日期。</w:t>
      </w:r>
    </w:p>
    <w:p w14:paraId="389CE75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1.1.4.3工期：指承包人在投标函中承诺的完成合同工作所需的期限，包括按第11.3款、第11.4款和第11.6款约定所作的变更。</w:t>
      </w:r>
    </w:p>
    <w:p w14:paraId="766373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1.1.4.4竣工日期：指第1.1.4.3目约定工期届满时的日期。实际竣工日期以工程接收证书中写明的日期为准。</w:t>
      </w:r>
    </w:p>
    <w:p w14:paraId="60497A7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1.1.4.5缺陷责任期：指履行第19.2款约定的缺陷责任的期限，具体期限在发包人要求中明确的包括根据第19.3款约定所作的延长。</w:t>
      </w:r>
    </w:p>
    <w:p w14:paraId="7DEC698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1.1.4.6基准日期：指投标截止之日前28天的日期。</w:t>
      </w:r>
    </w:p>
    <w:p w14:paraId="7198ECE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1.1.4.7天：除特别指明外，指日历天。合同中按天计算时间的，开始当天不计入，从次日开始计算。期限最后一天的截止时间为当天24：00。</w:t>
      </w:r>
    </w:p>
    <w:p w14:paraId="12C6499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1.1.4.8竣工试验：是指在工程竣工验收前，根据第18.1款要求进行的试验。</w:t>
      </w:r>
    </w:p>
    <w:p w14:paraId="5C020BA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1.1.4.9竣工验收：是指承包人完成了全部合同工作后，发包人按合同要求进行的验收。</w:t>
      </w:r>
    </w:p>
    <w:p w14:paraId="55870CA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1.1.4.10竣工后试验：是指在工程竣工验收后，根据第18.9款约定进行的试验。</w:t>
      </w:r>
    </w:p>
    <w:p w14:paraId="38FCE8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1.1.4.11国家验收：是指政府有关部门根据法律、规范、规程和政策要求，针对发包人全面组织实施的整个工程正式交付投运前的验收。</w:t>
      </w:r>
    </w:p>
    <w:p w14:paraId="59626A8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1.1.5合同价格和费用</w:t>
      </w:r>
    </w:p>
    <w:p w14:paraId="2F9D48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1.1.5.1签约合同价：指中标通知书明确的并在签定合同时于合同协议书中写明的，包括了暂列金额、暂估价的合同总金额。</w:t>
      </w:r>
    </w:p>
    <w:p w14:paraId="3FE235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1.1.5.2合同价格：指承包人按合同约定完成了包括缺陷责任期内的全部承包工作后，发包人应付给承包人的金额，包括在履行合同过程中按合同约定进行的变更和调整。</w:t>
      </w:r>
    </w:p>
    <w:p w14:paraId="6437B95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1.1.5.3费用：指为履行合同所发生的或将要发生的所有合理开支，包括管理费和应分摊的其他费用，但不包括利润。</w:t>
      </w:r>
    </w:p>
    <w:p w14:paraId="48CE28B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1.1.5.4暂列金额：指招标文件中给定的，用于在签订协议书时尚未确定或不可预见变更的设计、施工及其所需材料、工程设备、服务等的金额，包括以计日工方式支付的金额。</w:t>
      </w:r>
    </w:p>
    <w:p w14:paraId="27FC630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1.1.5.5暂估价：指招标文件中给定的，用于支付必然发生但暂时不能确定价格的专业服务、材料、设备专业工程的金额。</w:t>
      </w:r>
    </w:p>
    <w:p w14:paraId="186FAAA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1.1.5.6计日工：指对零星工作采取的一种计价方式，按合同中的计日工子目及其单价计价付款。</w:t>
      </w:r>
    </w:p>
    <w:p w14:paraId="0EF2C1D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1.1.5.7质量保证金：指按第17.4.1项约定用于保证在缺陷责任期内履行缺陷修复义务的金额。</w:t>
      </w:r>
    </w:p>
    <w:p w14:paraId="1202B0D8">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1.1.6其他</w:t>
      </w:r>
    </w:p>
    <w:p w14:paraId="0C47053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1.1.6.1书面形式：指合同文件、信函、电报、传真、数据电文、电子邮件、会议纪要等可以有形地表现所载内容的形式。</w:t>
      </w:r>
    </w:p>
    <w:p w14:paraId="1BA0ECE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1.1.6.2承包人文件：指由承包人根据合同应提交的所有图纸、手册、模型、计算书、软件和其他文件。</w:t>
      </w:r>
    </w:p>
    <w:p w14:paraId="07ACF11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1.1.6.3变更是指根据第15条的约定，经指示或批准对发包人要求或工程所做的改变。</w:t>
      </w:r>
    </w:p>
    <w:p w14:paraId="10A91E4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7" w:name="_Toc11199693"/>
      <w:r>
        <w:rPr>
          <w:rFonts w:hint="eastAsia" w:eastAsia="华文中宋"/>
          <w:b/>
          <w:bCs/>
          <w:snapToGrid w:val="0"/>
          <w:color w:val="auto"/>
          <w:kern w:val="0"/>
          <w:sz w:val="24"/>
          <w:highlight w:val="none"/>
        </w:rPr>
        <w:t>1.2语言文字</w:t>
      </w:r>
      <w:bookmarkEnd w:id="147"/>
    </w:p>
    <w:p w14:paraId="42FA478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合同使用的语言文字为中文。专用术语使用外文的，应附有中文注释。</w:t>
      </w:r>
    </w:p>
    <w:p w14:paraId="1695F9E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8" w:name="_Toc11199694"/>
      <w:r>
        <w:rPr>
          <w:rFonts w:hint="eastAsia" w:eastAsia="华文中宋"/>
          <w:b/>
          <w:bCs/>
          <w:snapToGrid w:val="0"/>
          <w:color w:val="auto"/>
          <w:kern w:val="0"/>
          <w:sz w:val="24"/>
          <w:highlight w:val="none"/>
        </w:rPr>
        <w:t>1.3法律</w:t>
      </w:r>
      <w:bookmarkEnd w:id="148"/>
    </w:p>
    <w:p w14:paraId="12A1DF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适用于合同的法律包括中华人民共和国法律、行政法规、部门规章，以及工程所在地的地方法规、自治条例、单行条例和地方政府规章。</w:t>
      </w:r>
    </w:p>
    <w:p w14:paraId="670EBCD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49" w:name="_Toc11199695"/>
      <w:r>
        <w:rPr>
          <w:rFonts w:hint="eastAsia" w:eastAsia="华文中宋"/>
          <w:b/>
          <w:bCs/>
          <w:snapToGrid w:val="0"/>
          <w:color w:val="auto"/>
          <w:kern w:val="0"/>
          <w:sz w:val="24"/>
          <w:highlight w:val="none"/>
        </w:rPr>
        <w:t>1.4合同文件的优先顺序</w:t>
      </w:r>
      <w:bookmarkEnd w:id="149"/>
    </w:p>
    <w:p w14:paraId="3B70ACB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组成合同的各项文件应互相解释，互为说明。除专用合同条款另有约定外，解释合同文件的优先顺序如下：</w:t>
      </w:r>
    </w:p>
    <w:p w14:paraId="6C9F1CC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（1）合同协议书；</w:t>
      </w:r>
    </w:p>
    <w:p w14:paraId="2F1F195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（2）中标通知书；</w:t>
      </w:r>
    </w:p>
    <w:p w14:paraId="571CEB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（3）投标函及投标函附录；</w:t>
      </w:r>
    </w:p>
    <w:p w14:paraId="0B7E1BD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（4）专用合同条款；</w:t>
      </w:r>
    </w:p>
    <w:p w14:paraId="7FFDC9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（5）通用合同条款；</w:t>
      </w:r>
    </w:p>
    <w:p w14:paraId="4637D73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（6）发包人要求；</w:t>
      </w:r>
    </w:p>
    <w:p w14:paraId="6747743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（7）承包人建议书；</w:t>
      </w:r>
    </w:p>
    <w:p w14:paraId="3B41BCF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（8）价格清单；</w:t>
      </w:r>
    </w:p>
    <w:p w14:paraId="63FB33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（9）其他合同文件。</w:t>
      </w:r>
    </w:p>
    <w:p w14:paraId="370345D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0" w:name="_Toc11199696"/>
      <w:r>
        <w:rPr>
          <w:rFonts w:hint="eastAsia" w:eastAsia="华文中宋"/>
          <w:b/>
          <w:bCs/>
          <w:snapToGrid w:val="0"/>
          <w:color w:val="auto"/>
          <w:kern w:val="0"/>
          <w:sz w:val="24"/>
          <w:highlight w:val="none"/>
        </w:rPr>
        <w:t>1.5合同协议书</w:t>
      </w:r>
      <w:bookmarkEnd w:id="150"/>
    </w:p>
    <w:p w14:paraId="139C0F6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6508576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1" w:name="_Toc11199697"/>
      <w:r>
        <w:rPr>
          <w:rFonts w:hint="eastAsia" w:eastAsia="华文中宋"/>
          <w:b/>
          <w:bCs/>
          <w:snapToGrid w:val="0"/>
          <w:color w:val="auto"/>
          <w:kern w:val="0"/>
          <w:sz w:val="24"/>
          <w:highlight w:val="none"/>
        </w:rPr>
        <w:t>1.6文件的提供和照管</w:t>
      </w:r>
      <w:bookmarkEnd w:id="151"/>
    </w:p>
    <w:p w14:paraId="0C0F15D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1.6.1承包人文件的提供</w:t>
      </w:r>
    </w:p>
    <w:p w14:paraId="39C4BA4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14:paraId="4B2A4CD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1.6.2发包人提供的文件</w:t>
      </w:r>
    </w:p>
    <w:p w14:paraId="30D1DBC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按专用合同条款约定由发包人提供的文件，包括前期工作相关文件、环境保护、气象水文、地质条件等，发包人应按约定的数量和期限交给承包人。由于发包人未按时提供文件造成工期延误的，按第11.3款约定执行。</w:t>
      </w:r>
    </w:p>
    <w:p w14:paraId="7DE8F95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1.6.3文件错误的通知</w:t>
      </w:r>
    </w:p>
    <w:p w14:paraId="6DB28A9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任何一方发现了文件中存在的明显错误或疏忽，应及时通知另一方。</w:t>
      </w:r>
    </w:p>
    <w:p w14:paraId="757AE89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1.6.4文件的照管</w:t>
      </w:r>
    </w:p>
    <w:p w14:paraId="0738E15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承包人应在现场保留一份合同、发包人要求中列出的所有文件、承包人文件、变更以及其它根据合同收发的往来信函。发包人有权在任何合理的时间查阅和使用上述所有文件。</w:t>
      </w:r>
    </w:p>
    <w:p w14:paraId="2C287D6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2" w:name="_Toc11199698"/>
      <w:r>
        <w:rPr>
          <w:rFonts w:hint="eastAsia" w:eastAsia="华文中宋"/>
          <w:b/>
          <w:bCs/>
          <w:snapToGrid w:val="0"/>
          <w:color w:val="auto"/>
          <w:kern w:val="0"/>
          <w:sz w:val="24"/>
          <w:highlight w:val="none"/>
        </w:rPr>
        <w:t>1.7联络</w:t>
      </w:r>
      <w:bookmarkEnd w:id="152"/>
    </w:p>
    <w:p w14:paraId="28607D6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1.7.1</w:t>
      </w:r>
      <w:r>
        <w:rPr>
          <w:rFonts w:hint="eastAsia"/>
          <w:snapToGrid w:val="0"/>
          <w:color w:val="auto"/>
          <w:kern w:val="0"/>
          <w:sz w:val="24"/>
          <w:highlight w:val="none"/>
        </w:rPr>
        <w:t>与合同有关的通知、批准、证明、证书、指示、要求、请求、同意、意见、确定和决定等，均应采用书面形式。</w:t>
      </w:r>
    </w:p>
    <w:p w14:paraId="18B721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1.7.2</w:t>
      </w:r>
      <w:r>
        <w:rPr>
          <w:rFonts w:hint="eastAsia"/>
          <w:snapToGrid w:val="0"/>
          <w:color w:val="auto"/>
          <w:kern w:val="0"/>
          <w:sz w:val="24"/>
          <w:highlight w:val="none"/>
        </w:rPr>
        <w:t>第1.7.1项中的通知、批准、证明、证书、指示、要求、请求、同意、意见、确定和决定等来往函件，均应在合同约定的期限内送达指定的地点和指定的接收人，并办理签收手续。</w:t>
      </w:r>
    </w:p>
    <w:p w14:paraId="447B9A4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3" w:name="_Toc11199699"/>
      <w:r>
        <w:rPr>
          <w:rFonts w:hint="eastAsia" w:eastAsia="华文中宋"/>
          <w:b/>
          <w:bCs/>
          <w:snapToGrid w:val="0"/>
          <w:color w:val="auto"/>
          <w:kern w:val="0"/>
          <w:sz w:val="24"/>
          <w:highlight w:val="none"/>
        </w:rPr>
        <w:t>1.8转让</w:t>
      </w:r>
      <w:bookmarkEnd w:id="153"/>
    </w:p>
    <w:p w14:paraId="54DA9C9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61B61DE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4" w:name="_Toc11199700"/>
      <w:r>
        <w:rPr>
          <w:rFonts w:hint="eastAsia" w:eastAsia="华文中宋"/>
          <w:b/>
          <w:bCs/>
          <w:snapToGrid w:val="0"/>
          <w:color w:val="auto"/>
          <w:kern w:val="0"/>
          <w:sz w:val="24"/>
          <w:highlight w:val="none"/>
        </w:rPr>
        <w:t>1.9严禁贿赂</w:t>
      </w:r>
      <w:bookmarkEnd w:id="154"/>
    </w:p>
    <w:p w14:paraId="22A6FB7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合同双方当事人不得以贿赂或变相贿赂的方式，谋取不当利益或损害对方权益。因贿赂造成对方损失的，行为人应赔偿损失，并承担相应的法律责任。</w:t>
      </w:r>
    </w:p>
    <w:p w14:paraId="7B09F36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5" w:name="_Toc11199701"/>
      <w:r>
        <w:rPr>
          <w:rFonts w:hint="eastAsia" w:eastAsia="华文中宋"/>
          <w:b/>
          <w:bCs/>
          <w:snapToGrid w:val="0"/>
          <w:color w:val="auto"/>
          <w:kern w:val="0"/>
          <w:sz w:val="24"/>
          <w:highlight w:val="none"/>
        </w:rPr>
        <w:t>1.10化石、文物</w:t>
      </w:r>
      <w:bookmarkEnd w:id="155"/>
    </w:p>
    <w:p w14:paraId="47CC655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1.10.1</w:t>
      </w:r>
      <w:r>
        <w:rPr>
          <w:rFonts w:hint="eastAsia"/>
          <w:snapToGrid w:val="0"/>
          <w:color w:val="auto"/>
          <w:kern w:val="0"/>
          <w:sz w:val="24"/>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075915E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1.10.2</w:t>
      </w:r>
      <w:r>
        <w:rPr>
          <w:rFonts w:hint="eastAsia"/>
          <w:snapToGrid w:val="0"/>
          <w:color w:val="auto"/>
          <w:kern w:val="0"/>
          <w:sz w:val="24"/>
          <w:highlight w:val="none"/>
        </w:rPr>
        <w:t>承包人发现文物后不及时报告或隐瞒不报，致使文物丢失或损坏的，应赔偿损失，并承担相应的法律责任。</w:t>
      </w:r>
    </w:p>
    <w:p w14:paraId="7FAACB9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6" w:name="_Toc11199702"/>
      <w:r>
        <w:rPr>
          <w:rFonts w:hint="eastAsia" w:eastAsia="华文中宋"/>
          <w:b/>
          <w:bCs/>
          <w:snapToGrid w:val="0"/>
          <w:color w:val="auto"/>
          <w:kern w:val="0"/>
          <w:sz w:val="24"/>
          <w:highlight w:val="none"/>
        </w:rPr>
        <w:t>1.11知识产权</w:t>
      </w:r>
      <w:bookmarkEnd w:id="156"/>
    </w:p>
    <w:p w14:paraId="5652077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1.11.1</w:t>
      </w:r>
      <w:r>
        <w:rPr>
          <w:rFonts w:hint="eastAsia"/>
          <w:snapToGrid w:val="0"/>
          <w:color w:val="auto"/>
          <w:kern w:val="0"/>
          <w:sz w:val="24"/>
          <w:highlight w:val="none"/>
        </w:rPr>
        <w:t>除专用合同条款另有约定外，承包人完成的设计工作成果和建造完成的建筑物，除署名权以外的著作权以及建筑物形象使用收益等其他知识产权均归发包人享有。</w:t>
      </w:r>
    </w:p>
    <w:p w14:paraId="23F4904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1.11.2</w:t>
      </w:r>
      <w:r>
        <w:rPr>
          <w:rFonts w:hint="eastAsia"/>
          <w:snapToGrid w:val="0"/>
          <w:color w:val="auto"/>
          <w:kern w:val="0"/>
          <w:sz w:val="24"/>
          <w:highlight w:val="none"/>
        </w:rPr>
        <w:t>承包人在进行设计，以及使用任何材料、承包人设备、工程设备或采用施工工艺时，因侵犯专利权或其他知识产权所引起的责任，由承包人承担。</w:t>
      </w:r>
    </w:p>
    <w:p w14:paraId="784FFB4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1.11.3</w:t>
      </w:r>
      <w:r>
        <w:rPr>
          <w:rFonts w:hint="eastAsia"/>
          <w:snapToGrid w:val="0"/>
          <w:color w:val="auto"/>
          <w:kern w:val="0"/>
          <w:sz w:val="24"/>
          <w:highlight w:val="none"/>
        </w:rPr>
        <w:t>承包人在投标文件中采用专利技术的，专利技术的使用费包含在投标报价内。</w:t>
      </w:r>
    </w:p>
    <w:p w14:paraId="2F6722C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7" w:name="_Toc11199703"/>
      <w:r>
        <w:rPr>
          <w:rFonts w:hint="eastAsia" w:eastAsia="华文中宋"/>
          <w:b/>
          <w:bCs/>
          <w:snapToGrid w:val="0"/>
          <w:color w:val="auto"/>
          <w:kern w:val="0"/>
          <w:sz w:val="24"/>
          <w:highlight w:val="none"/>
        </w:rPr>
        <w:t>1.12文件及信息的保密</w:t>
      </w:r>
      <w:bookmarkEnd w:id="157"/>
    </w:p>
    <w:p w14:paraId="22AD82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未经对方同意，任何一方当事人不得将有关文件、技术秘密、需要保密的资料和信息泄露给他人或公开发表与引用。</w:t>
      </w:r>
    </w:p>
    <w:p w14:paraId="75767B1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8" w:name="_Toc11199704"/>
      <w:r>
        <w:rPr>
          <w:rFonts w:hint="eastAsia" w:eastAsia="华文中宋"/>
          <w:b/>
          <w:bCs/>
          <w:snapToGrid w:val="0"/>
          <w:color w:val="auto"/>
          <w:kern w:val="0"/>
          <w:sz w:val="24"/>
          <w:highlight w:val="none"/>
        </w:rPr>
        <w:t>1.13发包人要求中的错误（A）</w:t>
      </w:r>
      <w:bookmarkEnd w:id="158"/>
    </w:p>
    <w:p w14:paraId="5D5E1F9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1.13.1</w:t>
      </w:r>
      <w:r>
        <w:rPr>
          <w:rFonts w:hint="eastAsia"/>
          <w:snapToGrid w:val="0"/>
          <w:color w:val="auto"/>
          <w:kern w:val="0"/>
          <w:sz w:val="24"/>
          <w:highlight w:val="none"/>
        </w:rPr>
        <w:t>承包人应认真阅读、复核发包人要求，发现错误的，应及时书面通知发包人。</w:t>
      </w:r>
    </w:p>
    <w:p w14:paraId="7EEDC64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1.13.2</w:t>
      </w:r>
      <w:r>
        <w:rPr>
          <w:rFonts w:hint="eastAsia"/>
          <w:snapToGrid w:val="0"/>
          <w:color w:val="auto"/>
          <w:kern w:val="0"/>
          <w:sz w:val="24"/>
          <w:highlight w:val="none"/>
        </w:rPr>
        <w:t>发包人要求中的错误导致承包人增加费用和（或）工期延误的，发包人应承担由此增加的费用和（或）工期延误，并向承包人支付合理利润。</w:t>
      </w:r>
    </w:p>
    <w:p w14:paraId="02DC926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59" w:name="_Toc11199705"/>
      <w:r>
        <w:rPr>
          <w:rFonts w:hint="eastAsia" w:eastAsia="华文中宋"/>
          <w:b/>
          <w:bCs/>
          <w:snapToGrid w:val="0"/>
          <w:color w:val="auto"/>
          <w:kern w:val="0"/>
          <w:sz w:val="24"/>
          <w:highlight w:val="none"/>
        </w:rPr>
        <w:t>1.13发包人要求中的错误（B）</w:t>
      </w:r>
      <w:bookmarkEnd w:id="159"/>
    </w:p>
    <w:p w14:paraId="62E814A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1.13.1</w:t>
      </w:r>
      <w:r>
        <w:rPr>
          <w:rFonts w:hint="eastAsia"/>
          <w:snapToGrid w:val="0"/>
          <w:color w:val="auto"/>
          <w:kern w:val="0"/>
          <w:sz w:val="24"/>
          <w:highlight w:val="none"/>
        </w:rPr>
        <w:t>承包人应认真阅读、复核发包人要求，发现错误的，应及时书面通知发包人。发包人作相应修改的，按照第15条约定处理。对确实存在的错误，发包人坚持不作修改的，应承担由此导致承包人增加的费用和（或）延误的工期。</w:t>
      </w:r>
    </w:p>
    <w:p w14:paraId="7C6D828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1.13.2</w:t>
      </w:r>
      <w:r>
        <w:rPr>
          <w:rFonts w:hint="eastAsia"/>
          <w:snapToGrid w:val="0"/>
          <w:color w:val="auto"/>
          <w:kern w:val="0"/>
          <w:sz w:val="24"/>
          <w:highlight w:val="none"/>
        </w:rPr>
        <w:t>承包人未发现发包人要求中存在错误的，承包人自行承担由此导致的费用增加和（或）工期延误，但专用合同条款另有约定的除外。</w:t>
      </w:r>
    </w:p>
    <w:p w14:paraId="1035F59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1.13.3</w:t>
      </w:r>
      <w:r>
        <w:rPr>
          <w:rFonts w:hint="eastAsia"/>
          <w:snapToGrid w:val="0"/>
          <w:color w:val="auto"/>
          <w:kern w:val="0"/>
          <w:sz w:val="24"/>
          <w:highlight w:val="none"/>
        </w:rPr>
        <w:t>无论承包人发现与否，在任何情况下，发包人要求中的下列错误导致承包人增加的费用和（或）延误的工期，由发包人承担，并向承包人支付合理利润。</w:t>
      </w:r>
    </w:p>
    <w:p w14:paraId="011BC60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（1）发包人要求中引用的原始数据和资料；</w:t>
      </w:r>
    </w:p>
    <w:p w14:paraId="2188AD0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（2）对工程或其任何部分的功能要求；</w:t>
      </w:r>
    </w:p>
    <w:p w14:paraId="136369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（3）对工程的工艺安排或要求；</w:t>
      </w:r>
    </w:p>
    <w:p w14:paraId="67C68AB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（4）试验和检验标准；</w:t>
      </w:r>
    </w:p>
    <w:p w14:paraId="46C4B33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（5）除合同另有约定外，承包人无法核实的数据和资料。</w:t>
      </w:r>
    </w:p>
    <w:p w14:paraId="031BF23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0" w:name="_Toc11199706"/>
      <w:r>
        <w:rPr>
          <w:rFonts w:hint="eastAsia" w:eastAsia="华文中宋"/>
          <w:b/>
          <w:bCs/>
          <w:snapToGrid w:val="0"/>
          <w:color w:val="auto"/>
          <w:kern w:val="0"/>
          <w:sz w:val="24"/>
          <w:highlight w:val="none"/>
        </w:rPr>
        <w:t>1.14发包人要求违法</w:t>
      </w:r>
      <w:bookmarkEnd w:id="160"/>
    </w:p>
    <w:p w14:paraId="6228DC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54AFACD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61" w:name="_Toc11199707"/>
      <w:r>
        <w:rPr>
          <w:rFonts w:hint="eastAsia" w:eastAsia="华文中宋"/>
          <w:b/>
          <w:bCs/>
          <w:snapToGrid w:val="0"/>
          <w:color w:val="auto"/>
          <w:kern w:val="0"/>
          <w:sz w:val="28"/>
          <w:szCs w:val="28"/>
          <w:highlight w:val="none"/>
        </w:rPr>
        <w:t>2.发包人义务</w:t>
      </w:r>
      <w:bookmarkEnd w:id="161"/>
    </w:p>
    <w:p w14:paraId="7285940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2" w:name="_Toc11199708"/>
      <w:r>
        <w:rPr>
          <w:rFonts w:hint="eastAsia" w:eastAsia="华文中宋"/>
          <w:b/>
          <w:bCs/>
          <w:snapToGrid w:val="0"/>
          <w:color w:val="auto"/>
          <w:kern w:val="0"/>
          <w:sz w:val="24"/>
          <w:highlight w:val="none"/>
        </w:rPr>
        <w:t>2.1遵守法律</w:t>
      </w:r>
      <w:bookmarkEnd w:id="162"/>
    </w:p>
    <w:p w14:paraId="098DDDE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发包人在履行合同过程中应遵守法律，并保证承包人免于承担因发包人违反法律而引起的任何责任。</w:t>
      </w:r>
    </w:p>
    <w:p w14:paraId="2286309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3" w:name="_Toc11199709"/>
      <w:r>
        <w:rPr>
          <w:rFonts w:hint="eastAsia" w:eastAsia="华文中宋"/>
          <w:b/>
          <w:bCs/>
          <w:snapToGrid w:val="0"/>
          <w:color w:val="auto"/>
          <w:kern w:val="0"/>
          <w:sz w:val="24"/>
          <w:highlight w:val="none"/>
        </w:rPr>
        <w:t>2.2发出承包人开始工作通知</w:t>
      </w:r>
      <w:bookmarkEnd w:id="163"/>
    </w:p>
    <w:p w14:paraId="11031CF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发包人应委托监理人按第11.1款的约定向承包人发出开始工作通知。</w:t>
      </w:r>
    </w:p>
    <w:p w14:paraId="3F7B498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4" w:name="_Toc11199710"/>
      <w:r>
        <w:rPr>
          <w:rFonts w:hint="eastAsia" w:eastAsia="华文中宋"/>
          <w:b/>
          <w:bCs/>
          <w:snapToGrid w:val="0"/>
          <w:color w:val="auto"/>
          <w:kern w:val="0"/>
          <w:sz w:val="24"/>
          <w:highlight w:val="none"/>
        </w:rPr>
        <w:t>2.3提供施工场地</w:t>
      </w:r>
      <w:bookmarkEnd w:id="164"/>
    </w:p>
    <w:p w14:paraId="77C1C94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发包人应按专用合同条款约定向承包人提供施工场地及进场施工条件，并明确与承包人的交接界面。</w:t>
      </w:r>
    </w:p>
    <w:p w14:paraId="6053192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5" w:name="_Toc11199711"/>
      <w:r>
        <w:rPr>
          <w:rFonts w:hint="eastAsia" w:eastAsia="华文中宋"/>
          <w:b/>
          <w:bCs/>
          <w:snapToGrid w:val="0"/>
          <w:color w:val="auto"/>
          <w:kern w:val="0"/>
          <w:sz w:val="24"/>
          <w:highlight w:val="none"/>
        </w:rPr>
        <w:t>2.4办理证件和批件</w:t>
      </w:r>
      <w:bookmarkEnd w:id="165"/>
    </w:p>
    <w:p w14:paraId="6EF808B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法律规定和（或）合同约定由发包人负责办理的工程建设项目必须履行的各类审批、核准或备案手续，发包人应按时办理。</w:t>
      </w:r>
    </w:p>
    <w:p w14:paraId="3C7231E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法律规定和（或）合同约定由承包人负责的有关设计、施工证件和批件，发包人应给予必要的协助。</w:t>
      </w:r>
    </w:p>
    <w:p w14:paraId="03F0A55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6" w:name="_Toc11199712"/>
      <w:r>
        <w:rPr>
          <w:rFonts w:hint="eastAsia" w:eastAsia="华文中宋"/>
          <w:b/>
          <w:bCs/>
          <w:snapToGrid w:val="0"/>
          <w:color w:val="auto"/>
          <w:kern w:val="0"/>
          <w:sz w:val="24"/>
          <w:highlight w:val="none"/>
        </w:rPr>
        <w:t>2.5支付合同价款</w:t>
      </w:r>
      <w:bookmarkEnd w:id="166"/>
    </w:p>
    <w:p w14:paraId="4202AB5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发包人应按合同约定向承包人及时支付合同价款。专用合同条款对发包人工程款支付担保有约定的，从其约定。</w:t>
      </w:r>
    </w:p>
    <w:p w14:paraId="7B748BD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7" w:name="_Toc11199713"/>
      <w:r>
        <w:rPr>
          <w:rFonts w:hint="eastAsia" w:eastAsia="华文中宋"/>
          <w:b/>
          <w:bCs/>
          <w:snapToGrid w:val="0"/>
          <w:color w:val="auto"/>
          <w:kern w:val="0"/>
          <w:sz w:val="24"/>
          <w:highlight w:val="none"/>
        </w:rPr>
        <w:t>2.6组织竣工验收</w:t>
      </w:r>
      <w:bookmarkEnd w:id="167"/>
    </w:p>
    <w:p w14:paraId="412673E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发包人应按合同约定及时组织竣工验收。</w:t>
      </w:r>
    </w:p>
    <w:p w14:paraId="7B393DD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68" w:name="_Toc11199714"/>
      <w:r>
        <w:rPr>
          <w:rFonts w:hint="eastAsia" w:eastAsia="华文中宋"/>
          <w:b/>
          <w:bCs/>
          <w:snapToGrid w:val="0"/>
          <w:color w:val="auto"/>
          <w:kern w:val="0"/>
          <w:sz w:val="24"/>
          <w:highlight w:val="none"/>
        </w:rPr>
        <w:t>2.7其他义务</w:t>
      </w:r>
      <w:bookmarkEnd w:id="168"/>
    </w:p>
    <w:p w14:paraId="5E06EBB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发包人应履行合同约定的其他义务。</w:t>
      </w:r>
    </w:p>
    <w:p w14:paraId="4A8D16A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69" w:name="_Toc11199715"/>
      <w:r>
        <w:rPr>
          <w:rFonts w:hint="eastAsia" w:eastAsia="华文中宋"/>
          <w:b/>
          <w:bCs/>
          <w:snapToGrid w:val="0"/>
          <w:color w:val="auto"/>
          <w:kern w:val="0"/>
          <w:sz w:val="28"/>
          <w:szCs w:val="28"/>
          <w:highlight w:val="none"/>
        </w:rPr>
        <w:t>3.监理人</w:t>
      </w:r>
      <w:bookmarkEnd w:id="169"/>
    </w:p>
    <w:p w14:paraId="21AB02B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0" w:name="_Toc11199716"/>
      <w:r>
        <w:rPr>
          <w:rFonts w:hint="eastAsia" w:eastAsia="华文中宋"/>
          <w:b/>
          <w:bCs/>
          <w:snapToGrid w:val="0"/>
          <w:color w:val="auto"/>
          <w:kern w:val="0"/>
          <w:sz w:val="24"/>
          <w:highlight w:val="none"/>
        </w:rPr>
        <w:t>3.1监理人的职责和权力</w:t>
      </w:r>
      <w:bookmarkEnd w:id="170"/>
    </w:p>
    <w:p w14:paraId="3893546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3.1.1</w:t>
      </w:r>
      <w:r>
        <w:rPr>
          <w:rFonts w:hint="eastAsia"/>
          <w:snapToGrid w:val="0"/>
          <w:color w:val="auto"/>
          <w:kern w:val="0"/>
          <w:sz w:val="24"/>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071B042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3.1.2</w:t>
      </w:r>
      <w:r>
        <w:rPr>
          <w:rFonts w:hint="eastAsia"/>
          <w:snapToGrid w:val="0"/>
          <w:color w:val="auto"/>
          <w:kern w:val="0"/>
          <w:sz w:val="24"/>
          <w:highlight w:val="none"/>
        </w:rPr>
        <w:t>合同约定应由承包人承担的义务和责任，不因监理人对承包人文件的审查或批准，对工程、材料和工程设备的检查和检验，以及为实施监理作出的指示等职务行为而减轻或解除。</w:t>
      </w:r>
    </w:p>
    <w:p w14:paraId="327A761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1" w:name="_Toc11199717"/>
      <w:r>
        <w:rPr>
          <w:rFonts w:hint="eastAsia" w:eastAsia="华文中宋"/>
          <w:b/>
          <w:bCs/>
          <w:snapToGrid w:val="0"/>
          <w:color w:val="auto"/>
          <w:kern w:val="0"/>
          <w:sz w:val="24"/>
          <w:highlight w:val="none"/>
        </w:rPr>
        <w:t>3.2总监理工程师</w:t>
      </w:r>
      <w:bookmarkEnd w:id="171"/>
    </w:p>
    <w:p w14:paraId="1F109C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发包人应在发出开始工作通知前将总监理工程师的任命通知承包人。总监理工程师更换时，应提前14天通知承包人。总监理工程师超过2天不能履行职责的，应委派代表代行其职责，并通知承包人。</w:t>
      </w:r>
    </w:p>
    <w:p w14:paraId="5B3FA72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2" w:name="_Toc11199718"/>
      <w:r>
        <w:rPr>
          <w:rFonts w:hint="eastAsia" w:eastAsia="华文中宋"/>
          <w:b/>
          <w:bCs/>
          <w:snapToGrid w:val="0"/>
          <w:color w:val="auto"/>
          <w:kern w:val="0"/>
          <w:sz w:val="24"/>
          <w:highlight w:val="none"/>
        </w:rPr>
        <w:t>3.3监理人员</w:t>
      </w:r>
      <w:bookmarkEnd w:id="172"/>
    </w:p>
    <w:p w14:paraId="33FCED8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3.3.1</w:t>
      </w:r>
      <w:r>
        <w:rPr>
          <w:rFonts w:hint="eastAsia"/>
          <w:snapToGrid w:val="0"/>
          <w:color w:val="auto"/>
          <w:kern w:val="0"/>
          <w:sz w:val="24"/>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0931CDE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3.3.2</w:t>
      </w:r>
      <w:r>
        <w:rPr>
          <w:rFonts w:hint="eastAsia"/>
          <w:snapToGrid w:val="0"/>
          <w:color w:val="auto"/>
          <w:kern w:val="0"/>
          <w:sz w:val="24"/>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56B5F48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3.3.3</w:t>
      </w:r>
      <w:r>
        <w:rPr>
          <w:rFonts w:hint="eastAsia"/>
          <w:snapToGrid w:val="0"/>
          <w:color w:val="auto"/>
          <w:kern w:val="0"/>
          <w:sz w:val="24"/>
          <w:highlight w:val="none"/>
        </w:rPr>
        <w:t>承包人对总监理工程师授权的监理人员发出的指示有疑问的，可在该指示发出的48小时内向总监理工程师提出书面异议，总监理工程师应在48小时内对该指示予以确认、更改或撤销。</w:t>
      </w:r>
    </w:p>
    <w:p w14:paraId="1D72F3C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3.3.4</w:t>
      </w:r>
      <w:r>
        <w:rPr>
          <w:rFonts w:hint="eastAsia"/>
          <w:snapToGrid w:val="0"/>
          <w:color w:val="auto"/>
          <w:kern w:val="0"/>
          <w:sz w:val="24"/>
          <w:highlight w:val="none"/>
        </w:rPr>
        <w:t>除专用合同条款另有约定外，总监理工程师不应将第3.5款约定应由总监理工程师作出确定的权力授权或委托给其他监理人员。</w:t>
      </w:r>
    </w:p>
    <w:p w14:paraId="5DFEE21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3" w:name="_Toc11199719"/>
      <w:r>
        <w:rPr>
          <w:rFonts w:hint="eastAsia" w:eastAsia="华文中宋"/>
          <w:b/>
          <w:bCs/>
          <w:snapToGrid w:val="0"/>
          <w:color w:val="auto"/>
          <w:kern w:val="0"/>
          <w:sz w:val="24"/>
          <w:highlight w:val="none"/>
        </w:rPr>
        <w:t>3.4监理人的指示</w:t>
      </w:r>
      <w:bookmarkEnd w:id="173"/>
    </w:p>
    <w:p w14:paraId="1635AE6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3.4.1</w:t>
      </w:r>
      <w:r>
        <w:rPr>
          <w:rFonts w:hint="eastAsia"/>
          <w:snapToGrid w:val="0"/>
          <w:color w:val="auto"/>
          <w:kern w:val="0"/>
          <w:sz w:val="24"/>
          <w:highlight w:val="none"/>
        </w:rPr>
        <w:t>监理人应按第3.1款的约定向承包人发出指示，监理人的指示应盖有监理人授权的项目管理机构章，并由总监理工程师或总监理工程师约定授权的监理人员签字。</w:t>
      </w:r>
    </w:p>
    <w:p w14:paraId="246FA76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3.4.2</w:t>
      </w:r>
      <w:r>
        <w:rPr>
          <w:rFonts w:hint="eastAsia"/>
          <w:snapToGrid w:val="0"/>
          <w:color w:val="auto"/>
          <w:kern w:val="0"/>
          <w:sz w:val="24"/>
          <w:highlight w:val="none"/>
        </w:rPr>
        <w:t>承包人收到监理人作出的指示后应遵照执行。指示构成变更的，应按第15条执行。</w:t>
      </w:r>
    </w:p>
    <w:p w14:paraId="6A756D3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3.4.3</w:t>
      </w:r>
      <w:r>
        <w:rPr>
          <w:rFonts w:hint="eastAsia"/>
          <w:snapToGrid w:val="0"/>
          <w:color w:val="auto"/>
          <w:kern w:val="0"/>
          <w:sz w:val="24"/>
          <w:highlight w:val="none"/>
        </w:rPr>
        <w:t>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35EC82B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3.4.4</w:t>
      </w:r>
      <w:r>
        <w:rPr>
          <w:rFonts w:hint="eastAsia"/>
          <w:snapToGrid w:val="0"/>
          <w:color w:val="auto"/>
          <w:kern w:val="0"/>
          <w:sz w:val="24"/>
          <w:highlight w:val="none"/>
        </w:rPr>
        <w:t>除合同另有约定外，承包人只从总监理工程师或按第3.3.1项被授权的监理人员处取得指示。</w:t>
      </w:r>
    </w:p>
    <w:p w14:paraId="4D5EAFB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3.4.</w:t>
      </w:r>
      <w:r>
        <w:rPr>
          <w:rFonts w:hint="eastAsia"/>
          <w:snapToGrid w:val="0"/>
          <w:color w:val="auto"/>
          <w:kern w:val="0"/>
          <w:sz w:val="24"/>
          <w:highlight w:val="none"/>
        </w:rPr>
        <w:t>5由于监理人未能按合同约定发出指示、指示延误或指示错误而导致承包人费用增加和（或）工期延误的，发包人应承担由此增加的费用和（或）工期延误，并向承包人支付合理利润。</w:t>
      </w:r>
    </w:p>
    <w:p w14:paraId="4488038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4" w:name="_Toc11199720"/>
      <w:r>
        <w:rPr>
          <w:rFonts w:hint="eastAsia" w:eastAsia="华文中宋"/>
          <w:b/>
          <w:bCs/>
          <w:snapToGrid w:val="0"/>
          <w:color w:val="auto"/>
          <w:kern w:val="0"/>
          <w:sz w:val="24"/>
          <w:highlight w:val="none"/>
        </w:rPr>
        <w:t>3.5商定或确定</w:t>
      </w:r>
      <w:bookmarkEnd w:id="174"/>
    </w:p>
    <w:p w14:paraId="30FB47A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3.5.1</w:t>
      </w:r>
      <w:r>
        <w:rPr>
          <w:rFonts w:hint="eastAsia"/>
          <w:snapToGrid w:val="0"/>
          <w:color w:val="auto"/>
          <w:kern w:val="0"/>
          <w:sz w:val="24"/>
          <w:highlight w:val="none"/>
        </w:rPr>
        <w:t>合同约定总监理工程师应按照本款对任何事项进行商定或确定时，总监理工程师应与合同当事人协商，尽量达成一致。不能达成一致的，总监理工程师应认真研究后审慎确定。</w:t>
      </w:r>
    </w:p>
    <w:p w14:paraId="32F898B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3.5.2</w:t>
      </w:r>
      <w:r>
        <w:rPr>
          <w:rFonts w:hint="eastAsia"/>
          <w:snapToGrid w:val="0"/>
          <w:color w:val="auto"/>
          <w:kern w:val="0"/>
          <w:sz w:val="24"/>
          <w:highlight w:val="none"/>
        </w:rPr>
        <w:t>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由此导致承包人增加的费用和（或）延误的工期由发包人承担。</w:t>
      </w:r>
    </w:p>
    <w:p w14:paraId="0606EC5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75" w:name="_Toc11199721"/>
      <w:r>
        <w:rPr>
          <w:rFonts w:hint="eastAsia" w:eastAsia="华文中宋"/>
          <w:b/>
          <w:bCs/>
          <w:snapToGrid w:val="0"/>
          <w:color w:val="auto"/>
          <w:kern w:val="0"/>
          <w:sz w:val="28"/>
          <w:szCs w:val="28"/>
          <w:highlight w:val="none"/>
        </w:rPr>
        <w:t>4.承包人</w:t>
      </w:r>
      <w:bookmarkEnd w:id="175"/>
    </w:p>
    <w:p w14:paraId="52A65D6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6" w:name="_Toc11199722"/>
      <w:r>
        <w:rPr>
          <w:rFonts w:hint="eastAsia" w:eastAsia="华文中宋"/>
          <w:b/>
          <w:bCs/>
          <w:snapToGrid w:val="0"/>
          <w:color w:val="auto"/>
          <w:kern w:val="0"/>
          <w:sz w:val="24"/>
          <w:highlight w:val="none"/>
        </w:rPr>
        <w:t>4.1承包人的一般义务</w:t>
      </w:r>
      <w:bookmarkEnd w:id="176"/>
    </w:p>
    <w:p w14:paraId="5359823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4.1.1遵守法律</w:t>
      </w:r>
    </w:p>
    <w:p w14:paraId="2BE6783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承包人在履行合同过程中应遵守法律，并保证发包人免于承担因承包人违反法律而引起的任何责任。</w:t>
      </w:r>
    </w:p>
    <w:p w14:paraId="439E9AD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4.1.2依法纳税</w:t>
      </w:r>
    </w:p>
    <w:p w14:paraId="36A701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承包人应按有关法律规定纳税，应缴纳的税金包括在合同价格内。</w:t>
      </w:r>
    </w:p>
    <w:p w14:paraId="3FE4D15F">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4.1.3完成各项承包工作</w:t>
      </w:r>
    </w:p>
    <w:p w14:paraId="484101E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00F3C7D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4.1.4对设计、施工作业和施工方法，以及工程的完备性负责</w:t>
      </w:r>
    </w:p>
    <w:p w14:paraId="2345C4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承包人应按合同约定的工作内容和进度要求，编制设计、施工的组织和实施计划，并对所有设计、施工作业和施工方法，以及全部工程的完备性和安全可靠性负责。</w:t>
      </w:r>
    </w:p>
    <w:p w14:paraId="4694A882">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4.1.5保证工程施工和人员的安全</w:t>
      </w:r>
    </w:p>
    <w:p w14:paraId="501150A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承包人应按第10.2款约定采取施工安全措施，确保工程及其人员、材料、设备和设施的安全，防止因工程施工造成的人身伤害和财产损失。</w:t>
      </w:r>
    </w:p>
    <w:p w14:paraId="43506C3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4.1.6负责施工场地及其周边环境与生态的保护工作</w:t>
      </w:r>
    </w:p>
    <w:p w14:paraId="7F54476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承包人应按照第10.4款约定负责施工场地及其周边环境与生态的保护工作。</w:t>
      </w:r>
    </w:p>
    <w:p w14:paraId="5F43466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4.1.7避免施工对公众与他人的利益造成损害</w:t>
      </w:r>
    </w:p>
    <w:p w14:paraId="32F1BCE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EE8ED0A">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4.1.8为他人提供方便</w:t>
      </w:r>
    </w:p>
    <w:p w14:paraId="48DA93E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0468640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4.1.9工程的维护和照管</w:t>
      </w:r>
    </w:p>
    <w:p w14:paraId="33D21DF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工程接收证书颁发前，承包人应负责照管和维护工程。工程接收证书颁发时尚有部分未竣工工程的，承包人还应负责该未竣工工程的照管和维护工作，直至竣工后移交给发包人。</w:t>
      </w:r>
    </w:p>
    <w:p w14:paraId="1ED5244A">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4.1.10其他义务</w:t>
      </w:r>
    </w:p>
    <w:p w14:paraId="71DDF9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承包人应履行合同约定的其他义务。</w:t>
      </w:r>
    </w:p>
    <w:p w14:paraId="6BB032A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7" w:name="_Toc11199723"/>
      <w:r>
        <w:rPr>
          <w:rFonts w:hint="eastAsia" w:eastAsia="华文中宋"/>
          <w:b/>
          <w:bCs/>
          <w:snapToGrid w:val="0"/>
          <w:color w:val="auto"/>
          <w:kern w:val="0"/>
          <w:sz w:val="24"/>
          <w:highlight w:val="none"/>
        </w:rPr>
        <w:t>4.2履约担保</w:t>
      </w:r>
      <w:bookmarkEnd w:id="177"/>
    </w:p>
    <w:p w14:paraId="61948DE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4.2.1</w:t>
      </w:r>
      <w:r>
        <w:rPr>
          <w:rFonts w:hint="eastAsia"/>
          <w:snapToGrid w:val="0"/>
          <w:color w:val="auto"/>
          <w:kern w:val="0"/>
          <w:sz w:val="24"/>
          <w:highlight w:val="none"/>
        </w:rPr>
        <w:t>承包人应保证其履约担保在发包人颁发工程接收证书前一直有效。发包人应在工程接收证书颁发后28天内将履约担保退还给承包人。需进行竣工后试验的，承包人应保证其履约担保在竣工后试验通过前一直有效，发包人应在通过竣工验收后7天内将履约担保退还给承包人。</w:t>
      </w:r>
    </w:p>
    <w:p w14:paraId="1B15CC2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4.2.2</w:t>
      </w:r>
      <w:r>
        <w:rPr>
          <w:rFonts w:hint="eastAsia"/>
          <w:snapToGrid w:val="0"/>
          <w:color w:val="auto"/>
          <w:kern w:val="0"/>
          <w:sz w:val="24"/>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14:paraId="2E452B0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8" w:name="_Toc11199724"/>
      <w:r>
        <w:rPr>
          <w:rFonts w:hint="eastAsia" w:eastAsia="华文中宋"/>
          <w:b/>
          <w:bCs/>
          <w:snapToGrid w:val="0"/>
          <w:color w:val="auto"/>
          <w:kern w:val="0"/>
          <w:sz w:val="24"/>
          <w:highlight w:val="none"/>
        </w:rPr>
        <w:t>4.3分包和不得转包</w:t>
      </w:r>
      <w:bookmarkEnd w:id="178"/>
    </w:p>
    <w:p w14:paraId="2E90EDA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4.3.1</w:t>
      </w:r>
      <w:r>
        <w:rPr>
          <w:rFonts w:hint="eastAsia"/>
          <w:snapToGrid w:val="0"/>
          <w:color w:val="auto"/>
          <w:kern w:val="0"/>
          <w:sz w:val="24"/>
          <w:highlight w:val="none"/>
        </w:rPr>
        <w:t>承包人不得将其承包的全部工程转包给第三人，也不得将其承包的全部工程肢解后以分包的名义分别转包给第三人。</w:t>
      </w:r>
    </w:p>
    <w:p w14:paraId="08FB1E4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4.3.2</w:t>
      </w:r>
      <w:r>
        <w:rPr>
          <w:rFonts w:hint="eastAsia"/>
          <w:snapToGrid w:val="0"/>
          <w:color w:val="auto"/>
          <w:kern w:val="0"/>
          <w:sz w:val="24"/>
          <w:highlight w:val="none"/>
        </w:rPr>
        <w:t>承包人不得将设计和施工的主体、关键性工作分包给第三人。除专用合同条款另有约定外，未经发包人同意，承包人也不得将非主体、非关键性工作分包给第三人。</w:t>
      </w:r>
    </w:p>
    <w:p w14:paraId="24C468A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4.3.3</w:t>
      </w:r>
      <w:r>
        <w:rPr>
          <w:rFonts w:hint="eastAsia"/>
          <w:snapToGrid w:val="0"/>
          <w:color w:val="auto"/>
          <w:kern w:val="0"/>
          <w:sz w:val="24"/>
          <w:highlight w:val="none"/>
        </w:rPr>
        <w:t>分包人的资格能力应与其分包工作的标准和规模相适应。</w:t>
      </w:r>
    </w:p>
    <w:p w14:paraId="1DEE80C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4.3.4</w:t>
      </w:r>
      <w:r>
        <w:rPr>
          <w:rFonts w:hint="eastAsia"/>
          <w:snapToGrid w:val="0"/>
          <w:color w:val="auto"/>
          <w:kern w:val="0"/>
          <w:sz w:val="24"/>
          <w:highlight w:val="none"/>
        </w:rPr>
        <w:t>发包人同意承包人分包工作的，承包人应向发包人和监理人提交分包合同副本。</w:t>
      </w:r>
    </w:p>
    <w:p w14:paraId="61CEB35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79" w:name="_Toc11199725"/>
      <w:r>
        <w:rPr>
          <w:rFonts w:hint="eastAsia" w:eastAsia="华文中宋"/>
          <w:b/>
          <w:bCs/>
          <w:snapToGrid w:val="0"/>
          <w:color w:val="auto"/>
          <w:kern w:val="0"/>
          <w:sz w:val="24"/>
          <w:highlight w:val="none"/>
        </w:rPr>
        <w:t>4.4联合体</w:t>
      </w:r>
      <w:bookmarkEnd w:id="179"/>
    </w:p>
    <w:p w14:paraId="51C3367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4.4.1</w:t>
      </w:r>
      <w:r>
        <w:rPr>
          <w:rFonts w:hint="eastAsia"/>
          <w:snapToGrid w:val="0"/>
          <w:color w:val="auto"/>
          <w:kern w:val="0"/>
          <w:sz w:val="24"/>
          <w:highlight w:val="none"/>
        </w:rPr>
        <w:t>联合体各方应共同与发包人签订合同。联合体各方应为履行合同承担连带责任。</w:t>
      </w:r>
    </w:p>
    <w:p w14:paraId="490E85D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4.4.2</w:t>
      </w:r>
      <w:r>
        <w:rPr>
          <w:rFonts w:hint="eastAsia"/>
          <w:snapToGrid w:val="0"/>
          <w:color w:val="auto"/>
          <w:kern w:val="0"/>
          <w:sz w:val="24"/>
          <w:highlight w:val="none"/>
        </w:rPr>
        <w:t>联合体协议经发包人确认后作为合同附件。在履行合同过程中，未经发包人同意，不得修改联合体协议。</w:t>
      </w:r>
    </w:p>
    <w:p w14:paraId="4D30A16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4.4.3</w:t>
      </w:r>
      <w:r>
        <w:rPr>
          <w:rFonts w:hint="eastAsia"/>
          <w:snapToGrid w:val="0"/>
          <w:color w:val="auto"/>
          <w:kern w:val="0"/>
          <w:sz w:val="24"/>
          <w:highlight w:val="none"/>
        </w:rPr>
        <w:t>联合体牵头人或联合体授权的代表负责与发包人和监理人联系，并接受指示，负责组织联合体各成员全面履行合同。</w:t>
      </w:r>
    </w:p>
    <w:p w14:paraId="5DACDDA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0" w:name="_Toc11199726"/>
      <w:r>
        <w:rPr>
          <w:rFonts w:hint="eastAsia" w:eastAsia="华文中宋"/>
          <w:b/>
          <w:bCs/>
          <w:snapToGrid w:val="0"/>
          <w:color w:val="auto"/>
          <w:kern w:val="0"/>
          <w:sz w:val="24"/>
          <w:highlight w:val="none"/>
        </w:rPr>
        <w:t>4.5承包人项目经理</w:t>
      </w:r>
      <w:bookmarkEnd w:id="180"/>
    </w:p>
    <w:p w14:paraId="4BBF7B4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4.5.1</w:t>
      </w:r>
      <w:r>
        <w:rPr>
          <w:rFonts w:hint="eastAsia"/>
          <w:snapToGrid w:val="0"/>
          <w:color w:val="auto"/>
          <w:kern w:val="0"/>
          <w:sz w:val="24"/>
          <w:highlight w:val="none"/>
        </w:rPr>
        <w:t>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0BE9FE9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4.5.2</w:t>
      </w:r>
      <w:r>
        <w:rPr>
          <w:rFonts w:hint="eastAsia"/>
          <w:snapToGrid w:val="0"/>
          <w:color w:val="auto"/>
          <w:kern w:val="0"/>
          <w:sz w:val="24"/>
          <w:highlight w:val="none"/>
        </w:rPr>
        <w:t>承包人项目经理应按合同约定以及监理人按第3.4款作出的指示，负责组织合同工作的实施。在情况紧急且无法与监理人取得联系时，可采取保证工程和人员生命财产安全的紧急措施，并在采取措施后24小时内向监理人提交书面报告。</w:t>
      </w:r>
    </w:p>
    <w:p w14:paraId="2AD86A2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4.5.3</w:t>
      </w:r>
      <w:r>
        <w:rPr>
          <w:rFonts w:hint="eastAsia"/>
          <w:snapToGrid w:val="0"/>
          <w:color w:val="auto"/>
          <w:kern w:val="0"/>
          <w:sz w:val="24"/>
          <w:highlight w:val="none"/>
        </w:rPr>
        <w:t>承包人为履行合同发出的一切函件均应盖有承包人单位章或由承包人项目经理签字。</w:t>
      </w:r>
    </w:p>
    <w:p w14:paraId="4B6D33B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4.5.4</w:t>
      </w:r>
      <w:r>
        <w:rPr>
          <w:rFonts w:hint="eastAsia"/>
          <w:snapToGrid w:val="0"/>
          <w:color w:val="auto"/>
          <w:kern w:val="0"/>
          <w:sz w:val="24"/>
          <w:highlight w:val="none"/>
        </w:rPr>
        <w:t>承包人项目经理可以授权其下属人员履行其某项职责，但事先应将这些人员的姓名和授权范围书面通知发包人和监理人。</w:t>
      </w:r>
    </w:p>
    <w:p w14:paraId="376582E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1" w:name="_Toc11199727"/>
      <w:r>
        <w:rPr>
          <w:rFonts w:hint="eastAsia" w:eastAsia="华文中宋"/>
          <w:b/>
          <w:bCs/>
          <w:snapToGrid w:val="0"/>
          <w:color w:val="auto"/>
          <w:kern w:val="0"/>
          <w:sz w:val="24"/>
          <w:highlight w:val="none"/>
        </w:rPr>
        <w:t>4.6承包人人员的管理</w:t>
      </w:r>
      <w:bookmarkEnd w:id="181"/>
    </w:p>
    <w:p w14:paraId="4C5C34E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4.6.1</w:t>
      </w:r>
      <w:r>
        <w:rPr>
          <w:rFonts w:hint="eastAsia"/>
          <w:snapToGrid w:val="0"/>
          <w:color w:val="auto"/>
          <w:kern w:val="0"/>
          <w:sz w:val="24"/>
          <w:highlight w:val="none"/>
        </w:rPr>
        <w:t>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08658ED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4.6.2</w:t>
      </w:r>
      <w:r>
        <w:rPr>
          <w:rFonts w:hint="eastAsia"/>
          <w:snapToGrid w:val="0"/>
          <w:color w:val="auto"/>
          <w:kern w:val="0"/>
          <w:sz w:val="24"/>
          <w:highlight w:val="none"/>
        </w:rPr>
        <w:t>承包人安排的主要管理人员包括项目经理、设计负责人、施工负责人、采购负责人以及专职质量、安全生产管理人员等；技术人员包括设计师、建筑师、土木工程师、设备工程师、建造师等。</w:t>
      </w:r>
    </w:p>
    <w:p w14:paraId="3B2534D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4.6.3</w:t>
      </w:r>
      <w:r>
        <w:rPr>
          <w:rFonts w:hint="eastAsia"/>
          <w:snapToGrid w:val="0"/>
          <w:color w:val="auto"/>
          <w:kern w:val="0"/>
          <w:sz w:val="24"/>
          <w:highlight w:val="none"/>
        </w:rPr>
        <w:t>承包人的设计人员应由具有国家规定和发包人要求中约定的资格，并具有从事设计所必需的经验与能力。</w:t>
      </w:r>
    </w:p>
    <w:p w14:paraId="1D69873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承包人应保证其设计人员（包括分包人的设计人员）在合同期限内的任何时候，都能按时参加发包人或其委托的监理人组织的工作会议。</w:t>
      </w:r>
    </w:p>
    <w:p w14:paraId="7475BBD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4.6.4</w:t>
      </w:r>
      <w:r>
        <w:rPr>
          <w:rFonts w:hint="eastAsia"/>
          <w:snapToGrid w:val="0"/>
          <w:color w:val="auto"/>
          <w:kern w:val="0"/>
          <w:sz w:val="24"/>
          <w:highlight w:val="none"/>
        </w:rPr>
        <w:t>国家规定应当持证上岗的工作人员均应持有相应的资格证明，监理人有权随时检查。监理人认为有必要时，可进行现场考核。</w:t>
      </w:r>
    </w:p>
    <w:p w14:paraId="63B35BE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4.6.5</w:t>
      </w:r>
      <w:r>
        <w:rPr>
          <w:rFonts w:hint="eastAsia"/>
          <w:snapToGrid w:val="0"/>
          <w:color w:val="auto"/>
          <w:kern w:val="0"/>
          <w:sz w:val="24"/>
          <w:highlight w:val="none"/>
        </w:rPr>
        <w:t>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72D8927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2" w:name="_Toc11199728"/>
      <w:r>
        <w:rPr>
          <w:rFonts w:hint="eastAsia" w:eastAsia="华文中宋"/>
          <w:b/>
          <w:bCs/>
          <w:snapToGrid w:val="0"/>
          <w:color w:val="auto"/>
          <w:kern w:val="0"/>
          <w:sz w:val="24"/>
          <w:highlight w:val="none"/>
        </w:rPr>
        <w:t>4.7撤换承包人项目经理和其他人员</w:t>
      </w:r>
      <w:bookmarkEnd w:id="182"/>
    </w:p>
    <w:p w14:paraId="7978B7B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承包人应对其项目经理和其他人员进行有效管理。监理人要求撤换不能胜任本职工作、行为不端或玩忽职守的承包人项目经理和其他人员的，承包人应予以撤换。</w:t>
      </w:r>
    </w:p>
    <w:p w14:paraId="272E21C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3" w:name="_Toc11199729"/>
      <w:r>
        <w:rPr>
          <w:rFonts w:hint="eastAsia" w:eastAsia="华文中宋"/>
          <w:b/>
          <w:bCs/>
          <w:snapToGrid w:val="0"/>
          <w:color w:val="auto"/>
          <w:kern w:val="0"/>
          <w:sz w:val="24"/>
          <w:highlight w:val="none"/>
        </w:rPr>
        <w:t>4.8保障承包人人员的合法权益</w:t>
      </w:r>
      <w:bookmarkEnd w:id="183"/>
    </w:p>
    <w:p w14:paraId="2FD2D83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4.8.1</w:t>
      </w:r>
      <w:r>
        <w:rPr>
          <w:rFonts w:hint="eastAsia"/>
          <w:snapToGrid w:val="0"/>
          <w:color w:val="auto"/>
          <w:kern w:val="0"/>
          <w:sz w:val="24"/>
          <w:highlight w:val="none"/>
        </w:rPr>
        <w:t>承包人应与其雇佣的人员签订劳动合同，并按时发放工资。</w:t>
      </w:r>
    </w:p>
    <w:p w14:paraId="46BC7DC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4.8.2</w:t>
      </w:r>
      <w:r>
        <w:rPr>
          <w:rFonts w:hint="eastAsia"/>
          <w:snapToGrid w:val="0"/>
          <w:color w:val="auto"/>
          <w:kern w:val="0"/>
          <w:sz w:val="24"/>
          <w:highlight w:val="none"/>
        </w:rPr>
        <w:t>承包人应按劳动法的规定安排工作时间，保证其雇佣人员享有休息和休假的权利。因设计、施工的特殊需要占用休假日或延长工作时间的，应不超过法律规定的限度，并按法律规定给予补休或付酬。</w:t>
      </w:r>
    </w:p>
    <w:p w14:paraId="483335E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4.8.3</w:t>
      </w:r>
      <w:r>
        <w:rPr>
          <w:rFonts w:hint="eastAsia"/>
          <w:snapToGrid w:val="0"/>
          <w:color w:val="auto"/>
          <w:kern w:val="0"/>
          <w:sz w:val="24"/>
          <w:highlight w:val="none"/>
        </w:rPr>
        <w:t>承包人应为其雇佣人员提供必要的食宿条件，以及符合环境保护和卫生要求的生活环境，在远离城镇的施工场地，还应配备必要的伤病防治和急救的医务人员与医疗设施。</w:t>
      </w:r>
    </w:p>
    <w:p w14:paraId="6FA7D89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4.8.4</w:t>
      </w:r>
      <w:r>
        <w:rPr>
          <w:rFonts w:hint="eastAsia"/>
          <w:snapToGrid w:val="0"/>
          <w:color w:val="auto"/>
          <w:kern w:val="0"/>
          <w:sz w:val="24"/>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52D653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4.8.5</w:t>
      </w:r>
      <w:r>
        <w:rPr>
          <w:rFonts w:hint="eastAsia"/>
          <w:snapToGrid w:val="0"/>
          <w:color w:val="auto"/>
          <w:kern w:val="0"/>
          <w:sz w:val="24"/>
          <w:highlight w:val="none"/>
        </w:rPr>
        <w:t>承包人应按有关法律规定和合同约定，为其雇佣人员办理保险。</w:t>
      </w:r>
    </w:p>
    <w:p w14:paraId="098FA2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4.8.6</w:t>
      </w:r>
      <w:r>
        <w:rPr>
          <w:rFonts w:hint="eastAsia"/>
          <w:snapToGrid w:val="0"/>
          <w:color w:val="auto"/>
          <w:kern w:val="0"/>
          <w:sz w:val="24"/>
          <w:highlight w:val="none"/>
        </w:rPr>
        <w:t>承包人应负责处理其雇佣人员因工伤亡事故的善后事宜。</w:t>
      </w:r>
    </w:p>
    <w:p w14:paraId="66656D6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4" w:name="_Toc11199730"/>
      <w:r>
        <w:rPr>
          <w:rFonts w:hint="eastAsia" w:eastAsia="华文中宋"/>
          <w:b/>
          <w:bCs/>
          <w:snapToGrid w:val="0"/>
          <w:color w:val="auto"/>
          <w:kern w:val="0"/>
          <w:sz w:val="24"/>
          <w:highlight w:val="none"/>
        </w:rPr>
        <w:t>4.9工程价款应专款专用</w:t>
      </w:r>
      <w:bookmarkEnd w:id="184"/>
    </w:p>
    <w:p w14:paraId="5C2428C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发包人按合同约定支付给承包人的各项价款应专用于合同工作。</w:t>
      </w:r>
    </w:p>
    <w:p w14:paraId="723DDC0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5" w:name="_Toc11199731"/>
      <w:r>
        <w:rPr>
          <w:rFonts w:hint="eastAsia" w:eastAsia="华文中宋"/>
          <w:b/>
          <w:bCs/>
          <w:snapToGrid w:val="0"/>
          <w:color w:val="auto"/>
          <w:kern w:val="0"/>
          <w:sz w:val="24"/>
          <w:highlight w:val="none"/>
        </w:rPr>
        <w:t>4.10承包人现场查勘</w:t>
      </w:r>
      <w:bookmarkEnd w:id="185"/>
    </w:p>
    <w:p w14:paraId="4A2F8C3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4.10.1</w:t>
      </w:r>
      <w:r>
        <w:rPr>
          <w:rFonts w:hint="eastAsia"/>
          <w:snapToGrid w:val="0"/>
          <w:color w:val="auto"/>
          <w:kern w:val="0"/>
          <w:sz w:val="24"/>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1D228A9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4.10.2</w:t>
      </w:r>
      <w:r>
        <w:rPr>
          <w:rFonts w:hint="eastAsia"/>
          <w:snapToGrid w:val="0"/>
          <w:color w:val="auto"/>
          <w:kern w:val="0"/>
          <w:sz w:val="24"/>
          <w:highlight w:val="none"/>
        </w:rPr>
        <w:t>承包人应对施工场地和周围环境进行查勘，并收集除发包人提供外为完成合同工作有关的当地资料。在全部合同工作中，视为承包人已充分估计了应承担的责任和风险。</w:t>
      </w:r>
    </w:p>
    <w:p w14:paraId="512CC68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6" w:name="_Toc11199732"/>
      <w:r>
        <w:rPr>
          <w:rFonts w:hint="eastAsia" w:eastAsia="华文中宋"/>
          <w:b/>
          <w:bCs/>
          <w:snapToGrid w:val="0"/>
          <w:color w:val="auto"/>
          <w:kern w:val="0"/>
          <w:sz w:val="24"/>
          <w:highlight w:val="none"/>
        </w:rPr>
        <w:t>4.11不可预见物质条件（A）</w:t>
      </w:r>
      <w:bookmarkEnd w:id="186"/>
    </w:p>
    <w:p w14:paraId="3DC9484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4.11.1</w:t>
      </w:r>
      <w:r>
        <w:rPr>
          <w:rFonts w:hint="eastAsia"/>
          <w:snapToGrid w:val="0"/>
          <w:color w:val="auto"/>
          <w:kern w:val="0"/>
          <w:sz w:val="24"/>
          <w:highlight w:val="none"/>
        </w:rPr>
        <w:t>不可预见物质条件，除专用合同条款另有约定外，是指承包人在施工场地遇到的不可预见的自然物质条件、非自然的物质障碍和污染物，包括地下和水文条件，但不包括气候条件。</w:t>
      </w:r>
    </w:p>
    <w:p w14:paraId="6DE6320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4.11.2</w:t>
      </w:r>
      <w:r>
        <w:rPr>
          <w:rFonts w:hint="eastAsia"/>
          <w:snapToGrid w:val="0"/>
          <w:color w:val="auto"/>
          <w:kern w:val="0"/>
          <w:sz w:val="24"/>
          <w:highlight w:val="none"/>
        </w:rPr>
        <w:t>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3319B11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7" w:name="_Toc11199733"/>
      <w:r>
        <w:rPr>
          <w:rFonts w:hint="eastAsia" w:eastAsia="华文中宋"/>
          <w:b/>
          <w:bCs/>
          <w:snapToGrid w:val="0"/>
          <w:color w:val="auto"/>
          <w:kern w:val="0"/>
          <w:sz w:val="24"/>
          <w:highlight w:val="none"/>
        </w:rPr>
        <w:t>4.11不可预见的困难和费用（B）</w:t>
      </w:r>
      <w:bookmarkEnd w:id="187"/>
    </w:p>
    <w:p w14:paraId="7BAAF5D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除合同另有约定外，承包人应视为已取得工程有关风险、意外事件和其他情况的全部必要资料，并预见工程所有困难和费用。承包人遇到不可预见的困难和费用时，合同价格不予调整。</w:t>
      </w:r>
    </w:p>
    <w:p w14:paraId="68A67EC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8" w:name="_Toc11199734"/>
      <w:r>
        <w:rPr>
          <w:rFonts w:hint="eastAsia" w:eastAsia="华文中宋"/>
          <w:b/>
          <w:bCs/>
          <w:snapToGrid w:val="0"/>
          <w:color w:val="auto"/>
          <w:kern w:val="0"/>
          <w:sz w:val="24"/>
          <w:highlight w:val="none"/>
        </w:rPr>
        <w:t>4.12进度计划</w:t>
      </w:r>
      <w:bookmarkEnd w:id="188"/>
    </w:p>
    <w:p w14:paraId="565A05A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4.12.1合同进度计划</w:t>
      </w:r>
    </w:p>
    <w:p w14:paraId="56970F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7C3251E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4.12.2合同进度计划的修订</w:t>
      </w:r>
    </w:p>
    <w:p w14:paraId="317C60A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0B94FC2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89" w:name="_Toc11199735"/>
      <w:r>
        <w:rPr>
          <w:rFonts w:hint="eastAsia" w:eastAsia="华文中宋"/>
          <w:b/>
          <w:bCs/>
          <w:snapToGrid w:val="0"/>
          <w:color w:val="auto"/>
          <w:kern w:val="0"/>
          <w:sz w:val="24"/>
          <w:highlight w:val="none"/>
        </w:rPr>
        <w:t>4.13质量保证</w:t>
      </w:r>
      <w:bookmarkEnd w:id="189"/>
    </w:p>
    <w:p w14:paraId="6D9A25F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4.13.1</w:t>
      </w:r>
      <w:r>
        <w:rPr>
          <w:rFonts w:hint="eastAsia"/>
          <w:snapToGrid w:val="0"/>
          <w:color w:val="auto"/>
          <w:kern w:val="0"/>
          <w:sz w:val="24"/>
          <w:highlight w:val="none"/>
        </w:rPr>
        <w:t>为保证工程质量，承包人应按照合同要求建立质量保证体系。监理人有权对承包人的质量保证体系进行审查。</w:t>
      </w:r>
    </w:p>
    <w:p w14:paraId="4DAEEDE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4.13.2</w:t>
      </w:r>
      <w:r>
        <w:rPr>
          <w:rFonts w:hint="eastAsia"/>
          <w:snapToGrid w:val="0"/>
          <w:color w:val="auto"/>
          <w:kern w:val="0"/>
          <w:sz w:val="24"/>
          <w:highlight w:val="none"/>
        </w:rPr>
        <w:t>承包人应在各设计和实施阶段开始前，向监理人提交其具体的质量保证细则和工作程序。</w:t>
      </w:r>
    </w:p>
    <w:p w14:paraId="4AE9EF9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4.13.3</w:t>
      </w:r>
      <w:r>
        <w:rPr>
          <w:rFonts w:hint="eastAsia"/>
          <w:snapToGrid w:val="0"/>
          <w:color w:val="auto"/>
          <w:kern w:val="0"/>
          <w:sz w:val="24"/>
          <w:highlight w:val="none"/>
        </w:rPr>
        <w:t>遵守质量保证体系，不应免除合同约定的承包人的义务和责任。</w:t>
      </w:r>
    </w:p>
    <w:p w14:paraId="0B9A506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90" w:name="_Toc11199736"/>
      <w:r>
        <w:rPr>
          <w:rFonts w:hint="eastAsia" w:eastAsia="华文中宋"/>
          <w:b/>
          <w:bCs/>
          <w:snapToGrid w:val="0"/>
          <w:color w:val="auto"/>
          <w:kern w:val="0"/>
          <w:sz w:val="28"/>
          <w:szCs w:val="28"/>
          <w:highlight w:val="none"/>
        </w:rPr>
        <w:t>5.设计</w:t>
      </w:r>
      <w:bookmarkEnd w:id="190"/>
    </w:p>
    <w:p w14:paraId="3A0C18C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1" w:name="_Toc11199737"/>
      <w:r>
        <w:rPr>
          <w:rFonts w:hint="eastAsia" w:eastAsia="华文中宋"/>
          <w:b/>
          <w:bCs/>
          <w:snapToGrid w:val="0"/>
          <w:color w:val="auto"/>
          <w:kern w:val="0"/>
          <w:sz w:val="24"/>
          <w:highlight w:val="none"/>
        </w:rPr>
        <w:t>5.1承包人的设计义务</w:t>
      </w:r>
      <w:bookmarkEnd w:id="191"/>
    </w:p>
    <w:p w14:paraId="7D1F401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5.1.1设计义务的一般要求</w:t>
      </w:r>
    </w:p>
    <w:p w14:paraId="32EA9C3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承包人应按照法律规定，以及国家、行业和地方的规范和标准完成设计工作，并符合发包人要求。</w:t>
      </w:r>
    </w:p>
    <w:p w14:paraId="6D78503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5.1.2法律和标准的变化</w:t>
      </w:r>
    </w:p>
    <w:p w14:paraId="3BAAEE9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27907DD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2" w:name="_Toc11199738"/>
      <w:r>
        <w:rPr>
          <w:rFonts w:hint="eastAsia" w:eastAsia="华文中宋"/>
          <w:b/>
          <w:bCs/>
          <w:snapToGrid w:val="0"/>
          <w:color w:val="auto"/>
          <w:kern w:val="0"/>
          <w:sz w:val="24"/>
          <w:highlight w:val="none"/>
        </w:rPr>
        <w:t>5.2承包人设计进度计划</w:t>
      </w:r>
      <w:bookmarkEnd w:id="192"/>
    </w:p>
    <w:p w14:paraId="6D393AA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承包人应按照发包人要求，在合同进度计划中专门列出设计进度计划，报发包人批准后执行。承包人需按照经批准后的计划开展设计工作。</w:t>
      </w:r>
    </w:p>
    <w:p w14:paraId="478D3CA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因承包人原因影响设计进度的，按第11.5款的约定执行。因发包人原因影响设计进度的，按第15条变更处理。</w:t>
      </w:r>
    </w:p>
    <w:p w14:paraId="105C3D2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发包人或其委托的监理人有权要求承包人根据第11.5款提交修正的进度计划、增加投入资源并加快设计进度。</w:t>
      </w:r>
    </w:p>
    <w:p w14:paraId="3DA3491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3" w:name="_Toc11199739"/>
      <w:r>
        <w:rPr>
          <w:rFonts w:hint="eastAsia" w:eastAsia="华文中宋"/>
          <w:b/>
          <w:bCs/>
          <w:snapToGrid w:val="0"/>
          <w:color w:val="auto"/>
          <w:kern w:val="0"/>
          <w:sz w:val="24"/>
          <w:highlight w:val="none"/>
        </w:rPr>
        <w:t>5.3设计审查</w:t>
      </w:r>
      <w:bookmarkEnd w:id="193"/>
    </w:p>
    <w:p w14:paraId="3C374F6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5.3.1</w:t>
      </w:r>
      <w:r>
        <w:rPr>
          <w:rFonts w:hint="eastAsia"/>
          <w:snapToGrid w:val="0"/>
          <w:color w:val="auto"/>
          <w:kern w:val="0"/>
          <w:sz w:val="24"/>
          <w:highlight w:val="none"/>
        </w:rPr>
        <w:t>承包人的设计文件应报发包人审查同意。审查的范围和内容在发包人要求中约定。</w:t>
      </w:r>
    </w:p>
    <w:p w14:paraId="30EE9C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4D034C8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14:paraId="129AC2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合同约定的审查期满，发包人没有做出审查结论也没有提出异议的，视为承包人的设计文件已获发包人同意。</w:t>
      </w:r>
    </w:p>
    <w:p w14:paraId="56201B6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5.3.2</w:t>
      </w:r>
      <w:r>
        <w:rPr>
          <w:rFonts w:hint="eastAsia"/>
          <w:snapToGrid w:val="0"/>
          <w:color w:val="auto"/>
          <w:kern w:val="0"/>
          <w:sz w:val="24"/>
          <w:highlight w:val="none"/>
        </w:rPr>
        <w:t>承包人的设计文件不需要政府有关部门审查或批准的，承包人应当严格按照经发包人审查同意的设计文件设计和实施工程。</w:t>
      </w:r>
    </w:p>
    <w:p w14:paraId="28C8AE5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5.3.3</w:t>
      </w:r>
      <w:r>
        <w:rPr>
          <w:rFonts w:hint="eastAsia"/>
          <w:snapToGrid w:val="0"/>
          <w:color w:val="auto"/>
          <w:kern w:val="0"/>
          <w:sz w:val="24"/>
          <w:highlight w:val="none"/>
        </w:rPr>
        <w:t>设计文件需政府有关部门审查或批准的，发包人应在审查同意承包人的设计文件后7天内，向政府有关部门报送设计文件，承包人应予以协助。</w:t>
      </w:r>
    </w:p>
    <w:p w14:paraId="35D50A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4904D5B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政府有关部门审查批准的，承包人应当严格按照批准后的承包人的设计文件设计和实施工程。</w:t>
      </w:r>
    </w:p>
    <w:p w14:paraId="5986CB0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4" w:name="_Toc11199740"/>
      <w:r>
        <w:rPr>
          <w:rFonts w:hint="eastAsia" w:eastAsia="华文中宋"/>
          <w:b/>
          <w:bCs/>
          <w:snapToGrid w:val="0"/>
          <w:color w:val="auto"/>
          <w:kern w:val="0"/>
          <w:sz w:val="24"/>
          <w:highlight w:val="none"/>
        </w:rPr>
        <w:t>5.4培训</w:t>
      </w:r>
      <w:bookmarkEnd w:id="194"/>
    </w:p>
    <w:p w14:paraId="2327C2A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承包人应按照发包人要求，对发包人的人员进行工程操作和维修方面的培训。合同约定接收之前进行培训的，应在第18.3款约定的竣工验收前完成培训。</w:t>
      </w:r>
    </w:p>
    <w:p w14:paraId="47645FB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5" w:name="_Toc11199741"/>
      <w:r>
        <w:rPr>
          <w:rFonts w:hint="eastAsia" w:eastAsia="华文中宋"/>
          <w:b/>
          <w:bCs/>
          <w:snapToGrid w:val="0"/>
          <w:color w:val="auto"/>
          <w:kern w:val="0"/>
          <w:sz w:val="24"/>
          <w:highlight w:val="none"/>
        </w:rPr>
        <w:t>5.5竣工文件</w:t>
      </w:r>
      <w:bookmarkEnd w:id="195"/>
    </w:p>
    <w:p w14:paraId="70B87C1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5.5.1</w:t>
      </w:r>
      <w:r>
        <w:rPr>
          <w:rFonts w:hint="eastAsia"/>
          <w:snapToGrid w:val="0"/>
          <w:color w:val="auto"/>
          <w:kern w:val="0"/>
          <w:sz w:val="24"/>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707C85C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5.5.2</w:t>
      </w:r>
      <w:r>
        <w:rPr>
          <w:rFonts w:hint="eastAsia"/>
          <w:snapToGrid w:val="0"/>
          <w:color w:val="auto"/>
          <w:kern w:val="0"/>
          <w:sz w:val="24"/>
          <w:highlight w:val="none"/>
        </w:rPr>
        <w:t>在颁发工程接收证书之前，承包人应按照发包人要求的份数和形式向监理人提交相应竣工图纸，并取得监理人对尺寸、参照系统及其他有关细节的认可。监理人应按照第5.3款的约定进行审查。</w:t>
      </w:r>
    </w:p>
    <w:p w14:paraId="7425B30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5.5.3</w:t>
      </w:r>
      <w:r>
        <w:rPr>
          <w:rFonts w:hint="eastAsia"/>
          <w:snapToGrid w:val="0"/>
          <w:color w:val="auto"/>
          <w:kern w:val="0"/>
          <w:sz w:val="24"/>
          <w:highlight w:val="none"/>
        </w:rPr>
        <w:t>在监理人收到上述文件前，不应认为工程已根据第18.3款和第18.5款约定完成验收。</w:t>
      </w:r>
    </w:p>
    <w:p w14:paraId="6553191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6" w:name="_Toc11199742"/>
      <w:r>
        <w:rPr>
          <w:rFonts w:hint="eastAsia" w:eastAsia="华文中宋"/>
          <w:b/>
          <w:bCs/>
          <w:snapToGrid w:val="0"/>
          <w:color w:val="auto"/>
          <w:kern w:val="0"/>
          <w:sz w:val="24"/>
          <w:highlight w:val="none"/>
        </w:rPr>
        <w:t>5.6操作和维修手册</w:t>
      </w:r>
      <w:bookmarkEnd w:id="196"/>
    </w:p>
    <w:p w14:paraId="3FF695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5.6.1</w:t>
      </w:r>
      <w:r>
        <w:rPr>
          <w:rFonts w:hint="eastAsia"/>
          <w:snapToGrid w:val="0"/>
          <w:color w:val="auto"/>
          <w:kern w:val="0"/>
          <w:sz w:val="24"/>
          <w:highlight w:val="none"/>
        </w:rPr>
        <w:t>在竣工试验开始前，承包人应向监理人提交暂行的操作和维修手册，该手册应足够详细，以便发包人能够对生产设备进行操作、维修、拆卸、重新安装、调整及修理。</w:t>
      </w:r>
    </w:p>
    <w:p w14:paraId="71C0B35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5.6.2</w:t>
      </w:r>
      <w:r>
        <w:rPr>
          <w:rFonts w:hint="eastAsia"/>
          <w:snapToGrid w:val="0"/>
          <w:color w:val="auto"/>
          <w:kern w:val="0"/>
          <w:sz w:val="24"/>
          <w:highlight w:val="none"/>
        </w:rPr>
        <w:t>承包人应提交足够详细的最终操作和维修手册，以及在发包人要求中明确的相关操作和维修手册。在监理人收到上述文件前，不应认为工程已根据第18.3款和第18.5款约定完成验收。</w:t>
      </w:r>
    </w:p>
    <w:p w14:paraId="08AD037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7" w:name="_Toc11199743"/>
      <w:r>
        <w:rPr>
          <w:rFonts w:hint="eastAsia" w:eastAsia="华文中宋"/>
          <w:b/>
          <w:bCs/>
          <w:snapToGrid w:val="0"/>
          <w:color w:val="auto"/>
          <w:kern w:val="0"/>
          <w:sz w:val="24"/>
          <w:highlight w:val="none"/>
        </w:rPr>
        <w:t>5.7承包人文件错误</w:t>
      </w:r>
      <w:bookmarkEnd w:id="197"/>
    </w:p>
    <w:p w14:paraId="706AFDF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14:paraId="539DD1BC">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198" w:name="_Toc11199744"/>
      <w:r>
        <w:rPr>
          <w:rFonts w:hint="eastAsia" w:eastAsia="华文中宋"/>
          <w:b/>
          <w:bCs/>
          <w:snapToGrid w:val="0"/>
          <w:color w:val="auto"/>
          <w:kern w:val="0"/>
          <w:sz w:val="28"/>
          <w:szCs w:val="28"/>
          <w:highlight w:val="none"/>
        </w:rPr>
        <w:t>6.材料和工程设备</w:t>
      </w:r>
      <w:bookmarkEnd w:id="198"/>
    </w:p>
    <w:p w14:paraId="6883ED7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199" w:name="_Toc11199745"/>
      <w:r>
        <w:rPr>
          <w:rFonts w:hint="eastAsia" w:eastAsia="华文中宋"/>
          <w:b/>
          <w:bCs/>
          <w:snapToGrid w:val="0"/>
          <w:color w:val="auto"/>
          <w:kern w:val="0"/>
          <w:sz w:val="24"/>
          <w:highlight w:val="none"/>
        </w:rPr>
        <w:t>6.1承包人提供的材料和工程设备</w:t>
      </w:r>
      <w:bookmarkEnd w:id="199"/>
    </w:p>
    <w:p w14:paraId="2838E13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6.1.1</w:t>
      </w:r>
      <w:r>
        <w:rPr>
          <w:rFonts w:hint="eastAsia"/>
          <w:snapToGrid w:val="0"/>
          <w:color w:val="auto"/>
          <w:kern w:val="0"/>
          <w:sz w:val="24"/>
          <w:highlight w:val="none"/>
        </w:rPr>
        <w:t>除专用合同条款另有约定外，承包人提供的材料和工程设备均由承包人负责采购、运输和保管。承包人应对其采购的材料和工程设备负责。</w:t>
      </w:r>
    </w:p>
    <w:p w14:paraId="2924DAA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6.1.2</w:t>
      </w:r>
      <w:r>
        <w:rPr>
          <w:rFonts w:hint="eastAsia"/>
          <w:snapToGrid w:val="0"/>
          <w:color w:val="auto"/>
          <w:kern w:val="0"/>
          <w:sz w:val="24"/>
          <w:highlight w:val="none"/>
        </w:rPr>
        <w:t>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05E583E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6.1.3</w:t>
      </w:r>
      <w:r>
        <w:rPr>
          <w:rFonts w:hint="eastAsia"/>
          <w:snapToGrid w:val="0"/>
          <w:color w:val="auto"/>
          <w:kern w:val="0"/>
          <w:sz w:val="24"/>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100F33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0" w:name="_Toc11199746"/>
      <w:r>
        <w:rPr>
          <w:rFonts w:hint="eastAsia" w:eastAsia="华文中宋"/>
          <w:b/>
          <w:bCs/>
          <w:snapToGrid w:val="0"/>
          <w:color w:val="auto"/>
          <w:kern w:val="0"/>
          <w:sz w:val="24"/>
          <w:highlight w:val="none"/>
        </w:rPr>
        <w:t>6.2发包人提供的材料和工程设备（A）</w:t>
      </w:r>
      <w:bookmarkEnd w:id="200"/>
    </w:p>
    <w:p w14:paraId="2C7FE38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6.2.1</w:t>
      </w:r>
      <w:r>
        <w:rPr>
          <w:rFonts w:hint="eastAsia"/>
          <w:snapToGrid w:val="0"/>
          <w:color w:val="auto"/>
          <w:kern w:val="0"/>
          <w:sz w:val="24"/>
          <w:highlight w:val="none"/>
        </w:rPr>
        <w:t>专用合同条款约定发包人提供部分材料和工程设备的，应写明材料和工程设备的名称、规格、数量、价格、交货方式、交货地点等。</w:t>
      </w:r>
    </w:p>
    <w:p w14:paraId="41482AE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6.2.2</w:t>
      </w:r>
      <w:r>
        <w:rPr>
          <w:rFonts w:hint="eastAsia"/>
          <w:snapToGrid w:val="0"/>
          <w:color w:val="auto"/>
          <w:kern w:val="0"/>
          <w:sz w:val="24"/>
          <w:highlight w:val="none"/>
        </w:rPr>
        <w:t>承包人应根据合同进度计划的安排，向监理人报送要求发包人交货的日期计划。发包人应按照监理人与合同双方当事人商定的交货日期，向承包人提交材料和工程设备。</w:t>
      </w:r>
    </w:p>
    <w:p w14:paraId="08A3962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6.2.3</w:t>
      </w:r>
      <w:r>
        <w:rPr>
          <w:rFonts w:hint="eastAsia"/>
          <w:snapToGrid w:val="0"/>
          <w:color w:val="auto"/>
          <w:kern w:val="0"/>
          <w:sz w:val="24"/>
          <w:highlight w:val="none"/>
        </w:rPr>
        <w:t>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06C2FC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6.2.4</w:t>
      </w:r>
      <w:r>
        <w:rPr>
          <w:rFonts w:hint="eastAsia"/>
          <w:snapToGrid w:val="0"/>
          <w:color w:val="auto"/>
          <w:kern w:val="0"/>
          <w:sz w:val="24"/>
          <w:highlight w:val="none"/>
        </w:rPr>
        <w:t>发包人要求向承包人提前交货的，承包人不得拒绝，但发包人应承担承包人由此增加的费用。</w:t>
      </w:r>
    </w:p>
    <w:p w14:paraId="016920A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6.2.5</w:t>
      </w:r>
      <w:r>
        <w:rPr>
          <w:rFonts w:hint="eastAsia"/>
          <w:snapToGrid w:val="0"/>
          <w:color w:val="auto"/>
          <w:kern w:val="0"/>
          <w:sz w:val="24"/>
          <w:highlight w:val="none"/>
        </w:rPr>
        <w:t>承包人要求更改交货日期或地点的，应事先报请监理人批准。由于承包人要求更改交货时间或地点所增加的费用和（或）工期延误由承包人承担。</w:t>
      </w:r>
    </w:p>
    <w:p w14:paraId="3915D0B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6.2.6</w:t>
      </w:r>
      <w:r>
        <w:rPr>
          <w:rFonts w:hint="eastAsia"/>
          <w:snapToGrid w:val="0"/>
          <w:color w:val="auto"/>
          <w:kern w:val="0"/>
          <w:sz w:val="24"/>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14F53C4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1" w:name="_Toc11199747"/>
      <w:r>
        <w:rPr>
          <w:rFonts w:hint="eastAsia" w:eastAsia="华文中宋"/>
          <w:b/>
          <w:bCs/>
          <w:snapToGrid w:val="0"/>
          <w:color w:val="auto"/>
          <w:kern w:val="0"/>
          <w:sz w:val="24"/>
          <w:highlight w:val="none"/>
        </w:rPr>
        <w:t>6.2发包人提供的材料和工程设备（B）</w:t>
      </w:r>
      <w:bookmarkEnd w:id="201"/>
    </w:p>
    <w:p w14:paraId="1F1714E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发包人不提供材料和工程设备。</w:t>
      </w:r>
    </w:p>
    <w:p w14:paraId="538A1EA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2" w:name="_Toc11199748"/>
      <w:r>
        <w:rPr>
          <w:rFonts w:hint="eastAsia" w:eastAsia="华文中宋"/>
          <w:b/>
          <w:bCs/>
          <w:snapToGrid w:val="0"/>
          <w:color w:val="auto"/>
          <w:kern w:val="0"/>
          <w:sz w:val="24"/>
          <w:highlight w:val="none"/>
        </w:rPr>
        <w:t>6.3专用于工程的材料和工程设备</w:t>
      </w:r>
      <w:bookmarkEnd w:id="202"/>
    </w:p>
    <w:p w14:paraId="74C7286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6.3.1</w:t>
      </w:r>
      <w:r>
        <w:rPr>
          <w:rFonts w:hint="eastAsia"/>
          <w:snapToGrid w:val="0"/>
          <w:color w:val="auto"/>
          <w:kern w:val="0"/>
          <w:sz w:val="24"/>
          <w:highlight w:val="none"/>
        </w:rPr>
        <w:t>运入施工场地的材料、工程设备，包括备品备件、安装专用工器具与随机资料，必须专用于合同约定范围内的工程，未经监理人同意，承包人不得运出施工场地或挪作他用。</w:t>
      </w:r>
    </w:p>
    <w:p w14:paraId="176731D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6.3.2</w:t>
      </w:r>
      <w:r>
        <w:rPr>
          <w:rFonts w:hint="eastAsia"/>
          <w:snapToGrid w:val="0"/>
          <w:color w:val="auto"/>
          <w:kern w:val="0"/>
          <w:sz w:val="24"/>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CF1021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3" w:name="_Toc11199749"/>
      <w:r>
        <w:rPr>
          <w:rFonts w:hint="eastAsia" w:eastAsia="华文中宋"/>
          <w:b/>
          <w:bCs/>
          <w:snapToGrid w:val="0"/>
          <w:color w:val="auto"/>
          <w:kern w:val="0"/>
          <w:sz w:val="24"/>
          <w:highlight w:val="none"/>
        </w:rPr>
        <w:t>6.4实施方法</w:t>
      </w:r>
      <w:bookmarkEnd w:id="203"/>
    </w:p>
    <w:p w14:paraId="74EB050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承包人对材料的加工、工程设备的采购、制造、安装应当按照法律规定、合同约定以及行业习惯来实施。</w:t>
      </w:r>
    </w:p>
    <w:p w14:paraId="772CA5F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4" w:name="_Toc11199750"/>
      <w:r>
        <w:rPr>
          <w:rFonts w:hint="eastAsia" w:eastAsia="华文中宋"/>
          <w:b/>
          <w:bCs/>
          <w:snapToGrid w:val="0"/>
          <w:color w:val="auto"/>
          <w:kern w:val="0"/>
          <w:sz w:val="24"/>
          <w:highlight w:val="none"/>
        </w:rPr>
        <w:t>6.5禁止使用不合格的材料和工程设备</w:t>
      </w:r>
      <w:bookmarkEnd w:id="204"/>
    </w:p>
    <w:p w14:paraId="06E91A5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6.5.1</w:t>
      </w:r>
      <w:r>
        <w:rPr>
          <w:rFonts w:hint="eastAsia"/>
          <w:snapToGrid w:val="0"/>
          <w:color w:val="auto"/>
          <w:kern w:val="0"/>
          <w:sz w:val="24"/>
          <w:highlight w:val="none"/>
        </w:rPr>
        <w:t>监理人有权拒绝承包人提供的不合格材料或工程设备，并要求承包人立即进行更换。监理人应在更换后再次进行检查和检验，由此增加的费用和（或）工期延误由承包人承担。</w:t>
      </w:r>
    </w:p>
    <w:p w14:paraId="37A4CC2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6.5.2</w:t>
      </w:r>
      <w:r>
        <w:rPr>
          <w:rFonts w:hint="eastAsia"/>
          <w:snapToGrid w:val="0"/>
          <w:color w:val="auto"/>
          <w:kern w:val="0"/>
          <w:sz w:val="24"/>
          <w:highlight w:val="none"/>
        </w:rPr>
        <w:t>监理人发现承包人使用了不合格的材料和工程设备，应即时发出指示要求承包人立即改正，并禁止在工程中继续使用不合格的材料和工程设备。</w:t>
      </w:r>
    </w:p>
    <w:p w14:paraId="4837FB3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6.5.3</w:t>
      </w:r>
      <w:r>
        <w:rPr>
          <w:rFonts w:hint="eastAsia"/>
          <w:snapToGrid w:val="0"/>
          <w:color w:val="auto"/>
          <w:kern w:val="0"/>
          <w:sz w:val="24"/>
          <w:highlight w:val="none"/>
        </w:rPr>
        <w:t>发包人提供的材料或工程设备不符合合同要求的，承包人有权拒绝，并可要求发包人更换，由此增加的费用和（或）工期延误由发包人承担。</w:t>
      </w:r>
    </w:p>
    <w:p w14:paraId="46538742">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05" w:name="_Toc11199751"/>
      <w:r>
        <w:rPr>
          <w:rFonts w:hint="eastAsia" w:eastAsia="华文中宋"/>
          <w:b/>
          <w:bCs/>
          <w:snapToGrid w:val="0"/>
          <w:color w:val="auto"/>
          <w:kern w:val="0"/>
          <w:sz w:val="28"/>
          <w:szCs w:val="28"/>
          <w:highlight w:val="none"/>
        </w:rPr>
        <w:t>7.施工设备和临时设施</w:t>
      </w:r>
      <w:bookmarkEnd w:id="205"/>
    </w:p>
    <w:p w14:paraId="0D78C36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6" w:name="_Toc11199752"/>
      <w:r>
        <w:rPr>
          <w:rFonts w:hint="eastAsia" w:eastAsia="华文中宋"/>
          <w:b/>
          <w:bCs/>
          <w:snapToGrid w:val="0"/>
          <w:color w:val="auto"/>
          <w:kern w:val="0"/>
          <w:sz w:val="24"/>
          <w:highlight w:val="none"/>
        </w:rPr>
        <w:t>7.1承包人提供的施工设备和临时设施</w:t>
      </w:r>
      <w:bookmarkEnd w:id="206"/>
    </w:p>
    <w:p w14:paraId="6CEDD4E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7.1.1</w:t>
      </w:r>
      <w:r>
        <w:rPr>
          <w:rFonts w:hint="eastAsia"/>
          <w:snapToGrid w:val="0"/>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B0DBDD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7.1.2</w:t>
      </w:r>
      <w:r>
        <w:rPr>
          <w:rFonts w:hint="eastAsia"/>
          <w:snapToGrid w:val="0"/>
          <w:color w:val="auto"/>
          <w:kern w:val="0"/>
          <w:sz w:val="24"/>
          <w:highlight w:val="none"/>
        </w:rPr>
        <w:t>除专用合同条款另有约定外，承包人应自行承担修建临时设施的费用。需要临时占地的，应由发包人办理申请手续并承担相应费用。</w:t>
      </w:r>
    </w:p>
    <w:p w14:paraId="5938E12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7" w:name="_Toc11199753"/>
      <w:r>
        <w:rPr>
          <w:rFonts w:hint="eastAsia" w:eastAsia="华文中宋"/>
          <w:b/>
          <w:bCs/>
          <w:snapToGrid w:val="0"/>
          <w:color w:val="auto"/>
          <w:kern w:val="0"/>
          <w:sz w:val="24"/>
          <w:highlight w:val="none"/>
        </w:rPr>
        <w:t>7.2发包人提供的施工设备和临时设施（A）</w:t>
      </w:r>
      <w:bookmarkEnd w:id="207"/>
    </w:p>
    <w:p w14:paraId="7622A5B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发包人提供的施工设备或临时设施在专用合同条款中约定。</w:t>
      </w:r>
    </w:p>
    <w:p w14:paraId="2A3BD2F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8" w:name="_Toc11199754"/>
      <w:r>
        <w:rPr>
          <w:rFonts w:hint="eastAsia" w:eastAsia="华文中宋"/>
          <w:b/>
          <w:bCs/>
          <w:snapToGrid w:val="0"/>
          <w:color w:val="auto"/>
          <w:kern w:val="0"/>
          <w:sz w:val="24"/>
          <w:highlight w:val="none"/>
        </w:rPr>
        <w:t>7.2发包人提供的施工设备和临时设施（B）</w:t>
      </w:r>
      <w:bookmarkEnd w:id="208"/>
    </w:p>
    <w:p w14:paraId="541A23A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发包人不提供施工设备或临时设施。</w:t>
      </w:r>
    </w:p>
    <w:p w14:paraId="09D5AAA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09" w:name="_Toc11199755"/>
      <w:r>
        <w:rPr>
          <w:rFonts w:hint="eastAsia" w:eastAsia="华文中宋"/>
          <w:b/>
          <w:bCs/>
          <w:snapToGrid w:val="0"/>
          <w:color w:val="auto"/>
          <w:kern w:val="0"/>
          <w:sz w:val="24"/>
          <w:highlight w:val="none"/>
        </w:rPr>
        <w:t>7.3要求承包人增加或更换施工设备</w:t>
      </w:r>
      <w:bookmarkEnd w:id="209"/>
    </w:p>
    <w:p w14:paraId="6500E0B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承包人使用的施工设备不能满足合同进度计划和（或）质量标准时，监理人有权要求承包人增加或更换施工设备，承包人应及时增加或更换，由此增加的费用和（或）工期延误由承包人承担。</w:t>
      </w:r>
    </w:p>
    <w:p w14:paraId="6DB8FB8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0" w:name="_Toc11199756"/>
      <w:r>
        <w:rPr>
          <w:rFonts w:hint="eastAsia" w:eastAsia="华文中宋"/>
          <w:b/>
          <w:bCs/>
          <w:snapToGrid w:val="0"/>
          <w:color w:val="auto"/>
          <w:kern w:val="0"/>
          <w:sz w:val="24"/>
          <w:highlight w:val="none"/>
        </w:rPr>
        <w:t>7.4施工设备和临时设施专用于合同工程</w:t>
      </w:r>
      <w:bookmarkEnd w:id="210"/>
    </w:p>
    <w:p w14:paraId="6C97703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7.4.1</w:t>
      </w:r>
      <w:r>
        <w:rPr>
          <w:rFonts w:hint="eastAsia"/>
          <w:snapToGrid w:val="0"/>
          <w:color w:val="auto"/>
          <w:kern w:val="0"/>
          <w:sz w:val="24"/>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08B8008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7.4.2</w:t>
      </w:r>
      <w:r>
        <w:rPr>
          <w:rFonts w:hint="eastAsia"/>
          <w:snapToGrid w:val="0"/>
          <w:color w:val="auto"/>
          <w:kern w:val="0"/>
          <w:sz w:val="24"/>
          <w:highlight w:val="none"/>
        </w:rPr>
        <w:t>经监理人同意，承包人可根据合同进度计划撤走闲置的施工设备。</w:t>
      </w:r>
    </w:p>
    <w:p w14:paraId="15F86D0C">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11" w:name="_Toc11199757"/>
      <w:r>
        <w:rPr>
          <w:rFonts w:hint="eastAsia" w:eastAsia="华文中宋"/>
          <w:b/>
          <w:bCs/>
          <w:snapToGrid w:val="0"/>
          <w:color w:val="auto"/>
          <w:kern w:val="0"/>
          <w:sz w:val="28"/>
          <w:szCs w:val="28"/>
          <w:highlight w:val="none"/>
        </w:rPr>
        <w:t>8.交通运输</w:t>
      </w:r>
      <w:bookmarkEnd w:id="211"/>
    </w:p>
    <w:p w14:paraId="767C157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2" w:name="_Toc11199758"/>
      <w:r>
        <w:rPr>
          <w:rFonts w:hint="eastAsia" w:eastAsia="华文中宋"/>
          <w:b/>
          <w:bCs/>
          <w:snapToGrid w:val="0"/>
          <w:color w:val="auto"/>
          <w:kern w:val="0"/>
          <w:sz w:val="24"/>
          <w:highlight w:val="none"/>
        </w:rPr>
        <w:t>8.1道路通行权和场外设施（A）</w:t>
      </w:r>
      <w:bookmarkEnd w:id="212"/>
    </w:p>
    <w:p w14:paraId="1150413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发包人应根据工程的施工需要，负责办理取得出入施工场地的专用和临时道路的通行权，以及取得为工程建设所需修建场外设施的权利，并承担有关费用。承包人应协助发包人办理上述手续。</w:t>
      </w:r>
    </w:p>
    <w:p w14:paraId="4EE36DE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3" w:name="_Toc11199759"/>
      <w:r>
        <w:rPr>
          <w:rFonts w:hint="eastAsia" w:eastAsia="华文中宋"/>
          <w:b/>
          <w:bCs/>
          <w:snapToGrid w:val="0"/>
          <w:color w:val="auto"/>
          <w:kern w:val="0"/>
          <w:sz w:val="24"/>
          <w:highlight w:val="none"/>
        </w:rPr>
        <w:t>8.1道路通行权和场外设施（B）</w:t>
      </w:r>
      <w:bookmarkEnd w:id="213"/>
    </w:p>
    <w:p w14:paraId="05FBAE8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承包人应根据工程的施工需要，负责办理取得出入施工场地的专用和临时道路的通行权，以及取得为工程建设所需修建场外设施的权利，并承担有关费用。发包人应协助承包人办理上述手续。</w:t>
      </w:r>
    </w:p>
    <w:p w14:paraId="23633DB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4" w:name="_Toc11199760"/>
      <w:r>
        <w:rPr>
          <w:rFonts w:hint="eastAsia" w:eastAsia="华文中宋"/>
          <w:b/>
          <w:bCs/>
          <w:snapToGrid w:val="0"/>
          <w:color w:val="auto"/>
          <w:kern w:val="0"/>
          <w:sz w:val="24"/>
          <w:highlight w:val="none"/>
        </w:rPr>
        <w:t>8.2场内施工道路</w:t>
      </w:r>
      <w:bookmarkEnd w:id="214"/>
    </w:p>
    <w:p w14:paraId="3142A88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8.2.1</w:t>
      </w:r>
      <w:r>
        <w:rPr>
          <w:rFonts w:hint="eastAsia"/>
          <w:snapToGrid w:val="0"/>
          <w:color w:val="auto"/>
          <w:kern w:val="0"/>
          <w:sz w:val="24"/>
          <w:highlight w:val="none"/>
        </w:rPr>
        <w:t>除专用合同条款另有约定外，承包人应负责修建、维修、养护和管理施工所需的临时道路和交通设施，包括维修、养护和管理发包人提供的道路和交通设施，并承担相应费用。</w:t>
      </w:r>
    </w:p>
    <w:p w14:paraId="6548658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8.2.2</w:t>
      </w:r>
      <w:r>
        <w:rPr>
          <w:rFonts w:hint="eastAsia"/>
          <w:snapToGrid w:val="0"/>
          <w:color w:val="auto"/>
          <w:kern w:val="0"/>
          <w:sz w:val="24"/>
          <w:highlight w:val="none"/>
        </w:rPr>
        <w:t>除专用合同条款另有约定外，承包人修建的临时道路和交通设施应免费提供发包人和监理人为实现合同目的使用。</w:t>
      </w:r>
    </w:p>
    <w:p w14:paraId="256D1E5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5" w:name="_Toc11199761"/>
      <w:r>
        <w:rPr>
          <w:rFonts w:hint="eastAsia" w:eastAsia="华文中宋"/>
          <w:b/>
          <w:bCs/>
          <w:snapToGrid w:val="0"/>
          <w:color w:val="auto"/>
          <w:kern w:val="0"/>
          <w:sz w:val="24"/>
          <w:highlight w:val="none"/>
        </w:rPr>
        <w:t>8.3场外交通</w:t>
      </w:r>
      <w:bookmarkEnd w:id="215"/>
    </w:p>
    <w:p w14:paraId="66314E4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8.3.1</w:t>
      </w:r>
      <w:r>
        <w:rPr>
          <w:rFonts w:hint="eastAsia"/>
          <w:snapToGrid w:val="0"/>
          <w:color w:val="auto"/>
          <w:kern w:val="0"/>
          <w:sz w:val="24"/>
          <w:highlight w:val="none"/>
        </w:rPr>
        <w:t>承包人车辆外出行驶所需的场外公共道路的通行费、养路费和税款等由承包人承担。</w:t>
      </w:r>
    </w:p>
    <w:p w14:paraId="0C9440B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8.3.2</w:t>
      </w:r>
      <w:r>
        <w:rPr>
          <w:rFonts w:hint="eastAsia"/>
          <w:snapToGrid w:val="0"/>
          <w:color w:val="auto"/>
          <w:kern w:val="0"/>
          <w:sz w:val="24"/>
          <w:highlight w:val="none"/>
        </w:rPr>
        <w:t>承包人应遵守有关交通法规，严格按照道路和桥梁的限制荷重安全行驶，并服从交通管理部门的检查和监督。</w:t>
      </w:r>
    </w:p>
    <w:p w14:paraId="2E82DD2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6" w:name="_Toc11199762"/>
      <w:r>
        <w:rPr>
          <w:rFonts w:hint="eastAsia" w:eastAsia="华文中宋"/>
          <w:b/>
          <w:bCs/>
          <w:snapToGrid w:val="0"/>
          <w:color w:val="auto"/>
          <w:kern w:val="0"/>
          <w:sz w:val="24"/>
          <w:highlight w:val="none"/>
        </w:rPr>
        <w:t>8.4超大件和超重件的运输</w:t>
      </w:r>
      <w:bookmarkEnd w:id="216"/>
    </w:p>
    <w:p w14:paraId="6D6A2D7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D5F902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7" w:name="_Toc11199763"/>
      <w:r>
        <w:rPr>
          <w:rFonts w:hint="eastAsia" w:eastAsia="华文中宋"/>
          <w:b/>
          <w:bCs/>
          <w:snapToGrid w:val="0"/>
          <w:color w:val="auto"/>
          <w:kern w:val="0"/>
          <w:sz w:val="24"/>
          <w:highlight w:val="none"/>
        </w:rPr>
        <w:t>8.5道路和桥梁的损坏责任</w:t>
      </w:r>
      <w:bookmarkEnd w:id="217"/>
    </w:p>
    <w:p w14:paraId="7629816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因承包人运输造成施工场地内外公共道路和桥梁损坏的，由承包人承担修复损坏的全部费用和可能引起的赔偿。</w:t>
      </w:r>
    </w:p>
    <w:p w14:paraId="3157365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18" w:name="_Toc11199764"/>
      <w:r>
        <w:rPr>
          <w:rFonts w:hint="eastAsia" w:eastAsia="华文中宋"/>
          <w:b/>
          <w:bCs/>
          <w:snapToGrid w:val="0"/>
          <w:color w:val="auto"/>
          <w:kern w:val="0"/>
          <w:sz w:val="24"/>
          <w:highlight w:val="none"/>
        </w:rPr>
        <w:t>8.6水路和航空运输</w:t>
      </w:r>
      <w:bookmarkEnd w:id="218"/>
    </w:p>
    <w:p w14:paraId="79CBCE3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本条上述各款的内容适用于水路运输和航空运输，其中“道路”一词的涵义包括河道、航线、船闸、机场、码头、堤防以及水路或航空运输中其他相似结构物；“车辆”一词的涵义包括船舶和飞机等。</w:t>
      </w:r>
    </w:p>
    <w:p w14:paraId="1AB2F97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19" w:name="_Toc11199765"/>
      <w:r>
        <w:rPr>
          <w:rFonts w:hint="eastAsia" w:eastAsia="华文中宋"/>
          <w:b/>
          <w:bCs/>
          <w:snapToGrid w:val="0"/>
          <w:color w:val="auto"/>
          <w:kern w:val="0"/>
          <w:sz w:val="28"/>
          <w:szCs w:val="28"/>
          <w:highlight w:val="none"/>
        </w:rPr>
        <w:t>9.测量放线</w:t>
      </w:r>
      <w:bookmarkEnd w:id="219"/>
    </w:p>
    <w:p w14:paraId="5F17EF1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0" w:name="_Toc11199766"/>
      <w:r>
        <w:rPr>
          <w:rFonts w:hint="eastAsia" w:eastAsia="华文中宋"/>
          <w:b/>
          <w:bCs/>
          <w:snapToGrid w:val="0"/>
          <w:color w:val="auto"/>
          <w:kern w:val="0"/>
          <w:sz w:val="24"/>
          <w:highlight w:val="none"/>
        </w:rPr>
        <w:t>9.1施工控制网</w:t>
      </w:r>
      <w:bookmarkEnd w:id="220"/>
    </w:p>
    <w:p w14:paraId="343B2D8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9.1.1</w:t>
      </w:r>
      <w:r>
        <w:rPr>
          <w:rFonts w:hint="eastAsia"/>
          <w:snapToGrid w:val="0"/>
          <w:color w:val="auto"/>
          <w:kern w:val="0"/>
          <w:sz w:val="24"/>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5D4F53E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9.1.2</w:t>
      </w:r>
      <w:r>
        <w:rPr>
          <w:rFonts w:hint="eastAsia"/>
          <w:snapToGrid w:val="0"/>
          <w:color w:val="auto"/>
          <w:kern w:val="0"/>
          <w:sz w:val="24"/>
          <w:highlight w:val="none"/>
        </w:rPr>
        <w:t>承包人应负责管理施工控制网点。施工控制网点丢失或损坏的，承包人应及时修复。承包人应承担施工控制网点的管理与修复费用，并在工程竣工后将施工控制网点移交发包人。</w:t>
      </w:r>
    </w:p>
    <w:p w14:paraId="4752FBB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1" w:name="_Toc11199767"/>
      <w:r>
        <w:rPr>
          <w:rFonts w:hint="eastAsia" w:eastAsia="华文中宋"/>
          <w:b/>
          <w:bCs/>
          <w:snapToGrid w:val="0"/>
          <w:color w:val="auto"/>
          <w:kern w:val="0"/>
          <w:sz w:val="24"/>
          <w:highlight w:val="none"/>
        </w:rPr>
        <w:t>9.2施工测量</w:t>
      </w:r>
      <w:bookmarkEnd w:id="221"/>
    </w:p>
    <w:p w14:paraId="559089A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9.2.1</w:t>
      </w:r>
      <w:r>
        <w:rPr>
          <w:rFonts w:hint="eastAsia"/>
          <w:snapToGrid w:val="0"/>
          <w:color w:val="auto"/>
          <w:kern w:val="0"/>
          <w:sz w:val="24"/>
          <w:highlight w:val="none"/>
        </w:rPr>
        <w:t>承包人应负责施工过程中的全部施工测量放线工作，并配置合格的人员、仪器、设备和其他物品。</w:t>
      </w:r>
    </w:p>
    <w:p w14:paraId="24FDBF8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9.2.2</w:t>
      </w:r>
      <w:r>
        <w:rPr>
          <w:rFonts w:hint="eastAsia"/>
          <w:snapToGrid w:val="0"/>
          <w:color w:val="auto"/>
          <w:kern w:val="0"/>
          <w:sz w:val="24"/>
          <w:highlight w:val="none"/>
        </w:rPr>
        <w:t>监理人可以指示承包人进行抽样复测，当复测中发现错误或出现超过合同约定的误差时，承包人应按监理人指示进行修正或补测，并承担相应的复测费用。</w:t>
      </w:r>
    </w:p>
    <w:p w14:paraId="35A8B10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2" w:name="_Toc11199768"/>
      <w:r>
        <w:rPr>
          <w:rFonts w:hint="eastAsia" w:eastAsia="华文中宋"/>
          <w:b/>
          <w:bCs/>
          <w:snapToGrid w:val="0"/>
          <w:color w:val="auto"/>
          <w:kern w:val="0"/>
          <w:sz w:val="24"/>
          <w:highlight w:val="none"/>
        </w:rPr>
        <w:t>9.3基准资料错误的责任</w:t>
      </w:r>
      <w:bookmarkEnd w:id="222"/>
    </w:p>
    <w:p w14:paraId="239C020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3305BD8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3" w:name="_Toc11199769"/>
      <w:r>
        <w:rPr>
          <w:rFonts w:hint="eastAsia" w:eastAsia="华文中宋"/>
          <w:b/>
          <w:bCs/>
          <w:snapToGrid w:val="0"/>
          <w:color w:val="auto"/>
          <w:kern w:val="0"/>
          <w:sz w:val="24"/>
          <w:highlight w:val="none"/>
        </w:rPr>
        <w:t>9.4监理人使用施工控制网</w:t>
      </w:r>
      <w:bookmarkEnd w:id="223"/>
    </w:p>
    <w:p w14:paraId="7E43A8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监理人需要使用施工控制网的，承包人应提供必要的协助，发包人不再为此支付费用。</w:t>
      </w:r>
    </w:p>
    <w:p w14:paraId="04B256E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24" w:name="_Toc11199770"/>
      <w:r>
        <w:rPr>
          <w:rFonts w:hint="eastAsia" w:eastAsia="华文中宋"/>
          <w:b/>
          <w:bCs/>
          <w:snapToGrid w:val="0"/>
          <w:color w:val="auto"/>
          <w:kern w:val="0"/>
          <w:sz w:val="28"/>
          <w:szCs w:val="28"/>
          <w:highlight w:val="none"/>
        </w:rPr>
        <w:t>10.安全、治安保卫和环境保护</w:t>
      </w:r>
      <w:bookmarkEnd w:id="224"/>
    </w:p>
    <w:p w14:paraId="48BC479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5" w:name="_Toc11199771"/>
      <w:r>
        <w:rPr>
          <w:rFonts w:hint="eastAsia" w:eastAsia="华文中宋"/>
          <w:b/>
          <w:bCs/>
          <w:snapToGrid w:val="0"/>
          <w:color w:val="auto"/>
          <w:kern w:val="0"/>
          <w:sz w:val="24"/>
          <w:highlight w:val="none"/>
        </w:rPr>
        <w:t>10.1发包人的安全责任</w:t>
      </w:r>
      <w:bookmarkEnd w:id="225"/>
    </w:p>
    <w:p w14:paraId="7A14234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10.1.1</w:t>
      </w:r>
      <w:r>
        <w:rPr>
          <w:rFonts w:hint="eastAsia"/>
          <w:snapToGrid w:val="0"/>
          <w:color w:val="auto"/>
          <w:kern w:val="0"/>
          <w:sz w:val="24"/>
          <w:highlight w:val="none"/>
        </w:rPr>
        <w:t>发包人应按合同约定履行安全职责，授权监理人按合同约定的安全工作内容监督、检查承包人安全工作的实施，组织承包人和有关单位进行安全检查。</w:t>
      </w:r>
    </w:p>
    <w:p w14:paraId="719970E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10.1.2</w:t>
      </w:r>
      <w:r>
        <w:rPr>
          <w:rFonts w:hint="eastAsia"/>
          <w:snapToGrid w:val="0"/>
          <w:color w:val="auto"/>
          <w:kern w:val="0"/>
          <w:sz w:val="24"/>
          <w:highlight w:val="none"/>
        </w:rPr>
        <w:t>发包人应对其现场机构雇佣的全部人员的工伤事故承担责任，但由于承包人原因造成发包人人员工伤的，应由承包人承担责任。</w:t>
      </w:r>
    </w:p>
    <w:p w14:paraId="268DCE6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10.1.3</w:t>
      </w:r>
      <w:r>
        <w:rPr>
          <w:rFonts w:hint="eastAsia"/>
          <w:snapToGrid w:val="0"/>
          <w:color w:val="auto"/>
          <w:kern w:val="0"/>
          <w:sz w:val="24"/>
          <w:highlight w:val="none"/>
        </w:rPr>
        <w:t>发包人应负责赔偿以下各种情况造成的第三者人身伤亡和财产损失：</w:t>
      </w:r>
    </w:p>
    <w:p w14:paraId="2933EF9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（1）工程或工程的任何部分对土地的占用所造成的第三者财产损失；</w:t>
      </w:r>
    </w:p>
    <w:p w14:paraId="487BCAE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（2）由于发包人原因在施工场地及其毗邻地带、履行合同工作中造成的第三者人身伤亡和财产损失。</w:t>
      </w:r>
    </w:p>
    <w:p w14:paraId="5023BF3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6" w:name="_Toc11199772"/>
      <w:r>
        <w:rPr>
          <w:rFonts w:hint="eastAsia" w:eastAsia="华文中宋"/>
          <w:b/>
          <w:bCs/>
          <w:snapToGrid w:val="0"/>
          <w:color w:val="auto"/>
          <w:kern w:val="0"/>
          <w:sz w:val="24"/>
          <w:highlight w:val="none"/>
        </w:rPr>
        <w:t>10.2承包人的安全责任</w:t>
      </w:r>
      <w:bookmarkEnd w:id="226"/>
    </w:p>
    <w:p w14:paraId="066C26E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10.2.1</w:t>
      </w:r>
      <w:r>
        <w:rPr>
          <w:rFonts w:hint="eastAsia"/>
          <w:snapToGrid w:val="0"/>
          <w:color w:val="auto"/>
          <w:kern w:val="0"/>
          <w:sz w:val="24"/>
          <w:highlight w:val="none"/>
        </w:rPr>
        <w:t>承包人应按合同约定履行安全职责，执行监理人有关安全工作的指示，并在专用合同条款约定的期限内，按合同约定的安全工作内容，编制安全措施计划报送监理人批准。</w:t>
      </w:r>
    </w:p>
    <w:p w14:paraId="7E1E52E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10.2.2</w:t>
      </w:r>
      <w:r>
        <w:rPr>
          <w:rFonts w:hint="eastAsia"/>
          <w:snapToGrid w:val="0"/>
          <w:color w:val="auto"/>
          <w:kern w:val="0"/>
          <w:sz w:val="24"/>
          <w:highlight w:val="none"/>
        </w:rPr>
        <w:t>承包人按照合同约定需要进行勘察的，应严格执行操作规程，采取措施保证各类管线、设施和周边建筑物、构筑物的安全。</w:t>
      </w:r>
    </w:p>
    <w:p w14:paraId="6C5F249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10.2.3</w:t>
      </w:r>
      <w:r>
        <w:rPr>
          <w:rFonts w:hint="eastAsia"/>
          <w:snapToGrid w:val="0"/>
          <w:color w:val="auto"/>
          <w:kern w:val="0"/>
          <w:sz w:val="24"/>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190C539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10.2.4</w:t>
      </w:r>
      <w:r>
        <w:rPr>
          <w:rFonts w:hint="eastAsia"/>
          <w:snapToGrid w:val="0"/>
          <w:color w:val="auto"/>
          <w:kern w:val="0"/>
          <w:sz w:val="24"/>
          <w:highlight w:val="none"/>
        </w:rPr>
        <w:t>承包人应加强施工作业安全管理，特别应加强易燃、易爆材料、火工器材、有毒与腐蚀性材料和其他危险品的管理，以及对爆破作业和地下工程施工等危险作业的管理。</w:t>
      </w:r>
    </w:p>
    <w:p w14:paraId="08F0408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10.2.5</w:t>
      </w:r>
      <w:r>
        <w:rPr>
          <w:rFonts w:hint="eastAsia"/>
          <w:snapToGrid w:val="0"/>
          <w:color w:val="auto"/>
          <w:kern w:val="0"/>
          <w:sz w:val="24"/>
          <w:highlight w:val="none"/>
        </w:rPr>
        <w:t>承包人应严格按照国家安全标准制定施工安全操作规程，配备必要的安全生产和劳动保护设施，加强对承包人人员的安全教育，并发放安全工作手册和劳动保护用具。</w:t>
      </w:r>
    </w:p>
    <w:p w14:paraId="03E8E92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10.2.6</w:t>
      </w:r>
      <w:r>
        <w:rPr>
          <w:rFonts w:hint="eastAsia"/>
          <w:snapToGrid w:val="0"/>
          <w:color w:val="auto"/>
          <w:kern w:val="0"/>
          <w:sz w:val="24"/>
          <w:highlight w:val="none"/>
        </w:rPr>
        <w:t>承包人应按监理人的指示制定应对灾害的紧急预案，报送监理人批准。承包人还应按预案做好安全检查，配置必要的救助物资和器材，切实保护好有关人员的人身和财产安全。</w:t>
      </w:r>
    </w:p>
    <w:p w14:paraId="1945D3D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10.2.7</w:t>
      </w:r>
      <w:r>
        <w:rPr>
          <w:rFonts w:hint="eastAsia"/>
          <w:snapToGrid w:val="0"/>
          <w:color w:val="auto"/>
          <w:kern w:val="0"/>
          <w:sz w:val="24"/>
          <w:highlight w:val="none"/>
        </w:rPr>
        <w:t>合同约定的安全作业环境及安全施工措施所需费用应遵守有关规定，并包括在相关工作的合同价格中。因采取合同未约定的安全作业环境及安全施工措施增加的费用，由监理人按第3.5款商定或确定。</w:t>
      </w:r>
    </w:p>
    <w:p w14:paraId="26DCA1F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10.2.8</w:t>
      </w:r>
      <w:r>
        <w:rPr>
          <w:rFonts w:hint="eastAsia"/>
          <w:snapToGrid w:val="0"/>
          <w:color w:val="auto"/>
          <w:kern w:val="0"/>
          <w:sz w:val="24"/>
          <w:highlight w:val="none"/>
        </w:rPr>
        <w:t>承包人应对其履行合同所雇佣的全部人员，包括分包人人员的工伤事故承担责任，但由于发包人原因造成承包人人员工伤事故的，应由发包人承担责任。</w:t>
      </w:r>
    </w:p>
    <w:p w14:paraId="793D754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10.2.9</w:t>
      </w:r>
      <w:r>
        <w:rPr>
          <w:rFonts w:hint="eastAsia"/>
          <w:snapToGrid w:val="0"/>
          <w:color w:val="auto"/>
          <w:kern w:val="0"/>
          <w:sz w:val="24"/>
          <w:highlight w:val="none"/>
        </w:rPr>
        <w:t>由于承包人原因在施工场地内及其毗邻地带造成的第三者人员伤亡和财产损失，由承包人负责赔偿。</w:t>
      </w:r>
    </w:p>
    <w:p w14:paraId="45C9707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7" w:name="_Toc11199773"/>
      <w:r>
        <w:rPr>
          <w:rFonts w:hint="eastAsia" w:eastAsia="华文中宋"/>
          <w:b/>
          <w:bCs/>
          <w:snapToGrid w:val="0"/>
          <w:color w:val="auto"/>
          <w:kern w:val="0"/>
          <w:sz w:val="24"/>
          <w:highlight w:val="none"/>
        </w:rPr>
        <w:t>10.3治安保卫</w:t>
      </w:r>
      <w:bookmarkEnd w:id="227"/>
    </w:p>
    <w:p w14:paraId="5BEBBA3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10.3.1</w:t>
      </w:r>
      <w:r>
        <w:rPr>
          <w:rFonts w:hint="eastAsia"/>
          <w:snapToGrid w:val="0"/>
          <w:color w:val="auto"/>
          <w:kern w:val="0"/>
          <w:sz w:val="24"/>
          <w:highlight w:val="none"/>
        </w:rPr>
        <w:t>除合同另有约定外，承包人应与当地公安部门协商，在现场建立治安管理机构或联防组织，统一管理施工场地的治安保卫事项，履行合同工程的治安保卫职责。</w:t>
      </w:r>
    </w:p>
    <w:p w14:paraId="7D5423B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10.3.2</w:t>
      </w:r>
      <w:r>
        <w:rPr>
          <w:rFonts w:hint="eastAsia"/>
          <w:snapToGrid w:val="0"/>
          <w:color w:val="auto"/>
          <w:kern w:val="0"/>
          <w:sz w:val="24"/>
          <w:highlight w:val="none"/>
        </w:rPr>
        <w:t>发包人和承包人除应协助现场治安管理机构或联防组织维护施工场地的社会治安外，还应做好包括生活区在内的各自管辖区的治安保卫工作。</w:t>
      </w:r>
    </w:p>
    <w:p w14:paraId="1FEB7C8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10.3.3</w:t>
      </w:r>
      <w:r>
        <w:rPr>
          <w:rFonts w:hint="eastAsia"/>
          <w:snapToGrid w:val="0"/>
          <w:color w:val="auto"/>
          <w:kern w:val="0"/>
          <w:sz w:val="24"/>
          <w:highlight w:val="none"/>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2815E8F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8" w:name="_Toc11199774"/>
      <w:r>
        <w:rPr>
          <w:rFonts w:hint="eastAsia" w:eastAsia="华文中宋"/>
          <w:b/>
          <w:bCs/>
          <w:snapToGrid w:val="0"/>
          <w:color w:val="auto"/>
          <w:kern w:val="0"/>
          <w:sz w:val="24"/>
          <w:highlight w:val="none"/>
        </w:rPr>
        <w:t>10.4环境保护</w:t>
      </w:r>
      <w:bookmarkEnd w:id="228"/>
    </w:p>
    <w:p w14:paraId="6B96367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10.4.1</w:t>
      </w:r>
      <w:r>
        <w:rPr>
          <w:rFonts w:hint="eastAsia"/>
          <w:snapToGrid w:val="0"/>
          <w:color w:val="auto"/>
          <w:kern w:val="0"/>
          <w:sz w:val="24"/>
          <w:highlight w:val="none"/>
        </w:rPr>
        <w:t>承包人在履行合同过程中，应遵守有关环境保护的法律，履行合同约定的环境保护义务，并对违反法律和合同约定义务所造成的环境破坏、人身伤害和财产损失负责。</w:t>
      </w:r>
    </w:p>
    <w:p w14:paraId="7CB4A06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10.4.2</w:t>
      </w:r>
      <w:r>
        <w:rPr>
          <w:rFonts w:hint="eastAsia"/>
          <w:snapToGrid w:val="0"/>
          <w:color w:val="auto"/>
          <w:kern w:val="0"/>
          <w:sz w:val="24"/>
          <w:highlight w:val="none"/>
        </w:rPr>
        <w:t>承包人应按合同约定的环保工作内容，编制环保措施计划，报送监理人批准。</w:t>
      </w:r>
    </w:p>
    <w:p w14:paraId="3879ED7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10.4.3</w:t>
      </w:r>
      <w:r>
        <w:rPr>
          <w:rFonts w:hint="eastAsia"/>
          <w:snapToGrid w:val="0"/>
          <w:color w:val="auto"/>
          <w:kern w:val="0"/>
          <w:sz w:val="24"/>
          <w:highlight w:val="none"/>
        </w:rPr>
        <w:t>承包人应确保施工过程中产生的气体排放物、粉尘、噪声、地面排水及排污等，符合法律规定和发包人要求。</w:t>
      </w:r>
    </w:p>
    <w:p w14:paraId="3898305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29" w:name="_Toc11199775"/>
      <w:r>
        <w:rPr>
          <w:rFonts w:hint="eastAsia" w:eastAsia="华文中宋"/>
          <w:b/>
          <w:bCs/>
          <w:snapToGrid w:val="0"/>
          <w:color w:val="auto"/>
          <w:kern w:val="0"/>
          <w:sz w:val="24"/>
          <w:highlight w:val="none"/>
        </w:rPr>
        <w:t>10.5事故处理</w:t>
      </w:r>
      <w:bookmarkEnd w:id="229"/>
    </w:p>
    <w:p w14:paraId="4184783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203B4D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30" w:name="_Toc11199776"/>
      <w:r>
        <w:rPr>
          <w:rFonts w:hint="eastAsia" w:eastAsia="华文中宋"/>
          <w:b/>
          <w:bCs/>
          <w:snapToGrid w:val="0"/>
          <w:color w:val="auto"/>
          <w:kern w:val="0"/>
          <w:sz w:val="28"/>
          <w:szCs w:val="28"/>
          <w:highlight w:val="none"/>
        </w:rPr>
        <w:t>11.开始工作和竣工</w:t>
      </w:r>
      <w:bookmarkEnd w:id="230"/>
    </w:p>
    <w:p w14:paraId="333C4E3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1" w:name="_Toc11199777"/>
      <w:r>
        <w:rPr>
          <w:rFonts w:hint="eastAsia" w:eastAsia="华文中宋"/>
          <w:b/>
          <w:bCs/>
          <w:snapToGrid w:val="0"/>
          <w:color w:val="auto"/>
          <w:kern w:val="0"/>
          <w:sz w:val="24"/>
          <w:highlight w:val="none"/>
        </w:rPr>
        <w:t>11.1开始工作</w:t>
      </w:r>
      <w:bookmarkEnd w:id="231"/>
    </w:p>
    <w:p w14:paraId="2B90F50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7315336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2" w:name="_Toc11199778"/>
      <w:r>
        <w:rPr>
          <w:rFonts w:hint="eastAsia" w:eastAsia="华文中宋"/>
          <w:b/>
          <w:bCs/>
          <w:snapToGrid w:val="0"/>
          <w:color w:val="auto"/>
          <w:kern w:val="0"/>
          <w:sz w:val="24"/>
          <w:highlight w:val="none"/>
        </w:rPr>
        <w:t>11.2竣工</w:t>
      </w:r>
      <w:bookmarkEnd w:id="232"/>
    </w:p>
    <w:p w14:paraId="0F63090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承包人应在第1.1.4.3目约定的期限内完成合同工作。实际竣工日期按第18.3款约定确定，并在工程接收证书中载明。</w:t>
      </w:r>
    </w:p>
    <w:p w14:paraId="655D69E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3" w:name="_Toc11199779"/>
      <w:r>
        <w:rPr>
          <w:rFonts w:hint="eastAsia" w:eastAsia="华文中宋"/>
          <w:b/>
          <w:bCs/>
          <w:snapToGrid w:val="0"/>
          <w:color w:val="auto"/>
          <w:kern w:val="0"/>
          <w:sz w:val="24"/>
          <w:highlight w:val="none"/>
        </w:rPr>
        <w:t>11.3发包人引起的工期延误</w:t>
      </w:r>
      <w:bookmarkEnd w:id="233"/>
    </w:p>
    <w:p w14:paraId="4BB52E3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在履行合同过程中，由于发包人的下列原因造成工期延误的，承包人有权要求发包人延长工期和（或）增加费用，并支付合理利润。需要修订合同进度计划的，按照第4.12.2项的约定执行。</w:t>
      </w:r>
    </w:p>
    <w:p w14:paraId="00B9F52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（l）变更；</w:t>
      </w:r>
    </w:p>
    <w:p w14:paraId="78FDB8F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（2）未能按照合同要求的期限对承包人文件进行审查；</w:t>
      </w:r>
    </w:p>
    <w:p w14:paraId="38ADF4F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（3）因发包人原因导致的暂停施工；</w:t>
      </w:r>
    </w:p>
    <w:p w14:paraId="049B51E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（4）未按合同约定及时支付预付款、进度款；</w:t>
      </w:r>
    </w:p>
    <w:p w14:paraId="55A261F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（5）发包人按第9.3款提供的基准资料错误；</w:t>
      </w:r>
    </w:p>
    <w:p w14:paraId="5195000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（6）发包人按第6.2款迟延提供材料、工程设备或变更交货地点的；</w:t>
      </w:r>
    </w:p>
    <w:p w14:paraId="5C2F92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（7）发包人未及时按照“发包人要求”履行相关义务；</w:t>
      </w:r>
    </w:p>
    <w:p w14:paraId="2813C63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（8）发包人造成工期延误的其他原因。</w:t>
      </w:r>
    </w:p>
    <w:p w14:paraId="19A7E8A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4" w:name="_Toc11199780"/>
      <w:r>
        <w:rPr>
          <w:rFonts w:hint="eastAsia" w:eastAsia="华文中宋"/>
          <w:b/>
          <w:bCs/>
          <w:snapToGrid w:val="0"/>
          <w:color w:val="auto"/>
          <w:kern w:val="0"/>
          <w:sz w:val="24"/>
          <w:highlight w:val="none"/>
        </w:rPr>
        <w:t>11.4异常恶劣的气候条件</w:t>
      </w:r>
      <w:bookmarkEnd w:id="234"/>
    </w:p>
    <w:p w14:paraId="5995ED4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由于出现专用合同条款规定的异常恶劣气候的条件导致工期延误的，承包人有权要求发包人延长工期和（或）增加费用。</w:t>
      </w:r>
    </w:p>
    <w:p w14:paraId="67BC414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5" w:name="_Toc11199781"/>
      <w:r>
        <w:rPr>
          <w:rFonts w:hint="eastAsia" w:eastAsia="华文中宋"/>
          <w:b/>
          <w:bCs/>
          <w:snapToGrid w:val="0"/>
          <w:color w:val="auto"/>
          <w:kern w:val="0"/>
          <w:sz w:val="24"/>
          <w:highlight w:val="none"/>
        </w:rPr>
        <w:t>11.5承包人引起的工期延误</w:t>
      </w:r>
      <w:bookmarkEnd w:id="235"/>
    </w:p>
    <w:p w14:paraId="3C2189D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6DB14A9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6" w:name="_Toc11199782"/>
      <w:r>
        <w:rPr>
          <w:rFonts w:hint="eastAsia" w:eastAsia="华文中宋"/>
          <w:b/>
          <w:bCs/>
          <w:snapToGrid w:val="0"/>
          <w:color w:val="auto"/>
          <w:kern w:val="0"/>
          <w:sz w:val="24"/>
          <w:highlight w:val="none"/>
        </w:rPr>
        <w:t>11.6工期提前</w:t>
      </w:r>
      <w:bookmarkEnd w:id="236"/>
    </w:p>
    <w:p w14:paraId="4587E5D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9883DC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7" w:name="_Toc11199783"/>
      <w:r>
        <w:rPr>
          <w:rFonts w:hint="eastAsia" w:eastAsia="华文中宋"/>
          <w:b/>
          <w:bCs/>
          <w:snapToGrid w:val="0"/>
          <w:color w:val="auto"/>
          <w:kern w:val="0"/>
          <w:sz w:val="24"/>
          <w:highlight w:val="none"/>
        </w:rPr>
        <w:t>11.7行政审批迟延</w:t>
      </w:r>
      <w:bookmarkEnd w:id="237"/>
    </w:p>
    <w:p w14:paraId="4AB5926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合同约定范围内的工作需国家有关部门审批的，发包人和（或）承包人应按照合同约定的职责分工完成行政审批报送。因国家有关部门审批迟延造成费用增加和（或）工期延误的，由发包人承担。</w:t>
      </w:r>
    </w:p>
    <w:p w14:paraId="32BED80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38" w:name="_Toc11199784"/>
      <w:r>
        <w:rPr>
          <w:rFonts w:hint="eastAsia" w:eastAsia="华文中宋"/>
          <w:b/>
          <w:bCs/>
          <w:snapToGrid w:val="0"/>
          <w:color w:val="auto"/>
          <w:kern w:val="0"/>
          <w:sz w:val="28"/>
          <w:szCs w:val="28"/>
          <w:highlight w:val="none"/>
        </w:rPr>
        <w:t>12.暂停工作</w:t>
      </w:r>
      <w:bookmarkEnd w:id="238"/>
    </w:p>
    <w:p w14:paraId="5E72777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39" w:name="_Toc11199785"/>
      <w:r>
        <w:rPr>
          <w:rFonts w:hint="eastAsia" w:eastAsia="华文中宋"/>
          <w:b/>
          <w:bCs/>
          <w:snapToGrid w:val="0"/>
          <w:color w:val="auto"/>
          <w:kern w:val="0"/>
          <w:sz w:val="24"/>
          <w:highlight w:val="none"/>
        </w:rPr>
        <w:t>12.1由发包人暂停工作</w:t>
      </w:r>
      <w:bookmarkEnd w:id="239"/>
    </w:p>
    <w:p w14:paraId="685E9BF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12.1.1</w:t>
      </w:r>
      <w:r>
        <w:rPr>
          <w:rFonts w:hint="eastAsia"/>
          <w:snapToGrid w:val="0"/>
          <w:color w:val="auto"/>
          <w:kern w:val="0"/>
          <w:sz w:val="24"/>
          <w:highlight w:val="none"/>
        </w:rPr>
        <w:t>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1091933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12.1.2</w:t>
      </w:r>
      <w:r>
        <w:rPr>
          <w:rFonts w:hint="eastAsia"/>
          <w:snapToGrid w:val="0"/>
          <w:color w:val="auto"/>
          <w:kern w:val="0"/>
          <w:sz w:val="24"/>
          <w:highlight w:val="none"/>
        </w:rPr>
        <w:t>由于承包人下列原因造成发包人暂停工作的，由此造成费用的增加和（或）工期延误由承包人承担：</w:t>
      </w:r>
    </w:p>
    <w:p w14:paraId="3BC8977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（1）承包人违约；</w:t>
      </w:r>
    </w:p>
    <w:p w14:paraId="19669F5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（2）承包人擅自暂停工作；</w:t>
      </w:r>
    </w:p>
    <w:p w14:paraId="10FADB6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（3）合同约定由承包人承担责任的其他暂停工作。</w:t>
      </w:r>
    </w:p>
    <w:p w14:paraId="02BF539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0" w:name="_Toc11199786"/>
      <w:r>
        <w:rPr>
          <w:rFonts w:hint="eastAsia" w:eastAsia="华文中宋"/>
          <w:b/>
          <w:bCs/>
          <w:snapToGrid w:val="0"/>
          <w:color w:val="auto"/>
          <w:kern w:val="0"/>
          <w:sz w:val="24"/>
          <w:highlight w:val="none"/>
        </w:rPr>
        <w:t>12.2由承包人暂停工作</w:t>
      </w:r>
      <w:bookmarkEnd w:id="240"/>
    </w:p>
    <w:p w14:paraId="00F572B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12.2.1</w:t>
      </w:r>
      <w:r>
        <w:rPr>
          <w:rFonts w:hint="eastAsia"/>
          <w:snapToGrid w:val="0"/>
          <w:color w:val="auto"/>
          <w:kern w:val="0"/>
          <w:sz w:val="24"/>
          <w:highlight w:val="none"/>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633D865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（1）发包人未能按合同约定支付价款，或拖延、拒绝批准付款申请和支付证书，导致付款延误的；</w:t>
      </w:r>
    </w:p>
    <w:p w14:paraId="4A5744C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（2）监理人无正当理由没有在约定期限内发出复工指示，导致承包人无法复工的；</w:t>
      </w:r>
    </w:p>
    <w:p w14:paraId="10F6BEE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（3）发包人无法继续履行或明确表示不履行或实质上已停止履行合同的；</w:t>
      </w:r>
    </w:p>
    <w:p w14:paraId="6507066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（4）发包人不履行合同约定其他义务的。</w:t>
      </w:r>
    </w:p>
    <w:p w14:paraId="598E614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12.2.2</w:t>
      </w:r>
      <w:r>
        <w:rPr>
          <w:rFonts w:hint="eastAsia"/>
          <w:snapToGrid w:val="0"/>
          <w:color w:val="auto"/>
          <w:kern w:val="0"/>
          <w:sz w:val="24"/>
          <w:highlight w:val="none"/>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4635FCC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1" w:name="_Toc11199787"/>
      <w:r>
        <w:rPr>
          <w:rFonts w:hint="eastAsia" w:eastAsia="华文中宋"/>
          <w:b/>
          <w:bCs/>
          <w:snapToGrid w:val="0"/>
          <w:color w:val="auto"/>
          <w:kern w:val="0"/>
          <w:sz w:val="24"/>
          <w:highlight w:val="none"/>
        </w:rPr>
        <w:t>12.3暂停工作后的照管</w:t>
      </w:r>
      <w:bookmarkEnd w:id="241"/>
    </w:p>
    <w:p w14:paraId="202EB23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不论由于何种原因引起暂停工作的，暂停工作期间，承包人应负责妥善保护工程并提供安全保障，由此增加的费用由责任方承担。</w:t>
      </w:r>
    </w:p>
    <w:p w14:paraId="3A78892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2" w:name="_Toc11199788"/>
      <w:r>
        <w:rPr>
          <w:rFonts w:hint="eastAsia" w:eastAsia="华文中宋"/>
          <w:b/>
          <w:bCs/>
          <w:snapToGrid w:val="0"/>
          <w:color w:val="auto"/>
          <w:kern w:val="0"/>
          <w:sz w:val="24"/>
          <w:highlight w:val="none"/>
        </w:rPr>
        <w:t>12.4暂停工作后的复工</w:t>
      </w:r>
      <w:bookmarkEnd w:id="242"/>
    </w:p>
    <w:p w14:paraId="3D318EF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12.4.1</w:t>
      </w:r>
      <w:r>
        <w:rPr>
          <w:rFonts w:hint="eastAsia"/>
          <w:snapToGrid w:val="0"/>
          <w:color w:val="auto"/>
          <w:kern w:val="0"/>
          <w:sz w:val="24"/>
          <w:highlight w:val="none"/>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314609E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12.4.2</w:t>
      </w:r>
      <w:r>
        <w:rPr>
          <w:rFonts w:hint="eastAsia"/>
          <w:snapToGrid w:val="0"/>
          <w:color w:val="auto"/>
          <w:kern w:val="0"/>
          <w:sz w:val="24"/>
          <w:highlight w:val="none"/>
        </w:rPr>
        <w:t>承包人无故拖延和拒绝复工的，由此增加的费用和工期延误由承包人承担；因发包人原因无法按时复工的，承包人有权要求发包人延长工期和（或）增加费用，并支付合理利润。</w:t>
      </w:r>
    </w:p>
    <w:p w14:paraId="66F7700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3" w:name="_Toc11199789"/>
      <w:r>
        <w:rPr>
          <w:rFonts w:hint="eastAsia" w:eastAsia="华文中宋"/>
          <w:b/>
          <w:bCs/>
          <w:snapToGrid w:val="0"/>
          <w:color w:val="auto"/>
          <w:kern w:val="0"/>
          <w:sz w:val="24"/>
          <w:highlight w:val="none"/>
        </w:rPr>
        <w:t>12.5暂停工作56天以上</w:t>
      </w:r>
      <w:bookmarkEnd w:id="243"/>
    </w:p>
    <w:p w14:paraId="3D92DAA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12.5.1</w:t>
      </w:r>
      <w:r>
        <w:rPr>
          <w:rFonts w:hint="eastAsia"/>
          <w:snapToGrid w:val="0"/>
          <w:color w:val="auto"/>
          <w:kern w:val="0"/>
          <w:sz w:val="24"/>
          <w:highlight w:val="none"/>
        </w:rPr>
        <w:t>监理人发出暂停工作指示后56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14:paraId="45DBCF8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12.5.2</w:t>
      </w:r>
      <w:r>
        <w:rPr>
          <w:rFonts w:hint="eastAsia"/>
          <w:snapToGrid w:val="0"/>
          <w:color w:val="auto"/>
          <w:kern w:val="0"/>
          <w:sz w:val="24"/>
          <w:highlight w:val="none"/>
        </w:rPr>
        <w:t>由于承包人原因引起暂停工作的，如承包人在收到监理人暂停工作指示后56天内不采取有效的复工措施，造成工期延误的，视为承包人违约，应按第12.1.2项的约定执行。</w:t>
      </w:r>
    </w:p>
    <w:p w14:paraId="1CB6309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44" w:name="_Toc11199790"/>
      <w:r>
        <w:rPr>
          <w:rFonts w:hint="eastAsia" w:eastAsia="华文中宋"/>
          <w:b/>
          <w:bCs/>
          <w:snapToGrid w:val="0"/>
          <w:color w:val="auto"/>
          <w:kern w:val="0"/>
          <w:sz w:val="28"/>
          <w:szCs w:val="28"/>
          <w:highlight w:val="none"/>
        </w:rPr>
        <w:t>13.工程质量</w:t>
      </w:r>
      <w:bookmarkEnd w:id="244"/>
    </w:p>
    <w:p w14:paraId="1473A91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5" w:name="_Toc11199791"/>
      <w:r>
        <w:rPr>
          <w:rFonts w:hint="eastAsia" w:eastAsia="华文中宋"/>
          <w:b/>
          <w:bCs/>
          <w:snapToGrid w:val="0"/>
          <w:color w:val="auto"/>
          <w:kern w:val="0"/>
          <w:sz w:val="24"/>
          <w:highlight w:val="none"/>
        </w:rPr>
        <w:t>13.1工程质量要求</w:t>
      </w:r>
      <w:bookmarkEnd w:id="245"/>
    </w:p>
    <w:p w14:paraId="342A97B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13.1.1</w:t>
      </w:r>
      <w:r>
        <w:rPr>
          <w:rFonts w:hint="eastAsia"/>
          <w:snapToGrid w:val="0"/>
          <w:color w:val="auto"/>
          <w:kern w:val="0"/>
          <w:sz w:val="24"/>
          <w:highlight w:val="none"/>
        </w:rPr>
        <w:t>工程质量验收按法律规定和合同约定的验收标准执行。</w:t>
      </w:r>
    </w:p>
    <w:p w14:paraId="610B48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13.1.2</w:t>
      </w:r>
      <w:r>
        <w:rPr>
          <w:rFonts w:hint="eastAsia"/>
          <w:snapToGrid w:val="0"/>
          <w:color w:val="auto"/>
          <w:kern w:val="0"/>
          <w:sz w:val="24"/>
          <w:highlight w:val="none"/>
        </w:rPr>
        <w:t>因承包人原因造成工程质量不符合法律的规定和合同约定的，监理人有权要求承包人返工直至符合合同要求为止，由此造成的费用增加和（或）工期延误由承包人承担。</w:t>
      </w:r>
    </w:p>
    <w:p w14:paraId="08F4F44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13.1.3</w:t>
      </w:r>
      <w:r>
        <w:rPr>
          <w:rFonts w:hint="eastAsia"/>
          <w:snapToGrid w:val="0"/>
          <w:color w:val="auto"/>
          <w:kern w:val="0"/>
          <w:sz w:val="24"/>
          <w:highlight w:val="none"/>
        </w:rPr>
        <w:t>因发包人原因造成工程质量达不到合同约定验收标准的，发包人应承担由于承包人返工造成的费用增加和（或）工期延误，并支付承包人合理利润。</w:t>
      </w:r>
    </w:p>
    <w:p w14:paraId="384D3CA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6" w:name="_Toc11199792"/>
      <w:r>
        <w:rPr>
          <w:rFonts w:hint="eastAsia" w:eastAsia="华文中宋"/>
          <w:b/>
          <w:bCs/>
          <w:snapToGrid w:val="0"/>
          <w:color w:val="auto"/>
          <w:kern w:val="0"/>
          <w:sz w:val="24"/>
          <w:highlight w:val="none"/>
        </w:rPr>
        <w:t>13.2承包人的质量检查</w:t>
      </w:r>
      <w:bookmarkEnd w:id="246"/>
    </w:p>
    <w:p w14:paraId="061C0D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承包人应按合同约定对设计、材料、工程设备以及全部工程内容及其施工工艺进行全过程的质量检查和检验，并作详细记录，编制工程质量报表，报送监理人审查。</w:t>
      </w:r>
    </w:p>
    <w:p w14:paraId="7D2DDC1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7" w:name="_Toc11199793"/>
      <w:r>
        <w:rPr>
          <w:rFonts w:hint="eastAsia" w:eastAsia="华文中宋"/>
          <w:b/>
          <w:bCs/>
          <w:snapToGrid w:val="0"/>
          <w:color w:val="auto"/>
          <w:kern w:val="0"/>
          <w:sz w:val="24"/>
          <w:highlight w:val="none"/>
        </w:rPr>
        <w:t>13.3监理人的质量检查</w:t>
      </w:r>
      <w:bookmarkEnd w:id="247"/>
    </w:p>
    <w:p w14:paraId="6361C1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384D7AB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8" w:name="_Toc11199794"/>
      <w:r>
        <w:rPr>
          <w:rFonts w:hint="eastAsia" w:eastAsia="华文中宋"/>
          <w:b/>
          <w:bCs/>
          <w:snapToGrid w:val="0"/>
          <w:color w:val="auto"/>
          <w:kern w:val="0"/>
          <w:sz w:val="24"/>
          <w:highlight w:val="none"/>
        </w:rPr>
        <w:t>13.4工程隐蔽部位覆盖前的检查</w:t>
      </w:r>
      <w:bookmarkEnd w:id="248"/>
    </w:p>
    <w:p w14:paraId="0F6A117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13.4.1通知监理人检查</w:t>
      </w:r>
    </w:p>
    <w:p w14:paraId="732D625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F22887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13.4.2监理人未到场检查</w:t>
      </w:r>
    </w:p>
    <w:p w14:paraId="5AD9DD39">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监理人未按第13.4.l项约定的时间进行检查的，除监理人另有指示外，承包人可自行完成覆盖工作，并作相应记录报送监理人，监理人应签字确认。监理人事后对检查记录有疑问的，可按第13.4.3项的约定重新检查。</w:t>
      </w:r>
    </w:p>
    <w:p w14:paraId="7308C30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13.4.3监理人重新检查</w:t>
      </w:r>
    </w:p>
    <w:p w14:paraId="322FA06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按第13.4.1项或第13.4.2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829E27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13.4.4承包人私自覆盖</w:t>
      </w:r>
    </w:p>
    <w:p w14:paraId="29E2C96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承包人未通知监理人到场检查，私自将工程隐蔽部位覆盖的，监理人有权指示承包人钻孔探测或揭开检查，由此增加的费用和（或）工期延误由承包人承担。</w:t>
      </w:r>
    </w:p>
    <w:p w14:paraId="7C552EC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49" w:name="_Toc11199795"/>
      <w:r>
        <w:rPr>
          <w:rFonts w:hint="eastAsia" w:eastAsia="华文中宋"/>
          <w:b/>
          <w:bCs/>
          <w:snapToGrid w:val="0"/>
          <w:color w:val="auto"/>
          <w:kern w:val="0"/>
          <w:sz w:val="24"/>
          <w:highlight w:val="none"/>
        </w:rPr>
        <w:t>13.5清除不合格工程</w:t>
      </w:r>
      <w:bookmarkEnd w:id="249"/>
    </w:p>
    <w:p w14:paraId="6AF0C1F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13.5.1</w:t>
      </w:r>
      <w:r>
        <w:rPr>
          <w:rFonts w:hint="eastAsia"/>
          <w:snapToGrid w:val="0"/>
          <w:color w:val="auto"/>
          <w:kern w:val="0"/>
          <w:sz w:val="24"/>
          <w:highlight w:val="none"/>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14DFEC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13.5.2</w:t>
      </w:r>
      <w:r>
        <w:rPr>
          <w:rFonts w:hint="eastAsia"/>
          <w:snapToGrid w:val="0"/>
          <w:color w:val="auto"/>
          <w:kern w:val="0"/>
          <w:sz w:val="24"/>
          <w:highlight w:val="none"/>
        </w:rPr>
        <w:t>由于发包人提供的材料或工程设备不合格造成的工程不合格，需要承包人采取措施补救的，发包人应承担由此增加的费用和（或）工期延误，并支付承包人合理利润。</w:t>
      </w:r>
    </w:p>
    <w:p w14:paraId="18337D8C">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50" w:name="_Toc11199796"/>
      <w:r>
        <w:rPr>
          <w:rFonts w:hint="eastAsia" w:eastAsia="华文中宋"/>
          <w:b/>
          <w:bCs/>
          <w:snapToGrid w:val="0"/>
          <w:color w:val="auto"/>
          <w:kern w:val="0"/>
          <w:sz w:val="28"/>
          <w:szCs w:val="28"/>
          <w:highlight w:val="none"/>
        </w:rPr>
        <w:t>14.试验和检验</w:t>
      </w:r>
      <w:bookmarkEnd w:id="250"/>
    </w:p>
    <w:p w14:paraId="0A641D4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1" w:name="_Toc11199797"/>
      <w:r>
        <w:rPr>
          <w:rFonts w:hint="eastAsia" w:eastAsia="华文中宋"/>
          <w:b/>
          <w:bCs/>
          <w:snapToGrid w:val="0"/>
          <w:color w:val="auto"/>
          <w:kern w:val="0"/>
          <w:sz w:val="24"/>
          <w:highlight w:val="none"/>
        </w:rPr>
        <w:t>14.1材料、工程设备和工程的试验和检验</w:t>
      </w:r>
      <w:bookmarkEnd w:id="251"/>
    </w:p>
    <w:p w14:paraId="3DC325B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14.1.1</w:t>
      </w:r>
      <w:r>
        <w:rPr>
          <w:rFonts w:hint="eastAsia"/>
          <w:snapToGrid w:val="0"/>
          <w:color w:val="auto"/>
          <w:kern w:val="0"/>
          <w:sz w:val="24"/>
          <w:highlight w:val="none"/>
        </w:rPr>
        <w:t>本款适用于竣工试验之前的试验和检验。</w:t>
      </w:r>
    </w:p>
    <w:p w14:paraId="028A0AC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14.1.2</w:t>
      </w:r>
      <w:r>
        <w:rPr>
          <w:rFonts w:hint="eastAsia"/>
          <w:snapToGrid w:val="0"/>
          <w:color w:val="auto"/>
          <w:kern w:val="0"/>
          <w:sz w:val="24"/>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4CBA04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14.1.3</w:t>
      </w:r>
      <w:r>
        <w:rPr>
          <w:rFonts w:hint="eastAsia"/>
          <w:snapToGrid w:val="0"/>
          <w:color w:val="auto"/>
          <w:kern w:val="0"/>
          <w:sz w:val="24"/>
          <w:highlight w:val="none"/>
        </w:rPr>
        <w:t>监理人未按合同约定派员参加试验和检验的，除监理人另有指示外，承包人可自行试验和检验，并应立即将试验和检验结果报送监理人，监理人应签字确认。</w:t>
      </w:r>
    </w:p>
    <w:p w14:paraId="12D16C1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14.1.4</w:t>
      </w:r>
      <w:r>
        <w:rPr>
          <w:rFonts w:hint="eastAsia"/>
          <w:snapToGrid w:val="0"/>
          <w:color w:val="auto"/>
          <w:kern w:val="0"/>
          <w:sz w:val="24"/>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72B743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2" w:name="_Toc11199798"/>
      <w:r>
        <w:rPr>
          <w:rFonts w:hint="eastAsia" w:eastAsia="华文中宋"/>
          <w:b/>
          <w:bCs/>
          <w:snapToGrid w:val="0"/>
          <w:color w:val="auto"/>
          <w:kern w:val="0"/>
          <w:sz w:val="24"/>
          <w:highlight w:val="none"/>
        </w:rPr>
        <w:t>14.2现场材料试验</w:t>
      </w:r>
      <w:bookmarkEnd w:id="252"/>
    </w:p>
    <w:p w14:paraId="2916982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14.2.1</w:t>
      </w:r>
      <w:r>
        <w:rPr>
          <w:rFonts w:hint="eastAsia"/>
          <w:snapToGrid w:val="0"/>
          <w:color w:val="auto"/>
          <w:kern w:val="0"/>
          <w:sz w:val="24"/>
          <w:highlight w:val="none"/>
        </w:rPr>
        <w:t>承包人根据合同约定或监理人指示进行的现场材料试验，应由承包人提供试验场所、试验人员、试验设备器材以及其他必要的试验条件。</w:t>
      </w:r>
    </w:p>
    <w:p w14:paraId="62D88991">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14.2.2</w:t>
      </w:r>
      <w:r>
        <w:rPr>
          <w:rFonts w:hint="eastAsia"/>
          <w:snapToGrid w:val="0"/>
          <w:color w:val="auto"/>
          <w:kern w:val="0"/>
          <w:sz w:val="24"/>
          <w:highlight w:val="none"/>
        </w:rPr>
        <w:t>监理人在必要时可以使用承包人的试验场所、试验设备器材以及其他试验条件，进行以工程质量检查为目的的复核性材料试验，承包人应予以协助。</w:t>
      </w:r>
    </w:p>
    <w:p w14:paraId="28225D0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3" w:name="_Toc11199799"/>
      <w:r>
        <w:rPr>
          <w:rFonts w:hint="eastAsia" w:eastAsia="华文中宋"/>
          <w:b/>
          <w:bCs/>
          <w:snapToGrid w:val="0"/>
          <w:color w:val="auto"/>
          <w:kern w:val="0"/>
          <w:sz w:val="24"/>
          <w:highlight w:val="none"/>
        </w:rPr>
        <w:t>14.3现场工艺试验</w:t>
      </w:r>
      <w:bookmarkEnd w:id="253"/>
    </w:p>
    <w:p w14:paraId="4956989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承包人应按合同约定或监理人指示进行现场工艺试验。对大型的现场工艺试验，监理人认为必要时，应由承包人根据监理人提出的工艺试验要求，编制工艺试验措施计划，报送监理人批准。</w:t>
      </w:r>
    </w:p>
    <w:p w14:paraId="1A28157F">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54" w:name="_Toc11199800"/>
      <w:r>
        <w:rPr>
          <w:rFonts w:hint="eastAsia" w:eastAsia="华文中宋"/>
          <w:b/>
          <w:bCs/>
          <w:snapToGrid w:val="0"/>
          <w:color w:val="auto"/>
          <w:kern w:val="0"/>
          <w:sz w:val="28"/>
          <w:szCs w:val="28"/>
          <w:highlight w:val="none"/>
        </w:rPr>
        <w:t>15.变更</w:t>
      </w:r>
      <w:bookmarkEnd w:id="254"/>
    </w:p>
    <w:p w14:paraId="0ECD77A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5" w:name="_Toc11199801"/>
      <w:r>
        <w:rPr>
          <w:rFonts w:hint="eastAsia" w:eastAsia="华文中宋"/>
          <w:b/>
          <w:bCs/>
          <w:snapToGrid w:val="0"/>
          <w:color w:val="auto"/>
          <w:kern w:val="0"/>
          <w:sz w:val="24"/>
          <w:highlight w:val="none"/>
        </w:rPr>
        <w:t>15.1变更权</w:t>
      </w:r>
      <w:bookmarkEnd w:id="255"/>
    </w:p>
    <w:p w14:paraId="7B74760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经发包人同意，监理人可按第15.3款约定的变更程序向承包人作出有关发包人要求改变的变更指示，承包人应遵照执行。变更应在相应内容实施前提出，否则发包人应承担承包人损失。没有监理人的变更指示，承包人不得擅自变更。</w:t>
      </w:r>
    </w:p>
    <w:p w14:paraId="3DE07FA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6" w:name="_Toc11199802"/>
      <w:r>
        <w:rPr>
          <w:rFonts w:hint="eastAsia" w:eastAsia="华文中宋"/>
          <w:b/>
          <w:bCs/>
          <w:snapToGrid w:val="0"/>
          <w:color w:val="auto"/>
          <w:kern w:val="0"/>
          <w:sz w:val="24"/>
          <w:highlight w:val="none"/>
        </w:rPr>
        <w:t>15.2承包人的合理化建议</w:t>
      </w:r>
      <w:bookmarkEnd w:id="256"/>
    </w:p>
    <w:p w14:paraId="688ECC0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15.2.1</w:t>
      </w:r>
      <w:r>
        <w:rPr>
          <w:rFonts w:hint="eastAsia"/>
          <w:snapToGrid w:val="0"/>
          <w:color w:val="auto"/>
          <w:kern w:val="0"/>
          <w:sz w:val="24"/>
          <w:highlight w:val="none"/>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14:paraId="493589D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15.2.2</w:t>
      </w:r>
      <w:r>
        <w:rPr>
          <w:rFonts w:hint="eastAsia"/>
          <w:snapToGrid w:val="0"/>
          <w:color w:val="auto"/>
          <w:kern w:val="0"/>
          <w:sz w:val="24"/>
          <w:highlight w:val="none"/>
        </w:rPr>
        <w:t>承包人提出的合理化建议降低了合同价格、缩短了工期或者提高了工程经济效益的，发包人可按国家有关规定在专用合同条款中约定给予奖励。</w:t>
      </w:r>
    </w:p>
    <w:p w14:paraId="25F52B5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7" w:name="_Toc11199803"/>
      <w:r>
        <w:rPr>
          <w:rFonts w:hint="eastAsia" w:eastAsia="华文中宋"/>
          <w:b/>
          <w:bCs/>
          <w:snapToGrid w:val="0"/>
          <w:color w:val="auto"/>
          <w:kern w:val="0"/>
          <w:sz w:val="24"/>
          <w:highlight w:val="none"/>
        </w:rPr>
        <w:t>15.3变更程序</w:t>
      </w:r>
      <w:bookmarkEnd w:id="257"/>
    </w:p>
    <w:p w14:paraId="498D3BB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15.3.1变更的提出</w:t>
      </w:r>
    </w:p>
    <w:p w14:paraId="4A39C14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项约定发出变更指示。</w:t>
      </w:r>
    </w:p>
    <w:p w14:paraId="24B80DF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天内作出变更指示。经研究后不同意作为变更的，应由监理人书面答复承包人。</w:t>
      </w:r>
    </w:p>
    <w:p w14:paraId="43FD9D4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（3）承包人收到监理人的变更意向书后认为难以实施此项变更的，应立即通知监理人，说明原因并附详细依据。监理人与承包人和发包人协商后确定撤销、改变或不改变原变更意向书。</w:t>
      </w:r>
    </w:p>
    <w:p w14:paraId="73872B4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15.3.2变更估价</w:t>
      </w:r>
    </w:p>
    <w:p w14:paraId="2394C42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监理人应按照第3.5款商定或确定变更价格。变更价格应包括合理的利润，并应考虑承包人根据第15.2款提出的合理化建议。</w:t>
      </w:r>
    </w:p>
    <w:p w14:paraId="1D36A36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15.3.3变更指示</w:t>
      </w:r>
    </w:p>
    <w:p w14:paraId="5428657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（1）变更指示只能由监理人发出。</w:t>
      </w:r>
    </w:p>
    <w:p w14:paraId="2CC94A0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（2）变更指示应说明变更的目的、范围、变更内容以及变更的工程量及其进度和技术要求，并附有关图纸和文件。承包人收到变更指示后，应按变更指示进行变更工作。</w:t>
      </w:r>
    </w:p>
    <w:p w14:paraId="412A4A3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8" w:name="_Toc11199804"/>
      <w:r>
        <w:rPr>
          <w:rFonts w:hint="eastAsia" w:eastAsia="华文中宋"/>
          <w:b/>
          <w:bCs/>
          <w:snapToGrid w:val="0"/>
          <w:color w:val="auto"/>
          <w:kern w:val="0"/>
          <w:sz w:val="24"/>
          <w:highlight w:val="none"/>
        </w:rPr>
        <w:t>15.4暂列金额</w:t>
      </w:r>
      <w:bookmarkEnd w:id="258"/>
    </w:p>
    <w:p w14:paraId="0E6EA92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经发包人同意，承包人可使用暂列金额，但应按照第15.6款规定的程序进行，并对合同价格进行相应调整。</w:t>
      </w:r>
    </w:p>
    <w:p w14:paraId="465C105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59" w:name="_Toc11199805"/>
      <w:r>
        <w:rPr>
          <w:rFonts w:hint="eastAsia" w:eastAsia="华文中宋"/>
          <w:b/>
          <w:bCs/>
          <w:snapToGrid w:val="0"/>
          <w:color w:val="auto"/>
          <w:kern w:val="0"/>
          <w:sz w:val="24"/>
          <w:highlight w:val="none"/>
        </w:rPr>
        <w:t>15.5计日工（A）</w:t>
      </w:r>
      <w:bookmarkEnd w:id="259"/>
    </w:p>
    <w:p w14:paraId="54EBA4E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15.5.1</w:t>
      </w:r>
      <w:r>
        <w:rPr>
          <w:rFonts w:hint="eastAsia"/>
          <w:snapToGrid w:val="0"/>
          <w:color w:val="auto"/>
          <w:kern w:val="0"/>
          <w:sz w:val="24"/>
          <w:highlight w:val="none"/>
        </w:rPr>
        <w:t>发包人认为有必要时，由监理人通知承包人以计日工方式实施变更的零星工作。其价款按列入合同中的计日工计价子目及其单价进行计算。</w:t>
      </w:r>
    </w:p>
    <w:p w14:paraId="6F22472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15.5.2</w:t>
      </w:r>
      <w:r>
        <w:rPr>
          <w:rFonts w:hint="eastAsia"/>
          <w:snapToGrid w:val="0"/>
          <w:color w:val="auto"/>
          <w:kern w:val="0"/>
          <w:sz w:val="24"/>
          <w:highlight w:val="none"/>
        </w:rPr>
        <w:t>采用计日工计价的任何一项变更工作，应从暂列金额中支付，承包人应在该项变更的实施过程中，每天提交以下报表和有关凭证报送监理人批准：</w:t>
      </w:r>
    </w:p>
    <w:p w14:paraId="11115C9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（1）工作名称、内容和数量；</w:t>
      </w:r>
    </w:p>
    <w:p w14:paraId="621A059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（2）投入该工作所有人员的姓名、专业/工种、级别和耗用工时；</w:t>
      </w:r>
    </w:p>
    <w:p w14:paraId="1B5457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（3）投入该工作的材料类别和数量；</w:t>
      </w:r>
    </w:p>
    <w:p w14:paraId="0D9C839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（4）投入该工作的施工设备型号、台数和耗用台时；</w:t>
      </w:r>
    </w:p>
    <w:p w14:paraId="4870E0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（5）监理人要求提交的其他资料和凭证。</w:t>
      </w:r>
    </w:p>
    <w:p w14:paraId="2D65E0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15.5.3</w:t>
      </w:r>
      <w:r>
        <w:rPr>
          <w:rFonts w:hint="eastAsia"/>
          <w:snapToGrid w:val="0"/>
          <w:color w:val="auto"/>
          <w:kern w:val="0"/>
          <w:sz w:val="24"/>
          <w:highlight w:val="none"/>
        </w:rPr>
        <w:t>计日工由承包人汇总后，按第17.3.3项的约定列入进度付款申请单，由监理人复核并经发包人同意后列入进度付款。</w:t>
      </w:r>
    </w:p>
    <w:p w14:paraId="3850ED4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0" w:name="_Toc11199806"/>
      <w:r>
        <w:rPr>
          <w:rFonts w:hint="eastAsia" w:eastAsia="华文中宋"/>
          <w:b/>
          <w:bCs/>
          <w:snapToGrid w:val="0"/>
          <w:color w:val="auto"/>
          <w:kern w:val="0"/>
          <w:sz w:val="24"/>
          <w:highlight w:val="none"/>
        </w:rPr>
        <w:t>15.5计日工（B）</w:t>
      </w:r>
      <w:bookmarkEnd w:id="260"/>
    </w:p>
    <w:p w14:paraId="13AA6F4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签约合同价包括计日工的，按合同约定进行支付。</w:t>
      </w:r>
    </w:p>
    <w:p w14:paraId="0C7B545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1" w:name="_Toc11199807"/>
      <w:r>
        <w:rPr>
          <w:rFonts w:hint="eastAsia" w:eastAsia="华文中宋"/>
          <w:b/>
          <w:bCs/>
          <w:snapToGrid w:val="0"/>
          <w:color w:val="auto"/>
          <w:kern w:val="0"/>
          <w:sz w:val="24"/>
          <w:highlight w:val="none"/>
        </w:rPr>
        <w:t>15.6暂估价（A）</w:t>
      </w:r>
      <w:bookmarkEnd w:id="261"/>
    </w:p>
    <w:p w14:paraId="725EDF1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15.6.1</w:t>
      </w:r>
      <w:r>
        <w:rPr>
          <w:rFonts w:hint="eastAsia"/>
          <w:snapToGrid w:val="0"/>
          <w:color w:val="auto"/>
          <w:kern w:val="0"/>
          <w:sz w:val="24"/>
          <w:highlight w:val="none"/>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费用列入合同价格。</w:t>
      </w:r>
    </w:p>
    <w:p w14:paraId="3CA0BD7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15.6.2</w:t>
      </w:r>
      <w:r>
        <w:rPr>
          <w:rFonts w:hint="eastAsia"/>
          <w:snapToGrid w:val="0"/>
          <w:color w:val="auto"/>
          <w:kern w:val="0"/>
          <w:sz w:val="24"/>
          <w:highlight w:val="none"/>
        </w:rPr>
        <w:t>发包人在价格清单中给定暂估价的专业服务、材料和工程设备不属于依法必须招标的范围或未达到规定的规模标准的，应由承包人按第6.1款的约定提供。经监理人确认的专业服务、材料、工程设备的价格与价格清单中所列的暂估价的金额差以及相应的税金等其他费用列入合同价格。</w:t>
      </w:r>
    </w:p>
    <w:p w14:paraId="7D911E8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15.6.3</w:t>
      </w:r>
      <w:r>
        <w:rPr>
          <w:rFonts w:hint="eastAsia"/>
          <w:snapToGrid w:val="0"/>
          <w:color w:val="auto"/>
          <w:kern w:val="0"/>
          <w:sz w:val="24"/>
          <w:highlight w:val="none"/>
        </w:rPr>
        <w:t>发包人在价格清单中给定暂估价的专业工程不属于依法必须招标的范围或未达到规定的规模标准的，由监理人按照第15.3.2项进行估价，但专用合同条款另有约定的除外。经估价的专业工程与价格清单中所列的暂估价的金额差以及相应的税金等其他费用列入合同价格。</w:t>
      </w:r>
    </w:p>
    <w:p w14:paraId="434CDF8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2" w:name="_Toc11199808"/>
      <w:r>
        <w:rPr>
          <w:rFonts w:hint="eastAsia" w:eastAsia="华文中宋"/>
          <w:b/>
          <w:bCs/>
          <w:snapToGrid w:val="0"/>
          <w:color w:val="auto"/>
          <w:kern w:val="0"/>
          <w:sz w:val="24"/>
          <w:highlight w:val="none"/>
        </w:rPr>
        <w:t>15.6暂估价（B）</w:t>
      </w:r>
      <w:bookmarkEnd w:id="262"/>
    </w:p>
    <w:p w14:paraId="7728512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签约合同价包括暂估价的，按合同约定进行支付。</w:t>
      </w:r>
    </w:p>
    <w:p w14:paraId="60BD27F7">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63" w:name="_Toc11199809"/>
      <w:r>
        <w:rPr>
          <w:rFonts w:hint="eastAsia" w:eastAsia="华文中宋"/>
          <w:b/>
          <w:bCs/>
          <w:snapToGrid w:val="0"/>
          <w:color w:val="auto"/>
          <w:kern w:val="0"/>
          <w:sz w:val="28"/>
          <w:szCs w:val="28"/>
          <w:highlight w:val="none"/>
        </w:rPr>
        <w:t>16.价格调整</w:t>
      </w:r>
      <w:bookmarkEnd w:id="263"/>
    </w:p>
    <w:p w14:paraId="53B32BE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4" w:name="_Toc11199810"/>
      <w:r>
        <w:rPr>
          <w:rFonts w:hint="eastAsia" w:eastAsia="华文中宋"/>
          <w:b/>
          <w:bCs/>
          <w:snapToGrid w:val="0"/>
          <w:color w:val="auto"/>
          <w:kern w:val="0"/>
          <w:sz w:val="24"/>
          <w:highlight w:val="none"/>
        </w:rPr>
        <w:t>16.1物价波动引起的调整（A）</w:t>
      </w:r>
      <w:bookmarkEnd w:id="264"/>
    </w:p>
    <w:p w14:paraId="1BA95DA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除专用合同条款另有约定外，因物价波动引起的价格调整按照本款约定处理。</w:t>
      </w:r>
    </w:p>
    <w:p w14:paraId="4B7B4DE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16.1.1</w:t>
      </w:r>
      <w:r>
        <w:rPr>
          <w:rFonts w:hint="eastAsia"/>
          <w:snapToGrid w:val="0"/>
          <w:color w:val="auto"/>
          <w:kern w:val="0"/>
          <w:sz w:val="24"/>
          <w:highlight w:val="none"/>
        </w:rPr>
        <w:t>采用价格指数调整价格差额（适用于投标函附录约定了价格指数和权重的）</w:t>
      </w:r>
    </w:p>
    <w:p w14:paraId="5468562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16.1.1.1价格调整公式</w:t>
      </w:r>
    </w:p>
    <w:p w14:paraId="41BE22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因人工、材料和设备等价格波动影响合同价格时，根据投标函附录中的价格指数和权重表约定的数据，按以下公式计算差额并调整合同价格。</w:t>
      </w:r>
    </w:p>
    <w:p w14:paraId="362D7802">
      <w:pPr>
        <w:widowControl w:val="0"/>
        <w:adjustRightInd w:val="0"/>
        <w:snapToGrid w:val="0"/>
        <w:ind w:firstLine="480" w:firstLineChars="200"/>
        <w:rPr>
          <w:snapToGrid w:val="0"/>
          <w:color w:val="auto"/>
          <w:kern w:val="0"/>
          <w:sz w:val="24"/>
          <w:szCs w:val="24"/>
          <w:highlight w:val="none"/>
        </w:rPr>
      </w:pPr>
      <w:r>
        <w:rPr>
          <w:color w:val="auto"/>
          <w:kern w:val="0"/>
          <w:sz w:val="24"/>
          <w:highlight w:val="none"/>
        </w:rPr>
        <w:drawing>
          <wp:inline distT="0" distB="0" distL="0" distR="0">
            <wp:extent cx="4568190" cy="556895"/>
            <wp:effectExtent l="0" t="0" r="3810" b="0"/>
            <wp:docPr id="13099974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9747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68190" cy="556895"/>
                    </a:xfrm>
                    <a:prstGeom prst="rect">
                      <a:avLst/>
                    </a:prstGeom>
                    <a:noFill/>
                    <a:ln>
                      <a:noFill/>
                    </a:ln>
                  </pic:spPr>
                </pic:pic>
              </a:graphicData>
            </a:graphic>
          </wp:inline>
        </w:drawing>
      </w:r>
    </w:p>
    <w:p w14:paraId="0961C76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式中：</w:t>
      </w:r>
    </w:p>
    <w:p w14:paraId="072BC31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△P—需调整的价格差额；</w:t>
      </w:r>
    </w:p>
    <w:p w14:paraId="34E808D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P</w:t>
      </w:r>
      <w:r>
        <w:rPr>
          <w:rFonts w:hint="eastAsia"/>
          <w:snapToGrid w:val="0"/>
          <w:color w:val="auto"/>
          <w:kern w:val="0"/>
          <w:sz w:val="24"/>
          <w:highlight w:val="none"/>
          <w:vertAlign w:val="subscript"/>
        </w:rPr>
        <w:t>0</w:t>
      </w:r>
      <w:r>
        <w:rPr>
          <w:rFonts w:hint="eastAsia"/>
          <w:snapToGrid w:val="0"/>
          <w:color w:val="auto"/>
          <w:kern w:val="0"/>
          <w:sz w:val="24"/>
          <w:highlight w:val="none"/>
        </w:rPr>
        <w:t>—第17.3.4项、第17.5.2项和第17.6.2项约定的付款证书中承包人应得到的已完成工作量的金额。此项金额应不包括价格调整、不计质量保证金的扣留和支付、预付款的支付和扣回。第15条约定的变更及其他金额已按当期价格计价的，也不计在内；</w:t>
      </w:r>
    </w:p>
    <w:p w14:paraId="44A734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A—定值权重（即不调部分的权重）；</w:t>
      </w:r>
    </w:p>
    <w:p w14:paraId="5D907F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B</w:t>
      </w:r>
      <w:r>
        <w:rPr>
          <w:rFonts w:hint="eastAsia"/>
          <w:snapToGrid w:val="0"/>
          <w:color w:val="auto"/>
          <w:kern w:val="0"/>
          <w:sz w:val="24"/>
          <w:highlight w:val="none"/>
          <w:vertAlign w:val="subscript"/>
        </w:rPr>
        <w:t>1</w:t>
      </w:r>
      <w:r>
        <w:rPr>
          <w:rFonts w:hint="eastAsia"/>
          <w:snapToGrid w:val="0"/>
          <w:color w:val="auto"/>
          <w:kern w:val="0"/>
          <w:sz w:val="24"/>
          <w:highlight w:val="none"/>
        </w:rPr>
        <w:t>；B</w:t>
      </w:r>
      <w:r>
        <w:rPr>
          <w:rFonts w:hint="eastAsia"/>
          <w:snapToGrid w:val="0"/>
          <w:color w:val="auto"/>
          <w:kern w:val="0"/>
          <w:sz w:val="24"/>
          <w:highlight w:val="none"/>
          <w:vertAlign w:val="subscript"/>
        </w:rPr>
        <w:t>2</w:t>
      </w:r>
      <w:r>
        <w:rPr>
          <w:rFonts w:hint="eastAsia"/>
          <w:snapToGrid w:val="0"/>
          <w:color w:val="auto"/>
          <w:kern w:val="0"/>
          <w:sz w:val="24"/>
          <w:highlight w:val="none"/>
        </w:rPr>
        <w:t>；B</w:t>
      </w:r>
      <w:r>
        <w:rPr>
          <w:rFonts w:hint="eastAsia"/>
          <w:snapToGrid w:val="0"/>
          <w:color w:val="auto"/>
          <w:kern w:val="0"/>
          <w:sz w:val="24"/>
          <w:highlight w:val="none"/>
          <w:vertAlign w:val="subscript"/>
        </w:rPr>
        <w:t>3</w:t>
      </w:r>
      <w:r>
        <w:rPr>
          <w:snapToGrid w:val="0"/>
          <w:color w:val="auto"/>
          <w:kern w:val="0"/>
          <w:sz w:val="24"/>
          <w:highlight w:val="none"/>
        </w:rPr>
        <w:t>……</w:t>
      </w:r>
      <w:r>
        <w:rPr>
          <w:rFonts w:hint="eastAsia"/>
          <w:snapToGrid w:val="0"/>
          <w:color w:val="auto"/>
          <w:kern w:val="0"/>
          <w:sz w:val="24"/>
          <w:highlight w:val="none"/>
        </w:rPr>
        <w:t>B</w:t>
      </w:r>
      <w:r>
        <w:rPr>
          <w:rFonts w:hint="eastAsia"/>
          <w:snapToGrid w:val="0"/>
          <w:color w:val="auto"/>
          <w:kern w:val="0"/>
          <w:sz w:val="24"/>
          <w:highlight w:val="none"/>
          <w:vertAlign w:val="subscript"/>
        </w:rPr>
        <w:t>n</w:t>
      </w:r>
      <w:r>
        <w:rPr>
          <w:rFonts w:hint="eastAsia"/>
          <w:snapToGrid w:val="0"/>
          <w:color w:val="auto"/>
          <w:kern w:val="0"/>
          <w:sz w:val="24"/>
          <w:highlight w:val="none"/>
        </w:rPr>
        <w:t>—各可调因子的变值权重（即可调部分的权重）为各可调因子在投标函投标总报价中所占的比例；</w:t>
      </w:r>
    </w:p>
    <w:p w14:paraId="0B7CB435">
      <w:pPr>
        <w:widowControl w:val="0"/>
        <w:adjustRightInd w:val="0"/>
        <w:snapToGrid w:val="0"/>
        <w:spacing w:line="300" w:lineRule="auto"/>
        <w:ind w:firstLine="480" w:firstLineChars="200"/>
        <w:rPr>
          <w:snapToGrid w:val="0"/>
          <w:color w:val="auto"/>
          <w:kern w:val="0"/>
          <w:sz w:val="24"/>
          <w:szCs w:val="24"/>
          <w:highlight w:val="none"/>
        </w:rPr>
      </w:pPr>
      <w:r>
        <w:rPr>
          <w:snapToGrid w:val="0"/>
          <w:color w:val="auto"/>
          <w:kern w:val="0"/>
          <w:sz w:val="24"/>
          <w:szCs w:val="24"/>
          <w:highlight w:val="none"/>
        </w:rPr>
        <w:t>F</w:t>
      </w:r>
      <w:r>
        <w:rPr>
          <w:snapToGrid w:val="0"/>
          <w:color w:val="auto"/>
          <w:kern w:val="0"/>
          <w:sz w:val="24"/>
          <w:szCs w:val="24"/>
          <w:highlight w:val="none"/>
          <w:vertAlign w:val="subscript"/>
        </w:rPr>
        <w:t>t1</w:t>
      </w:r>
      <w:r>
        <w:rPr>
          <w:snapToGrid w:val="0"/>
          <w:color w:val="auto"/>
          <w:kern w:val="0"/>
          <w:sz w:val="24"/>
          <w:szCs w:val="24"/>
          <w:highlight w:val="none"/>
        </w:rPr>
        <w:t>；F</w:t>
      </w:r>
      <w:r>
        <w:rPr>
          <w:snapToGrid w:val="0"/>
          <w:color w:val="auto"/>
          <w:kern w:val="0"/>
          <w:sz w:val="24"/>
          <w:szCs w:val="24"/>
          <w:highlight w:val="none"/>
          <w:vertAlign w:val="subscript"/>
        </w:rPr>
        <w:t>t2</w:t>
      </w:r>
      <w:r>
        <w:rPr>
          <w:snapToGrid w:val="0"/>
          <w:color w:val="auto"/>
          <w:kern w:val="0"/>
          <w:sz w:val="24"/>
          <w:szCs w:val="24"/>
          <w:highlight w:val="none"/>
        </w:rPr>
        <w:t>；F</w:t>
      </w:r>
      <w:r>
        <w:rPr>
          <w:snapToGrid w:val="0"/>
          <w:color w:val="auto"/>
          <w:kern w:val="0"/>
          <w:sz w:val="24"/>
          <w:szCs w:val="24"/>
          <w:highlight w:val="none"/>
          <w:vertAlign w:val="subscript"/>
        </w:rPr>
        <w:t>t3</w:t>
      </w:r>
      <w:r>
        <w:rPr>
          <w:snapToGrid w:val="0"/>
          <w:color w:val="auto"/>
          <w:kern w:val="0"/>
          <w:sz w:val="24"/>
          <w:szCs w:val="24"/>
          <w:highlight w:val="none"/>
        </w:rPr>
        <w:t>……F</w:t>
      </w:r>
      <w:r>
        <w:rPr>
          <w:snapToGrid w:val="0"/>
          <w:color w:val="auto"/>
          <w:kern w:val="0"/>
          <w:sz w:val="24"/>
          <w:szCs w:val="24"/>
          <w:highlight w:val="none"/>
          <w:vertAlign w:val="subscript"/>
        </w:rPr>
        <w:t>tn</w:t>
      </w:r>
      <w:r>
        <w:rPr>
          <w:snapToGrid w:val="0"/>
          <w:color w:val="auto"/>
          <w:kern w:val="0"/>
          <w:sz w:val="24"/>
          <w:szCs w:val="24"/>
          <w:highlight w:val="none"/>
        </w:rPr>
        <w:t>—各可调因子的当期价格指数，指第17.3.3项、第17.5.2项和第17.6.2项约定的付款证书相关周期最后一天的前42天的各可调因子的价格指数；</w:t>
      </w:r>
    </w:p>
    <w:p w14:paraId="4A1A06A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F</w:t>
      </w:r>
      <w:r>
        <w:rPr>
          <w:rFonts w:hint="eastAsia"/>
          <w:snapToGrid w:val="0"/>
          <w:color w:val="auto"/>
          <w:kern w:val="0"/>
          <w:sz w:val="24"/>
          <w:highlight w:val="none"/>
          <w:vertAlign w:val="subscript"/>
        </w:rPr>
        <w:t>01</w:t>
      </w:r>
      <w:r>
        <w:rPr>
          <w:rFonts w:hint="eastAsia"/>
          <w:snapToGrid w:val="0"/>
          <w:color w:val="auto"/>
          <w:kern w:val="0"/>
          <w:sz w:val="24"/>
          <w:highlight w:val="none"/>
        </w:rPr>
        <w:t>；F</w:t>
      </w:r>
      <w:r>
        <w:rPr>
          <w:rFonts w:hint="eastAsia"/>
          <w:snapToGrid w:val="0"/>
          <w:color w:val="auto"/>
          <w:kern w:val="0"/>
          <w:sz w:val="24"/>
          <w:highlight w:val="none"/>
          <w:vertAlign w:val="subscript"/>
        </w:rPr>
        <w:t>02</w:t>
      </w:r>
      <w:r>
        <w:rPr>
          <w:rFonts w:hint="eastAsia"/>
          <w:snapToGrid w:val="0"/>
          <w:color w:val="auto"/>
          <w:kern w:val="0"/>
          <w:sz w:val="24"/>
          <w:highlight w:val="none"/>
        </w:rPr>
        <w:t>；F</w:t>
      </w:r>
      <w:r>
        <w:rPr>
          <w:rFonts w:hint="eastAsia"/>
          <w:snapToGrid w:val="0"/>
          <w:color w:val="auto"/>
          <w:kern w:val="0"/>
          <w:sz w:val="24"/>
          <w:highlight w:val="none"/>
          <w:vertAlign w:val="subscript"/>
        </w:rPr>
        <w:t>03</w:t>
      </w:r>
      <w:r>
        <w:rPr>
          <w:snapToGrid w:val="0"/>
          <w:color w:val="auto"/>
          <w:kern w:val="0"/>
          <w:sz w:val="24"/>
          <w:highlight w:val="none"/>
        </w:rPr>
        <w:t>……</w:t>
      </w:r>
      <w:r>
        <w:rPr>
          <w:rFonts w:hint="eastAsia"/>
          <w:snapToGrid w:val="0"/>
          <w:color w:val="auto"/>
          <w:kern w:val="0"/>
          <w:sz w:val="24"/>
          <w:highlight w:val="none"/>
        </w:rPr>
        <w:t>F</w:t>
      </w:r>
      <w:r>
        <w:rPr>
          <w:rFonts w:hint="eastAsia"/>
          <w:snapToGrid w:val="0"/>
          <w:color w:val="auto"/>
          <w:kern w:val="0"/>
          <w:sz w:val="24"/>
          <w:highlight w:val="none"/>
          <w:vertAlign w:val="subscript"/>
        </w:rPr>
        <w:t>0n</w:t>
      </w:r>
      <w:r>
        <w:rPr>
          <w:rFonts w:hint="eastAsia"/>
          <w:snapToGrid w:val="0"/>
          <w:color w:val="auto"/>
          <w:kern w:val="0"/>
          <w:sz w:val="24"/>
          <w:highlight w:val="none"/>
        </w:rPr>
        <w:t>—各可调因子的基本价格指数，指基准日期的各可调因子的价格指数。</w:t>
      </w:r>
    </w:p>
    <w:p w14:paraId="637D433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5788E1C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16.1.1.2暂时确定调整差额</w:t>
      </w:r>
    </w:p>
    <w:p w14:paraId="3949B99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在计算调整差额时得不到当期价格指数的，可暂用上一次价格指数计算，并在以后的付款中再按实际价格指数进行调整。</w:t>
      </w:r>
    </w:p>
    <w:p w14:paraId="5C611E0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16.1.1.3权重的调整</w:t>
      </w:r>
    </w:p>
    <w:p w14:paraId="14CA0CC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按第15.1款约定的变更导致原定合同中的权重不合理的，由监理人与承包人和发包人协商后进行调整。</w:t>
      </w:r>
    </w:p>
    <w:p w14:paraId="2657CE2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16.1.1.4承包人引起的工期延误后的价格调整</w:t>
      </w:r>
    </w:p>
    <w:p w14:paraId="118DAFE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由于承包人原因未在约定的工期内竣工的，则对原约定竣工日期后继续施工的工程，在使用第16.1.1.1目价格调整公式时，应采用原约定竣工日期与实际竣工日期的两个价格指数中较低的一个作为当期价格指数。</w:t>
      </w:r>
    </w:p>
    <w:p w14:paraId="03A1E7B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16.1.1.5发包人引起的工期延误后的价格调整</w:t>
      </w:r>
    </w:p>
    <w:p w14:paraId="754242A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由于发包人原因未在约定的工期内竣工的，则对原约定竣工日期后继续施工的工程，在使用第16.1.1.1目价格调整公式时，应采用原约定竣工日期与实际竣工日期的两个价格指数中较高的一个作为当期价格指数。</w:t>
      </w:r>
    </w:p>
    <w:p w14:paraId="0A04A45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16.1.1</w:t>
      </w:r>
      <w:r>
        <w:rPr>
          <w:rFonts w:hint="eastAsia"/>
          <w:snapToGrid w:val="0"/>
          <w:color w:val="auto"/>
          <w:kern w:val="0"/>
          <w:sz w:val="24"/>
          <w:highlight w:val="none"/>
        </w:rPr>
        <w:t>采用造价信息调整价格差额（适用于投标函附录没有约定价格指数和权重的）</w:t>
      </w:r>
    </w:p>
    <w:p w14:paraId="6F22629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152C4C4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5" w:name="_Toc11199811"/>
      <w:r>
        <w:rPr>
          <w:rFonts w:hint="eastAsia" w:eastAsia="华文中宋"/>
          <w:b/>
          <w:bCs/>
          <w:snapToGrid w:val="0"/>
          <w:color w:val="auto"/>
          <w:kern w:val="0"/>
          <w:sz w:val="24"/>
          <w:highlight w:val="none"/>
        </w:rPr>
        <w:t>16.1物价波动引起的调整（B）</w:t>
      </w:r>
      <w:bookmarkEnd w:id="265"/>
    </w:p>
    <w:p w14:paraId="5F767C4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除法律规定或专用合同条款另有约定外，合同价格不因物价波动进行调整。</w:t>
      </w:r>
    </w:p>
    <w:p w14:paraId="5F8ABD1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6" w:name="_Toc11199812"/>
      <w:r>
        <w:rPr>
          <w:rFonts w:hint="eastAsia" w:eastAsia="华文中宋"/>
          <w:b/>
          <w:bCs/>
          <w:snapToGrid w:val="0"/>
          <w:color w:val="auto"/>
          <w:kern w:val="0"/>
          <w:sz w:val="24"/>
          <w:highlight w:val="none"/>
        </w:rPr>
        <w:t>16.2法律变化引起的调整</w:t>
      </w:r>
      <w:bookmarkEnd w:id="266"/>
    </w:p>
    <w:p w14:paraId="6885A4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在基准日后，因法律变化导致承包人在合同履行中所需费用发生除第16.1款约定以外的增减时，监理人应根据法律、国家或省、自治区、直辖市有关部门的规定，按第3.5款商定或确定需调整的合同价格。</w:t>
      </w:r>
    </w:p>
    <w:p w14:paraId="6A0B61F4">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67" w:name="_Toc11199813"/>
      <w:r>
        <w:rPr>
          <w:rFonts w:hint="eastAsia" w:eastAsia="华文中宋"/>
          <w:b/>
          <w:bCs/>
          <w:snapToGrid w:val="0"/>
          <w:color w:val="auto"/>
          <w:kern w:val="0"/>
          <w:sz w:val="28"/>
          <w:szCs w:val="28"/>
          <w:highlight w:val="none"/>
        </w:rPr>
        <w:t>17.合同价格与支付</w:t>
      </w:r>
      <w:bookmarkEnd w:id="267"/>
    </w:p>
    <w:p w14:paraId="51B9B71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8" w:name="_Toc11199814"/>
      <w:r>
        <w:rPr>
          <w:rFonts w:hint="eastAsia" w:eastAsia="华文中宋"/>
          <w:b/>
          <w:bCs/>
          <w:snapToGrid w:val="0"/>
          <w:color w:val="auto"/>
          <w:kern w:val="0"/>
          <w:sz w:val="24"/>
          <w:highlight w:val="none"/>
        </w:rPr>
        <w:t>17.1合同价格</w:t>
      </w:r>
      <w:bookmarkEnd w:id="268"/>
    </w:p>
    <w:p w14:paraId="5CB0D07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w:t>
      </w:r>
    </w:p>
    <w:p w14:paraId="0639E4B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（1）合同价格包括签约合同价以及按照合同约定进行的调整；</w:t>
      </w:r>
    </w:p>
    <w:p w14:paraId="7607C32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（2）合同价格包括承包人依据法律规定或合同约定应支付的规费和税金；</w:t>
      </w:r>
    </w:p>
    <w:p w14:paraId="22D783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0EAB2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合同约定工程的某部分按照实际完成的工程量进行支付的，应按照专用合同条款的约定进行计量和估价，并据此调整合同价格。</w:t>
      </w:r>
    </w:p>
    <w:p w14:paraId="06CE534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69" w:name="_Toc11199815"/>
      <w:r>
        <w:rPr>
          <w:rFonts w:hint="eastAsia" w:eastAsia="华文中宋"/>
          <w:b/>
          <w:bCs/>
          <w:snapToGrid w:val="0"/>
          <w:color w:val="auto"/>
          <w:kern w:val="0"/>
          <w:sz w:val="24"/>
          <w:highlight w:val="none"/>
        </w:rPr>
        <w:t>17.2预付款</w:t>
      </w:r>
      <w:bookmarkEnd w:id="269"/>
    </w:p>
    <w:p w14:paraId="345CC96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17.2.1预付款</w:t>
      </w:r>
    </w:p>
    <w:p w14:paraId="66A6E6E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14:paraId="2BF61DF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17.2.2预付款保函</w:t>
      </w:r>
    </w:p>
    <w:p w14:paraId="1BE9517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60E74B4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17.2.3预付款的扣回与还清</w:t>
      </w:r>
    </w:p>
    <w:p w14:paraId="243F9EB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37B9782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0" w:name="_Toc11199816"/>
      <w:r>
        <w:rPr>
          <w:rFonts w:hint="eastAsia" w:eastAsia="华文中宋"/>
          <w:b/>
          <w:bCs/>
          <w:snapToGrid w:val="0"/>
          <w:color w:val="auto"/>
          <w:kern w:val="0"/>
          <w:sz w:val="24"/>
          <w:highlight w:val="none"/>
        </w:rPr>
        <w:t>17.3工程进度付款</w:t>
      </w:r>
      <w:bookmarkEnd w:id="270"/>
    </w:p>
    <w:p w14:paraId="614237B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17.3.1付款时间</w:t>
      </w:r>
    </w:p>
    <w:p w14:paraId="445F79D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除专用合同条款另有约定外，工程进度付款按月支付。</w:t>
      </w:r>
    </w:p>
    <w:p w14:paraId="1DD2D0B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17.3.2支付分解表</w:t>
      </w:r>
    </w:p>
    <w:p w14:paraId="3B9E475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除专用合同条款另有约定外，承包人应根据价格清单的价格构成、费用性质、计划发生时间和相应工作量等因素，按照以下分类和分解原则，结合第4.12.1项约定的合同进度计划，汇总形成月度支付分解报告。</w:t>
      </w:r>
    </w:p>
    <w:p w14:paraId="4222967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（1）勘察设计费。按照提供勘察设计阶段性成果文件的时间、对应的工作量进行分解。</w:t>
      </w:r>
    </w:p>
    <w:p w14:paraId="43F2206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（2）材料和工程设备费。分别按订立采购合同、进场验收合格、安装就位、工程竣工等阶段和专用条款约定的比例进行分解。</w:t>
      </w:r>
    </w:p>
    <w:p w14:paraId="3AD0ECF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（3）技术服务培训费。按照价格清单中的单价，结合第4.12.1项约定的合同进度计划对应的工作量进行分解。</w:t>
      </w:r>
    </w:p>
    <w:p w14:paraId="7C1FEE1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（4）其他工程价款。除第17.1款约定按已完成工程量计量支付的工程价款外，按照价格清单中的价格，结合第4.12.1项约定的合同进度计划拟完成的工程量或者比例进行分解。</w:t>
      </w:r>
    </w:p>
    <w:p w14:paraId="6FFDB5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73357F52">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17.3.3进度付款申请单</w:t>
      </w:r>
    </w:p>
    <w:p w14:paraId="66626FF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14:paraId="696F18D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（1）当期应支付金额总额，以及截至当期期末累计应支付金额总额、已支付的进度付款金额总额；</w:t>
      </w:r>
    </w:p>
    <w:p w14:paraId="661911C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（2）当期根据支付分解表应支付金额，以及截至当期期末累计应支付金额；</w:t>
      </w:r>
    </w:p>
    <w:p w14:paraId="6ACCBE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（3）当期根据第17.1款约定计量的已实施工程应支付金额，以及截至当期期末累计应支付金额；</w:t>
      </w:r>
    </w:p>
    <w:p w14:paraId="4BB7730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（4）当期根据第15条应增加和扣减的变更金额，以及截至当期期末累计变更金额；</w:t>
      </w:r>
    </w:p>
    <w:p w14:paraId="57C4AFC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（5）当期根据第23条应增加和扣减的索赔金额，以及截至当期期末累计索赔金额；</w:t>
      </w:r>
    </w:p>
    <w:p w14:paraId="2F9856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（6）当期根据第17.2款约定应支付的预付款和扣减的返还预付款金额，以及截至当期期末累计返还预付款金额；</w:t>
      </w:r>
    </w:p>
    <w:p w14:paraId="022D455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（7）当期根据第17.4.1项约定应扣减的质量保证金金额，以及截至当期期末累计扣减的质量保证金金额；</w:t>
      </w:r>
    </w:p>
    <w:p w14:paraId="1DC9350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（8）当期根据合同应增加和扣减的其他金额，以及截至当期期末累计增加和扣减的金额。</w:t>
      </w:r>
    </w:p>
    <w:p w14:paraId="4B03358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17.3.4进度付款证书和支付时间</w:t>
      </w:r>
    </w:p>
    <w:p w14:paraId="5528E4B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1CDC14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最迟应在监理人收到进度付款申请单后的28天内，将进度应付款支付给承包人。发包人未能在前述时间内完成审批或不予答复的，视为发包人同意进度付款申请。发包人不按期支付的，按专用合同条款的约定支付逾期付款违约金。</w:t>
      </w:r>
    </w:p>
    <w:p w14:paraId="41FA3E6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（3）监理人出具进度付款证书，不应视为监理人已同意、批准或接受了承包人完成的该部分工作。</w:t>
      </w:r>
    </w:p>
    <w:p w14:paraId="383966D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（4）进度付款涉及政府投资资金的，按照国库集中支付等国家相关规定和专用合同条款的约定执行。</w:t>
      </w:r>
    </w:p>
    <w:p w14:paraId="0D2B030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17.3.5工程进度付款的修正</w:t>
      </w:r>
    </w:p>
    <w:p w14:paraId="461FCA8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14:paraId="4CA8A21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1" w:name="_Toc11199817"/>
      <w:r>
        <w:rPr>
          <w:rFonts w:hint="eastAsia" w:eastAsia="华文中宋"/>
          <w:b/>
          <w:bCs/>
          <w:snapToGrid w:val="0"/>
          <w:color w:val="auto"/>
          <w:kern w:val="0"/>
          <w:sz w:val="24"/>
          <w:highlight w:val="none"/>
        </w:rPr>
        <w:t>17.4质量保证金</w:t>
      </w:r>
      <w:bookmarkEnd w:id="271"/>
    </w:p>
    <w:p w14:paraId="7C5EFD0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17.4.1</w:t>
      </w:r>
      <w:r>
        <w:rPr>
          <w:rFonts w:hint="eastAsia"/>
          <w:snapToGrid w:val="0"/>
          <w:color w:val="auto"/>
          <w:kern w:val="0"/>
          <w:sz w:val="24"/>
          <w:highlight w:val="none"/>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631F04D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17.4.2</w:t>
      </w:r>
      <w:r>
        <w:rPr>
          <w:rFonts w:hint="eastAsia"/>
          <w:snapToGrid w:val="0"/>
          <w:color w:val="auto"/>
          <w:kern w:val="0"/>
          <w:sz w:val="24"/>
          <w:highlight w:val="none"/>
        </w:rPr>
        <w:t>在第1.1.4.5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38095E3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17.4.3</w:t>
      </w:r>
      <w:r>
        <w:rPr>
          <w:rFonts w:hint="eastAsia"/>
          <w:snapToGrid w:val="0"/>
          <w:color w:val="auto"/>
          <w:kern w:val="0"/>
          <w:sz w:val="24"/>
          <w:highlight w:val="none"/>
        </w:rPr>
        <w:t>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5A70EB2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2" w:name="_Toc11199818"/>
      <w:r>
        <w:rPr>
          <w:rFonts w:hint="eastAsia" w:eastAsia="华文中宋"/>
          <w:b/>
          <w:bCs/>
          <w:snapToGrid w:val="0"/>
          <w:color w:val="auto"/>
          <w:kern w:val="0"/>
          <w:sz w:val="24"/>
          <w:highlight w:val="none"/>
        </w:rPr>
        <w:t>17.5竣工结算</w:t>
      </w:r>
      <w:bookmarkEnd w:id="272"/>
    </w:p>
    <w:p w14:paraId="38F927D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17.5.1竣工付款申请单</w:t>
      </w:r>
    </w:p>
    <w:p w14:paraId="4979DDD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34125B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（2）监理人对竣工付款申请单有异议的，有权要求承包人进行修正和提供补充资料。经监理人和承包人协商后，由承包人向监理人提交修正后的竣工付款申请单。</w:t>
      </w:r>
    </w:p>
    <w:p w14:paraId="555029A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17.5.2竣工付款证书及支付时间</w:t>
      </w:r>
    </w:p>
    <w:p w14:paraId="7F59EB0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3799D70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（2）发包人应在监理人出具竣工付款证书后的14天内，将应支付款支付给承包人。发包人不按期支付的，按第17.3.4（2）目的约定，将逾期付款违约金支付给承包人。</w:t>
      </w:r>
    </w:p>
    <w:p w14:paraId="23DA70E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（3）承包人对发包人签认的竣工付款证书有异议的，发包人可出具竣工付款申请单中承包人已同意部分的临时付款证书。存在争议的部分，按第24条的约定执行。</w:t>
      </w:r>
    </w:p>
    <w:p w14:paraId="0E2AD7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（4）竣工付款涉及政府投资资金的，按第17.3.4（4）目的约定执行。</w:t>
      </w:r>
    </w:p>
    <w:p w14:paraId="1C9E7FA0">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3" w:name="_Toc11199819"/>
      <w:r>
        <w:rPr>
          <w:rFonts w:hint="eastAsia" w:eastAsia="华文中宋"/>
          <w:b/>
          <w:bCs/>
          <w:snapToGrid w:val="0"/>
          <w:color w:val="auto"/>
          <w:kern w:val="0"/>
          <w:sz w:val="24"/>
          <w:highlight w:val="none"/>
        </w:rPr>
        <w:t>17.6最终结清</w:t>
      </w:r>
      <w:bookmarkEnd w:id="273"/>
    </w:p>
    <w:p w14:paraId="0792CB9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17.6.1最终结清申请单</w:t>
      </w:r>
    </w:p>
    <w:p w14:paraId="2598DE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（1）缺陷责任期终止证书签发后，承包人可按专用合同条款约定的份数和期限向监理人提交最终结清申请单，并提供相关证明材料。</w:t>
      </w:r>
    </w:p>
    <w:p w14:paraId="7494511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（2）发包人对最终结清申请单内容有异议的，有权要求承包人进行修正和提供补充资料，由承包人向监理人提交修正后的最终结清申请单。</w:t>
      </w:r>
    </w:p>
    <w:p w14:paraId="78F8A10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17.6.2最终结清证书和支付时间</w:t>
      </w:r>
    </w:p>
    <w:p w14:paraId="754634C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216388C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（2）发包人应在监理人出具最终结清证书后的14天内，将应支付款支付给承包人。</w:t>
      </w:r>
    </w:p>
    <w:p w14:paraId="028386C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发包人不按期支付的，按第17.3.4（2）目的约定，将逾期付款违约金支付给承包人。</w:t>
      </w:r>
    </w:p>
    <w:p w14:paraId="0AD6282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（3）承包人对发包人签认的最终结清证书有异议的，按第24条的约定执行。</w:t>
      </w:r>
    </w:p>
    <w:p w14:paraId="54CF52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（4）最终结清付款涉及政府投资资金的，按第17.3.4（4）目的约定执行。</w:t>
      </w:r>
    </w:p>
    <w:p w14:paraId="30949D7E">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74" w:name="_Toc11199820"/>
      <w:r>
        <w:rPr>
          <w:rFonts w:hint="eastAsia" w:eastAsia="华文中宋"/>
          <w:b/>
          <w:bCs/>
          <w:snapToGrid w:val="0"/>
          <w:color w:val="auto"/>
          <w:kern w:val="0"/>
          <w:sz w:val="28"/>
          <w:szCs w:val="28"/>
          <w:highlight w:val="none"/>
        </w:rPr>
        <w:t>18.竣工试验和竣工验收</w:t>
      </w:r>
      <w:bookmarkEnd w:id="274"/>
    </w:p>
    <w:p w14:paraId="506AB34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5" w:name="_Toc11199821"/>
      <w:r>
        <w:rPr>
          <w:rFonts w:hint="eastAsia" w:eastAsia="华文中宋"/>
          <w:b/>
          <w:bCs/>
          <w:snapToGrid w:val="0"/>
          <w:color w:val="auto"/>
          <w:kern w:val="0"/>
          <w:sz w:val="24"/>
          <w:highlight w:val="none"/>
        </w:rPr>
        <w:t>18.1竣工试验</w:t>
      </w:r>
      <w:bookmarkEnd w:id="275"/>
    </w:p>
    <w:p w14:paraId="286D8A9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18.1.1</w:t>
      </w:r>
      <w:r>
        <w:rPr>
          <w:rFonts w:hint="eastAsia"/>
          <w:snapToGrid w:val="0"/>
          <w:color w:val="auto"/>
          <w:kern w:val="0"/>
          <w:sz w:val="24"/>
          <w:highlight w:val="none"/>
        </w:rPr>
        <w:t>承包人按照第5.5款和第5.6款提交文件后，进行竣工试验。</w:t>
      </w:r>
    </w:p>
    <w:p w14:paraId="0D6A4867">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18.1.2</w:t>
      </w:r>
      <w:r>
        <w:rPr>
          <w:rFonts w:hint="eastAsia"/>
          <w:snapToGrid w:val="0"/>
          <w:color w:val="auto"/>
          <w:kern w:val="0"/>
          <w:sz w:val="24"/>
          <w:highlight w:val="none"/>
        </w:rPr>
        <w:t>承包人应提前21天将可以开始进行竣工试验的日期通知监理人，监理人应在该日期后14天内，确定竣工试验具体时间。除专用合同条款中另有约定外，竣工试验应按下述顺序进行：</w:t>
      </w:r>
    </w:p>
    <w:p w14:paraId="41685BD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（1）第一阶段，承包人进行适当的检查和功能性试验，保证每一项工程设备都满足合同要求，并能安全地进入下一阶段试验;</w:t>
      </w:r>
    </w:p>
    <w:p w14:paraId="45C5352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（2）第二阶段，承包人进行试验，保证工程或区段工程满足合同要求，在所有可利用的操作条件下安全运行；</w:t>
      </w:r>
    </w:p>
    <w:p w14:paraId="39949F5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（3）第三阶段，当工程能安全运行时，承包人应通知监理人，可以进行其他竣工试验，包括各种性能测试，以证明工程符合发包人要求中列明的性能保证指标。</w:t>
      </w:r>
    </w:p>
    <w:p w14:paraId="15B095D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18.1.3</w:t>
      </w:r>
      <w:r>
        <w:rPr>
          <w:rFonts w:hint="eastAsia"/>
          <w:snapToGrid w:val="0"/>
          <w:color w:val="auto"/>
          <w:kern w:val="0"/>
          <w:sz w:val="24"/>
          <w:highlight w:val="none"/>
        </w:rPr>
        <w:t>承包人应按合同约定进行工程及工程设备试运行。试运行所需人员、设备、材料、燃料、电力、消耗品、工具等必要的条件以及试运行费用等由专用合同条款规定。</w:t>
      </w:r>
    </w:p>
    <w:p w14:paraId="3271CB93">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18.1.4</w:t>
      </w:r>
      <w:r>
        <w:rPr>
          <w:rFonts w:hint="eastAsia"/>
          <w:snapToGrid w:val="0"/>
          <w:color w:val="auto"/>
          <w:kern w:val="0"/>
          <w:sz w:val="24"/>
          <w:highlight w:val="none"/>
        </w:rPr>
        <w:t>某项竣工试验未能通过的，承包人应按照监理人的指示限期改正，并承担合同约定的相应责任。</w:t>
      </w:r>
    </w:p>
    <w:p w14:paraId="529B982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6" w:name="_Toc11199822"/>
      <w:r>
        <w:rPr>
          <w:rFonts w:hint="eastAsia" w:eastAsia="华文中宋"/>
          <w:b/>
          <w:bCs/>
          <w:snapToGrid w:val="0"/>
          <w:color w:val="auto"/>
          <w:kern w:val="0"/>
          <w:sz w:val="24"/>
          <w:highlight w:val="none"/>
        </w:rPr>
        <w:t>18.2竣工验收申请报告</w:t>
      </w:r>
      <w:bookmarkEnd w:id="276"/>
    </w:p>
    <w:p w14:paraId="3628CA2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当工程具备以下条件时，承包人即可向监理人报送竣工验收申请报告：</w:t>
      </w:r>
    </w:p>
    <w:p w14:paraId="55E077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（1）除监理人同意列入缺陷责任期内完成的尾工（甩项）工程和缺陷修补工作外，合同范围内的全部区段工程以及有关工作，包括合同要求的试验和竣工试验均已完成，并符合合同要求；</w:t>
      </w:r>
    </w:p>
    <w:p w14:paraId="1F4FF6E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（2）已按合同约定的内容和份数备齐了符合要求的竣工文件；</w:t>
      </w:r>
    </w:p>
    <w:p w14:paraId="59C0377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（3）已按监理人的要求编制了在缺陷责任期内完成的尾工（甩项）工程和缺陷修补工作清单以及相应施工计划；</w:t>
      </w:r>
    </w:p>
    <w:p w14:paraId="3E1C9C8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（4）监理人要求在竣工验收前应完成的其他工作；</w:t>
      </w:r>
    </w:p>
    <w:p w14:paraId="6AACFD9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（5）监理人要求提交的竣工验收资料清单。</w:t>
      </w:r>
    </w:p>
    <w:p w14:paraId="098A80C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7" w:name="_Toc11199823"/>
      <w:r>
        <w:rPr>
          <w:rFonts w:hint="eastAsia" w:eastAsia="华文中宋"/>
          <w:b/>
          <w:bCs/>
          <w:snapToGrid w:val="0"/>
          <w:color w:val="auto"/>
          <w:kern w:val="0"/>
          <w:sz w:val="24"/>
          <w:highlight w:val="none"/>
        </w:rPr>
        <w:t>18.3竣工验收</w:t>
      </w:r>
      <w:bookmarkEnd w:id="277"/>
    </w:p>
    <w:p w14:paraId="217BE9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监理人收到承包人按第18.2款约定提交的竣工验收申请报告后，应审查申请报告的各项内容，并按以下不同情况进行处理。</w:t>
      </w:r>
    </w:p>
    <w:p w14:paraId="29B01F9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18.3.1</w:t>
      </w:r>
      <w:r>
        <w:rPr>
          <w:rFonts w:hint="eastAsia"/>
          <w:snapToGrid w:val="0"/>
          <w:color w:val="auto"/>
          <w:kern w:val="0"/>
          <w:sz w:val="24"/>
          <w:highlight w:val="none"/>
        </w:rPr>
        <w:t>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64B9519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18.3.2</w:t>
      </w:r>
      <w:r>
        <w:rPr>
          <w:rFonts w:hint="eastAsia"/>
          <w:snapToGrid w:val="0"/>
          <w:color w:val="auto"/>
          <w:kern w:val="0"/>
          <w:sz w:val="24"/>
          <w:highlight w:val="none"/>
        </w:rPr>
        <w:t>监理人同意承包人提交的竣工验收申请报告的，应在收到该竣工验收申请报告后的28天内提请发包人进行工程验收。</w:t>
      </w:r>
    </w:p>
    <w:p w14:paraId="347C680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18.3.3</w:t>
      </w:r>
      <w:r>
        <w:rPr>
          <w:rFonts w:hint="eastAsia"/>
          <w:snapToGrid w:val="0"/>
          <w:color w:val="auto"/>
          <w:kern w:val="0"/>
          <w:sz w:val="24"/>
          <w:highlight w:val="none"/>
        </w:rPr>
        <w:t>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23B06BC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18.3.4</w:t>
      </w:r>
      <w:r>
        <w:rPr>
          <w:rFonts w:hint="eastAsia"/>
          <w:snapToGrid w:val="0"/>
          <w:color w:val="auto"/>
          <w:kern w:val="0"/>
          <w:sz w:val="24"/>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4224705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18.3.5</w:t>
      </w:r>
      <w:r>
        <w:rPr>
          <w:rFonts w:hint="eastAsia"/>
          <w:snapToGrid w:val="0"/>
          <w:color w:val="auto"/>
          <w:kern w:val="0"/>
          <w:sz w:val="24"/>
          <w:highlight w:val="none"/>
        </w:rPr>
        <w:t>除专用合同条款另有约定外，经验收合格工程的实际竣工日期，以提交竣工验收申请报告的日期为准，并在工程接收证书中写明。</w:t>
      </w:r>
    </w:p>
    <w:p w14:paraId="0AF67D6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18.3.6</w:t>
      </w:r>
      <w:r>
        <w:rPr>
          <w:rFonts w:hint="eastAsia"/>
          <w:snapToGrid w:val="0"/>
          <w:color w:val="auto"/>
          <w:kern w:val="0"/>
          <w:sz w:val="24"/>
          <w:highlight w:val="none"/>
        </w:rPr>
        <w:t>发包人在收到承包人竣工验收申请报告56天后未进行验收的，视为验收合格，实际竣工日期以提交竣工验收申请报告的日期为准，但发包人由于不可抗力不能进行验收的除外。</w:t>
      </w:r>
    </w:p>
    <w:p w14:paraId="2D36341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8" w:name="_Toc11199824"/>
      <w:r>
        <w:rPr>
          <w:rFonts w:hint="eastAsia" w:eastAsia="华文中宋"/>
          <w:b/>
          <w:bCs/>
          <w:snapToGrid w:val="0"/>
          <w:color w:val="auto"/>
          <w:kern w:val="0"/>
          <w:sz w:val="24"/>
          <w:highlight w:val="none"/>
        </w:rPr>
        <w:t>18.4国家验收</w:t>
      </w:r>
      <w:bookmarkEnd w:id="278"/>
    </w:p>
    <w:p w14:paraId="1379DF8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14:paraId="4581113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79" w:name="_Toc11199825"/>
      <w:r>
        <w:rPr>
          <w:rFonts w:hint="eastAsia" w:eastAsia="华文中宋"/>
          <w:b/>
          <w:bCs/>
          <w:snapToGrid w:val="0"/>
          <w:color w:val="auto"/>
          <w:kern w:val="0"/>
          <w:sz w:val="24"/>
          <w:highlight w:val="none"/>
        </w:rPr>
        <w:t>18.5区段工程验收</w:t>
      </w:r>
      <w:bookmarkEnd w:id="279"/>
    </w:p>
    <w:p w14:paraId="037E364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18.5.1</w:t>
      </w:r>
      <w:r>
        <w:rPr>
          <w:rFonts w:hint="eastAsia"/>
          <w:snapToGrid w:val="0"/>
          <w:color w:val="auto"/>
          <w:kern w:val="0"/>
          <w:sz w:val="24"/>
          <w:highlight w:val="none"/>
        </w:rPr>
        <w:t>发包人根据合同进度计划安排，在全部工程竣工前需要使用已经竣工的区段工程时，或承包人提出经发包人同意时，可进行区段工程验收。验收的程序可参照第18.2款与第18.3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1BF5570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18.5.2</w:t>
      </w:r>
      <w:r>
        <w:rPr>
          <w:rFonts w:hint="eastAsia"/>
          <w:snapToGrid w:val="0"/>
          <w:color w:val="auto"/>
          <w:kern w:val="0"/>
          <w:sz w:val="24"/>
          <w:highlight w:val="none"/>
        </w:rPr>
        <w:t>发包人在全部工程竣工前，使用已接收的区段工程导致承包人费用增加的，发包人应承担由此增加的费用和（或）工期延误，并支付承包人合理利润。</w:t>
      </w:r>
    </w:p>
    <w:p w14:paraId="2E1960F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0" w:name="_Toc11199826"/>
      <w:r>
        <w:rPr>
          <w:rFonts w:hint="eastAsia" w:eastAsia="华文中宋"/>
          <w:b/>
          <w:bCs/>
          <w:snapToGrid w:val="0"/>
          <w:color w:val="auto"/>
          <w:kern w:val="0"/>
          <w:sz w:val="24"/>
          <w:highlight w:val="none"/>
        </w:rPr>
        <w:t>18.6施工期运行</w:t>
      </w:r>
      <w:bookmarkEnd w:id="280"/>
    </w:p>
    <w:p w14:paraId="1EA9DC5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18.6.1</w:t>
      </w:r>
      <w:r>
        <w:rPr>
          <w:rFonts w:hint="eastAsia"/>
          <w:snapToGrid w:val="0"/>
          <w:color w:val="auto"/>
          <w:kern w:val="0"/>
          <w:sz w:val="24"/>
          <w:highlight w:val="none"/>
        </w:rPr>
        <w:t>施工期运行是指合同工程尚未全部竣工，其中某项或某几项区段工程或工程设备安装已竣工，根据专用合同条款约定，需要投入施工期运行的，经发包人按第18.5款的约定验收合格，证明能确保安全后，才能在施工期投入运行。</w:t>
      </w:r>
    </w:p>
    <w:p w14:paraId="7577C68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18.6.2</w:t>
      </w:r>
      <w:r>
        <w:rPr>
          <w:rFonts w:hint="eastAsia"/>
          <w:snapToGrid w:val="0"/>
          <w:color w:val="auto"/>
          <w:kern w:val="0"/>
          <w:sz w:val="24"/>
          <w:highlight w:val="none"/>
        </w:rPr>
        <w:t>在施工期运行中发现工程或工程设备损坏或存在缺陷的，由承包人按第19.2款约定进行修复。</w:t>
      </w:r>
    </w:p>
    <w:p w14:paraId="0F092F9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1" w:name="_Toc11199827"/>
      <w:r>
        <w:rPr>
          <w:rFonts w:hint="eastAsia" w:eastAsia="华文中宋"/>
          <w:b/>
          <w:bCs/>
          <w:snapToGrid w:val="0"/>
          <w:color w:val="auto"/>
          <w:kern w:val="0"/>
          <w:sz w:val="24"/>
          <w:highlight w:val="none"/>
        </w:rPr>
        <w:t>18.7竣工清场</w:t>
      </w:r>
      <w:bookmarkEnd w:id="281"/>
    </w:p>
    <w:p w14:paraId="6E72C2C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18.7.1</w:t>
      </w:r>
      <w:r>
        <w:rPr>
          <w:rFonts w:hint="eastAsia"/>
          <w:snapToGrid w:val="0"/>
          <w:color w:val="auto"/>
          <w:kern w:val="0"/>
          <w:sz w:val="24"/>
          <w:highlight w:val="none"/>
        </w:rPr>
        <w:t>除合同另有约定外，工程接收证书颁发后，承包人应按以下要求对施工场地进行清理，直至监理人检验合格为止。竣工清场费用由承包人承担。</w:t>
      </w:r>
    </w:p>
    <w:p w14:paraId="43A7958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（1）施工场地内残留的垃圾已全部清除出场；</w:t>
      </w:r>
    </w:p>
    <w:p w14:paraId="0F2117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（2）临时工程已拆除，场地已按合同要求进行清理、平整或复原；</w:t>
      </w:r>
    </w:p>
    <w:p w14:paraId="039D6AB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（3）按合同约定应撤离的承包人设备和剩余的材料，包括废弃的施工设备和材料，已按计划撤离施工场地；</w:t>
      </w:r>
    </w:p>
    <w:p w14:paraId="49143B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（4）工程建筑物周边及其附近道路、河道的施工堆积物，已按监理人指示全部清理；</w:t>
      </w:r>
    </w:p>
    <w:p w14:paraId="283DBC8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（5）监理人指示的其他场地清理工作已全部完成。</w:t>
      </w:r>
    </w:p>
    <w:p w14:paraId="63778B1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18.7.2</w:t>
      </w:r>
      <w:r>
        <w:rPr>
          <w:rFonts w:hint="eastAsia"/>
          <w:snapToGrid w:val="0"/>
          <w:color w:val="auto"/>
          <w:kern w:val="0"/>
          <w:sz w:val="24"/>
          <w:highlight w:val="none"/>
        </w:rPr>
        <w:t>承包人未按监理人的要求恢复临时占地，或者场地清理未达到合同约定的，发包人有权委托其他人恢复或清理，所发生的金额从拟支付给承包人的款项中扣除。</w:t>
      </w:r>
    </w:p>
    <w:p w14:paraId="7C200D0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2" w:name="_Toc11199828"/>
      <w:r>
        <w:rPr>
          <w:rFonts w:hint="eastAsia" w:eastAsia="华文中宋"/>
          <w:b/>
          <w:bCs/>
          <w:snapToGrid w:val="0"/>
          <w:color w:val="auto"/>
          <w:kern w:val="0"/>
          <w:sz w:val="24"/>
          <w:highlight w:val="none"/>
        </w:rPr>
        <w:t>18.8施工队伍的撤离</w:t>
      </w:r>
      <w:bookmarkEnd w:id="282"/>
    </w:p>
    <w:p w14:paraId="74A1BD2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BE2971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3" w:name="_Toc11199829"/>
      <w:r>
        <w:rPr>
          <w:rFonts w:hint="eastAsia" w:eastAsia="华文中宋"/>
          <w:b/>
          <w:bCs/>
          <w:snapToGrid w:val="0"/>
          <w:color w:val="auto"/>
          <w:kern w:val="0"/>
          <w:sz w:val="24"/>
          <w:highlight w:val="none"/>
        </w:rPr>
        <w:t>18.9竣工后试验（A）</w:t>
      </w:r>
      <w:bookmarkEnd w:id="283"/>
    </w:p>
    <w:p w14:paraId="3ECB85C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除专用合同条款另有约定外，发包人应：</w:t>
      </w:r>
    </w:p>
    <w:p w14:paraId="20D717B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（1）为竣工后试验提供必要的电力、设备、燃料、仪器、劳力、材料，以及具有适当资质和经验的工作人员；</w:t>
      </w:r>
    </w:p>
    <w:p w14:paraId="76B51F0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（2）根据承包商按照第5.6款提供的手册，以及承包人给予的指导进行竣工后试验。</w:t>
      </w:r>
    </w:p>
    <w:p w14:paraId="1D73D95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发包人应提前21天将竣工后试验的日期通知承包人。如果承包人未能在该日期出席竣工后试验，发包人可自行进行，承包人应对检验数据予以认可。</w:t>
      </w:r>
    </w:p>
    <w:p w14:paraId="0066707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因承包人原因造成某项竣工后试验未能通过的，承包人应按照合同的约定进行赔偿，或者承包人提出修复建议，按照发包人指示的合理期限内改正，并承担合同约定的相应责任。</w:t>
      </w:r>
    </w:p>
    <w:p w14:paraId="74F5817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4" w:name="_Toc11199830"/>
      <w:r>
        <w:rPr>
          <w:rFonts w:hint="eastAsia" w:eastAsia="华文中宋"/>
          <w:b/>
          <w:bCs/>
          <w:snapToGrid w:val="0"/>
          <w:color w:val="auto"/>
          <w:kern w:val="0"/>
          <w:sz w:val="24"/>
          <w:highlight w:val="none"/>
        </w:rPr>
        <w:t>18.9竣工后试验（B）</w:t>
      </w:r>
      <w:bookmarkEnd w:id="284"/>
    </w:p>
    <w:p w14:paraId="09746BD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w:t>
      </w:r>
    </w:p>
    <w:p w14:paraId="525A664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（1）发包人为竣工后试验提供必要的电力、材料、燃料、发包人人员和工程设备；</w:t>
      </w:r>
    </w:p>
    <w:p w14:paraId="7112BB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（2）承包人应提供竣工后试验所需要的所有其他设备、仪器，以及有资格和经验的工作人员；</w:t>
      </w:r>
    </w:p>
    <w:p w14:paraId="769F25A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52749DEF">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85" w:name="_Toc11199831"/>
      <w:r>
        <w:rPr>
          <w:rFonts w:hint="eastAsia" w:eastAsia="华文中宋"/>
          <w:b/>
          <w:bCs/>
          <w:snapToGrid w:val="0"/>
          <w:color w:val="auto"/>
          <w:kern w:val="0"/>
          <w:sz w:val="28"/>
          <w:szCs w:val="28"/>
          <w:highlight w:val="none"/>
        </w:rPr>
        <w:t>19.缺陷责任与保修责任</w:t>
      </w:r>
      <w:bookmarkEnd w:id="285"/>
    </w:p>
    <w:p w14:paraId="5EDBB60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6" w:name="_Toc11199832"/>
      <w:r>
        <w:rPr>
          <w:rFonts w:hint="eastAsia" w:eastAsia="华文中宋"/>
          <w:b/>
          <w:bCs/>
          <w:snapToGrid w:val="0"/>
          <w:color w:val="auto"/>
          <w:kern w:val="0"/>
          <w:sz w:val="24"/>
          <w:highlight w:val="none"/>
        </w:rPr>
        <w:t>19.1缺陷责任期的起算时间</w:t>
      </w:r>
      <w:bookmarkEnd w:id="286"/>
    </w:p>
    <w:p w14:paraId="2DE44E4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缺陷责任期自实际竣工日期起计算。在全部工程竣工验收前，已经发包人提前验收的区段工程或进入施工期运行的工程，其缺陷责任期的起算日期相应提前到相应工程竣工日。</w:t>
      </w:r>
    </w:p>
    <w:p w14:paraId="2A9C5BD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7" w:name="_Toc11199833"/>
      <w:r>
        <w:rPr>
          <w:rFonts w:hint="eastAsia" w:eastAsia="华文中宋"/>
          <w:b/>
          <w:bCs/>
          <w:snapToGrid w:val="0"/>
          <w:color w:val="auto"/>
          <w:kern w:val="0"/>
          <w:sz w:val="24"/>
          <w:highlight w:val="none"/>
        </w:rPr>
        <w:t>19.2缺陷责任</w:t>
      </w:r>
      <w:bookmarkEnd w:id="287"/>
    </w:p>
    <w:p w14:paraId="4B7C9469">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19.2.1</w:t>
      </w:r>
      <w:r>
        <w:rPr>
          <w:rFonts w:hint="eastAsia"/>
          <w:snapToGrid w:val="0"/>
          <w:color w:val="auto"/>
          <w:kern w:val="0"/>
          <w:sz w:val="24"/>
          <w:highlight w:val="none"/>
        </w:rPr>
        <w:t>承包人应在缺陷责任期内对已交付使用的工程承担缺陷责任。</w:t>
      </w:r>
    </w:p>
    <w:p w14:paraId="05564E4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19.2.2</w:t>
      </w:r>
      <w:r>
        <w:rPr>
          <w:rFonts w:hint="eastAsia"/>
          <w:snapToGrid w:val="0"/>
          <w:color w:val="auto"/>
          <w:kern w:val="0"/>
          <w:sz w:val="24"/>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B067E6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19.2.3</w:t>
      </w:r>
      <w:r>
        <w:rPr>
          <w:rFonts w:hint="eastAsia"/>
          <w:snapToGrid w:val="0"/>
          <w:color w:val="auto"/>
          <w:kern w:val="0"/>
          <w:sz w:val="24"/>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232BB8C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19.2.4</w:t>
      </w:r>
      <w:r>
        <w:rPr>
          <w:rFonts w:hint="eastAsia"/>
          <w:snapToGrid w:val="0"/>
          <w:color w:val="auto"/>
          <w:kern w:val="0"/>
          <w:sz w:val="24"/>
          <w:highlight w:val="none"/>
        </w:rPr>
        <w:t>承包人不能在合理时间内修复缺陷的，发包人可自行修复或委托其他人修复，所需费用和利润的承担，按第19.2.3项约定执行。</w:t>
      </w:r>
    </w:p>
    <w:p w14:paraId="5F5CFDE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8" w:name="_Toc11199834"/>
      <w:r>
        <w:rPr>
          <w:rFonts w:hint="eastAsia" w:eastAsia="华文中宋"/>
          <w:b/>
          <w:bCs/>
          <w:snapToGrid w:val="0"/>
          <w:color w:val="auto"/>
          <w:kern w:val="0"/>
          <w:sz w:val="24"/>
          <w:highlight w:val="none"/>
        </w:rPr>
        <w:t>19.3缺陷责任期的延长</w:t>
      </w:r>
      <w:bookmarkEnd w:id="288"/>
    </w:p>
    <w:p w14:paraId="0D84EBD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3F598DE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89" w:name="_Toc11199835"/>
      <w:r>
        <w:rPr>
          <w:rFonts w:hint="eastAsia" w:eastAsia="华文中宋"/>
          <w:b/>
          <w:bCs/>
          <w:snapToGrid w:val="0"/>
          <w:color w:val="auto"/>
          <w:kern w:val="0"/>
          <w:sz w:val="24"/>
          <w:highlight w:val="none"/>
        </w:rPr>
        <w:t>19.4进一步试验和试运行</w:t>
      </w:r>
      <w:bookmarkEnd w:id="289"/>
    </w:p>
    <w:p w14:paraId="69A579C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任何一项缺陷或损坏修复后，经检查证明其影响了工程或工程设备的使用性能，承包人应重新进行合同约定的试验和试运行，试验和试运行的全部费用应由责任方承担。</w:t>
      </w:r>
    </w:p>
    <w:p w14:paraId="0C3CF31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0" w:name="_Toc11199836"/>
      <w:r>
        <w:rPr>
          <w:rFonts w:hint="eastAsia" w:eastAsia="华文中宋"/>
          <w:b/>
          <w:bCs/>
          <w:snapToGrid w:val="0"/>
          <w:color w:val="auto"/>
          <w:kern w:val="0"/>
          <w:sz w:val="24"/>
          <w:highlight w:val="none"/>
        </w:rPr>
        <w:t>19.5承包人的进入权</w:t>
      </w:r>
      <w:bookmarkEnd w:id="290"/>
    </w:p>
    <w:p w14:paraId="1945F37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缺陷责任期内承包人为缺陷修复工作需要，有权进入工程现场，但应遵守发包人的保安和保密规定。</w:t>
      </w:r>
    </w:p>
    <w:p w14:paraId="2B994A8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1" w:name="_Toc11199837"/>
      <w:r>
        <w:rPr>
          <w:rFonts w:hint="eastAsia" w:eastAsia="华文中宋"/>
          <w:b/>
          <w:bCs/>
          <w:snapToGrid w:val="0"/>
          <w:color w:val="auto"/>
          <w:kern w:val="0"/>
          <w:sz w:val="24"/>
          <w:highlight w:val="none"/>
        </w:rPr>
        <w:t>19.6缺陷责任期终止证书</w:t>
      </w:r>
      <w:bookmarkEnd w:id="291"/>
    </w:p>
    <w:p w14:paraId="32CE2A3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在第1.1.4.5目约定的缺陷责任期，包括根据第19.3款延长的期限终止后14天内，由监理人向承包人出具经发包人签认的缺陷责任期终止证书，并退还剩余的质量保证金。</w:t>
      </w:r>
    </w:p>
    <w:p w14:paraId="2A373B4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2" w:name="_Toc11199838"/>
      <w:r>
        <w:rPr>
          <w:rFonts w:hint="eastAsia" w:eastAsia="华文中宋"/>
          <w:b/>
          <w:bCs/>
          <w:snapToGrid w:val="0"/>
          <w:color w:val="auto"/>
          <w:kern w:val="0"/>
          <w:sz w:val="24"/>
          <w:highlight w:val="none"/>
        </w:rPr>
        <w:t>19.7保修责任</w:t>
      </w:r>
      <w:bookmarkEnd w:id="292"/>
    </w:p>
    <w:p w14:paraId="23E9F9D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6221BDC3">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93" w:name="_Toc11199839"/>
      <w:r>
        <w:rPr>
          <w:rFonts w:hint="eastAsia" w:eastAsia="华文中宋"/>
          <w:b/>
          <w:bCs/>
          <w:snapToGrid w:val="0"/>
          <w:color w:val="auto"/>
          <w:kern w:val="0"/>
          <w:sz w:val="28"/>
          <w:szCs w:val="28"/>
          <w:highlight w:val="none"/>
        </w:rPr>
        <w:t>20.保险</w:t>
      </w:r>
      <w:bookmarkEnd w:id="293"/>
    </w:p>
    <w:p w14:paraId="4379BED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4" w:name="_Toc11199840"/>
      <w:r>
        <w:rPr>
          <w:rFonts w:hint="eastAsia" w:eastAsia="华文中宋"/>
          <w:b/>
          <w:bCs/>
          <w:snapToGrid w:val="0"/>
          <w:color w:val="auto"/>
          <w:kern w:val="0"/>
          <w:sz w:val="24"/>
          <w:highlight w:val="none"/>
        </w:rPr>
        <w:t>20.1设计和工程保险</w:t>
      </w:r>
      <w:bookmarkEnd w:id="294"/>
    </w:p>
    <w:p w14:paraId="309A8E7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20.1.1</w:t>
      </w:r>
      <w:r>
        <w:rPr>
          <w:rFonts w:hint="eastAsia"/>
          <w:snapToGrid w:val="0"/>
          <w:color w:val="auto"/>
          <w:kern w:val="0"/>
          <w:sz w:val="24"/>
          <w:highlight w:val="none"/>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457BDE6">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20.1.2</w:t>
      </w:r>
      <w:r>
        <w:rPr>
          <w:rFonts w:hint="eastAsia"/>
          <w:snapToGrid w:val="0"/>
          <w:color w:val="auto"/>
          <w:kern w:val="0"/>
          <w:sz w:val="24"/>
          <w:highlight w:val="none"/>
        </w:rPr>
        <w:t>在缺陷责任期终止证书颁发前，承包人应按照专用合同条款的约定投保第三者责任险。</w:t>
      </w:r>
    </w:p>
    <w:p w14:paraId="251CFE8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5" w:name="_Toc11199841"/>
      <w:r>
        <w:rPr>
          <w:rFonts w:hint="eastAsia" w:eastAsia="华文中宋"/>
          <w:b/>
          <w:bCs/>
          <w:snapToGrid w:val="0"/>
          <w:color w:val="auto"/>
          <w:kern w:val="0"/>
          <w:sz w:val="24"/>
          <w:highlight w:val="none"/>
        </w:rPr>
        <w:t>20.2工伤保险</w:t>
      </w:r>
      <w:bookmarkEnd w:id="295"/>
    </w:p>
    <w:p w14:paraId="645CDF4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20.2.1承包人员工伤保险</w:t>
      </w:r>
    </w:p>
    <w:p w14:paraId="59ED772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承包人应依照有关法律规定，为其履行合同所雇佣的全部人员投保工伤保险，缴纳工伤保险费，并要求其分包人也投保此项保险。</w:t>
      </w:r>
    </w:p>
    <w:p w14:paraId="060142B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20.2.2发包人员工伤保险</w:t>
      </w:r>
    </w:p>
    <w:p w14:paraId="7969A37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发包人应依照有关法律规定，为其现场机构雇佣的全部人员投保工伤保险，缴纳工伤保险费，并要求其监理人也进行此项保险。</w:t>
      </w:r>
    </w:p>
    <w:p w14:paraId="64B0505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6" w:name="_Toc11199842"/>
      <w:r>
        <w:rPr>
          <w:rFonts w:hint="eastAsia" w:eastAsia="华文中宋"/>
          <w:b/>
          <w:bCs/>
          <w:snapToGrid w:val="0"/>
          <w:color w:val="auto"/>
          <w:kern w:val="0"/>
          <w:sz w:val="24"/>
          <w:highlight w:val="none"/>
        </w:rPr>
        <w:t>20.3人身意外伤害险</w:t>
      </w:r>
      <w:bookmarkEnd w:id="296"/>
    </w:p>
    <w:p w14:paraId="5B07D4A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20.3.1</w:t>
      </w:r>
      <w:r>
        <w:rPr>
          <w:rFonts w:hint="eastAsia"/>
          <w:snapToGrid w:val="0"/>
          <w:color w:val="auto"/>
          <w:kern w:val="0"/>
          <w:sz w:val="24"/>
          <w:highlight w:val="none"/>
        </w:rPr>
        <w:t>发包人应在整个施工期间为其现场机构雇用的全部人员，投保人身意外伤害险，缴纳保险费，并要求其监理人也进行此项保险。</w:t>
      </w:r>
    </w:p>
    <w:p w14:paraId="5676E95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20.3.2</w:t>
      </w:r>
      <w:r>
        <w:rPr>
          <w:rFonts w:hint="eastAsia"/>
          <w:snapToGrid w:val="0"/>
          <w:color w:val="auto"/>
          <w:kern w:val="0"/>
          <w:sz w:val="24"/>
          <w:highlight w:val="none"/>
        </w:rPr>
        <w:t>承包人应在整个施工期间为其现场机构雇用的全部人员，投保人身意外伤害险，缴纳保险费，并要求其分包人也进行此项保险。</w:t>
      </w:r>
    </w:p>
    <w:p w14:paraId="2AE23EB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7" w:name="_Toc11199843"/>
      <w:r>
        <w:rPr>
          <w:rFonts w:hint="eastAsia" w:eastAsia="华文中宋"/>
          <w:b/>
          <w:bCs/>
          <w:snapToGrid w:val="0"/>
          <w:color w:val="auto"/>
          <w:kern w:val="0"/>
          <w:sz w:val="24"/>
          <w:highlight w:val="none"/>
        </w:rPr>
        <w:t>20.4其他保险</w:t>
      </w:r>
      <w:bookmarkEnd w:id="297"/>
    </w:p>
    <w:p w14:paraId="448CCE5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除专用合同条款另有约定外，承包人应为其施工设备、进场的材料和工程设备等办理保险。</w:t>
      </w:r>
    </w:p>
    <w:p w14:paraId="68D4D3F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298" w:name="_Toc11199844"/>
      <w:r>
        <w:rPr>
          <w:rFonts w:hint="eastAsia" w:eastAsia="华文中宋"/>
          <w:b/>
          <w:bCs/>
          <w:snapToGrid w:val="0"/>
          <w:color w:val="auto"/>
          <w:kern w:val="0"/>
          <w:sz w:val="24"/>
          <w:highlight w:val="none"/>
        </w:rPr>
        <w:t>20.5对各项保险的一般要求</w:t>
      </w:r>
      <w:bookmarkEnd w:id="298"/>
    </w:p>
    <w:p w14:paraId="47D4AE4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20.5.1保险凭证</w:t>
      </w:r>
    </w:p>
    <w:p w14:paraId="452FBE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承包人应在专用合同条款约定的期限内向发包人提交各项保险生效的证据和保险单副本，保险单必须与专用合同条款约定的条件保持一致。</w:t>
      </w:r>
    </w:p>
    <w:p w14:paraId="53B2D29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20.5.2保险合同条款的变动</w:t>
      </w:r>
    </w:p>
    <w:p w14:paraId="0E46636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承包人需要变动保险合同条款时，应事先征得发包人同意，并通知监理人。保险人作出变动的，承包人应在收到保险人通知后立即通知发包人和监理人。</w:t>
      </w:r>
    </w:p>
    <w:p w14:paraId="3D5FE06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20.5.3持续保险</w:t>
      </w:r>
    </w:p>
    <w:p w14:paraId="22317B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承包人应与保险人保持联系，使保险人能够随时了解工程实施中的变动，并确保按保险合同条款要求持续保险。</w:t>
      </w:r>
    </w:p>
    <w:p w14:paraId="5F4AB08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20.5.4保险金不足的补偿</w:t>
      </w:r>
    </w:p>
    <w:p w14:paraId="4F63598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保险金不足以补偿损失的，应由承包人和（或）发包人按合同约定负责补偿。</w:t>
      </w:r>
    </w:p>
    <w:p w14:paraId="316F51A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20.5.5未按约定投保的补救</w:t>
      </w:r>
    </w:p>
    <w:p w14:paraId="169BA4C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（1）由于负有投保义务的一方当事人未按合同约定办理保险，或未能使保险持续有效的，另一方当事人可代为办理，所需费用由对方当事人承担。</w:t>
      </w:r>
    </w:p>
    <w:p w14:paraId="6C0CE9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（2）由于负有投保义务的一方当事人未按合同约定办理某项保险，导致受益人未能得到保险人的赔偿，原应从该项保险得到的保险金应由负有投保义务的一方当事人支付。</w:t>
      </w:r>
    </w:p>
    <w:p w14:paraId="4658E02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20.5.6报告义务</w:t>
      </w:r>
    </w:p>
    <w:p w14:paraId="5A9CC69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当保险事故发生时，投保人应按照保险单规定的条件和期限及时向保险人报告。</w:t>
      </w:r>
    </w:p>
    <w:p w14:paraId="4B7B30B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299" w:name="_Toc11199845"/>
      <w:r>
        <w:rPr>
          <w:rFonts w:hint="eastAsia" w:eastAsia="华文中宋"/>
          <w:b/>
          <w:bCs/>
          <w:snapToGrid w:val="0"/>
          <w:color w:val="auto"/>
          <w:kern w:val="0"/>
          <w:sz w:val="28"/>
          <w:szCs w:val="28"/>
          <w:highlight w:val="none"/>
        </w:rPr>
        <w:t>21.不可抗力</w:t>
      </w:r>
      <w:bookmarkEnd w:id="299"/>
    </w:p>
    <w:p w14:paraId="500906F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0" w:name="_Toc11199846"/>
      <w:r>
        <w:rPr>
          <w:rFonts w:hint="eastAsia" w:eastAsia="华文中宋"/>
          <w:b/>
          <w:bCs/>
          <w:snapToGrid w:val="0"/>
          <w:color w:val="auto"/>
          <w:kern w:val="0"/>
          <w:sz w:val="24"/>
          <w:highlight w:val="none"/>
        </w:rPr>
        <w:t>21.1不可抗力的确认</w:t>
      </w:r>
      <w:bookmarkEnd w:id="300"/>
    </w:p>
    <w:p w14:paraId="055C2E4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21.1.1</w:t>
      </w:r>
      <w:r>
        <w:rPr>
          <w:rFonts w:hint="eastAsia"/>
          <w:snapToGrid w:val="0"/>
          <w:color w:val="auto"/>
          <w:kern w:val="0"/>
          <w:sz w:val="24"/>
          <w:highlight w:val="none"/>
        </w:rPr>
        <w:t>不可抗力是指承包人和发包人在订立合同时不可预见，在履行合同过程中不可避免发生并不能克服的自然灾害和社会性突发事件，如地震、海啸、瘟疫、水灾、骚乱、暴动、战争和专用合同条款约定的其他情形。</w:t>
      </w:r>
    </w:p>
    <w:p w14:paraId="3C694F9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21.1.2</w:t>
      </w:r>
      <w:r>
        <w:rPr>
          <w:rFonts w:hint="eastAsia"/>
          <w:snapToGrid w:val="0"/>
          <w:color w:val="auto"/>
          <w:kern w:val="0"/>
          <w:sz w:val="24"/>
          <w:highlight w:val="none"/>
        </w:rPr>
        <w:t>不可抗力发生后，发包人和承包人应及时认真统计所造成的损失，收集不可抗力造成损失的证据。合同双方对是否属于不可抗力或其损失的意见不一致的，由监理人按第3.5款商定或确定。发生争议时，按第24条的约定执行。</w:t>
      </w:r>
    </w:p>
    <w:p w14:paraId="2F1FF56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1" w:name="_Toc11199847"/>
      <w:r>
        <w:rPr>
          <w:rFonts w:hint="eastAsia" w:eastAsia="华文中宋"/>
          <w:b/>
          <w:bCs/>
          <w:snapToGrid w:val="0"/>
          <w:color w:val="auto"/>
          <w:kern w:val="0"/>
          <w:sz w:val="24"/>
          <w:highlight w:val="none"/>
        </w:rPr>
        <w:t>21.2不可抗力的通知</w:t>
      </w:r>
      <w:bookmarkEnd w:id="301"/>
    </w:p>
    <w:p w14:paraId="78155EAE">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21.2.1</w:t>
      </w:r>
      <w:r>
        <w:rPr>
          <w:rFonts w:hint="eastAsia"/>
          <w:snapToGrid w:val="0"/>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66DE2E3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21.2.2</w:t>
      </w:r>
      <w:r>
        <w:rPr>
          <w:rFonts w:hint="eastAsia"/>
          <w:snapToGrid w:val="0"/>
          <w:color w:val="auto"/>
          <w:kern w:val="0"/>
          <w:sz w:val="24"/>
          <w:highlight w:val="none"/>
        </w:rPr>
        <w:t>如不可抗力持续发生，合同一方当事人应及时向合同另一方当事人和监理人提交中间报告，说明不可抗力和履行合同受阻的情况，并于不可抗力事件结束后28天内提交最终报告及有关资料。</w:t>
      </w:r>
    </w:p>
    <w:p w14:paraId="74A11C9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2" w:name="_Toc11199848"/>
      <w:r>
        <w:rPr>
          <w:rFonts w:hint="eastAsia" w:eastAsia="华文中宋"/>
          <w:b/>
          <w:bCs/>
          <w:snapToGrid w:val="0"/>
          <w:color w:val="auto"/>
          <w:kern w:val="0"/>
          <w:sz w:val="24"/>
          <w:highlight w:val="none"/>
        </w:rPr>
        <w:t>21.3不可抗力后果及其处理</w:t>
      </w:r>
      <w:bookmarkEnd w:id="302"/>
    </w:p>
    <w:p w14:paraId="63D30122">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21.3.1不可抗力造成损害的责任</w:t>
      </w:r>
    </w:p>
    <w:p w14:paraId="30DF506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除专用合同条款另有约定外，不可抗力导致的人员伤亡、财产损失、费用增加和（或）工期延误等后果，由合同双方按以下原则承担：</w:t>
      </w:r>
    </w:p>
    <w:p w14:paraId="021BDA6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（1）永久工程，包括已运至施工场地的材料和工程设备的损害，以及因工程损害造成的第三者人员伤亡和财产损失由发包人承担；</w:t>
      </w:r>
    </w:p>
    <w:p w14:paraId="0196859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（2）承包人设备的损坏由承包人承担；</w:t>
      </w:r>
    </w:p>
    <w:p w14:paraId="069012C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（3）发包人和承包人各自承担其人员伤亡和其他财产损失及其相关费用；</w:t>
      </w:r>
    </w:p>
    <w:p w14:paraId="602E399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（4）承包人的停工损失由承包人承担，但停工期间应监理人要求照管工程和清理、修复工程的金额由发包人承担；</w:t>
      </w:r>
    </w:p>
    <w:p w14:paraId="6864AE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（5）不能按期竣工的，应合理延长工期，承包人不需支付逾期竣工违约金。发包人要求赶工的，承包人应采取赶工措施，赶工费用由发包人承担。</w:t>
      </w:r>
    </w:p>
    <w:p w14:paraId="798E1E2D">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21.3.2延迟履行期间发生的不可抗力</w:t>
      </w:r>
    </w:p>
    <w:p w14:paraId="5C28A3C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合同一方当事人延迟履行，在延迟履行期间发生不可抗力的，不免除其责任。</w:t>
      </w:r>
    </w:p>
    <w:p w14:paraId="1E20C84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21.3.3避免和减少不可抗力损失</w:t>
      </w:r>
    </w:p>
    <w:p w14:paraId="6AAF958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不可抗力发生后，发包人和承包人均应采取措施尽量避免和减少损失的扩大，任何一方没有采取有效措施导致损失扩大的，应对扩大的损失承担责任。</w:t>
      </w:r>
    </w:p>
    <w:p w14:paraId="6D08E23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21.3.4因不可抗力解除合同</w:t>
      </w:r>
    </w:p>
    <w:p w14:paraId="08DB475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合同一方当事人因不可抗力不能履行合同的，应当及时通知对方解除合同。合同解除后，承包人应按照第22.2.4项约定撤离施工场地。已经订货的材料、设备由订货方负责退货或解除订货合同，不能退还的货款和因退货、解除订货合同发生的费用，由发包人承担，因未及时退货造成的损失由责任方承担。合同解除后的付款，参照第22.2.3项约定，由监理人按第3.5款商定或确定。</w:t>
      </w:r>
    </w:p>
    <w:p w14:paraId="5F4C11FE">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03" w:name="_Toc11199849"/>
      <w:r>
        <w:rPr>
          <w:rFonts w:hint="eastAsia" w:eastAsia="华文中宋"/>
          <w:b/>
          <w:bCs/>
          <w:snapToGrid w:val="0"/>
          <w:color w:val="auto"/>
          <w:kern w:val="0"/>
          <w:sz w:val="28"/>
          <w:szCs w:val="28"/>
          <w:highlight w:val="none"/>
        </w:rPr>
        <w:t>22.违约</w:t>
      </w:r>
      <w:bookmarkEnd w:id="303"/>
    </w:p>
    <w:p w14:paraId="045B2B1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4" w:name="_Toc11199850"/>
      <w:r>
        <w:rPr>
          <w:rFonts w:hint="eastAsia" w:eastAsia="华文中宋"/>
          <w:b/>
          <w:bCs/>
          <w:snapToGrid w:val="0"/>
          <w:color w:val="auto"/>
          <w:kern w:val="0"/>
          <w:sz w:val="24"/>
          <w:highlight w:val="none"/>
        </w:rPr>
        <w:t>22.1承包人违约</w:t>
      </w:r>
      <w:bookmarkEnd w:id="304"/>
    </w:p>
    <w:p w14:paraId="389202A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22.1.1承包人违约的情形</w:t>
      </w:r>
    </w:p>
    <w:p w14:paraId="547D8C7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在履行合同过程中发生的下列情况之一的，属承包人违约：</w:t>
      </w:r>
    </w:p>
    <w:p w14:paraId="6F81FD4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（1）承包人的设计、承包人文件、实施和竣工的工程不符合法律以及合同约定；</w:t>
      </w:r>
    </w:p>
    <w:p w14:paraId="68DF77E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（2）承包人违反第1.8款或第4.3款的约定，私自将合同的全部或部分权利转让给其他人，或私自将合同的全部或部分义务转移给其他人；</w:t>
      </w:r>
    </w:p>
    <w:p w14:paraId="60076F0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（3）承包人违反第6.3款或第7.4款的约定，未经监理人批准，私自将已按合同约定进入施工场地的施工设备、临时设施或材料撤离施工场地；</w:t>
      </w:r>
    </w:p>
    <w:p w14:paraId="183B03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（4）承包人违反第6.5款的约定使用了不合格材料或工程设备，工程质量达不到标准要求，又拒绝清除不合格工程；</w:t>
      </w:r>
    </w:p>
    <w:p w14:paraId="2AF1340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（5）承包人未能按合同进度计划及时完成合同约定的工作，造成工期延误；</w:t>
      </w:r>
    </w:p>
    <w:p w14:paraId="0266121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（6）由于承包人原因未能通过竣工试验或竣工后试验的；</w:t>
      </w:r>
    </w:p>
    <w:p w14:paraId="20D0C78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（7）承包人在缺陷责任期内，未能对工程接收证书所列的缺陷清单的内容或缺陷责任期内发生的缺陷进行修复，而又拒绝按监理人指示再进行修补；</w:t>
      </w:r>
    </w:p>
    <w:p w14:paraId="0482A73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（8）承包人无法继续履行或明确表示不履行或实质上已停止履行合同；</w:t>
      </w:r>
    </w:p>
    <w:p w14:paraId="2354A89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（9）承包人不按合同约定履行义务的其他情况。</w:t>
      </w:r>
    </w:p>
    <w:p w14:paraId="01D38B2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22.1.2对承包人违约的处理</w:t>
      </w:r>
    </w:p>
    <w:p w14:paraId="2B8D63A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（1）承包人发生第22.1.1（6）目约定的违约情况时，按照发包人要求中的未能通过竣工/竣工后试验的损害进行赔偿。发生延期的，承包人应承担延期责任。</w:t>
      </w:r>
    </w:p>
    <w:p w14:paraId="6A33EDE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（2）承包人发生第22.1.1（8）目约定的违约情况时，发包人可通知承包人立即解除合同，并按第22.1.3项、第22.1.4项、第22.1.5项约定处理。</w:t>
      </w:r>
    </w:p>
    <w:p w14:paraId="6539D22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763F7D2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22.1.3因承包人违约解除合同</w:t>
      </w:r>
    </w:p>
    <w:p w14:paraId="7CB1255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32F29BA1">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22.1.4发包人发出合同解除通知后的估价、付款和结清</w:t>
      </w:r>
    </w:p>
    <w:p w14:paraId="2049304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收到发包人解除合同通知后28天内，监理人按第3.5款商定或确定承包人实际完成工作的价值，包括发包人扣留承包人的材料、设备及临时设施和承包人已提供的设计、材料、施工设备、工程设备、临时工程等的价值。</w:t>
      </w:r>
    </w:p>
    <w:p w14:paraId="32CED86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（2）发包人发出解除合同通知后，发包人有权暂停对承包人的一切付款，查清各项付款和已扣款金额，包括承包人应支付的违约金。</w:t>
      </w:r>
    </w:p>
    <w:p w14:paraId="444FFC5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（3）发包人发出解除合同通知后，发包人有权按第23.4款的约定向承包人索赔由于解除合同给发包人造成的损失。</w:t>
      </w:r>
    </w:p>
    <w:p w14:paraId="4B90A68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（4）合同双方确认合同价款后，发包人颁发最终结清付款证书，并结清全部合同款项。</w:t>
      </w:r>
    </w:p>
    <w:p w14:paraId="0750FB0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（5）发包人和承包人未能就解除合同后的结清达成一致而形成争议的，按第24条的约定执行。</w:t>
      </w:r>
    </w:p>
    <w:p w14:paraId="48BB3D0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22.1.5协议利益的转让</w:t>
      </w:r>
    </w:p>
    <w:p w14:paraId="5220BDD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4D2080F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22.1.6紧急情况下无能力或不愿进行抢救</w:t>
      </w:r>
    </w:p>
    <w:p w14:paraId="7300F1C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6483BE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5" w:name="_Toc11199851"/>
      <w:r>
        <w:rPr>
          <w:rFonts w:hint="eastAsia" w:eastAsia="华文中宋"/>
          <w:b/>
          <w:bCs/>
          <w:snapToGrid w:val="0"/>
          <w:color w:val="auto"/>
          <w:kern w:val="0"/>
          <w:sz w:val="24"/>
          <w:highlight w:val="none"/>
        </w:rPr>
        <w:t>22.2发包人违约</w:t>
      </w:r>
      <w:bookmarkEnd w:id="305"/>
    </w:p>
    <w:p w14:paraId="1C2EFA3E">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22.2.1发包人违约的情形</w:t>
      </w:r>
    </w:p>
    <w:p w14:paraId="5142D08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在履行合同过程中发生下列情形之一的，属发包人违约：</w:t>
      </w:r>
    </w:p>
    <w:p w14:paraId="0B4680C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（1）发包人未能按合同约定支付价款，或拖延、拒绝批准付款申请和支付凭证，导致付款延误；</w:t>
      </w:r>
    </w:p>
    <w:p w14:paraId="2AC6C21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（2）发包人原因造成停工；</w:t>
      </w:r>
    </w:p>
    <w:p w14:paraId="26117D0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（3）监理人无正当理由没有在约定期限内发出复工指示，导致承包人无法复工；</w:t>
      </w:r>
    </w:p>
    <w:p w14:paraId="07F6024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（4）发包人无法继续履行或明确表示不履行或实质上已停止履行合同；</w:t>
      </w:r>
    </w:p>
    <w:p w14:paraId="03C2595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（5）发包人不履行合同约定其他义务。</w:t>
      </w:r>
    </w:p>
    <w:p w14:paraId="51EA995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22.2.2因发包人违约解除合同</w:t>
      </w:r>
    </w:p>
    <w:p w14:paraId="3008F7D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（1）发生第22.2.1（4）目的违约情况时，承包人可书面通知发包人解除合同。</w:t>
      </w:r>
    </w:p>
    <w:p w14:paraId="6319DD0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72407C0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22.2.3解除合同后的付款</w:t>
      </w:r>
    </w:p>
    <w:p w14:paraId="2EE209E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因发包人违约解除合同的，发包人应在解除合同后28天内向承包人支付下列款项，承包人应在此期限内及时向发包人提交要求支付下列金额的有关资料和凭证：</w:t>
      </w:r>
    </w:p>
    <w:p w14:paraId="30A1DC9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（1）承包人发出解除合同通知前所完成工作的价款；</w:t>
      </w:r>
    </w:p>
    <w:p w14:paraId="4C97B31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（2）承包人为该工程施工订购并已付款的材料、工程设备和其他物品的金额。发包人付款后，该材料、工程设备和其他物品归发包人所有；</w:t>
      </w:r>
    </w:p>
    <w:p w14:paraId="72BE625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（3）承包人为完成工程所发生的，而发包人未支付的金额；</w:t>
      </w:r>
    </w:p>
    <w:p w14:paraId="0CCF1CB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（4）承包人撤离施工场地以及遣散承包人人员的金额；</w:t>
      </w:r>
    </w:p>
    <w:p w14:paraId="008D570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（5）因解除合同造成的承包人损失；</w:t>
      </w:r>
    </w:p>
    <w:p w14:paraId="4951348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（6）按合同约定在承包人发出解除合同通知前应支付给承包人的其他金额。</w:t>
      </w:r>
    </w:p>
    <w:p w14:paraId="4B5949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发包人应按本项约定支付上述金额并退还质量保证金和履约担保，但有权要求承包人支付应偿还给发包人的各项金额。</w:t>
      </w:r>
    </w:p>
    <w:p w14:paraId="3B5488D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22.2.4解除合同后的承包人撤离</w:t>
      </w:r>
    </w:p>
    <w:p w14:paraId="3513338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因发包人违约而解除合同后，承包人应妥善处理正在施工的工程和已购材料、设备的保护和移交工作，并按发包人的要求将承包人设备和人员撤出施工场地。承包人撤出施工场地应遵守第18.7.1项的约定，发包人应为承包人撤出提供必要条件并办理移交手续。</w:t>
      </w:r>
    </w:p>
    <w:p w14:paraId="3CAD2A3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6" w:name="_Toc11199852"/>
      <w:r>
        <w:rPr>
          <w:rFonts w:hint="eastAsia" w:eastAsia="华文中宋"/>
          <w:b/>
          <w:bCs/>
          <w:snapToGrid w:val="0"/>
          <w:color w:val="auto"/>
          <w:kern w:val="0"/>
          <w:sz w:val="24"/>
          <w:highlight w:val="none"/>
        </w:rPr>
        <w:t>22.3第三人造成的违约</w:t>
      </w:r>
      <w:bookmarkEnd w:id="306"/>
    </w:p>
    <w:p w14:paraId="5A3A89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12A8B39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07" w:name="_Toc11199853"/>
      <w:r>
        <w:rPr>
          <w:rFonts w:hint="eastAsia" w:eastAsia="华文中宋"/>
          <w:b/>
          <w:bCs/>
          <w:snapToGrid w:val="0"/>
          <w:color w:val="auto"/>
          <w:kern w:val="0"/>
          <w:sz w:val="28"/>
          <w:szCs w:val="28"/>
          <w:highlight w:val="none"/>
        </w:rPr>
        <w:t>23.索赔</w:t>
      </w:r>
      <w:bookmarkEnd w:id="307"/>
    </w:p>
    <w:p w14:paraId="6CFE184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8" w:name="_Toc11199854"/>
      <w:r>
        <w:rPr>
          <w:rFonts w:hint="eastAsia" w:eastAsia="华文中宋"/>
          <w:b/>
          <w:bCs/>
          <w:snapToGrid w:val="0"/>
          <w:color w:val="auto"/>
          <w:kern w:val="0"/>
          <w:sz w:val="24"/>
          <w:highlight w:val="none"/>
        </w:rPr>
        <w:t>23.1承包人索赔的提出</w:t>
      </w:r>
      <w:bookmarkEnd w:id="308"/>
    </w:p>
    <w:p w14:paraId="6AF5F14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根据合同约定，承包人认为有权得到追加付款和（或）延长工期的，应按以下程序向发包人提出索赔：</w:t>
      </w:r>
    </w:p>
    <w:p w14:paraId="7836CF8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（1）承包人应在知道或应当知道索赔事件发生后28天内，向监理人递交索赔意向通知书，并说明发生索赔事件的事由。承包人未在前述28天内发出索赔意向通知书的，工期不予顺延，且承包人无权获得追加付款；</w:t>
      </w:r>
    </w:p>
    <w:p w14:paraId="69C4E6B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41D468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（3）索赔事件具有连续影响的，承包人应按合理时间间隔继续递交延续索赔通知，说明连续影响的实际情况和记录，列出累计的追加付款金额和（或）工期延长天数；</w:t>
      </w:r>
    </w:p>
    <w:p w14:paraId="0CC09F6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（4）在索赔事件影响结束后的28天内，承包人应向监理人递交最终索赔通知书，说明最终要求索赔的追加付款金额和延长的工期，并附必要的记录和证明材料。</w:t>
      </w:r>
    </w:p>
    <w:p w14:paraId="54AFCAC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09" w:name="_Toc11199855"/>
      <w:r>
        <w:rPr>
          <w:rFonts w:hint="eastAsia" w:eastAsia="华文中宋"/>
          <w:b/>
          <w:bCs/>
          <w:snapToGrid w:val="0"/>
          <w:color w:val="auto"/>
          <w:kern w:val="0"/>
          <w:sz w:val="24"/>
          <w:highlight w:val="none"/>
        </w:rPr>
        <w:t>23.2承包人索赔处理程序</w:t>
      </w:r>
      <w:bookmarkEnd w:id="309"/>
    </w:p>
    <w:p w14:paraId="7702C2A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（1）监理人收到承包人提交的索赔通知书后，应及时审查索赔通知书的内容、查验承包人的记录和证明材料，必要时监理人可要求承包人提交全部原始记录副本。</w:t>
      </w:r>
    </w:p>
    <w:p w14:paraId="3FF3624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监理人应按第3.5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770D37B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（3）承包人接受索赔处理结果的，发包人应在作出索赔处理结果答复后28天内完成赔付。承包人不接受索赔处理结果的，按第24条的约定执行。</w:t>
      </w:r>
    </w:p>
    <w:p w14:paraId="512075F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0" w:name="_Toc11199856"/>
      <w:r>
        <w:rPr>
          <w:rFonts w:hint="eastAsia" w:eastAsia="华文中宋"/>
          <w:b/>
          <w:bCs/>
          <w:snapToGrid w:val="0"/>
          <w:color w:val="auto"/>
          <w:kern w:val="0"/>
          <w:sz w:val="24"/>
          <w:highlight w:val="none"/>
        </w:rPr>
        <w:t>23.3承包人提出索赔的期限</w:t>
      </w:r>
      <w:bookmarkEnd w:id="310"/>
    </w:p>
    <w:p w14:paraId="6559C3E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23.3.1</w:t>
      </w:r>
      <w:r>
        <w:rPr>
          <w:rFonts w:hint="eastAsia"/>
          <w:snapToGrid w:val="0"/>
          <w:color w:val="auto"/>
          <w:kern w:val="0"/>
          <w:sz w:val="24"/>
          <w:highlight w:val="none"/>
        </w:rPr>
        <w:t>承包人按第17.5款的约定接受了竣工付款证书后，应被认为已无权再提出在合同工程接收证书颁发前所发生的任何索赔。</w:t>
      </w:r>
    </w:p>
    <w:p w14:paraId="3FBDE3A4">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23.3.2</w:t>
      </w:r>
      <w:r>
        <w:rPr>
          <w:rFonts w:hint="eastAsia"/>
          <w:snapToGrid w:val="0"/>
          <w:color w:val="auto"/>
          <w:kern w:val="0"/>
          <w:sz w:val="24"/>
          <w:highlight w:val="none"/>
        </w:rPr>
        <w:t>承包人按第17.6款的约定提交的最终结清申请单中，只限于提出工程接收证书颁发后发生的索赔。提出索赔的期限自接受最终结清证书时终止。</w:t>
      </w:r>
    </w:p>
    <w:p w14:paraId="72D2D92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1" w:name="_Toc11199857"/>
      <w:r>
        <w:rPr>
          <w:rFonts w:hint="eastAsia" w:eastAsia="华文中宋"/>
          <w:b/>
          <w:bCs/>
          <w:snapToGrid w:val="0"/>
          <w:color w:val="auto"/>
          <w:kern w:val="0"/>
          <w:sz w:val="24"/>
          <w:highlight w:val="none"/>
        </w:rPr>
        <w:t>23.4发包人的索赔</w:t>
      </w:r>
      <w:bookmarkEnd w:id="311"/>
    </w:p>
    <w:p w14:paraId="1DE281F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23.4.1</w:t>
      </w:r>
      <w:r>
        <w:rPr>
          <w:rFonts w:hint="eastAsia"/>
          <w:snapToGrid w:val="0"/>
          <w:color w:val="auto"/>
          <w:kern w:val="0"/>
          <w:sz w:val="24"/>
          <w:highlight w:val="none"/>
        </w:rPr>
        <w:t>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款的约定相同，要求延长缺陷责任期的通知应在缺陷责任期届满前发出。</w:t>
      </w:r>
    </w:p>
    <w:p w14:paraId="159FD84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23.4.2</w:t>
      </w:r>
      <w:r>
        <w:rPr>
          <w:rFonts w:hint="eastAsia"/>
          <w:snapToGrid w:val="0"/>
          <w:color w:val="auto"/>
          <w:kern w:val="0"/>
          <w:sz w:val="24"/>
          <w:highlight w:val="none"/>
        </w:rPr>
        <w:t>发包人按第3.5款商定或确定发包人从承包人处得到赔付的金额和（或）缺陷责任期的延长期。承包人应付给发包人的金额可从拟支付给承包人的合同价款中扣除，或由承包人以其他方式支付给发包人。</w:t>
      </w:r>
    </w:p>
    <w:p w14:paraId="30394B47">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12" w:name="_Toc11199858"/>
      <w:r>
        <w:rPr>
          <w:rFonts w:hint="eastAsia" w:eastAsia="华文中宋"/>
          <w:b/>
          <w:bCs/>
          <w:snapToGrid w:val="0"/>
          <w:color w:val="auto"/>
          <w:kern w:val="0"/>
          <w:sz w:val="28"/>
          <w:szCs w:val="28"/>
          <w:highlight w:val="none"/>
        </w:rPr>
        <w:t>24.争议的解决</w:t>
      </w:r>
      <w:bookmarkEnd w:id="312"/>
    </w:p>
    <w:p w14:paraId="2109A5B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3" w:name="_Toc11199859"/>
      <w:r>
        <w:rPr>
          <w:rFonts w:hint="eastAsia" w:eastAsia="华文中宋"/>
          <w:b/>
          <w:bCs/>
          <w:snapToGrid w:val="0"/>
          <w:color w:val="auto"/>
          <w:kern w:val="0"/>
          <w:sz w:val="24"/>
          <w:highlight w:val="none"/>
        </w:rPr>
        <w:t>24.1争议的解决方式</w:t>
      </w:r>
      <w:bookmarkEnd w:id="313"/>
    </w:p>
    <w:p w14:paraId="0A26CC1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D70AF8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（1）向约定的仲裁委员会申请仲裁；</w:t>
      </w:r>
    </w:p>
    <w:p w14:paraId="370A9CB8">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（2）向有管辖权的人民法院提起诉讼。</w:t>
      </w:r>
    </w:p>
    <w:p w14:paraId="2D2B0E0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4" w:name="_Toc11199860"/>
      <w:r>
        <w:rPr>
          <w:rFonts w:hint="eastAsia" w:eastAsia="华文中宋"/>
          <w:b/>
          <w:bCs/>
          <w:snapToGrid w:val="0"/>
          <w:color w:val="auto"/>
          <w:kern w:val="0"/>
          <w:sz w:val="24"/>
          <w:highlight w:val="none"/>
        </w:rPr>
        <w:t>24.2友好解决</w:t>
      </w:r>
      <w:bookmarkEnd w:id="314"/>
    </w:p>
    <w:p w14:paraId="67C695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在提请争议评审、仲裁或者诉讼前，以及在争议评审、仲裁或诉讼过程中，发包人和承包人均可共同努力友好协商解决争议。</w:t>
      </w:r>
    </w:p>
    <w:p w14:paraId="486664C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15" w:name="_Toc11199861"/>
      <w:r>
        <w:rPr>
          <w:rFonts w:hint="eastAsia" w:eastAsia="华文中宋"/>
          <w:b/>
          <w:bCs/>
          <w:snapToGrid w:val="0"/>
          <w:color w:val="auto"/>
          <w:kern w:val="0"/>
          <w:sz w:val="24"/>
          <w:highlight w:val="none"/>
        </w:rPr>
        <w:t>24.3争议评审</w:t>
      </w:r>
      <w:bookmarkEnd w:id="315"/>
    </w:p>
    <w:p w14:paraId="1B35F23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24.3.1</w:t>
      </w:r>
      <w:r>
        <w:rPr>
          <w:rFonts w:hint="eastAsia"/>
          <w:snapToGrid w:val="0"/>
          <w:color w:val="auto"/>
          <w:kern w:val="0"/>
          <w:sz w:val="24"/>
          <w:highlight w:val="none"/>
        </w:rPr>
        <w:t>采用争议评审的，发包人和承包人应在开工日后的28天内或在争议发生后，协商成立争议评审组。争议评审组由有合同管理和工程实践经验的专家组成。</w:t>
      </w:r>
    </w:p>
    <w:p w14:paraId="7F9A682B">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24.3.2</w:t>
      </w:r>
      <w:r>
        <w:rPr>
          <w:rFonts w:hint="eastAsia"/>
          <w:snapToGrid w:val="0"/>
          <w:color w:val="auto"/>
          <w:kern w:val="0"/>
          <w:sz w:val="24"/>
          <w:highlight w:val="none"/>
        </w:rPr>
        <w:t>合同双方的争议，应首先由申请人向争议评审组提交一份详细的评审申请报告，并附必要的文件、图纸和证明材料，申请人还应将上述报告的副本同时提交给被申请人和监理人。</w:t>
      </w:r>
    </w:p>
    <w:p w14:paraId="619B364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24.3.3</w:t>
      </w:r>
      <w:r>
        <w:rPr>
          <w:rFonts w:hint="eastAsia"/>
          <w:snapToGrid w:val="0"/>
          <w:color w:val="auto"/>
          <w:kern w:val="0"/>
          <w:sz w:val="24"/>
          <w:highlight w:val="none"/>
        </w:rPr>
        <w:t>被申请人在收到申请人评审申请报告副本后的28天内，向争议评审组提交一份答辩报告，并附证明材料。被申请人应将答辩报告的副本同时提交给申请人和监理人。</w:t>
      </w:r>
    </w:p>
    <w:p w14:paraId="1A7F0B68">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24.3.4</w:t>
      </w:r>
      <w:r>
        <w:rPr>
          <w:rFonts w:hint="eastAsia"/>
          <w:snapToGrid w:val="0"/>
          <w:color w:val="auto"/>
          <w:kern w:val="0"/>
          <w:sz w:val="24"/>
          <w:highlight w:val="none"/>
        </w:rPr>
        <w:t>除专用合同条款另有约定外，争议评审组在收到合同双方报告后的14天内，邀请双方代表和有关人员举行调查会，向双方调查争议细节；必要时争议评审组可要求双方进一步提供补充材料。</w:t>
      </w:r>
    </w:p>
    <w:p w14:paraId="16E549AF">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24.3.5</w:t>
      </w:r>
      <w:r>
        <w:rPr>
          <w:rFonts w:hint="eastAsia"/>
          <w:snapToGrid w:val="0"/>
          <w:color w:val="auto"/>
          <w:kern w:val="0"/>
          <w:sz w:val="24"/>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75487B30">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24.3.6</w:t>
      </w:r>
      <w:r>
        <w:rPr>
          <w:rFonts w:hint="eastAsia"/>
          <w:snapToGrid w:val="0"/>
          <w:color w:val="auto"/>
          <w:kern w:val="0"/>
          <w:sz w:val="24"/>
          <w:highlight w:val="none"/>
        </w:rPr>
        <w:t>发包人和承包人接受评审意见的，由监理人根据评审意见拟定执行协议，经争议双方签字后作为合同的补充文件，并遵照执行。</w:t>
      </w:r>
    </w:p>
    <w:p w14:paraId="78AADE9D">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24.3.7</w:t>
      </w:r>
      <w:r>
        <w:rPr>
          <w:rFonts w:hint="eastAsia"/>
          <w:snapToGrid w:val="0"/>
          <w:color w:val="auto"/>
          <w:kern w:val="0"/>
          <w:sz w:val="24"/>
          <w:highlight w:val="none"/>
        </w:rPr>
        <w:t>发包人或承包人不接受评审意见，并要求提交仲裁或提起诉讼的，应在收到评审意见后的14天内将仲裁或起诉意向书面通知另一方，并抄送监理人，但在仲裁或诉讼结束前应暂按总监理工程师的确定执行。</w:t>
      </w:r>
    </w:p>
    <w:p w14:paraId="4E2B28BE">
      <w:pPr>
        <w:widowControl w:val="0"/>
        <w:adjustRightInd w:val="0"/>
        <w:snapToGrid w:val="0"/>
        <w:rPr>
          <w:color w:val="auto"/>
          <w:highlight w:val="none"/>
        </w:rPr>
      </w:pPr>
    </w:p>
    <w:p w14:paraId="68C6D6AA">
      <w:pPr>
        <w:widowControl w:val="0"/>
        <w:adjustRightInd w:val="0"/>
        <w:snapToGrid w:val="0"/>
        <w:rPr>
          <w:color w:val="auto"/>
          <w:highlight w:val="none"/>
        </w:rPr>
      </w:pPr>
    </w:p>
    <w:p w14:paraId="2F262933">
      <w:pPr>
        <w:widowControl w:val="0"/>
        <w:adjustRightInd w:val="0"/>
        <w:snapToGrid w:val="0"/>
        <w:rPr>
          <w:color w:val="auto"/>
          <w:highlight w:val="none"/>
        </w:rPr>
      </w:pPr>
    </w:p>
    <w:p w14:paraId="6903204F">
      <w:pPr>
        <w:widowControl w:val="0"/>
        <w:jc w:val="center"/>
        <w:rPr>
          <w:rFonts w:hint="eastAsia" w:ascii="华文中宋" w:hAnsi="华文中宋" w:eastAsia="华文中宋"/>
          <w:b/>
          <w:color w:val="auto"/>
          <w:sz w:val="28"/>
          <w:szCs w:val="28"/>
          <w:highlight w:val="none"/>
        </w:rPr>
      </w:pPr>
      <w:bookmarkStart w:id="316" w:name="_Toc256669745"/>
      <w:bookmarkStart w:id="317" w:name="_Toc11199862"/>
      <w:r>
        <w:rPr>
          <w:rFonts w:hint="eastAsia" w:ascii="华文中宋" w:hAnsi="华文中宋" w:eastAsia="华文中宋"/>
          <w:b/>
          <w:color w:val="auto"/>
          <w:sz w:val="28"/>
          <w:szCs w:val="28"/>
          <w:highlight w:val="none"/>
        </w:rPr>
        <w:t>第二节 专用</w:t>
      </w:r>
      <w:bookmarkEnd w:id="316"/>
      <w:r>
        <w:rPr>
          <w:rFonts w:hint="eastAsia" w:ascii="华文中宋" w:hAnsi="华文中宋" w:eastAsia="华文中宋"/>
          <w:b/>
          <w:color w:val="auto"/>
          <w:sz w:val="28"/>
          <w:szCs w:val="28"/>
          <w:highlight w:val="none"/>
        </w:rPr>
        <w:t>合同条款</w:t>
      </w:r>
      <w:bookmarkEnd w:id="317"/>
    </w:p>
    <w:p w14:paraId="14912A0C">
      <w:pPr>
        <w:widowControl w:val="0"/>
        <w:adjustRightInd w:val="0"/>
        <w:snapToGrid w:val="0"/>
        <w:rPr>
          <w:color w:val="auto"/>
          <w:highlight w:val="none"/>
        </w:rPr>
      </w:pPr>
      <w:bookmarkStart w:id="318" w:name="_Toc287444528"/>
    </w:p>
    <w:p w14:paraId="2006D5C5">
      <w:pPr>
        <w:widowControl w:val="0"/>
        <w:adjustRightInd w:val="0"/>
        <w:snapToGrid w:val="0"/>
        <w:rPr>
          <w:color w:val="auto"/>
          <w:highlight w:val="none"/>
        </w:rPr>
      </w:pPr>
    </w:p>
    <w:p w14:paraId="41439E03">
      <w:pPr>
        <w:widowControl w:val="0"/>
        <w:adjustRightInd w:val="0"/>
        <w:snapToGrid w:val="0"/>
        <w:rPr>
          <w:color w:val="auto"/>
          <w:highlight w:val="none"/>
        </w:rPr>
      </w:pPr>
    </w:p>
    <w:p w14:paraId="37FB6CB6">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除采购人和成交供应商在合同谈判期间有补充约定外，本合同的专用合同条款按以下条款执行。</w:t>
      </w:r>
    </w:p>
    <w:p w14:paraId="43865F2E">
      <w:pPr>
        <w:widowControl w:val="0"/>
        <w:adjustRightInd w:val="0"/>
        <w:snapToGrid w:val="0"/>
        <w:rPr>
          <w:color w:val="auto"/>
          <w:highlight w:val="none"/>
        </w:rPr>
      </w:pPr>
    </w:p>
    <w:p w14:paraId="14FE321E">
      <w:pPr>
        <w:widowControl w:val="0"/>
        <w:adjustRightInd w:val="0"/>
        <w:snapToGrid w:val="0"/>
        <w:rPr>
          <w:color w:val="auto"/>
          <w:highlight w:val="none"/>
        </w:rPr>
      </w:pPr>
    </w:p>
    <w:p w14:paraId="76D56A88">
      <w:pPr>
        <w:widowControl w:val="0"/>
        <w:adjustRightInd w:val="0"/>
        <w:snapToGrid w:val="0"/>
        <w:rPr>
          <w:color w:val="auto"/>
          <w:highlight w:val="none"/>
        </w:rPr>
      </w:pPr>
    </w:p>
    <w:p w14:paraId="7464E81A">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19" w:name="_Toc11199863"/>
      <w:r>
        <w:rPr>
          <w:rFonts w:hint="eastAsia" w:eastAsia="华文中宋"/>
          <w:b/>
          <w:bCs/>
          <w:snapToGrid w:val="0"/>
          <w:color w:val="auto"/>
          <w:kern w:val="0"/>
          <w:sz w:val="28"/>
          <w:szCs w:val="28"/>
          <w:highlight w:val="none"/>
        </w:rPr>
        <w:t>1.一般约定</w:t>
      </w:r>
      <w:bookmarkEnd w:id="318"/>
      <w:bookmarkEnd w:id="319"/>
    </w:p>
    <w:p w14:paraId="5E2921A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0" w:name="_Toc11199864"/>
      <w:r>
        <w:rPr>
          <w:rFonts w:hint="eastAsia" w:eastAsia="华文中宋"/>
          <w:b/>
          <w:bCs/>
          <w:snapToGrid w:val="0"/>
          <w:color w:val="auto"/>
          <w:kern w:val="0"/>
          <w:sz w:val="24"/>
          <w:highlight w:val="none"/>
        </w:rPr>
        <w:t>1.1词语定义</w:t>
      </w:r>
      <w:bookmarkEnd w:id="320"/>
    </w:p>
    <w:p w14:paraId="6AFD1FBE">
      <w:pPr>
        <w:widowControl w:val="0"/>
        <w:adjustRightInd w:val="0"/>
        <w:snapToGrid w:val="0"/>
        <w:spacing w:line="300" w:lineRule="auto"/>
        <w:ind w:firstLine="482" w:firstLineChars="200"/>
        <w:rPr>
          <w:b/>
          <w:snapToGrid w:val="0"/>
          <w:color w:val="auto"/>
          <w:kern w:val="0"/>
          <w:sz w:val="24"/>
          <w:highlight w:val="none"/>
        </w:rPr>
      </w:pPr>
      <w:bookmarkStart w:id="321" w:name="_Hlk166520288"/>
      <w:r>
        <w:rPr>
          <w:rFonts w:hint="eastAsia"/>
          <w:b/>
          <w:snapToGrid w:val="0"/>
          <w:color w:val="auto"/>
          <w:kern w:val="0"/>
          <w:sz w:val="24"/>
          <w:highlight w:val="none"/>
        </w:rPr>
        <w:t>1.1.2合同当事人和人员</w:t>
      </w:r>
    </w:p>
    <w:p w14:paraId="0BB7A39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1.1.2.2发包人：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1F0B197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1.1.2.3承包人：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07DBD22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1.1.2.4本项目承包人项目经理为：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1718F9C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1.1.2.5本项目设计负责人为：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3434280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1.1.2.6本项目施工负责人为：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4FF18138">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1.1.2.9本项目监理人为：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bookmarkEnd w:id="321"/>
    <w:p w14:paraId="7EF71CE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1.1.3工程和设备</w:t>
      </w:r>
    </w:p>
    <w:p w14:paraId="691CC8C5">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1.1.3.4区段工程：</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w:t>
      </w:r>
    </w:p>
    <w:p w14:paraId="104F1B5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1.1.3.10永久占地：</w:t>
      </w:r>
      <w:r>
        <w:rPr>
          <w:rFonts w:hint="eastAsia"/>
          <w:snapToGrid w:val="0"/>
          <w:color w:val="auto"/>
          <w:kern w:val="0"/>
          <w:sz w:val="24"/>
          <w:highlight w:val="none"/>
          <w:u w:val="single"/>
        </w:rPr>
        <w:t xml:space="preserve"> 永久工程需要占用的土地 </w:t>
      </w:r>
      <w:r>
        <w:rPr>
          <w:rFonts w:hint="eastAsia"/>
          <w:snapToGrid w:val="0"/>
          <w:color w:val="auto"/>
          <w:kern w:val="0"/>
          <w:sz w:val="24"/>
          <w:highlight w:val="none"/>
        </w:rPr>
        <w:t>。</w:t>
      </w:r>
    </w:p>
    <w:p w14:paraId="45D8900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1.1.3.11临时占地：</w:t>
      </w:r>
      <w:r>
        <w:rPr>
          <w:rFonts w:hint="eastAsia"/>
          <w:snapToGrid w:val="0"/>
          <w:color w:val="auto"/>
          <w:kern w:val="0"/>
          <w:sz w:val="24"/>
          <w:highlight w:val="none"/>
          <w:u w:val="single"/>
        </w:rPr>
        <w:t xml:space="preserve"> 承包人为实施合同工程临时占用的土地 </w:t>
      </w:r>
      <w:r>
        <w:rPr>
          <w:rFonts w:hint="eastAsia"/>
          <w:snapToGrid w:val="0"/>
          <w:color w:val="auto"/>
          <w:kern w:val="0"/>
          <w:sz w:val="24"/>
          <w:highlight w:val="none"/>
        </w:rPr>
        <w:t>。</w:t>
      </w:r>
    </w:p>
    <w:p w14:paraId="201B2C7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1.1.4日期、检验和竣工</w:t>
      </w:r>
    </w:p>
    <w:p w14:paraId="4D84F691">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1.1.4.5缺陷责任期：</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外运配套码头工程、矿山地质环境保护与土地复垦工程为</w:t>
      </w:r>
      <w:r>
        <w:rPr>
          <w:snapToGrid w:val="0"/>
          <w:color w:val="auto"/>
          <w:kern w:val="0"/>
          <w:sz w:val="24"/>
          <w:highlight w:val="none"/>
          <w:u w:val="single"/>
        </w:rPr>
        <w:t>24</w:t>
      </w:r>
      <w:r>
        <w:rPr>
          <w:rFonts w:hint="eastAsia"/>
          <w:snapToGrid w:val="0"/>
          <w:color w:val="auto"/>
          <w:kern w:val="0"/>
          <w:sz w:val="24"/>
          <w:highlight w:val="none"/>
          <w:u w:val="single"/>
        </w:rPr>
        <w:t xml:space="preserve">个月，航道疏浚工程、码头水域疏浚工程和维护期疏浚不设缺陷责任期 </w:t>
      </w:r>
      <w:r>
        <w:rPr>
          <w:snapToGrid w:val="0"/>
          <w:color w:val="auto"/>
          <w:kern w:val="0"/>
          <w:sz w:val="24"/>
          <w:highlight w:val="none"/>
          <w:u w:val="single"/>
        </w:rPr>
        <w:t xml:space="preserve">  </w:t>
      </w:r>
      <w:r>
        <w:rPr>
          <w:rFonts w:hint="eastAsia"/>
          <w:snapToGrid w:val="0"/>
          <w:color w:val="auto"/>
          <w:kern w:val="0"/>
          <w:sz w:val="24"/>
          <w:highlight w:val="none"/>
        </w:rPr>
        <w:t>。</w:t>
      </w:r>
    </w:p>
    <w:p w14:paraId="00F3FAC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2" w:name="_Toc287444532"/>
      <w:bookmarkStart w:id="323" w:name="_Toc11199865"/>
      <w:r>
        <w:rPr>
          <w:rFonts w:hint="eastAsia" w:eastAsia="华文中宋"/>
          <w:b/>
          <w:bCs/>
          <w:snapToGrid w:val="0"/>
          <w:color w:val="auto"/>
          <w:kern w:val="0"/>
          <w:sz w:val="24"/>
          <w:highlight w:val="none"/>
        </w:rPr>
        <w:t>1.6文件</w:t>
      </w:r>
      <w:bookmarkEnd w:id="322"/>
      <w:r>
        <w:rPr>
          <w:rFonts w:hint="eastAsia" w:eastAsia="华文中宋"/>
          <w:b/>
          <w:bCs/>
          <w:snapToGrid w:val="0"/>
          <w:color w:val="auto"/>
          <w:kern w:val="0"/>
          <w:sz w:val="24"/>
          <w:highlight w:val="none"/>
        </w:rPr>
        <w:t>的提供和照管</w:t>
      </w:r>
      <w:bookmarkEnd w:id="323"/>
    </w:p>
    <w:p w14:paraId="2AE7B567">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1.6.1承包人文件的提供</w:t>
      </w:r>
    </w:p>
    <w:p w14:paraId="1626EA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承包人应在开始施工前</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14 </w:t>
      </w:r>
      <w:r>
        <w:rPr>
          <w:snapToGrid w:val="0"/>
          <w:color w:val="auto"/>
          <w:kern w:val="0"/>
          <w:sz w:val="24"/>
          <w:highlight w:val="none"/>
          <w:u w:val="single"/>
        </w:rPr>
        <w:t xml:space="preserve"> </w:t>
      </w:r>
      <w:r>
        <w:rPr>
          <w:rFonts w:hint="eastAsia"/>
          <w:snapToGrid w:val="0"/>
          <w:color w:val="auto"/>
          <w:kern w:val="0"/>
          <w:sz w:val="24"/>
          <w:highlight w:val="none"/>
        </w:rPr>
        <w:t>天向监理人提供满足开工要求的施图（通过审查），份数为</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6 </w:t>
      </w:r>
      <w:r>
        <w:rPr>
          <w:snapToGrid w:val="0"/>
          <w:color w:val="auto"/>
          <w:kern w:val="0"/>
          <w:sz w:val="24"/>
          <w:highlight w:val="none"/>
          <w:u w:val="single"/>
        </w:rPr>
        <w:t xml:space="preserve">  </w:t>
      </w:r>
      <w:r>
        <w:rPr>
          <w:rFonts w:hint="eastAsia"/>
          <w:snapToGrid w:val="0"/>
          <w:color w:val="auto"/>
          <w:kern w:val="0"/>
          <w:sz w:val="24"/>
          <w:highlight w:val="none"/>
        </w:rPr>
        <w:t>套。</w:t>
      </w:r>
    </w:p>
    <w:p w14:paraId="6DFE99F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1.6.2发包人提供的文件</w:t>
      </w:r>
    </w:p>
    <w:p w14:paraId="5B662F3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发包人应在承包人开始工作前</w:t>
      </w:r>
      <w:r>
        <w:rPr>
          <w:rFonts w:hint="eastAsia"/>
          <w:snapToGrid w:val="0"/>
          <w:color w:val="auto"/>
          <w:kern w:val="0"/>
          <w:sz w:val="24"/>
          <w:highlight w:val="none"/>
          <w:u w:val="single"/>
        </w:rPr>
        <w:t xml:space="preserve">    /   </w:t>
      </w:r>
      <w:r>
        <w:rPr>
          <w:snapToGrid w:val="0"/>
          <w:color w:val="auto"/>
          <w:kern w:val="0"/>
          <w:sz w:val="24"/>
          <w:highlight w:val="none"/>
          <w:u w:val="single"/>
        </w:rPr>
        <w:t xml:space="preserve"> </w:t>
      </w:r>
      <w:r>
        <w:rPr>
          <w:rFonts w:hint="eastAsia"/>
          <w:snapToGrid w:val="0"/>
          <w:color w:val="auto"/>
          <w:kern w:val="0"/>
          <w:sz w:val="24"/>
          <w:highlight w:val="none"/>
        </w:rPr>
        <w:t>天提供的文件内容及数量：</w:t>
      </w:r>
    </w:p>
    <w:p w14:paraId="7A2DA73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u w:val="single"/>
        </w:rPr>
        <w:t xml:space="preserve">           /            </w:t>
      </w:r>
      <w:r>
        <w:rPr>
          <w:rFonts w:hint="eastAsia"/>
          <w:snapToGrid w:val="0"/>
          <w:color w:val="auto"/>
          <w:kern w:val="0"/>
          <w:sz w:val="24"/>
          <w:highlight w:val="none"/>
        </w:rPr>
        <w:t>。</w:t>
      </w:r>
    </w:p>
    <w:p w14:paraId="4475EF0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u w:val="single"/>
        </w:rPr>
        <w:t xml:space="preserve">           /            </w:t>
      </w:r>
      <w:r>
        <w:rPr>
          <w:rFonts w:hint="eastAsia"/>
          <w:snapToGrid w:val="0"/>
          <w:color w:val="auto"/>
          <w:kern w:val="0"/>
          <w:sz w:val="24"/>
          <w:highlight w:val="none"/>
        </w:rPr>
        <w:t>。</w:t>
      </w:r>
    </w:p>
    <w:p w14:paraId="7B60DDE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4" w:name="_Toc11199866"/>
      <w:r>
        <w:rPr>
          <w:rFonts w:hint="eastAsia" w:eastAsia="华文中宋"/>
          <w:b/>
          <w:bCs/>
          <w:snapToGrid w:val="0"/>
          <w:color w:val="auto"/>
          <w:kern w:val="0"/>
          <w:sz w:val="24"/>
          <w:highlight w:val="none"/>
        </w:rPr>
        <w:t>1.7联络</w:t>
      </w:r>
      <w:bookmarkEnd w:id="324"/>
    </w:p>
    <w:p w14:paraId="4E2DBD62">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w:t>
      </w:r>
      <w:r>
        <w:rPr>
          <w:b/>
          <w:snapToGrid w:val="0"/>
          <w:color w:val="auto"/>
          <w:kern w:val="0"/>
          <w:sz w:val="24"/>
          <w:highlight w:val="none"/>
        </w:rPr>
        <w:t>2</w:t>
      </w:r>
      <w:r>
        <w:rPr>
          <w:rFonts w:hint="eastAsia"/>
          <w:snapToGrid w:val="0"/>
          <w:color w:val="auto"/>
          <w:kern w:val="0"/>
          <w:sz w:val="24"/>
          <w:highlight w:val="none"/>
        </w:rPr>
        <w:t>来往函件的送达期限为：一般</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7 </w:t>
      </w:r>
      <w:r>
        <w:rPr>
          <w:snapToGrid w:val="0"/>
          <w:color w:val="auto"/>
          <w:kern w:val="0"/>
          <w:sz w:val="24"/>
          <w:highlight w:val="none"/>
          <w:u w:val="single"/>
        </w:rPr>
        <w:t xml:space="preserve">  </w:t>
      </w:r>
      <w:r>
        <w:rPr>
          <w:rFonts w:hint="eastAsia"/>
          <w:snapToGrid w:val="0"/>
          <w:color w:val="auto"/>
          <w:kern w:val="0"/>
          <w:sz w:val="24"/>
          <w:highlight w:val="none"/>
        </w:rPr>
        <w:t>天，紧急函件</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3 </w:t>
      </w:r>
      <w:r>
        <w:rPr>
          <w:snapToGrid w:val="0"/>
          <w:color w:val="auto"/>
          <w:kern w:val="0"/>
          <w:sz w:val="24"/>
          <w:highlight w:val="none"/>
          <w:u w:val="single"/>
        </w:rPr>
        <w:t xml:space="preserve">  </w:t>
      </w:r>
      <w:r>
        <w:rPr>
          <w:rFonts w:hint="eastAsia"/>
          <w:snapToGrid w:val="0"/>
          <w:color w:val="auto"/>
          <w:kern w:val="0"/>
          <w:sz w:val="24"/>
          <w:highlight w:val="none"/>
        </w:rPr>
        <w:t>天。</w:t>
      </w:r>
    </w:p>
    <w:p w14:paraId="4BC74A1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5" w:name="_Toc11199867"/>
      <w:r>
        <w:rPr>
          <w:rFonts w:hint="eastAsia" w:eastAsia="华文中宋"/>
          <w:b/>
          <w:bCs/>
          <w:snapToGrid w:val="0"/>
          <w:color w:val="auto"/>
          <w:kern w:val="0"/>
          <w:sz w:val="24"/>
          <w:highlight w:val="none"/>
        </w:rPr>
        <w:t>1.13发包人要求中的错误</w:t>
      </w:r>
      <w:bookmarkEnd w:id="325"/>
    </w:p>
    <w:p w14:paraId="377341D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5BB24A0B">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26" w:name="_Toc11199868"/>
      <w:bookmarkStart w:id="327" w:name="_Toc287444535"/>
      <w:r>
        <w:rPr>
          <w:rFonts w:hint="eastAsia" w:eastAsia="华文中宋"/>
          <w:b/>
          <w:bCs/>
          <w:snapToGrid w:val="0"/>
          <w:color w:val="auto"/>
          <w:kern w:val="0"/>
          <w:sz w:val="28"/>
          <w:szCs w:val="28"/>
          <w:highlight w:val="none"/>
        </w:rPr>
        <w:t>2.发包人义务</w:t>
      </w:r>
      <w:bookmarkEnd w:id="326"/>
    </w:p>
    <w:p w14:paraId="61CF7FE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8" w:name="_Toc11199869"/>
      <w:r>
        <w:rPr>
          <w:rFonts w:hint="eastAsia" w:eastAsia="华文中宋"/>
          <w:b/>
          <w:bCs/>
          <w:snapToGrid w:val="0"/>
          <w:color w:val="auto"/>
          <w:kern w:val="0"/>
          <w:sz w:val="24"/>
          <w:highlight w:val="none"/>
        </w:rPr>
        <w:t>2.3提供施工场地</w:t>
      </w:r>
      <w:bookmarkEnd w:id="328"/>
    </w:p>
    <w:bookmarkEnd w:id="327"/>
    <w:p w14:paraId="7069CC8D">
      <w:pPr>
        <w:widowControl w:val="0"/>
        <w:adjustRightInd w:val="0"/>
        <w:snapToGrid w:val="0"/>
        <w:spacing w:line="300" w:lineRule="auto"/>
        <w:ind w:firstLine="482" w:firstLineChars="200"/>
        <w:rPr>
          <w:color w:val="auto"/>
          <w:sz w:val="24"/>
          <w:highlight w:val="none"/>
        </w:rPr>
      </w:pPr>
      <w:r>
        <w:rPr>
          <w:b/>
          <w:snapToGrid w:val="0"/>
          <w:color w:val="auto"/>
          <w:kern w:val="0"/>
          <w:sz w:val="24"/>
          <w:highlight w:val="none"/>
        </w:rPr>
        <w:t>2</w:t>
      </w:r>
      <w:r>
        <w:rPr>
          <w:rFonts w:hint="eastAsia"/>
          <w:b/>
          <w:snapToGrid w:val="0"/>
          <w:color w:val="auto"/>
          <w:kern w:val="0"/>
          <w:sz w:val="24"/>
          <w:highlight w:val="none"/>
        </w:rPr>
        <w:t>.</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1</w:t>
      </w:r>
      <w:r>
        <w:rPr>
          <w:rFonts w:hint="eastAsia"/>
          <w:color w:val="auto"/>
          <w:sz w:val="24"/>
          <w:highlight w:val="none"/>
        </w:rPr>
        <w:t>发包人应在合同双方签订协议书后的</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14 </w:t>
      </w:r>
      <w:r>
        <w:rPr>
          <w:color w:val="auto"/>
          <w:sz w:val="24"/>
          <w:highlight w:val="none"/>
          <w:u w:val="single"/>
        </w:rPr>
        <w:t xml:space="preserve"> </w:t>
      </w:r>
      <w:r>
        <w:rPr>
          <w:rFonts w:hint="eastAsia"/>
          <w:color w:val="auto"/>
          <w:sz w:val="24"/>
          <w:highlight w:val="none"/>
        </w:rPr>
        <w:t>天内，将本合同工程的施工场地范围示意图（仅供承包人参考）提交给承包人，施工临时设布置由承包人根据自身施工方案自行确定。</w:t>
      </w:r>
    </w:p>
    <w:p w14:paraId="25D93A0E">
      <w:pPr>
        <w:widowControl w:val="0"/>
        <w:adjustRightInd w:val="0"/>
        <w:snapToGrid w:val="0"/>
        <w:spacing w:line="300" w:lineRule="auto"/>
        <w:ind w:firstLine="482" w:firstLineChars="200"/>
        <w:rPr>
          <w:color w:val="auto"/>
          <w:sz w:val="24"/>
          <w:highlight w:val="none"/>
        </w:rPr>
      </w:pPr>
      <w:r>
        <w:rPr>
          <w:b/>
          <w:snapToGrid w:val="0"/>
          <w:color w:val="auto"/>
          <w:kern w:val="0"/>
          <w:sz w:val="24"/>
          <w:highlight w:val="none"/>
        </w:rPr>
        <w:t>2</w:t>
      </w:r>
      <w:r>
        <w:rPr>
          <w:rFonts w:hint="eastAsia"/>
          <w:b/>
          <w:snapToGrid w:val="0"/>
          <w:color w:val="auto"/>
          <w:kern w:val="0"/>
          <w:sz w:val="24"/>
          <w:highlight w:val="none"/>
        </w:rPr>
        <w:t>.</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2</w:t>
      </w:r>
      <w:r>
        <w:rPr>
          <w:rFonts w:hint="eastAsia"/>
          <w:color w:val="auto"/>
          <w:sz w:val="24"/>
          <w:highlight w:val="none"/>
        </w:rPr>
        <w:t>发包人提供的用地范围：发包人负责办理永久用地及拆迁工作，并办理相关手续后提供给承包人在工程建设期间使用，承包人应无条件接受现场条件。超出上述数量范围确需使用的场地，承包人应事先向发包人提出申请，经批准同意并办理相关手续后方可实施，相关费用由承包人承担，相关手续由承包人协助发包人办理。</w:t>
      </w:r>
    </w:p>
    <w:p w14:paraId="1994F63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29" w:name="_Toc11199870"/>
      <w:r>
        <w:rPr>
          <w:rFonts w:hint="eastAsia" w:eastAsia="华文中宋"/>
          <w:b/>
          <w:bCs/>
          <w:snapToGrid w:val="0"/>
          <w:color w:val="auto"/>
          <w:kern w:val="0"/>
          <w:sz w:val="24"/>
          <w:highlight w:val="none"/>
        </w:rPr>
        <w:t>2.7其他义务</w:t>
      </w:r>
      <w:bookmarkEnd w:id="329"/>
    </w:p>
    <w:p w14:paraId="02B7631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1</w:t>
      </w:r>
      <w:r>
        <w:rPr>
          <w:rFonts w:hint="eastAsia"/>
          <w:snapToGrid w:val="0"/>
          <w:color w:val="auto"/>
          <w:kern w:val="0"/>
          <w:sz w:val="24"/>
          <w:highlight w:val="none"/>
        </w:rPr>
        <w:t>）</w:t>
      </w:r>
      <w:r>
        <w:rPr>
          <w:rFonts w:hint="eastAsia"/>
          <w:snapToGrid w:val="0"/>
          <w:color w:val="auto"/>
          <w:kern w:val="0"/>
          <w:sz w:val="24"/>
          <w:highlight w:val="none"/>
          <w:u w:val="single"/>
        </w:rPr>
        <w:t xml:space="preserve">        /         </w:t>
      </w:r>
      <w:r>
        <w:rPr>
          <w:rFonts w:hint="eastAsia"/>
          <w:snapToGrid w:val="0"/>
          <w:color w:val="auto"/>
          <w:kern w:val="0"/>
          <w:sz w:val="24"/>
          <w:highlight w:val="none"/>
        </w:rPr>
        <w:t>。</w:t>
      </w:r>
    </w:p>
    <w:p w14:paraId="5062516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2</w:t>
      </w:r>
      <w:r>
        <w:rPr>
          <w:rFonts w:hint="eastAsia"/>
          <w:snapToGrid w:val="0"/>
          <w:color w:val="auto"/>
          <w:kern w:val="0"/>
          <w:sz w:val="24"/>
          <w:highlight w:val="none"/>
        </w:rPr>
        <w:t>）</w:t>
      </w:r>
      <w:r>
        <w:rPr>
          <w:rFonts w:hint="eastAsia"/>
          <w:snapToGrid w:val="0"/>
          <w:color w:val="auto"/>
          <w:kern w:val="0"/>
          <w:sz w:val="24"/>
          <w:highlight w:val="none"/>
          <w:u w:val="single"/>
        </w:rPr>
        <w:t xml:space="preserve">        /         </w:t>
      </w:r>
      <w:r>
        <w:rPr>
          <w:rFonts w:hint="eastAsia"/>
          <w:snapToGrid w:val="0"/>
          <w:color w:val="auto"/>
          <w:kern w:val="0"/>
          <w:sz w:val="24"/>
          <w:highlight w:val="none"/>
        </w:rPr>
        <w:t>。</w:t>
      </w:r>
    </w:p>
    <w:p w14:paraId="66D9147D">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30" w:name="_Toc11199871"/>
      <w:r>
        <w:rPr>
          <w:rFonts w:hint="eastAsia" w:eastAsia="华文中宋"/>
          <w:b/>
          <w:bCs/>
          <w:snapToGrid w:val="0"/>
          <w:color w:val="auto"/>
          <w:kern w:val="0"/>
          <w:sz w:val="28"/>
          <w:szCs w:val="28"/>
          <w:highlight w:val="none"/>
        </w:rPr>
        <w:t>3.监理人</w:t>
      </w:r>
      <w:bookmarkEnd w:id="330"/>
    </w:p>
    <w:p w14:paraId="30F3E1D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1" w:name="_Toc11199872"/>
      <w:r>
        <w:rPr>
          <w:rFonts w:hint="eastAsia" w:eastAsia="华文中宋"/>
          <w:b/>
          <w:bCs/>
          <w:snapToGrid w:val="0"/>
          <w:color w:val="auto"/>
          <w:kern w:val="0"/>
          <w:sz w:val="24"/>
          <w:highlight w:val="none"/>
        </w:rPr>
        <w:t>3.1监理人的职责和权力</w:t>
      </w:r>
      <w:bookmarkEnd w:id="331"/>
    </w:p>
    <w:p w14:paraId="172CCF0D">
      <w:pPr>
        <w:widowControl w:val="0"/>
        <w:adjustRightInd w:val="0"/>
        <w:snapToGrid w:val="0"/>
        <w:spacing w:line="300" w:lineRule="auto"/>
        <w:ind w:firstLine="482" w:firstLineChars="200"/>
        <w:rPr>
          <w:color w:val="auto"/>
          <w:sz w:val="24"/>
          <w:highlight w:val="none"/>
          <w:u w:val="single"/>
        </w:rPr>
      </w:pPr>
      <w:r>
        <w:rPr>
          <w:rFonts w:hint="eastAsia"/>
          <w:b/>
          <w:snapToGrid w:val="0"/>
          <w:color w:val="auto"/>
          <w:kern w:val="0"/>
          <w:sz w:val="24"/>
          <w:highlight w:val="none"/>
        </w:rPr>
        <w:t>3.1.1</w:t>
      </w:r>
      <w:r>
        <w:rPr>
          <w:rFonts w:hint="eastAsia"/>
          <w:color w:val="auto"/>
          <w:sz w:val="24"/>
          <w:highlight w:val="none"/>
        </w:rPr>
        <w:t>监理人需经发包人事先批准行使的权力：</w:t>
      </w:r>
    </w:p>
    <w:p w14:paraId="2D0FF18D">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（1）根据第4.3条规定，批准工程分包；</w:t>
      </w:r>
    </w:p>
    <w:p w14:paraId="57B2812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（2）根据第11条的约定发出开始工作的通知、工期延误或提前的批准；</w:t>
      </w:r>
    </w:p>
    <w:p w14:paraId="76122B6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（3）根据第12条的约定发出暂停工作的通知；</w:t>
      </w:r>
    </w:p>
    <w:p w14:paraId="3217237F">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（4）根据第15条的约定发出变更通知。</w:t>
      </w:r>
    </w:p>
    <w:p w14:paraId="3CB9915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2" w:name="_Toc11199873"/>
      <w:bookmarkStart w:id="333" w:name="_Toc287444540"/>
      <w:r>
        <w:rPr>
          <w:rFonts w:hint="eastAsia" w:eastAsia="华文中宋"/>
          <w:b/>
          <w:bCs/>
          <w:snapToGrid w:val="0"/>
          <w:color w:val="auto"/>
          <w:kern w:val="0"/>
          <w:sz w:val="24"/>
          <w:highlight w:val="none"/>
        </w:rPr>
        <w:t>3.3监理人员</w:t>
      </w:r>
      <w:bookmarkEnd w:id="332"/>
      <w:bookmarkEnd w:id="333"/>
    </w:p>
    <w:p w14:paraId="36094DAF">
      <w:pPr>
        <w:widowControl w:val="0"/>
        <w:adjustRightInd w:val="0"/>
        <w:snapToGrid w:val="0"/>
        <w:spacing w:line="300" w:lineRule="auto"/>
        <w:ind w:firstLine="482" w:firstLineChars="200"/>
        <w:rPr>
          <w:color w:val="auto"/>
          <w:sz w:val="24"/>
          <w:highlight w:val="none"/>
        </w:rPr>
      </w:pPr>
      <w:r>
        <w:rPr>
          <w:rFonts w:hint="eastAsia"/>
          <w:b/>
          <w:color w:val="auto"/>
          <w:sz w:val="24"/>
          <w:highlight w:val="none"/>
        </w:rPr>
        <w:t>3.3.4</w:t>
      </w:r>
      <w:r>
        <w:rPr>
          <w:rFonts w:hint="eastAsia"/>
          <w:color w:val="auto"/>
          <w:sz w:val="24"/>
          <w:highlight w:val="none"/>
        </w:rPr>
        <w:t>总监理工程师不应将第3.5款约定应由总监理工程师作出确定的权力授权或者委托给其他监理人员。</w:t>
      </w:r>
    </w:p>
    <w:p w14:paraId="1DF60A51">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34" w:name="_Toc11199874"/>
      <w:bookmarkStart w:id="335" w:name="_Toc287444567"/>
      <w:r>
        <w:rPr>
          <w:rFonts w:hint="eastAsia" w:eastAsia="华文中宋"/>
          <w:b/>
          <w:bCs/>
          <w:snapToGrid w:val="0"/>
          <w:color w:val="auto"/>
          <w:kern w:val="0"/>
          <w:sz w:val="28"/>
          <w:szCs w:val="28"/>
          <w:highlight w:val="none"/>
        </w:rPr>
        <w:t>4.承包人</w:t>
      </w:r>
      <w:bookmarkEnd w:id="334"/>
    </w:p>
    <w:p w14:paraId="02F693C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6" w:name="_Toc11199875"/>
      <w:r>
        <w:rPr>
          <w:rFonts w:hint="eastAsia" w:eastAsia="华文中宋"/>
          <w:b/>
          <w:bCs/>
          <w:snapToGrid w:val="0"/>
          <w:color w:val="auto"/>
          <w:kern w:val="0"/>
          <w:sz w:val="24"/>
          <w:highlight w:val="none"/>
        </w:rPr>
        <w:t>4.1承包人的一般义务</w:t>
      </w:r>
      <w:bookmarkEnd w:id="336"/>
    </w:p>
    <w:p w14:paraId="4890F92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4.1.10其他义务</w:t>
      </w:r>
    </w:p>
    <w:p w14:paraId="2C3FD3D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4.1.10.1承包人应在开工3天前进驻施工场地，并将开工所需施工船舶、机械、设备按照合同约定进场到位 </w:t>
      </w:r>
      <w:r>
        <w:rPr>
          <w:rFonts w:hint="eastAsia"/>
          <w:color w:val="auto"/>
          <w:sz w:val="24"/>
          <w:highlight w:val="none"/>
        </w:rPr>
        <w:t>。</w:t>
      </w:r>
    </w:p>
    <w:p w14:paraId="27AFD90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开工3天前进驻施工场地的施工船舶、机械、设备名称及数量：满足配备要求和技术要求相关要求 </w:t>
      </w:r>
      <w:r>
        <w:rPr>
          <w:rFonts w:hint="eastAsia"/>
          <w:color w:val="auto"/>
          <w:sz w:val="24"/>
          <w:highlight w:val="none"/>
        </w:rPr>
        <w:t>。</w:t>
      </w:r>
    </w:p>
    <w:p w14:paraId="20265C55">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4.1.10.2承包人按照批准的临时设施总平面布置图及相关生活配套设施，负责施工现场的布置和临时设施的施工 </w:t>
      </w:r>
      <w:r>
        <w:rPr>
          <w:rFonts w:hint="eastAsia"/>
          <w:color w:val="auto"/>
          <w:sz w:val="24"/>
          <w:highlight w:val="none"/>
        </w:rPr>
        <w:t>。</w:t>
      </w:r>
    </w:p>
    <w:p w14:paraId="7AB0DA7A">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4.1.10.3承包人应妥善处理好与工程其他承包人的配合关系。发生交叉施工时，承包人和工程其他承包人应相互配合，友好协作，并服从监理人的统一协调 </w:t>
      </w:r>
      <w:r>
        <w:rPr>
          <w:rFonts w:hint="eastAsia"/>
          <w:color w:val="auto"/>
          <w:sz w:val="24"/>
          <w:highlight w:val="none"/>
        </w:rPr>
        <w:t>。</w:t>
      </w:r>
    </w:p>
    <w:p w14:paraId="6DBA83F6">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4.1.10.4承包人应根据工程施工情况及监理人的指令，及时向监理人提交开工报告、测量报告、试验检验报告、隐蔽工程验收通知、工程质量自检报告、竣工验收申请报告及工程事故报告等 </w:t>
      </w:r>
      <w:r>
        <w:rPr>
          <w:rFonts w:hint="eastAsia"/>
          <w:color w:val="auto"/>
          <w:sz w:val="24"/>
          <w:highlight w:val="none"/>
        </w:rPr>
        <w:t>。</w:t>
      </w:r>
    </w:p>
    <w:p w14:paraId="2765682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4.1.10.5承包人应支付为获得施工许可证及到港船舶检验等有关证件所需的费用；办理应由承包人办理的施工所需各种证件、批件和其他审批手续 </w:t>
      </w:r>
      <w:r>
        <w:rPr>
          <w:rFonts w:hint="eastAsia"/>
          <w:color w:val="auto"/>
          <w:sz w:val="24"/>
          <w:highlight w:val="none"/>
        </w:rPr>
        <w:t>。</w:t>
      </w:r>
    </w:p>
    <w:p w14:paraId="7858AC4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4.1.10.6承包人应解决施工船舶的临时停泊设施并不得阻塞航道、妨碍进出港船舶航行及安全，保证船舶在施工水域内航行安全和畅通 </w:t>
      </w:r>
      <w:r>
        <w:rPr>
          <w:rFonts w:hint="eastAsia"/>
          <w:color w:val="auto"/>
          <w:sz w:val="24"/>
          <w:highlight w:val="none"/>
        </w:rPr>
        <w:t>。</w:t>
      </w:r>
    </w:p>
    <w:p w14:paraId="7CD51386">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4.1.10.7承包人应采取一切措施，防止施工船舶、机械、设备及材料的沉没。若发生沉没，应立即向有关部门报告，并及时通知发包人、监理人。承包人应采取得当措施，及时设置浮标或障碍指示灯，直至打捞工作完成为止 </w:t>
      </w:r>
      <w:r>
        <w:rPr>
          <w:rFonts w:hint="eastAsia"/>
          <w:color w:val="auto"/>
          <w:sz w:val="24"/>
          <w:highlight w:val="none"/>
        </w:rPr>
        <w:t>。</w:t>
      </w:r>
    </w:p>
    <w:p w14:paraId="155AFAB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4.1.10.8承包人应充分考虑到施工现场所有的设备、临时建筑等防火安全，配备足够的防火设备</w:t>
      </w:r>
      <w:r>
        <w:rPr>
          <w:rFonts w:hint="eastAsia"/>
          <w:color w:val="auto"/>
          <w:sz w:val="24"/>
          <w:highlight w:val="none"/>
        </w:rPr>
        <w:t xml:space="preserve"> 。</w:t>
      </w:r>
    </w:p>
    <w:p w14:paraId="5E4FE0EB">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4.1.10.9承包人应在施工过程中对工程建筑物进行监测，并承担相应费用 </w:t>
      </w:r>
      <w:r>
        <w:rPr>
          <w:rFonts w:hint="eastAsia"/>
          <w:color w:val="auto"/>
          <w:sz w:val="24"/>
          <w:highlight w:val="none"/>
        </w:rPr>
        <w:t>。</w:t>
      </w:r>
    </w:p>
    <w:p w14:paraId="39746CF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4.1.10.10临时占地由承包人向当地政府土地管理部门申请，并办理租用手续，承包人按有关规定直接支付其费用，发包人对此将予以协调 </w:t>
      </w:r>
      <w:r>
        <w:rPr>
          <w:rFonts w:hint="eastAsia"/>
          <w:color w:val="auto"/>
          <w:sz w:val="24"/>
          <w:highlight w:val="none"/>
        </w:rPr>
        <w:t>。</w:t>
      </w:r>
    </w:p>
    <w:p w14:paraId="42841DA9">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临时占地范围包括承包人驻地的办公室、食堂、宿舍、道路和机械设备停放场、材料堆放场地、弃土场、预制场、拌和场、仓库、进场临时道路、临时码头</w:t>
      </w:r>
      <w:r>
        <w:rPr>
          <w:color w:val="auto"/>
          <w:sz w:val="24"/>
          <w:highlight w:val="none"/>
          <w:u w:val="single"/>
        </w:rPr>
        <w:t>、</w:t>
      </w:r>
      <w:r>
        <w:rPr>
          <w:rFonts w:hint="eastAsia"/>
          <w:color w:val="auto"/>
          <w:sz w:val="24"/>
          <w:highlight w:val="none"/>
          <w:u w:val="single"/>
        </w:rPr>
        <w:t xml:space="preserve">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占地的租地费用实行总额包干，列入工程量清单中由承包人按总额报价 </w:t>
      </w:r>
      <w:r>
        <w:rPr>
          <w:rFonts w:hint="eastAsia"/>
          <w:color w:val="auto"/>
          <w:sz w:val="24"/>
          <w:highlight w:val="none"/>
        </w:rPr>
        <w:t>。</w:t>
      </w:r>
    </w:p>
    <w:p w14:paraId="6172BA8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 </w:t>
      </w:r>
      <w:r>
        <w:rPr>
          <w:rFonts w:hint="eastAsia"/>
          <w:color w:val="auto"/>
          <w:sz w:val="24"/>
          <w:highlight w:val="none"/>
        </w:rPr>
        <w:t>。</w:t>
      </w:r>
    </w:p>
    <w:p w14:paraId="0969C61A">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4.1.10.11承包人应承担并支付为获得本合同工程所需的石料、砂、砾石、黏土或其他当地材料等所发生的料场使用费及其他开支或补偿费。发包人应尽可能协助承包人办理料场租用手续及解决使用过程中的有关问题 </w:t>
      </w:r>
      <w:r>
        <w:rPr>
          <w:rFonts w:hint="eastAsia"/>
          <w:color w:val="auto"/>
          <w:sz w:val="24"/>
          <w:highlight w:val="none"/>
        </w:rPr>
        <w:t>。</w:t>
      </w:r>
    </w:p>
    <w:p w14:paraId="39E181C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发包人协助办理的成功与否，不免除根据合同文件规定的承包人的一切责任 </w:t>
      </w:r>
      <w:r>
        <w:rPr>
          <w:rFonts w:hint="eastAsia"/>
          <w:color w:val="auto"/>
          <w:sz w:val="24"/>
          <w:highlight w:val="none"/>
        </w:rPr>
        <w:t>。</w:t>
      </w:r>
    </w:p>
    <w:p w14:paraId="1B3B8655">
      <w:pPr>
        <w:widowControl w:val="0"/>
        <w:adjustRightInd w:val="0"/>
        <w:snapToGrid w:val="0"/>
        <w:spacing w:line="300" w:lineRule="auto"/>
        <w:ind w:firstLine="480" w:firstLineChars="200"/>
        <w:rPr>
          <w:snapToGrid w:val="0"/>
          <w:color w:val="auto"/>
          <w:kern w:val="0"/>
          <w:sz w:val="24"/>
          <w:highlight w:val="none"/>
        </w:rPr>
      </w:pPr>
      <w:r>
        <w:rPr>
          <w:rFonts w:hint="eastAsia"/>
          <w:color w:val="auto"/>
          <w:sz w:val="24"/>
          <w:highlight w:val="none"/>
          <w:u w:val="single"/>
        </w:rPr>
        <w:t>4.1.10.12</w:t>
      </w:r>
      <w:r>
        <w:rPr>
          <w:rFonts w:hint="eastAsia"/>
          <w:snapToGrid w:val="0"/>
          <w:color w:val="auto"/>
          <w:kern w:val="0"/>
          <w:sz w:val="24"/>
          <w:highlight w:val="none"/>
          <w:u w:val="single"/>
        </w:rPr>
        <w:t xml:space="preserve">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 </w:t>
      </w:r>
      <w:r>
        <w:rPr>
          <w:rFonts w:hint="eastAsia"/>
          <w:snapToGrid w:val="0"/>
          <w:color w:val="auto"/>
          <w:kern w:val="0"/>
          <w:sz w:val="24"/>
          <w:highlight w:val="none"/>
        </w:rPr>
        <w:t>。</w:t>
      </w:r>
    </w:p>
    <w:p w14:paraId="559D2DB7">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u w:val="single"/>
        </w:rPr>
        <w:t xml:space="preserve">承包人的项目经理部是民工工资支付行为的主体，承包人的项目经理是民工工资支付的责任人。项目经理部要建立全体民工花名册和工资支付表（包含分包单位），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 </w:t>
      </w:r>
      <w:r>
        <w:rPr>
          <w:rFonts w:hint="eastAsia"/>
          <w:snapToGrid w:val="0"/>
          <w:color w:val="auto"/>
          <w:kern w:val="0"/>
          <w:sz w:val="24"/>
          <w:highlight w:val="none"/>
        </w:rPr>
        <w:t>。</w:t>
      </w:r>
    </w:p>
    <w:p w14:paraId="09EFA039">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u w:val="single"/>
        </w:rPr>
        <w:t xml:space="preserve">承包人应按规定缴纳农民工工资保证金 </w:t>
      </w:r>
      <w:r>
        <w:rPr>
          <w:rFonts w:hint="eastAsia"/>
          <w:snapToGrid w:val="0"/>
          <w:color w:val="auto"/>
          <w:kern w:val="0"/>
          <w:sz w:val="24"/>
          <w:highlight w:val="none"/>
        </w:rPr>
        <w:t>。</w:t>
      </w:r>
    </w:p>
    <w:p w14:paraId="2F1324F2">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4.1.10.13项目审计、稽查和检查等的配合</w:t>
      </w:r>
    </w:p>
    <w:p w14:paraId="0C7D2AA3">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a.与本工程项目相关的审计和稽查，承包人应高度重视并委派专人积极予以配合 </w:t>
      </w:r>
      <w:r>
        <w:rPr>
          <w:rFonts w:hint="eastAsia"/>
          <w:color w:val="auto"/>
          <w:sz w:val="24"/>
          <w:highlight w:val="none"/>
        </w:rPr>
        <w:t>；</w:t>
      </w:r>
    </w:p>
    <w:p w14:paraId="38D9771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b.有关单位对本项目的各种检查等活动，承包人有义务予以积极配合开展各项工作 </w:t>
      </w:r>
      <w:r>
        <w:rPr>
          <w:rFonts w:hint="eastAsia"/>
          <w:color w:val="auto"/>
          <w:sz w:val="24"/>
          <w:highlight w:val="none"/>
        </w:rPr>
        <w:t>；</w:t>
      </w:r>
    </w:p>
    <w:p w14:paraId="09B9CECD">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c.本工程项目有关的各类统计报表、汇报材料包括交（竣）工验收和项目后评价报告等，承包人有义务配合发包人做好编制工作并提供相应的资料 </w:t>
      </w:r>
      <w:r>
        <w:rPr>
          <w:rFonts w:hint="eastAsia"/>
          <w:color w:val="auto"/>
          <w:sz w:val="24"/>
          <w:highlight w:val="none"/>
        </w:rPr>
        <w:t>；</w:t>
      </w:r>
    </w:p>
    <w:p w14:paraId="383F391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d.承包人应按发包人、监理人和有关文件要求，建立相应的计量、支付和变更台帐，同时承包人应配合发包人、监理人建立相应的台帐，并保持其持续有效直至工程决算完成 </w:t>
      </w:r>
      <w:r>
        <w:rPr>
          <w:rFonts w:hint="eastAsia"/>
          <w:color w:val="auto"/>
          <w:sz w:val="24"/>
          <w:highlight w:val="none"/>
        </w:rPr>
        <w:t>。</w:t>
      </w:r>
    </w:p>
    <w:p w14:paraId="6C7EA835">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4.1.10.14与第三方检测、监控、科研单位的配合</w:t>
      </w:r>
    </w:p>
    <w:p w14:paraId="5207EC9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a.承包人必须积极配合、协助第三方检测、监控、科研等单位的工作，委派专人做好配合工作 </w:t>
      </w:r>
      <w:r>
        <w:rPr>
          <w:rFonts w:hint="eastAsia"/>
          <w:color w:val="auto"/>
          <w:sz w:val="24"/>
          <w:highlight w:val="none"/>
        </w:rPr>
        <w:t>；</w:t>
      </w:r>
    </w:p>
    <w:p w14:paraId="150B657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b.承包人应熟悉第三方检测、监控、科研等单位的检测、监控、科研实施方案和流程，配合工作也应有相应的方案，该方案须经监理人审批同意 </w:t>
      </w:r>
      <w:r>
        <w:rPr>
          <w:rFonts w:hint="eastAsia"/>
          <w:color w:val="auto"/>
          <w:sz w:val="24"/>
          <w:highlight w:val="none"/>
        </w:rPr>
        <w:t>；</w:t>
      </w:r>
    </w:p>
    <w:p w14:paraId="71418569">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c.施工检测、监控、科研过程中，应在监理人的统一调配下，承包人应尽可能地提供人员、材料、设备的便利，以便施工检测、监控、科研工作顺利的进行 </w:t>
      </w:r>
      <w:r>
        <w:rPr>
          <w:rFonts w:hint="eastAsia"/>
          <w:color w:val="auto"/>
          <w:sz w:val="24"/>
          <w:highlight w:val="none"/>
        </w:rPr>
        <w:t>；</w:t>
      </w:r>
    </w:p>
    <w:p w14:paraId="79A809E6">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d.承包人应参与检测、监控、科研资料的总结与分析工作 </w:t>
      </w:r>
      <w:r>
        <w:rPr>
          <w:rFonts w:hint="eastAsia"/>
          <w:color w:val="auto"/>
          <w:sz w:val="24"/>
          <w:highlight w:val="none"/>
        </w:rPr>
        <w:t>。</w:t>
      </w:r>
    </w:p>
    <w:p w14:paraId="3E90A707">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u w:val="single"/>
        </w:rPr>
        <w:t>4.1.10.1</w:t>
      </w:r>
      <w:r>
        <w:rPr>
          <w:color w:val="auto"/>
          <w:sz w:val="24"/>
          <w:highlight w:val="none"/>
          <w:u w:val="single"/>
        </w:rPr>
        <w:t>5</w:t>
      </w:r>
      <w:r>
        <w:rPr>
          <w:rFonts w:hint="eastAsia"/>
          <w:color w:val="auto"/>
          <w:sz w:val="24"/>
          <w:highlight w:val="none"/>
          <w:u w:val="single"/>
        </w:rPr>
        <w:t>地方道路的维护和管理</w:t>
      </w:r>
    </w:p>
    <w:p w14:paraId="4E6495BA">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承包人在使用地方道路过程中，必须采取一切措施确保车辆正常通行，做到施工、通车两不误。承包人应针对通车路段的施工特点，提出通车路段的施工维护方案，报监理人批准，并认真组织实施。施工方案和措施应包括 </w:t>
      </w:r>
      <w:r>
        <w:rPr>
          <w:rFonts w:hint="eastAsia"/>
          <w:color w:val="auto"/>
          <w:sz w:val="24"/>
          <w:highlight w:val="none"/>
        </w:rPr>
        <w:t>：</w:t>
      </w:r>
    </w:p>
    <w:p w14:paraId="03D0E6C7">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a.成立维护、管理组织，负责正常道路维护和交通管理工作 </w:t>
      </w:r>
      <w:r>
        <w:rPr>
          <w:rFonts w:hint="eastAsia"/>
          <w:color w:val="auto"/>
          <w:sz w:val="24"/>
          <w:highlight w:val="none"/>
        </w:rPr>
        <w:t>；</w:t>
      </w:r>
    </w:p>
    <w:p w14:paraId="00320A7B">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b.落实施工措施，根据实际情况合理分段、分幅安排施工，要控制施工长度，维持足够宽度，保持良好平整度，做到排水顺畅，路面无低洼积水，确保车辆能顺利交会，车辆平稳通过 </w:t>
      </w:r>
      <w:r>
        <w:rPr>
          <w:rFonts w:hint="eastAsia"/>
          <w:color w:val="auto"/>
          <w:sz w:val="24"/>
          <w:highlight w:val="none"/>
        </w:rPr>
        <w:t>；</w:t>
      </w:r>
    </w:p>
    <w:p w14:paraId="1AC8CE47">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c.配备交通管理标志，指定专人维护交通秩序</w:t>
      </w:r>
      <w:r>
        <w:rPr>
          <w:rFonts w:hint="eastAsia"/>
          <w:color w:val="auto"/>
          <w:sz w:val="24"/>
          <w:highlight w:val="none"/>
        </w:rPr>
        <w:t>；</w:t>
      </w:r>
    </w:p>
    <w:p w14:paraId="249E391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d.加强与交警联系，争取交警参与，建立交通管理制度</w:t>
      </w:r>
      <w:r>
        <w:rPr>
          <w:rFonts w:hint="eastAsia"/>
          <w:color w:val="auto"/>
          <w:sz w:val="24"/>
          <w:highlight w:val="none"/>
        </w:rPr>
        <w:t>。</w:t>
      </w:r>
    </w:p>
    <w:p w14:paraId="6501BBB0">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由于承包人措施不力，导致阻车和事故频发或损坏地方道路，影响交通安全和正常运行，并造成重大影响，引起索赔，赔偿、诉讼费用及工程拖延或施工费用增加时，应由承包人承担一切责任和费用 </w:t>
      </w:r>
      <w:r>
        <w:rPr>
          <w:rFonts w:hint="eastAsia"/>
          <w:color w:val="auto"/>
          <w:sz w:val="24"/>
          <w:highlight w:val="none"/>
        </w:rPr>
        <w:t>。</w:t>
      </w:r>
    </w:p>
    <w:p w14:paraId="0E8A4AF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6</w:t>
      </w:r>
      <w:r>
        <w:rPr>
          <w:rFonts w:hint="eastAsia"/>
          <w:color w:val="auto"/>
          <w:sz w:val="24"/>
          <w:highlight w:val="none"/>
          <w:u w:val="single"/>
        </w:rPr>
        <w:t xml:space="preserve">几个承包人在同一区域内施工时，监理人有权协调工程的实施，并对工程衔接作出指示，承包人应在监理人的统一协调下工作，承包人因此增加的费用应认为已包括在投标价之中，发包人不另行支付 </w:t>
      </w:r>
      <w:r>
        <w:rPr>
          <w:rFonts w:hint="eastAsia"/>
          <w:color w:val="auto"/>
          <w:sz w:val="24"/>
          <w:highlight w:val="none"/>
        </w:rPr>
        <w:t>。</w:t>
      </w:r>
    </w:p>
    <w:p w14:paraId="6A69F0FD">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7</w:t>
      </w:r>
      <w:r>
        <w:rPr>
          <w:rFonts w:hint="eastAsia"/>
          <w:color w:val="auto"/>
          <w:sz w:val="24"/>
          <w:highlight w:val="none"/>
          <w:u w:val="single"/>
        </w:rPr>
        <w:t xml:space="preserve">未经发包人事先批准，承包人不得在任何报纸、商业或技术文献上刊登或披露任何与本合同或与本工程有关的详细资料 </w:t>
      </w:r>
      <w:r>
        <w:rPr>
          <w:rFonts w:hint="eastAsia"/>
          <w:color w:val="auto"/>
          <w:sz w:val="24"/>
          <w:highlight w:val="none"/>
        </w:rPr>
        <w:t>。</w:t>
      </w:r>
    </w:p>
    <w:p w14:paraId="7D4F1A4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承包人不应在现场或施工设施上展示或允许展示任何贸易和商业性广告。在工地现场张贴布告，应事先得到监理人的批准，当监理人指示撤除时，应立即执行 </w:t>
      </w:r>
      <w:r>
        <w:rPr>
          <w:rFonts w:hint="eastAsia"/>
          <w:color w:val="auto"/>
          <w:sz w:val="24"/>
          <w:highlight w:val="none"/>
        </w:rPr>
        <w:t>。</w:t>
      </w:r>
    </w:p>
    <w:p w14:paraId="5EAF5BF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8</w:t>
      </w:r>
      <w:r>
        <w:rPr>
          <w:rFonts w:hint="eastAsia"/>
          <w:color w:val="auto"/>
          <w:sz w:val="24"/>
          <w:highlight w:val="none"/>
          <w:u w:val="single"/>
        </w:rPr>
        <w:t xml:space="preserve">承包人不得将任何种类的爆破器材给予、易货或以其他任何方式转给他人，承包人应遵守《中华人民共和国民用爆炸物品管理条例》。承包人在进行爆破施工时，应考虑爆破震动对周边设施和环境等的影响，避免对上述设施造成破坏，否则，由此引起的一切费用均由承包人承担 </w:t>
      </w:r>
      <w:r>
        <w:rPr>
          <w:rFonts w:hint="eastAsia"/>
          <w:color w:val="auto"/>
          <w:sz w:val="24"/>
          <w:highlight w:val="none"/>
        </w:rPr>
        <w:t>。</w:t>
      </w:r>
    </w:p>
    <w:p w14:paraId="08674A6E">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4.1.10.1</w:t>
      </w:r>
      <w:r>
        <w:rPr>
          <w:color w:val="auto"/>
          <w:sz w:val="24"/>
          <w:highlight w:val="none"/>
          <w:u w:val="single"/>
        </w:rPr>
        <w:t>9</w:t>
      </w:r>
      <w:r>
        <w:rPr>
          <w:rFonts w:hint="eastAsia"/>
          <w:color w:val="auto"/>
          <w:sz w:val="24"/>
          <w:highlight w:val="none"/>
          <w:u w:val="single"/>
        </w:rPr>
        <w:t xml:space="preserve">工程完工后，承包人所在标段的遗留问题，如（不限于）：河道清理、渣土清运、赔偿等，承包人应积极主动进行处理和解决，并承担所有费用。如果上述问题在发包人规定的期限内不能解决，发包人有权单独或委托其他单位进行处理，发生的全部费用从承包人保留金中抵扣，承包人应无条件接受 </w:t>
      </w:r>
      <w:r>
        <w:rPr>
          <w:rFonts w:hint="eastAsia"/>
          <w:color w:val="auto"/>
          <w:sz w:val="24"/>
          <w:highlight w:val="none"/>
        </w:rPr>
        <w:t>。</w:t>
      </w:r>
    </w:p>
    <w:p w14:paraId="7D9F0692">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w:t>
      </w:r>
      <w:r>
        <w:rPr>
          <w:color w:val="auto"/>
          <w:sz w:val="24"/>
          <w:highlight w:val="none"/>
          <w:u w:val="single"/>
        </w:rPr>
        <w:t>20</w:t>
      </w:r>
      <w:r>
        <w:rPr>
          <w:rFonts w:hint="eastAsia"/>
          <w:color w:val="auto"/>
          <w:sz w:val="24"/>
          <w:highlight w:val="none"/>
          <w:u w:val="single"/>
        </w:rPr>
        <w:t xml:space="preserve">维护社会稳定，承包人应做好相关工作维护社会稳定，避免发生因承包人未做好工作而引起群众性上访事件 </w:t>
      </w:r>
      <w:r>
        <w:rPr>
          <w:rFonts w:hint="eastAsia"/>
          <w:color w:val="auto"/>
          <w:sz w:val="24"/>
          <w:highlight w:val="none"/>
        </w:rPr>
        <w:t>。</w:t>
      </w:r>
    </w:p>
    <w:p w14:paraId="58CBFA1C">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4.1.10.2</w:t>
      </w:r>
      <w:r>
        <w:rPr>
          <w:color w:val="auto"/>
          <w:sz w:val="24"/>
          <w:highlight w:val="none"/>
          <w:u w:val="single"/>
        </w:rPr>
        <w:t>1</w:t>
      </w:r>
      <w:r>
        <w:rPr>
          <w:rFonts w:hint="eastAsia"/>
          <w:color w:val="auto"/>
          <w:sz w:val="24"/>
          <w:highlight w:val="none"/>
          <w:u w:val="single"/>
        </w:rPr>
        <w:t xml:space="preserve">承包人在施工过程中应对沿河管线采取保护措施，必要时需对保护方案进行专项审查，避免对上述设施造成破坏，由此产生的一切费用，均视为已经包含在相应工程的报价中，发包人不另行支付。否则，设施破坏引起的一起费用均由承包人承担 </w:t>
      </w:r>
      <w:r>
        <w:rPr>
          <w:rFonts w:hint="eastAsia"/>
          <w:color w:val="auto"/>
          <w:sz w:val="24"/>
          <w:highlight w:val="none"/>
        </w:rPr>
        <w:t>。</w:t>
      </w:r>
    </w:p>
    <w:p w14:paraId="659DD77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7" w:name="_Toc11199876"/>
      <w:r>
        <w:rPr>
          <w:rFonts w:hint="eastAsia" w:eastAsia="华文中宋"/>
          <w:b/>
          <w:bCs/>
          <w:snapToGrid w:val="0"/>
          <w:color w:val="auto"/>
          <w:kern w:val="0"/>
          <w:sz w:val="24"/>
          <w:highlight w:val="none"/>
        </w:rPr>
        <w:t>4.3分包和不得转包</w:t>
      </w:r>
      <w:bookmarkEnd w:id="337"/>
    </w:p>
    <w:p w14:paraId="7360B86A">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4.3.2</w:t>
      </w:r>
      <w:r>
        <w:rPr>
          <w:rFonts w:hint="eastAsia"/>
          <w:snapToGrid w:val="0"/>
          <w:color w:val="auto"/>
          <w:kern w:val="0"/>
          <w:sz w:val="24"/>
          <w:highlight w:val="none"/>
        </w:rPr>
        <w:t>本款全文修改为：分包应符合浙江省交通运输厅《浙江省公路水运工程施工分包管理办法（试行）》的相关要求。</w:t>
      </w:r>
    </w:p>
    <w:p w14:paraId="608FAAD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8" w:name="_Toc11199877"/>
      <w:r>
        <w:rPr>
          <w:rFonts w:hint="eastAsia" w:eastAsia="华文中宋"/>
          <w:b/>
          <w:bCs/>
          <w:snapToGrid w:val="0"/>
          <w:color w:val="auto"/>
          <w:kern w:val="0"/>
          <w:sz w:val="24"/>
          <w:highlight w:val="none"/>
        </w:rPr>
        <w:t>4.6承包人人员的管理</w:t>
      </w:r>
      <w:bookmarkEnd w:id="338"/>
    </w:p>
    <w:p w14:paraId="0299454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4.6.5款修改为：</w:t>
      </w:r>
    </w:p>
    <w:p w14:paraId="21F0101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（1）施工负责人每月驻工地的天数不少于22天，每少一天支付违约金1000元，但扣款最终的累计总金额不应超过</w:t>
      </w:r>
      <w:r>
        <w:rPr>
          <w:snapToGrid w:val="0"/>
          <w:color w:val="auto"/>
          <w:kern w:val="0"/>
          <w:sz w:val="24"/>
          <w:highlight w:val="none"/>
        </w:rPr>
        <w:t>5</w:t>
      </w:r>
      <w:r>
        <w:rPr>
          <w:rFonts w:hint="eastAsia"/>
          <w:snapToGrid w:val="0"/>
          <w:color w:val="auto"/>
          <w:kern w:val="0"/>
          <w:sz w:val="24"/>
          <w:highlight w:val="none"/>
        </w:rPr>
        <w:t>0万元。连续</w:t>
      </w:r>
      <w:r>
        <w:rPr>
          <w:snapToGrid w:val="0"/>
          <w:color w:val="auto"/>
          <w:kern w:val="0"/>
          <w:sz w:val="24"/>
          <w:highlight w:val="none"/>
        </w:rPr>
        <w:t>1</w:t>
      </w:r>
      <w:r>
        <w:rPr>
          <w:rFonts w:hint="eastAsia"/>
          <w:snapToGrid w:val="0"/>
          <w:color w:val="auto"/>
          <w:kern w:val="0"/>
          <w:sz w:val="24"/>
          <w:highlight w:val="none"/>
        </w:rPr>
        <w:t>个月及以上每月驻工地的天数少于15天的，发包人有权解除合同。</w:t>
      </w:r>
    </w:p>
    <w:p w14:paraId="11A5044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（3）施工安全负责人每月驻工地的天数不少于22天，每少一天支付违约金1000元，但每人扣款最终的累计总金额不应超过</w:t>
      </w:r>
      <w:r>
        <w:rPr>
          <w:snapToGrid w:val="0"/>
          <w:color w:val="auto"/>
          <w:kern w:val="0"/>
          <w:sz w:val="24"/>
          <w:highlight w:val="none"/>
        </w:rPr>
        <w:t>5</w:t>
      </w:r>
      <w:r>
        <w:rPr>
          <w:rFonts w:hint="eastAsia"/>
          <w:snapToGrid w:val="0"/>
          <w:color w:val="auto"/>
          <w:kern w:val="0"/>
          <w:sz w:val="24"/>
          <w:highlight w:val="none"/>
        </w:rPr>
        <w:t>0万元。连续</w:t>
      </w:r>
      <w:r>
        <w:rPr>
          <w:snapToGrid w:val="0"/>
          <w:color w:val="auto"/>
          <w:kern w:val="0"/>
          <w:sz w:val="24"/>
          <w:highlight w:val="none"/>
        </w:rPr>
        <w:t>1</w:t>
      </w:r>
      <w:r>
        <w:rPr>
          <w:rFonts w:hint="eastAsia"/>
          <w:snapToGrid w:val="0"/>
          <w:color w:val="auto"/>
          <w:kern w:val="0"/>
          <w:sz w:val="24"/>
          <w:highlight w:val="none"/>
        </w:rPr>
        <w:t>个月及以上每月驻工地的天数少于15天的，发包人有权解除合同。</w:t>
      </w:r>
    </w:p>
    <w:p w14:paraId="02A15F00">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上述违约金在实际结算价中扣除，在工地工作天数以监理人实际考勤记录为准。</w:t>
      </w:r>
    </w:p>
    <w:p w14:paraId="38436F41">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39" w:name="_Toc11199878"/>
      <w:r>
        <w:rPr>
          <w:rFonts w:hint="eastAsia" w:eastAsia="华文中宋"/>
          <w:b/>
          <w:bCs/>
          <w:snapToGrid w:val="0"/>
          <w:color w:val="auto"/>
          <w:kern w:val="0"/>
          <w:sz w:val="24"/>
          <w:highlight w:val="none"/>
        </w:rPr>
        <w:t>4.7撤换承包人项目经理和其他人员</w:t>
      </w:r>
      <w:bookmarkEnd w:id="339"/>
    </w:p>
    <w:p w14:paraId="0E0FEA3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本款补充：</w:t>
      </w:r>
    </w:p>
    <w:p w14:paraId="1399963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（1）施工负责人不得擅自更换。确需更换的，应征得发包人同意，且更换后的人员不得低于原投标承诺人员所具有的资格和业绩条件。未征得发包人同意擅自更换施工负责人的向发包人支付</w:t>
      </w:r>
      <w:r>
        <w:rPr>
          <w:snapToGrid w:val="0"/>
          <w:color w:val="auto"/>
          <w:kern w:val="0"/>
          <w:sz w:val="24"/>
          <w:highlight w:val="none"/>
        </w:rPr>
        <w:t>5</w:t>
      </w:r>
      <w:r>
        <w:rPr>
          <w:rFonts w:hint="eastAsia"/>
          <w:snapToGrid w:val="0"/>
          <w:color w:val="auto"/>
          <w:kern w:val="0"/>
          <w:sz w:val="24"/>
          <w:highlight w:val="none"/>
        </w:rPr>
        <w:t>万元的违约金。</w:t>
      </w:r>
    </w:p>
    <w:p w14:paraId="518149E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施工安全负责人不得擅自更换。确需更换的，应征得发包人同意，且更换后的人员不得低于原投标承诺人员所具有的资格和业绩条件。未征得发包人同意擅自更换施工安全负责人的更换一人次还须向发包人支付</w:t>
      </w:r>
      <w:r>
        <w:rPr>
          <w:snapToGrid w:val="0"/>
          <w:color w:val="auto"/>
          <w:kern w:val="0"/>
          <w:sz w:val="24"/>
          <w:highlight w:val="none"/>
        </w:rPr>
        <w:t>3</w:t>
      </w:r>
      <w:r>
        <w:rPr>
          <w:rFonts w:hint="eastAsia"/>
          <w:snapToGrid w:val="0"/>
          <w:color w:val="auto"/>
          <w:kern w:val="0"/>
          <w:sz w:val="24"/>
          <w:highlight w:val="none"/>
        </w:rPr>
        <w:t>万元的违约金。</w:t>
      </w:r>
    </w:p>
    <w:p w14:paraId="5D993E0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0" w:name="_Toc11199879"/>
      <w:r>
        <w:rPr>
          <w:rFonts w:hint="eastAsia" w:eastAsia="华文中宋"/>
          <w:b/>
          <w:bCs/>
          <w:snapToGrid w:val="0"/>
          <w:color w:val="auto"/>
          <w:kern w:val="0"/>
          <w:sz w:val="24"/>
          <w:highlight w:val="none"/>
        </w:rPr>
        <w:t>4.11不可预见物质条件</w:t>
      </w:r>
      <w:bookmarkEnd w:id="340"/>
    </w:p>
    <w:p w14:paraId="5AEDB94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执行通用合同条款（A）款，删除（B）款。</w:t>
      </w:r>
    </w:p>
    <w:p w14:paraId="6CE8F89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1" w:name="_Toc11199880"/>
      <w:r>
        <w:rPr>
          <w:rFonts w:hint="eastAsia" w:eastAsia="华文中宋"/>
          <w:b/>
          <w:bCs/>
          <w:snapToGrid w:val="0"/>
          <w:color w:val="auto"/>
          <w:kern w:val="0"/>
          <w:sz w:val="24"/>
          <w:highlight w:val="none"/>
        </w:rPr>
        <w:t>4.12进度计划</w:t>
      </w:r>
      <w:bookmarkEnd w:id="341"/>
    </w:p>
    <w:p w14:paraId="409563A4">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4.12.1合同进度计划</w:t>
      </w:r>
    </w:p>
    <w:bookmarkEnd w:id="335"/>
    <w:p w14:paraId="3E1C59A1">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监理人批复或修改进度意见的期限：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7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14:paraId="60A7412A">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4.12.</w:t>
      </w:r>
      <w:r>
        <w:rPr>
          <w:b/>
          <w:snapToGrid w:val="0"/>
          <w:color w:val="auto"/>
          <w:kern w:val="0"/>
          <w:sz w:val="24"/>
          <w:highlight w:val="none"/>
        </w:rPr>
        <w:t>2</w:t>
      </w:r>
      <w:r>
        <w:rPr>
          <w:rFonts w:hint="eastAsia"/>
          <w:b/>
          <w:snapToGrid w:val="0"/>
          <w:color w:val="auto"/>
          <w:kern w:val="0"/>
          <w:sz w:val="24"/>
          <w:highlight w:val="none"/>
        </w:rPr>
        <w:t>合同进度计划的修订</w:t>
      </w:r>
    </w:p>
    <w:p w14:paraId="0B7BD3A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承包人提交修订进度的期限：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5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14:paraId="2872AC7E">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监理人批复或修改进度意见的期限：</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7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rFonts w:hint="eastAsia"/>
          <w:snapToGrid w:val="0"/>
          <w:color w:val="auto"/>
          <w:kern w:val="0"/>
          <w:sz w:val="24"/>
          <w:highlight w:val="none"/>
        </w:rPr>
        <w:t>天内。</w:t>
      </w:r>
    </w:p>
    <w:p w14:paraId="525031EB">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2" w:name="_Toc11199881"/>
      <w:r>
        <w:rPr>
          <w:rFonts w:hint="eastAsia" w:eastAsia="华文中宋"/>
          <w:b/>
          <w:bCs/>
          <w:snapToGrid w:val="0"/>
          <w:color w:val="auto"/>
          <w:kern w:val="0"/>
          <w:sz w:val="28"/>
          <w:szCs w:val="28"/>
          <w:highlight w:val="none"/>
        </w:rPr>
        <w:t>5.设计</w:t>
      </w:r>
      <w:bookmarkEnd w:id="342"/>
    </w:p>
    <w:p w14:paraId="6997DD8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3" w:name="_Toc11199882"/>
      <w:r>
        <w:rPr>
          <w:rFonts w:hint="eastAsia" w:eastAsia="华文中宋"/>
          <w:b/>
          <w:bCs/>
          <w:snapToGrid w:val="0"/>
          <w:color w:val="auto"/>
          <w:kern w:val="0"/>
          <w:sz w:val="24"/>
          <w:highlight w:val="none"/>
        </w:rPr>
        <w:t>5.5竣工文件</w:t>
      </w:r>
      <w:bookmarkEnd w:id="343"/>
    </w:p>
    <w:p w14:paraId="021AB075">
      <w:pPr>
        <w:widowControl w:val="0"/>
        <w:adjustRightInd w:val="0"/>
        <w:snapToGrid w:val="0"/>
        <w:spacing w:line="300" w:lineRule="auto"/>
        <w:ind w:firstLine="482" w:firstLineChars="200"/>
        <w:rPr>
          <w:color w:val="auto"/>
          <w:sz w:val="24"/>
          <w:highlight w:val="none"/>
          <w:u w:val="single"/>
        </w:rPr>
      </w:pPr>
      <w:r>
        <w:rPr>
          <w:rFonts w:hint="eastAsia"/>
          <w:b/>
          <w:snapToGrid w:val="0"/>
          <w:color w:val="auto"/>
          <w:kern w:val="0"/>
          <w:sz w:val="24"/>
          <w:highlight w:val="none"/>
        </w:rPr>
        <w:t>5.5.1</w:t>
      </w:r>
      <w:r>
        <w:rPr>
          <w:rFonts w:hint="eastAsia"/>
          <w:color w:val="auto"/>
          <w:sz w:val="24"/>
          <w:highlight w:val="none"/>
        </w:rPr>
        <w:t>承包人负责整理和提交的竣工验收资料应当符合工程所在地建设行政主管部门和（或）城市建设档案管理机构有关施工资料的要求，具体内容包括：</w:t>
      </w:r>
      <w:r>
        <w:rPr>
          <w:rFonts w:hint="eastAsia"/>
          <w:color w:val="auto"/>
          <w:sz w:val="24"/>
          <w:highlight w:val="none"/>
          <w:u w:val="single"/>
        </w:rPr>
        <w:t xml:space="preserve">  根据有关规定  </w:t>
      </w:r>
      <w:r>
        <w:rPr>
          <w:rFonts w:hint="eastAsia"/>
          <w:color w:val="auto"/>
          <w:sz w:val="24"/>
          <w:highlight w:val="none"/>
        </w:rPr>
        <w:t>。</w:t>
      </w:r>
    </w:p>
    <w:p w14:paraId="54F02A4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竣工验收资料的份数：</w:t>
      </w:r>
      <w:r>
        <w:rPr>
          <w:rFonts w:hint="eastAsia"/>
          <w:color w:val="auto"/>
          <w:sz w:val="24"/>
          <w:highlight w:val="none"/>
          <w:u w:val="single"/>
        </w:rPr>
        <w:t xml:space="preserve">   6份   </w:t>
      </w:r>
      <w:r>
        <w:rPr>
          <w:rFonts w:hint="eastAsia"/>
          <w:color w:val="auto"/>
          <w:sz w:val="24"/>
          <w:highlight w:val="none"/>
        </w:rPr>
        <w:t>。</w:t>
      </w:r>
    </w:p>
    <w:p w14:paraId="1C91F0D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竣工验收资料的费用支付方式：</w:t>
      </w:r>
      <w:r>
        <w:rPr>
          <w:rFonts w:hint="eastAsia"/>
          <w:color w:val="auto"/>
          <w:sz w:val="24"/>
          <w:highlight w:val="none"/>
          <w:u w:val="single"/>
        </w:rPr>
        <w:t xml:space="preserve"> 由承包人承担 </w:t>
      </w:r>
      <w:r>
        <w:rPr>
          <w:rFonts w:hint="eastAsia"/>
          <w:color w:val="auto"/>
          <w:sz w:val="24"/>
          <w:highlight w:val="none"/>
        </w:rPr>
        <w:t>。</w:t>
      </w:r>
    </w:p>
    <w:p w14:paraId="25D0F77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4" w:name="_Toc11199883"/>
      <w:r>
        <w:rPr>
          <w:rFonts w:hint="eastAsia" w:eastAsia="华文中宋"/>
          <w:b/>
          <w:bCs/>
          <w:snapToGrid w:val="0"/>
          <w:color w:val="auto"/>
          <w:kern w:val="0"/>
          <w:sz w:val="28"/>
          <w:szCs w:val="28"/>
          <w:highlight w:val="none"/>
        </w:rPr>
        <w:t>6.材料和工程设备</w:t>
      </w:r>
      <w:bookmarkEnd w:id="344"/>
    </w:p>
    <w:p w14:paraId="5CB2732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5" w:name="_Toc11199884"/>
      <w:r>
        <w:rPr>
          <w:rFonts w:hint="eastAsia" w:eastAsia="华文中宋"/>
          <w:b/>
          <w:bCs/>
          <w:snapToGrid w:val="0"/>
          <w:color w:val="auto"/>
          <w:kern w:val="0"/>
          <w:sz w:val="24"/>
          <w:highlight w:val="none"/>
        </w:rPr>
        <w:t>6.1承包人提供的材料和工程设备</w:t>
      </w:r>
      <w:bookmarkEnd w:id="345"/>
    </w:p>
    <w:p w14:paraId="44F7D690">
      <w:pPr>
        <w:widowControl w:val="0"/>
        <w:adjustRightInd w:val="0"/>
        <w:snapToGrid w:val="0"/>
        <w:spacing w:line="300" w:lineRule="auto"/>
        <w:ind w:firstLine="482" w:firstLineChars="200"/>
        <w:rPr>
          <w:color w:val="auto"/>
          <w:szCs w:val="21"/>
          <w:highlight w:val="none"/>
        </w:rPr>
      </w:pPr>
      <w:r>
        <w:rPr>
          <w:rFonts w:hint="eastAsia"/>
          <w:b/>
          <w:snapToGrid w:val="0"/>
          <w:color w:val="auto"/>
          <w:kern w:val="0"/>
          <w:sz w:val="24"/>
          <w:highlight w:val="none"/>
        </w:rPr>
        <w:t>6.1.2</w:t>
      </w:r>
      <w:r>
        <w:rPr>
          <w:rFonts w:hint="eastAsia"/>
          <w:color w:val="auto"/>
          <w:sz w:val="24"/>
          <w:highlight w:val="none"/>
        </w:rPr>
        <w:t>承包人将由其提供的材料和工程设备的供货人及品种、规格、数量和供货时间等报送监理人审批的期限：</w:t>
      </w:r>
      <w:r>
        <w:rPr>
          <w:rFonts w:hint="eastAsia"/>
          <w:color w:val="auto"/>
          <w:sz w:val="24"/>
          <w:highlight w:val="none"/>
          <w:u w:val="single"/>
        </w:rPr>
        <w:t xml:space="preserve">   按监理人规定    </w:t>
      </w:r>
      <w:r>
        <w:rPr>
          <w:rFonts w:hint="eastAsia"/>
          <w:color w:val="auto"/>
          <w:szCs w:val="21"/>
          <w:highlight w:val="none"/>
        </w:rPr>
        <w:t>。</w:t>
      </w:r>
    </w:p>
    <w:p w14:paraId="72EF2BC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6" w:name="_Toc11199885"/>
      <w:r>
        <w:rPr>
          <w:rFonts w:hint="eastAsia" w:eastAsia="华文中宋"/>
          <w:b/>
          <w:bCs/>
          <w:snapToGrid w:val="0"/>
          <w:color w:val="auto"/>
          <w:kern w:val="0"/>
          <w:sz w:val="24"/>
          <w:highlight w:val="none"/>
        </w:rPr>
        <w:t>6.2发包人提供的材料和工程设备</w:t>
      </w:r>
      <w:bookmarkEnd w:id="346"/>
    </w:p>
    <w:p w14:paraId="5C6F467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33EFF11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发包人不向承包人提供材料和工程设备。</w:t>
      </w:r>
    </w:p>
    <w:p w14:paraId="1701DF3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7" w:name="_Toc11199886"/>
      <w:r>
        <w:rPr>
          <w:rFonts w:hint="eastAsia" w:eastAsia="华文中宋"/>
          <w:b/>
          <w:bCs/>
          <w:snapToGrid w:val="0"/>
          <w:color w:val="auto"/>
          <w:kern w:val="0"/>
          <w:sz w:val="28"/>
          <w:szCs w:val="28"/>
          <w:highlight w:val="none"/>
        </w:rPr>
        <w:t>7.施工设备和临时设施</w:t>
      </w:r>
      <w:bookmarkEnd w:id="347"/>
    </w:p>
    <w:p w14:paraId="3DDD409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48" w:name="_Toc11199887"/>
      <w:r>
        <w:rPr>
          <w:rFonts w:hint="eastAsia" w:eastAsia="华文中宋"/>
          <w:b/>
          <w:bCs/>
          <w:snapToGrid w:val="0"/>
          <w:color w:val="auto"/>
          <w:kern w:val="0"/>
          <w:sz w:val="24"/>
          <w:highlight w:val="none"/>
        </w:rPr>
        <w:t>7.2发包人提供的施工设备和临时设施</w:t>
      </w:r>
      <w:bookmarkEnd w:id="348"/>
    </w:p>
    <w:p w14:paraId="6C037AC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5E99A250">
      <w:pPr>
        <w:widowControl w:val="0"/>
        <w:adjustRightInd w:val="0"/>
        <w:snapToGrid w:val="0"/>
        <w:spacing w:line="300" w:lineRule="auto"/>
        <w:ind w:firstLine="480" w:firstLineChars="200"/>
        <w:rPr>
          <w:color w:val="auto"/>
          <w:sz w:val="24"/>
          <w:highlight w:val="none"/>
        </w:rPr>
      </w:pPr>
      <w:r>
        <w:rPr>
          <w:rFonts w:hint="eastAsia"/>
          <w:snapToGrid w:val="0"/>
          <w:color w:val="auto"/>
          <w:kern w:val="0"/>
          <w:sz w:val="24"/>
          <w:highlight w:val="none"/>
        </w:rPr>
        <w:t>发包人不提供施工设备或临时设施</w:t>
      </w:r>
      <w:r>
        <w:rPr>
          <w:rFonts w:hint="eastAsia"/>
          <w:color w:val="auto"/>
          <w:sz w:val="24"/>
          <w:highlight w:val="none"/>
        </w:rPr>
        <w:t>。</w:t>
      </w:r>
    </w:p>
    <w:p w14:paraId="5C8A1EA6">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49" w:name="_Toc11199888"/>
      <w:r>
        <w:rPr>
          <w:rFonts w:hint="eastAsia" w:eastAsia="华文中宋"/>
          <w:b/>
          <w:bCs/>
          <w:snapToGrid w:val="0"/>
          <w:color w:val="auto"/>
          <w:kern w:val="0"/>
          <w:sz w:val="28"/>
          <w:szCs w:val="28"/>
          <w:highlight w:val="none"/>
        </w:rPr>
        <w:t>8.交通运输</w:t>
      </w:r>
      <w:bookmarkEnd w:id="349"/>
    </w:p>
    <w:p w14:paraId="39C6B7F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0" w:name="_Toc11199889"/>
      <w:r>
        <w:rPr>
          <w:rFonts w:hint="eastAsia" w:eastAsia="华文中宋"/>
          <w:b/>
          <w:bCs/>
          <w:snapToGrid w:val="0"/>
          <w:color w:val="auto"/>
          <w:kern w:val="0"/>
          <w:sz w:val="24"/>
          <w:highlight w:val="none"/>
        </w:rPr>
        <w:t>8.1道路通行权和场外设施</w:t>
      </w:r>
      <w:bookmarkEnd w:id="350"/>
    </w:p>
    <w:p w14:paraId="178C93F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0716242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1" w:name="_Toc11199890"/>
      <w:bookmarkStart w:id="352" w:name="_Toc287444560"/>
      <w:r>
        <w:rPr>
          <w:rFonts w:hint="eastAsia" w:eastAsia="华文中宋"/>
          <w:b/>
          <w:bCs/>
          <w:snapToGrid w:val="0"/>
          <w:color w:val="auto"/>
          <w:kern w:val="0"/>
          <w:sz w:val="28"/>
          <w:szCs w:val="28"/>
          <w:highlight w:val="none"/>
        </w:rPr>
        <w:t>9.测量放线</w:t>
      </w:r>
      <w:bookmarkEnd w:id="351"/>
      <w:bookmarkEnd w:id="352"/>
    </w:p>
    <w:p w14:paraId="7775E4C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3" w:name="_Toc11199891"/>
      <w:bookmarkStart w:id="354" w:name="_Toc287444561"/>
      <w:r>
        <w:rPr>
          <w:rFonts w:hint="eastAsia" w:eastAsia="华文中宋"/>
          <w:b/>
          <w:bCs/>
          <w:snapToGrid w:val="0"/>
          <w:color w:val="auto"/>
          <w:kern w:val="0"/>
          <w:sz w:val="24"/>
          <w:highlight w:val="none"/>
        </w:rPr>
        <w:t>9.1施工控制网</w:t>
      </w:r>
      <w:bookmarkEnd w:id="353"/>
      <w:bookmarkEnd w:id="354"/>
    </w:p>
    <w:p w14:paraId="00D77740">
      <w:pPr>
        <w:widowControl w:val="0"/>
        <w:adjustRightInd w:val="0"/>
        <w:snapToGrid w:val="0"/>
        <w:spacing w:line="300" w:lineRule="auto"/>
        <w:ind w:firstLine="482" w:firstLineChars="200"/>
        <w:rPr>
          <w:color w:val="auto"/>
          <w:szCs w:val="21"/>
          <w:highlight w:val="none"/>
        </w:rPr>
      </w:pPr>
      <w:r>
        <w:rPr>
          <w:rFonts w:hint="eastAsia"/>
          <w:b/>
          <w:snapToGrid w:val="0"/>
          <w:color w:val="auto"/>
          <w:kern w:val="0"/>
          <w:sz w:val="24"/>
          <w:highlight w:val="none"/>
        </w:rPr>
        <w:t>9.1.1</w:t>
      </w:r>
      <w:r>
        <w:rPr>
          <w:rFonts w:hint="eastAsia"/>
          <w:color w:val="auto"/>
          <w:sz w:val="24"/>
          <w:highlight w:val="none"/>
        </w:rPr>
        <w:t>发包人通过监理人提供测量基准点、基准线和水准点及其书面资料的期限：</w:t>
      </w:r>
      <w:r>
        <w:rPr>
          <w:rFonts w:hint="eastAsia"/>
          <w:color w:val="auto"/>
          <w:sz w:val="24"/>
          <w:highlight w:val="none"/>
          <w:u w:val="single"/>
        </w:rPr>
        <w:t xml:space="preserve"> 开工前7天 </w:t>
      </w:r>
      <w:r>
        <w:rPr>
          <w:rFonts w:hint="eastAsia"/>
          <w:color w:val="auto"/>
          <w:sz w:val="24"/>
          <w:highlight w:val="none"/>
        </w:rPr>
        <w:t>。</w:t>
      </w:r>
    </w:p>
    <w:p w14:paraId="65067F9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承包人测设施工控制网的要求：</w:t>
      </w:r>
      <w:r>
        <w:rPr>
          <w:rFonts w:hint="eastAsia"/>
          <w:color w:val="auto"/>
          <w:sz w:val="24"/>
          <w:highlight w:val="none"/>
          <w:u w:val="single"/>
        </w:rPr>
        <w:t xml:space="preserve">   根据有关规定   </w:t>
      </w:r>
      <w:r>
        <w:rPr>
          <w:rFonts w:hint="eastAsia"/>
          <w:color w:val="auto"/>
          <w:sz w:val="24"/>
          <w:highlight w:val="none"/>
        </w:rPr>
        <w:t>。</w:t>
      </w:r>
    </w:p>
    <w:p w14:paraId="45594CD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承包人将施工控制网资料报送监理人审批的期限：</w:t>
      </w:r>
      <w:r>
        <w:rPr>
          <w:rFonts w:hint="eastAsia"/>
          <w:color w:val="auto"/>
          <w:sz w:val="24"/>
          <w:highlight w:val="none"/>
          <w:u w:val="single"/>
        </w:rPr>
        <w:t xml:space="preserve">   3天   </w:t>
      </w:r>
      <w:r>
        <w:rPr>
          <w:rFonts w:hint="eastAsia"/>
          <w:color w:val="auto"/>
          <w:sz w:val="24"/>
          <w:highlight w:val="none"/>
        </w:rPr>
        <w:t>。</w:t>
      </w:r>
    </w:p>
    <w:p w14:paraId="0DE5FE5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5" w:name="_Toc11199892"/>
      <w:r>
        <w:rPr>
          <w:rFonts w:hint="eastAsia" w:eastAsia="华文中宋"/>
          <w:b/>
          <w:bCs/>
          <w:snapToGrid w:val="0"/>
          <w:color w:val="auto"/>
          <w:kern w:val="0"/>
          <w:sz w:val="28"/>
          <w:szCs w:val="28"/>
          <w:highlight w:val="none"/>
        </w:rPr>
        <w:t>10.安全、治安保卫和环境保护</w:t>
      </w:r>
      <w:bookmarkEnd w:id="355"/>
    </w:p>
    <w:p w14:paraId="4B5B43D2">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6" w:name="_Toc11199893"/>
      <w:r>
        <w:rPr>
          <w:rFonts w:hint="eastAsia" w:eastAsia="华文中宋"/>
          <w:b/>
          <w:bCs/>
          <w:snapToGrid w:val="0"/>
          <w:color w:val="auto"/>
          <w:kern w:val="0"/>
          <w:sz w:val="24"/>
          <w:highlight w:val="none"/>
        </w:rPr>
        <w:t>10.2承包人的安全责任</w:t>
      </w:r>
      <w:bookmarkEnd w:id="356"/>
    </w:p>
    <w:p w14:paraId="07459E91">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10.2.1</w:t>
      </w:r>
      <w:r>
        <w:rPr>
          <w:rFonts w:hint="eastAsia"/>
          <w:color w:val="auto"/>
          <w:sz w:val="24"/>
          <w:highlight w:val="none"/>
        </w:rPr>
        <w:t>承包人向监理人报送施工安全措施计划的期限：</w:t>
      </w:r>
      <w:r>
        <w:rPr>
          <w:rFonts w:hint="eastAsia"/>
          <w:color w:val="auto"/>
          <w:sz w:val="24"/>
          <w:highlight w:val="none"/>
          <w:u w:val="single"/>
        </w:rPr>
        <w:t xml:space="preserve">   开始工作前7天   </w:t>
      </w:r>
      <w:r>
        <w:rPr>
          <w:rFonts w:hint="eastAsia"/>
          <w:color w:val="auto"/>
          <w:sz w:val="24"/>
          <w:highlight w:val="none"/>
        </w:rPr>
        <w:t>。</w:t>
      </w:r>
    </w:p>
    <w:p w14:paraId="14E0DAE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监理人收到承包人报送的施工安全措施计划后应当在</w:t>
      </w:r>
      <w:r>
        <w:rPr>
          <w:rFonts w:hint="eastAsia"/>
          <w:color w:val="auto"/>
          <w:sz w:val="24"/>
          <w:highlight w:val="none"/>
          <w:u w:val="single"/>
        </w:rPr>
        <w:t xml:space="preserve">   7   </w:t>
      </w:r>
      <w:r>
        <w:rPr>
          <w:rFonts w:hint="eastAsia"/>
          <w:color w:val="auto"/>
          <w:sz w:val="24"/>
          <w:highlight w:val="none"/>
        </w:rPr>
        <w:t>天内给予批复。</w:t>
      </w:r>
    </w:p>
    <w:p w14:paraId="113A6234">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57" w:name="_Toc11199894"/>
      <w:r>
        <w:rPr>
          <w:rFonts w:hint="eastAsia" w:eastAsia="华文中宋"/>
          <w:b/>
          <w:bCs/>
          <w:snapToGrid w:val="0"/>
          <w:color w:val="auto"/>
          <w:kern w:val="0"/>
          <w:sz w:val="28"/>
          <w:szCs w:val="28"/>
          <w:highlight w:val="none"/>
        </w:rPr>
        <w:t>11.开始工作和竣工</w:t>
      </w:r>
      <w:bookmarkEnd w:id="357"/>
    </w:p>
    <w:p w14:paraId="07D624A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8" w:name="_Toc11199895"/>
      <w:r>
        <w:rPr>
          <w:rFonts w:hint="eastAsia" w:eastAsia="华文中宋"/>
          <w:b/>
          <w:bCs/>
          <w:snapToGrid w:val="0"/>
          <w:color w:val="auto"/>
          <w:kern w:val="0"/>
          <w:sz w:val="24"/>
          <w:highlight w:val="none"/>
        </w:rPr>
        <w:t>11.1开始工作</w:t>
      </w:r>
      <w:bookmarkEnd w:id="358"/>
    </w:p>
    <w:p w14:paraId="3D490A9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本款全文修改为下文：</w:t>
      </w:r>
    </w:p>
    <w:p w14:paraId="3628EAC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（1）自合同签订之次日起，承包人根据合同要求开展工作。</w:t>
      </w:r>
    </w:p>
    <w:p w14:paraId="5AC286B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（2）监理人提前7天向承包人发出施工开工通知，施工工期自开工通知中载明的开工日期起计算。</w:t>
      </w:r>
    </w:p>
    <w:p w14:paraId="73B5FDF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（3）监理人发出施工开工通知的条件：</w:t>
      </w:r>
    </w:p>
    <w:p w14:paraId="27DC68B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a.承包人提供的经审查的施工图设计可以满足工程施工需要；</w:t>
      </w:r>
    </w:p>
    <w:p w14:paraId="4DA8E2E8">
      <w:pPr>
        <w:widowControl w:val="0"/>
        <w:adjustRightInd w:val="0"/>
        <w:snapToGrid w:val="0"/>
        <w:spacing w:line="300" w:lineRule="auto"/>
        <w:ind w:firstLine="480" w:firstLineChars="200"/>
        <w:rPr>
          <w:color w:val="auto"/>
          <w:sz w:val="24"/>
          <w:highlight w:val="none"/>
        </w:rPr>
      </w:pPr>
      <w:r>
        <w:rPr>
          <w:color w:val="auto"/>
          <w:sz w:val="24"/>
          <w:highlight w:val="none"/>
        </w:rPr>
        <w:t>b</w:t>
      </w:r>
      <w:r>
        <w:rPr>
          <w:rFonts w:hint="eastAsia"/>
          <w:color w:val="auto"/>
          <w:sz w:val="24"/>
          <w:highlight w:val="none"/>
        </w:rPr>
        <w:t>.现场施工准备等建设外部条件能够满足工程开工需要；</w:t>
      </w:r>
    </w:p>
    <w:p w14:paraId="6315B63F">
      <w:pPr>
        <w:widowControl w:val="0"/>
        <w:adjustRightInd w:val="0"/>
        <w:snapToGrid w:val="0"/>
        <w:spacing w:line="300" w:lineRule="auto"/>
        <w:ind w:firstLine="480" w:firstLineChars="200"/>
        <w:rPr>
          <w:color w:val="auto"/>
          <w:sz w:val="24"/>
          <w:highlight w:val="none"/>
        </w:rPr>
      </w:pPr>
      <w:r>
        <w:rPr>
          <w:color w:val="auto"/>
          <w:sz w:val="24"/>
          <w:highlight w:val="none"/>
        </w:rPr>
        <w:t>c</w:t>
      </w:r>
      <w:r>
        <w:rPr>
          <w:rFonts w:hint="eastAsia"/>
          <w:color w:val="auto"/>
          <w:sz w:val="24"/>
          <w:highlight w:val="none"/>
        </w:rPr>
        <w:t>.除承包人自身原因以外开工条件均已满足。</w:t>
      </w:r>
    </w:p>
    <w:p w14:paraId="52FD722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59" w:name="_Toc11199896"/>
      <w:r>
        <w:rPr>
          <w:rFonts w:hint="eastAsia" w:eastAsia="华文中宋"/>
          <w:b/>
          <w:bCs/>
          <w:snapToGrid w:val="0"/>
          <w:color w:val="auto"/>
          <w:kern w:val="0"/>
          <w:sz w:val="24"/>
          <w:highlight w:val="none"/>
        </w:rPr>
        <w:t>11.4异常恶劣的气候条件</w:t>
      </w:r>
      <w:bookmarkEnd w:id="359"/>
    </w:p>
    <w:p w14:paraId="722160F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异常恶劣的气候条件是指水运工程水域施工作业难以正常进行或须采取其他补救措施才能进行的气候条件。一般是指：</w:t>
      </w:r>
    </w:p>
    <w:p w14:paraId="0592061B">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（1）持续高温：连续三日日最高气温38℃以上；</w:t>
      </w:r>
    </w:p>
    <w:p w14:paraId="4E00DE99">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（2）持续低温：连续三日日最低气温- 20℃以下；</w:t>
      </w:r>
    </w:p>
    <w:p w14:paraId="1268748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（3）大风天气：施工水域日风力在6级以上且持续时间不少于4小时，或阵风大于8级；</w:t>
      </w:r>
    </w:p>
    <w:p w14:paraId="4C4BAD9F">
      <w:pPr>
        <w:widowControl w:val="0"/>
        <w:adjustRightInd w:val="0"/>
        <w:snapToGrid w:val="0"/>
        <w:spacing w:line="300" w:lineRule="auto"/>
        <w:ind w:firstLine="480" w:firstLineChars="200"/>
        <w:rPr>
          <w:color w:val="auto"/>
          <w:sz w:val="24"/>
          <w:szCs w:val="24"/>
          <w:highlight w:val="none"/>
        </w:rPr>
      </w:pPr>
      <w:r>
        <w:rPr>
          <w:color w:val="auto"/>
          <w:sz w:val="24"/>
          <w:szCs w:val="24"/>
          <w:highlight w:val="none"/>
        </w:rPr>
        <w:t>（4）暴雨天气：日降雨量50mm及以上，或降雨强度大于20mm/h；</w:t>
      </w:r>
    </w:p>
    <w:p w14:paraId="0E507E4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（5）暴雪天气：日降雪量l0mm及以上；</w:t>
      </w:r>
    </w:p>
    <w:p w14:paraId="410981F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（6）流速或波浪：内河3.5米／秒及以上流速，海上2米及以上的大浪和强浪；</w:t>
      </w:r>
    </w:p>
    <w:p w14:paraId="24CC03E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（7）水淹：施工场地大部或全部被潮水、洪水或雨水淹没超过1天；</w:t>
      </w:r>
    </w:p>
    <w:p w14:paraId="6081F5DF">
      <w:pPr>
        <w:widowControl w:val="0"/>
        <w:adjustRightInd w:val="0"/>
        <w:snapToGrid w:val="0"/>
        <w:spacing w:line="300" w:lineRule="auto"/>
        <w:ind w:firstLine="480" w:firstLineChars="200"/>
        <w:rPr>
          <w:snapToGrid w:val="0"/>
          <w:color w:val="auto"/>
          <w:kern w:val="0"/>
          <w:sz w:val="24"/>
          <w:highlight w:val="none"/>
        </w:rPr>
      </w:pPr>
      <w:r>
        <w:rPr>
          <w:rFonts w:hint="eastAsia"/>
          <w:color w:val="auto"/>
          <w:sz w:val="24"/>
          <w:highlight w:val="none"/>
        </w:rPr>
        <w:t>（8）大雾：定点施工船舶能见度小于50米的雾天超过1天；运动船舶按有关规定。</w:t>
      </w:r>
    </w:p>
    <w:p w14:paraId="74C246F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0" w:name="_Toc11199897"/>
      <w:r>
        <w:rPr>
          <w:rFonts w:hint="eastAsia" w:eastAsia="华文中宋"/>
          <w:b/>
          <w:bCs/>
          <w:snapToGrid w:val="0"/>
          <w:color w:val="auto"/>
          <w:kern w:val="0"/>
          <w:sz w:val="24"/>
          <w:highlight w:val="none"/>
        </w:rPr>
        <w:t>11.5承包人的工期延误</w:t>
      </w:r>
      <w:bookmarkEnd w:id="360"/>
    </w:p>
    <w:p w14:paraId="5C29ABE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逾期竣工违约金的计算标准：</w:t>
      </w:r>
      <w:r>
        <w:rPr>
          <w:rFonts w:hint="eastAsia"/>
          <w:color w:val="auto"/>
          <w:sz w:val="24"/>
          <w:highlight w:val="none"/>
          <w:u w:val="single"/>
        </w:rPr>
        <w:t xml:space="preserve">  </w:t>
      </w:r>
      <w:r>
        <w:rPr>
          <w:rFonts w:hint="eastAsia"/>
          <w:color w:val="auto"/>
          <w:sz w:val="24"/>
          <w:highlight w:val="none"/>
          <w:u w:val="single"/>
        </w:rPr>
        <w:t>5000元/天</w:t>
      </w:r>
      <w:r>
        <w:rPr>
          <w:rFonts w:hint="eastAsia"/>
          <w:color w:val="auto"/>
          <w:sz w:val="24"/>
          <w:highlight w:val="none"/>
          <w:u w:val="single"/>
        </w:rPr>
        <w:t xml:space="preserve">           </w:t>
      </w:r>
      <w:r>
        <w:rPr>
          <w:rFonts w:hint="eastAsia"/>
          <w:color w:val="auto"/>
          <w:sz w:val="24"/>
          <w:highlight w:val="none"/>
        </w:rPr>
        <w:t>。</w:t>
      </w:r>
    </w:p>
    <w:p w14:paraId="45B58B7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逾期竣工违约金的计算方法：</w:t>
      </w:r>
      <w:r>
        <w:rPr>
          <w:rFonts w:hint="eastAsia"/>
          <w:color w:val="auto"/>
          <w:sz w:val="24"/>
          <w:highlight w:val="none"/>
          <w:u w:val="single"/>
        </w:rPr>
        <w:t xml:space="preserve">  </w:t>
      </w:r>
      <w:r>
        <w:rPr>
          <w:rFonts w:hint="eastAsia"/>
          <w:color w:val="auto"/>
          <w:sz w:val="24"/>
          <w:highlight w:val="none"/>
          <w:u w:val="single"/>
        </w:rPr>
        <w:t>5000元/天×延误天数</w:t>
      </w:r>
      <w:r>
        <w:rPr>
          <w:rFonts w:hint="eastAsia"/>
          <w:color w:val="auto"/>
          <w:sz w:val="24"/>
          <w:highlight w:val="none"/>
          <w:u w:val="single"/>
        </w:rPr>
        <w:t xml:space="preserve"> </w:t>
      </w:r>
      <w:r>
        <w:rPr>
          <w:rFonts w:hint="eastAsia"/>
          <w:color w:val="auto"/>
          <w:sz w:val="24"/>
          <w:highlight w:val="none"/>
        </w:rPr>
        <w:t>。</w:t>
      </w:r>
    </w:p>
    <w:p w14:paraId="60B47BC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逾期竣工违约金最高限额：</w:t>
      </w:r>
      <w:r>
        <w:rPr>
          <w:rFonts w:hint="eastAsia"/>
          <w:color w:val="auto"/>
          <w:sz w:val="24"/>
          <w:highlight w:val="none"/>
          <w:u w:val="single"/>
        </w:rPr>
        <w:t xml:space="preserve">    5%签约合同价       </w:t>
      </w:r>
      <w:r>
        <w:rPr>
          <w:rFonts w:hint="eastAsia"/>
          <w:color w:val="auto"/>
          <w:sz w:val="24"/>
          <w:highlight w:val="none"/>
        </w:rPr>
        <w:t>。</w:t>
      </w:r>
    </w:p>
    <w:p w14:paraId="06FD141B">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1" w:name="_Toc11199898"/>
      <w:bookmarkStart w:id="362" w:name="_Toc287444573"/>
      <w:r>
        <w:rPr>
          <w:rFonts w:hint="eastAsia" w:eastAsia="华文中宋"/>
          <w:b/>
          <w:bCs/>
          <w:snapToGrid w:val="0"/>
          <w:color w:val="auto"/>
          <w:kern w:val="0"/>
          <w:sz w:val="24"/>
          <w:highlight w:val="none"/>
        </w:rPr>
        <w:t>11.6工期提前</w:t>
      </w:r>
      <w:bookmarkEnd w:id="361"/>
      <w:bookmarkEnd w:id="362"/>
    </w:p>
    <w:p w14:paraId="35F8F3A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提前竣工的奖励办法：</w:t>
      </w:r>
      <w:r>
        <w:rPr>
          <w:rFonts w:hint="eastAsia"/>
          <w:color w:val="auto"/>
          <w:sz w:val="24"/>
          <w:highlight w:val="none"/>
          <w:u w:val="single"/>
        </w:rPr>
        <w:t xml:space="preserve"> 承包人不得随意提出提前竣工的建议，即使提前竣工，也不予奖励，发包人也不得随意要求承包人提前竣工 </w:t>
      </w:r>
      <w:r>
        <w:rPr>
          <w:rFonts w:hint="eastAsia"/>
          <w:color w:val="auto"/>
          <w:sz w:val="24"/>
          <w:highlight w:val="none"/>
        </w:rPr>
        <w:t>。</w:t>
      </w:r>
    </w:p>
    <w:p w14:paraId="2AA71439">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63" w:name="_Toc11199899"/>
      <w:r>
        <w:rPr>
          <w:rFonts w:hint="eastAsia" w:eastAsia="华文中宋"/>
          <w:b/>
          <w:bCs/>
          <w:snapToGrid w:val="0"/>
          <w:color w:val="auto"/>
          <w:kern w:val="0"/>
          <w:sz w:val="28"/>
          <w:szCs w:val="28"/>
          <w:highlight w:val="none"/>
        </w:rPr>
        <w:t>13.工程质量</w:t>
      </w:r>
      <w:bookmarkEnd w:id="363"/>
    </w:p>
    <w:p w14:paraId="66BF930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4" w:name="_Toc11199900"/>
      <w:r>
        <w:rPr>
          <w:rFonts w:hint="eastAsia" w:eastAsia="华文中宋"/>
          <w:b/>
          <w:bCs/>
          <w:snapToGrid w:val="0"/>
          <w:color w:val="auto"/>
          <w:kern w:val="0"/>
          <w:sz w:val="24"/>
          <w:highlight w:val="none"/>
        </w:rPr>
        <w:t>13.1工程质量要求</w:t>
      </w:r>
      <w:bookmarkEnd w:id="364"/>
    </w:p>
    <w:p w14:paraId="5E78D9A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设计要求的质量标准：</w:t>
      </w:r>
      <w:r>
        <w:rPr>
          <w:rFonts w:hint="eastAsia"/>
          <w:color w:val="auto"/>
          <w:sz w:val="24"/>
          <w:highlight w:val="none"/>
          <w:u w:val="single"/>
        </w:rPr>
        <w:t xml:space="preserve"> </w:t>
      </w:r>
      <w:r>
        <w:rPr>
          <w:color w:val="auto"/>
          <w:sz w:val="24"/>
          <w:highlight w:val="none"/>
          <w:u w:val="single"/>
        </w:rPr>
        <w:t xml:space="preserve"> </w:t>
      </w:r>
      <w:r>
        <w:rPr>
          <w:rFonts w:hint="eastAsia"/>
          <w:snapToGrid w:val="0"/>
          <w:color w:val="auto"/>
          <w:kern w:val="0"/>
          <w:sz w:val="24"/>
          <w:highlight w:val="none"/>
          <w:u w:val="single"/>
        </w:rPr>
        <w:t>符合现行国家、地方和行业标准、规范要求，深度达到相应编制深度规定标准，并通过有关部门的审核批准</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rPr>
        <w:t>。</w:t>
      </w:r>
    </w:p>
    <w:p w14:paraId="7B494F48">
      <w:pPr>
        <w:spacing w:line="300" w:lineRule="auto"/>
        <w:ind w:firstLine="480" w:firstLineChars="200"/>
        <w:rPr>
          <w:color w:val="auto"/>
          <w:sz w:val="24"/>
          <w:szCs w:val="21"/>
          <w:highlight w:val="none"/>
        </w:rPr>
      </w:pPr>
      <w:r>
        <w:rPr>
          <w:rFonts w:hint="eastAsia"/>
          <w:color w:val="auto"/>
          <w:sz w:val="24"/>
          <w:highlight w:val="none"/>
        </w:rPr>
        <w:t>施工要求的质量标准：</w:t>
      </w:r>
      <w:r>
        <w:rPr>
          <w:rFonts w:hint="eastAsia"/>
          <w:color w:val="auto"/>
          <w:sz w:val="24"/>
          <w:highlight w:val="none"/>
          <w:u w:val="single"/>
        </w:rPr>
        <w:t xml:space="preserve"> </w:t>
      </w:r>
      <w:r>
        <w:rPr>
          <w:color w:val="auto"/>
          <w:sz w:val="24"/>
          <w:highlight w:val="none"/>
          <w:u w:val="single"/>
        </w:rPr>
        <w:t xml:space="preserve"> </w:t>
      </w:r>
      <w:r>
        <w:rPr>
          <w:rFonts w:hint="eastAsia" w:hAnsi="宋体"/>
          <w:color w:val="auto"/>
          <w:sz w:val="24"/>
          <w:highlight w:val="none"/>
          <w:u w:val="single"/>
        </w:rPr>
        <w:t>（1）</w:t>
      </w:r>
      <w:r>
        <w:rPr>
          <w:rFonts w:hint="eastAsia" w:ascii="宋体" w:hAnsi="宋体"/>
          <w:color w:val="auto"/>
          <w:sz w:val="24"/>
          <w:highlight w:val="none"/>
          <w:u w:val="single"/>
        </w:rPr>
        <w:t>外运配套码头工程：</w:t>
      </w:r>
      <w:r>
        <w:rPr>
          <w:rFonts w:hint="eastAsia"/>
          <w:color w:val="auto"/>
          <w:sz w:val="24"/>
          <w:szCs w:val="21"/>
          <w:highlight w:val="none"/>
          <w:u w:val="single"/>
        </w:rPr>
        <w:t>国家验收规范交（竣）工验收质量评定合格。（2）</w:t>
      </w:r>
      <w:r>
        <w:rPr>
          <w:rFonts w:hint="eastAsia" w:ascii="宋体" w:hAnsi="宋体"/>
          <w:color w:val="auto"/>
          <w:sz w:val="24"/>
          <w:highlight w:val="none"/>
          <w:u w:val="single"/>
        </w:rPr>
        <w:t>航道疏浚工程、码头水域疏浚工程</w:t>
      </w:r>
      <w:r>
        <w:rPr>
          <w:color w:val="auto"/>
          <w:sz w:val="24"/>
          <w:highlight w:val="none"/>
          <w:u w:val="single"/>
        </w:rPr>
        <w:t>：</w:t>
      </w:r>
      <w:r>
        <w:rPr>
          <w:rFonts w:hint="eastAsia"/>
          <w:color w:val="auto"/>
          <w:sz w:val="24"/>
          <w:highlight w:val="none"/>
          <w:u w:val="single"/>
        </w:rPr>
        <w:t>a、</w:t>
      </w:r>
      <w:r>
        <w:rPr>
          <w:color w:val="auto"/>
          <w:sz w:val="24"/>
          <w:highlight w:val="none"/>
          <w:u w:val="single"/>
        </w:rPr>
        <w:t>疏浚水域无浅点和突起，水深满足设计要求；</w:t>
      </w:r>
      <w:r>
        <w:rPr>
          <w:rFonts w:hint="eastAsia"/>
          <w:color w:val="auto"/>
          <w:sz w:val="24"/>
          <w:highlight w:val="none"/>
          <w:u w:val="single"/>
        </w:rPr>
        <w:t>b、</w:t>
      </w:r>
      <w:r>
        <w:rPr>
          <w:color w:val="auto"/>
          <w:sz w:val="24"/>
          <w:highlight w:val="none"/>
          <w:u w:val="single"/>
        </w:rPr>
        <w:t>疏浚土弃置区的高程应满足要求，允许偏差、检验数量和方法应符合规范要求；</w:t>
      </w:r>
      <w:r>
        <w:rPr>
          <w:rFonts w:hint="eastAsia"/>
          <w:color w:val="auto"/>
          <w:sz w:val="24"/>
          <w:highlight w:val="none"/>
          <w:u w:val="single"/>
        </w:rPr>
        <w:t>c、</w:t>
      </w:r>
      <w:r>
        <w:rPr>
          <w:color w:val="auto"/>
          <w:sz w:val="24"/>
          <w:highlight w:val="none"/>
          <w:u w:val="single"/>
        </w:rPr>
        <w:t>其余参见《水运工程质量检验标准》（JTS257-2008）有关规定。</w:t>
      </w:r>
      <w:r>
        <w:rPr>
          <w:rFonts w:hint="eastAsia"/>
          <w:color w:val="auto"/>
          <w:sz w:val="24"/>
          <w:highlight w:val="none"/>
          <w:u w:val="single"/>
        </w:rPr>
        <w:t>（3）维护期疏浚（包括</w:t>
      </w:r>
      <w:r>
        <w:rPr>
          <w:rFonts w:hint="eastAsia" w:ascii="宋体" w:hAnsi="宋体"/>
          <w:color w:val="auto"/>
          <w:sz w:val="24"/>
          <w:highlight w:val="none"/>
          <w:u w:val="single"/>
        </w:rPr>
        <w:t>航道、码头水域</w:t>
      </w:r>
      <w:r>
        <w:rPr>
          <w:rFonts w:hint="eastAsia"/>
          <w:color w:val="auto"/>
          <w:sz w:val="24"/>
          <w:highlight w:val="none"/>
          <w:u w:val="single"/>
        </w:rPr>
        <w:t>维护期疏浚）：满足年销售量出运的通航要求。（4）</w:t>
      </w:r>
      <w:r>
        <w:rPr>
          <w:rFonts w:hint="eastAsia"/>
          <w:color w:val="auto"/>
          <w:sz w:val="24"/>
          <w:szCs w:val="21"/>
          <w:highlight w:val="none"/>
          <w:u w:val="single"/>
        </w:rPr>
        <w:t>矿山地质环境保护与土地复垦：分阶段验收合格</w:t>
      </w:r>
      <w:r>
        <w:rPr>
          <w:color w:val="auto"/>
          <w:sz w:val="24"/>
          <w:szCs w:val="21"/>
          <w:highlight w:val="none"/>
          <w:u w:val="single"/>
        </w:rPr>
        <w:t xml:space="preserve"> </w:t>
      </w:r>
      <w:r>
        <w:rPr>
          <w:rFonts w:hint="eastAsia"/>
          <w:color w:val="auto"/>
          <w:sz w:val="24"/>
          <w:szCs w:val="21"/>
          <w:highlight w:val="none"/>
          <w:u w:val="single"/>
        </w:rPr>
        <w:t xml:space="preserve"> </w:t>
      </w:r>
      <w:r>
        <w:rPr>
          <w:rFonts w:hint="eastAsia" w:hAnsi="宋体"/>
          <w:color w:val="auto"/>
          <w:sz w:val="24"/>
          <w:highlight w:val="none"/>
        </w:rPr>
        <w:t>。</w:t>
      </w:r>
    </w:p>
    <w:p w14:paraId="5C6EFC24">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5" w:name="_Toc11199901"/>
      <w:r>
        <w:rPr>
          <w:rFonts w:hint="eastAsia" w:eastAsia="华文中宋"/>
          <w:b/>
          <w:bCs/>
          <w:snapToGrid w:val="0"/>
          <w:color w:val="auto"/>
          <w:kern w:val="0"/>
          <w:sz w:val="24"/>
          <w:highlight w:val="none"/>
        </w:rPr>
        <w:t>13.4工程隐蔽部位覆盖前的检查</w:t>
      </w:r>
      <w:bookmarkEnd w:id="365"/>
    </w:p>
    <w:p w14:paraId="28CBCA18">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w:t>
      </w:r>
      <w:r>
        <w:rPr>
          <w:b/>
          <w:snapToGrid w:val="0"/>
          <w:color w:val="auto"/>
          <w:kern w:val="0"/>
          <w:sz w:val="24"/>
          <w:highlight w:val="none"/>
        </w:rPr>
        <w:t>3</w:t>
      </w:r>
      <w:r>
        <w:rPr>
          <w:rFonts w:hint="eastAsia"/>
          <w:b/>
          <w:snapToGrid w:val="0"/>
          <w:color w:val="auto"/>
          <w:kern w:val="0"/>
          <w:sz w:val="24"/>
          <w:highlight w:val="none"/>
        </w:rPr>
        <w:t>.</w:t>
      </w:r>
      <w:r>
        <w:rPr>
          <w:b/>
          <w:snapToGrid w:val="0"/>
          <w:color w:val="auto"/>
          <w:kern w:val="0"/>
          <w:sz w:val="24"/>
          <w:highlight w:val="none"/>
        </w:rPr>
        <w:t>4</w:t>
      </w:r>
      <w:r>
        <w:rPr>
          <w:rFonts w:hint="eastAsia"/>
          <w:b/>
          <w:snapToGrid w:val="0"/>
          <w:color w:val="auto"/>
          <w:kern w:val="0"/>
          <w:sz w:val="24"/>
          <w:highlight w:val="none"/>
        </w:rPr>
        <w:t>.1</w:t>
      </w:r>
      <w:r>
        <w:rPr>
          <w:rFonts w:hint="eastAsia"/>
          <w:color w:val="auto"/>
          <w:sz w:val="24"/>
          <w:highlight w:val="none"/>
        </w:rPr>
        <w:t>监理人对工程隐蔽部位进行检查的期限：接到通知后</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48 </w:t>
      </w:r>
      <w:r>
        <w:rPr>
          <w:color w:val="auto"/>
          <w:sz w:val="24"/>
          <w:highlight w:val="none"/>
          <w:u w:val="single"/>
        </w:rPr>
        <w:t xml:space="preserve"> </w:t>
      </w:r>
      <w:r>
        <w:rPr>
          <w:rFonts w:hint="eastAsia"/>
          <w:color w:val="auto"/>
          <w:sz w:val="24"/>
          <w:highlight w:val="none"/>
        </w:rPr>
        <w:t>小时内。</w:t>
      </w:r>
    </w:p>
    <w:p w14:paraId="2D14CC78">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66" w:name="_Toc287444583"/>
      <w:bookmarkStart w:id="367" w:name="_Toc11199902"/>
      <w:r>
        <w:rPr>
          <w:rFonts w:hint="eastAsia" w:eastAsia="华文中宋"/>
          <w:b/>
          <w:bCs/>
          <w:snapToGrid w:val="0"/>
          <w:color w:val="auto"/>
          <w:kern w:val="0"/>
          <w:sz w:val="28"/>
          <w:szCs w:val="28"/>
          <w:highlight w:val="none"/>
        </w:rPr>
        <w:t>15.变更</w:t>
      </w:r>
      <w:bookmarkEnd w:id="366"/>
      <w:bookmarkEnd w:id="367"/>
    </w:p>
    <w:p w14:paraId="11F4D19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68" w:name="_Toc287444587"/>
      <w:bookmarkStart w:id="369" w:name="_Toc11199903"/>
      <w:r>
        <w:rPr>
          <w:rFonts w:hint="eastAsia" w:eastAsia="华文中宋"/>
          <w:b/>
          <w:bCs/>
          <w:snapToGrid w:val="0"/>
          <w:color w:val="auto"/>
          <w:kern w:val="0"/>
          <w:sz w:val="24"/>
          <w:highlight w:val="none"/>
        </w:rPr>
        <w:t>15.2承包人的合理化建议</w:t>
      </w:r>
      <w:bookmarkEnd w:id="368"/>
      <w:bookmarkEnd w:id="369"/>
    </w:p>
    <w:p w14:paraId="3995369D">
      <w:pPr>
        <w:widowControl w:val="0"/>
        <w:adjustRightInd w:val="0"/>
        <w:snapToGrid w:val="0"/>
        <w:spacing w:line="300" w:lineRule="auto"/>
        <w:ind w:firstLine="482" w:firstLineChars="200"/>
        <w:rPr>
          <w:color w:val="auto"/>
          <w:sz w:val="24"/>
          <w:highlight w:val="none"/>
        </w:rPr>
      </w:pPr>
      <w:r>
        <w:rPr>
          <w:rFonts w:hint="eastAsia"/>
          <w:b/>
          <w:color w:val="auto"/>
          <w:sz w:val="24"/>
          <w:highlight w:val="none"/>
        </w:rPr>
        <w:t>15.5.2</w:t>
      </w:r>
      <w:r>
        <w:rPr>
          <w:rFonts w:hint="eastAsia"/>
          <w:color w:val="auto"/>
          <w:sz w:val="24"/>
          <w:highlight w:val="none"/>
        </w:rPr>
        <w:t>承包人提出的合理化建议缩短了工期，发包人按第11.6款的规定给予奖励。</w:t>
      </w:r>
    </w:p>
    <w:p w14:paraId="2C5CE7A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承包人提出的合理化建议降低了合同价格或者提高了工程经济效益的，</w:t>
      </w:r>
      <w:r>
        <w:rPr>
          <w:rFonts w:hint="eastAsia"/>
          <w:snapToGrid w:val="0"/>
          <w:color w:val="auto"/>
          <w:kern w:val="0"/>
          <w:sz w:val="24"/>
          <w:highlight w:val="none"/>
        </w:rPr>
        <w:t>发包人可按国家有关规定与承包人协商确定。</w:t>
      </w:r>
    </w:p>
    <w:p w14:paraId="7F50447E">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0" w:name="_Toc11199904"/>
      <w:r>
        <w:rPr>
          <w:rFonts w:hint="eastAsia" w:eastAsia="华文中宋"/>
          <w:b/>
          <w:bCs/>
          <w:snapToGrid w:val="0"/>
          <w:color w:val="auto"/>
          <w:kern w:val="0"/>
          <w:sz w:val="24"/>
          <w:highlight w:val="none"/>
        </w:rPr>
        <w:t>15.5计日工</w:t>
      </w:r>
      <w:bookmarkEnd w:id="370"/>
    </w:p>
    <w:p w14:paraId="4560849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本项目不适用。</w:t>
      </w:r>
    </w:p>
    <w:p w14:paraId="22CB879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1" w:name="_Toc11199905"/>
      <w:r>
        <w:rPr>
          <w:rFonts w:hint="eastAsia" w:eastAsia="华文中宋"/>
          <w:b/>
          <w:bCs/>
          <w:snapToGrid w:val="0"/>
          <w:color w:val="auto"/>
          <w:kern w:val="0"/>
          <w:sz w:val="24"/>
          <w:highlight w:val="none"/>
        </w:rPr>
        <w:t>15.6暂估价</w:t>
      </w:r>
      <w:bookmarkEnd w:id="371"/>
    </w:p>
    <w:p w14:paraId="7A739013">
      <w:pPr>
        <w:widowControl w:val="0"/>
        <w:adjustRightInd w:val="0"/>
        <w:snapToGrid w:val="0"/>
        <w:spacing w:line="300" w:lineRule="auto"/>
        <w:ind w:firstLine="480" w:firstLineChars="200"/>
        <w:rPr>
          <w:color w:val="auto"/>
          <w:sz w:val="24"/>
          <w:highlight w:val="none"/>
        </w:rPr>
      </w:pPr>
      <w:bookmarkStart w:id="372" w:name="_Toc11199906"/>
      <w:r>
        <w:rPr>
          <w:rFonts w:hint="eastAsia"/>
          <w:color w:val="auto"/>
          <w:sz w:val="24"/>
          <w:highlight w:val="none"/>
        </w:rPr>
        <w:t>本项目不适用。</w:t>
      </w:r>
    </w:p>
    <w:p w14:paraId="6C673454">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r>
        <w:rPr>
          <w:rFonts w:hint="eastAsia" w:eastAsia="华文中宋"/>
          <w:b/>
          <w:bCs/>
          <w:snapToGrid w:val="0"/>
          <w:color w:val="auto"/>
          <w:kern w:val="0"/>
          <w:sz w:val="28"/>
          <w:szCs w:val="28"/>
          <w:highlight w:val="none"/>
        </w:rPr>
        <w:t>16.价格调整</w:t>
      </w:r>
      <w:bookmarkEnd w:id="372"/>
    </w:p>
    <w:p w14:paraId="4E4F787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3" w:name="_Toc11199907"/>
      <w:r>
        <w:rPr>
          <w:rFonts w:hint="eastAsia" w:eastAsia="华文中宋"/>
          <w:b/>
          <w:bCs/>
          <w:snapToGrid w:val="0"/>
          <w:color w:val="auto"/>
          <w:kern w:val="0"/>
          <w:sz w:val="24"/>
          <w:highlight w:val="none"/>
        </w:rPr>
        <w:t>16.1物价波动引起的调整</w:t>
      </w:r>
      <w:bookmarkEnd w:id="373"/>
    </w:p>
    <w:p w14:paraId="147123C3">
      <w:pPr>
        <w:widowControl w:val="0"/>
        <w:adjustRightInd w:val="0"/>
        <w:snapToGrid w:val="0"/>
        <w:spacing w:line="300" w:lineRule="auto"/>
        <w:ind w:firstLine="480" w:firstLineChars="200"/>
        <w:rPr>
          <w:bCs/>
          <w:color w:val="auto"/>
          <w:sz w:val="24"/>
          <w:highlight w:val="none"/>
        </w:rPr>
      </w:pPr>
      <w:r>
        <w:rPr>
          <w:rFonts w:hint="eastAsia"/>
          <w:bCs/>
          <w:snapToGrid w:val="0"/>
          <w:color w:val="auto"/>
          <w:kern w:val="0"/>
          <w:sz w:val="24"/>
          <w:highlight w:val="none"/>
        </w:rPr>
        <w:t>合同价格不因物价波动进行调整。</w:t>
      </w:r>
    </w:p>
    <w:p w14:paraId="46976500">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74" w:name="_Toc11199908"/>
      <w:bookmarkStart w:id="375" w:name="_Toc287444591"/>
      <w:r>
        <w:rPr>
          <w:rFonts w:hint="eastAsia" w:eastAsia="华文中宋"/>
          <w:b/>
          <w:bCs/>
          <w:snapToGrid w:val="0"/>
          <w:color w:val="auto"/>
          <w:kern w:val="0"/>
          <w:sz w:val="28"/>
          <w:szCs w:val="28"/>
          <w:highlight w:val="none"/>
        </w:rPr>
        <w:t>17.合同价格与支付</w:t>
      </w:r>
      <w:bookmarkEnd w:id="374"/>
      <w:bookmarkEnd w:id="375"/>
    </w:p>
    <w:p w14:paraId="390A9A0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6" w:name="_Toc11199909"/>
      <w:r>
        <w:rPr>
          <w:rFonts w:hint="eastAsia" w:eastAsia="华文中宋"/>
          <w:b/>
          <w:bCs/>
          <w:snapToGrid w:val="0"/>
          <w:color w:val="auto"/>
          <w:kern w:val="0"/>
          <w:sz w:val="24"/>
          <w:highlight w:val="none"/>
        </w:rPr>
        <w:t>17.1合同价格</w:t>
      </w:r>
      <w:bookmarkEnd w:id="376"/>
    </w:p>
    <w:p w14:paraId="6F235C25">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17.1.1</w:t>
      </w:r>
      <w:r>
        <w:rPr>
          <w:rFonts w:hint="eastAsia"/>
          <w:snapToGrid w:val="0"/>
          <w:color w:val="auto"/>
          <w:kern w:val="0"/>
          <w:sz w:val="24"/>
          <w:highlight w:val="none"/>
        </w:rPr>
        <w:t>签约合同价为暂估价，本合同约定：按实际完成的工程量或工作进行支付，并调整合同价格，具体约定按本款执行。</w:t>
      </w:r>
    </w:p>
    <w:p w14:paraId="0281C0A3">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w:t>
      </w:r>
      <w:r>
        <w:rPr>
          <w:rFonts w:hint="eastAsia" w:cs="宋体"/>
          <w:snapToGrid w:val="0"/>
          <w:color w:val="auto"/>
          <w:kern w:val="0"/>
          <w:sz w:val="24"/>
          <w:szCs w:val="21"/>
          <w:highlight w:val="none"/>
        </w:rPr>
        <w:t>外运配套码头工程最高结算价为</w:t>
      </w:r>
      <w:r>
        <w:rPr>
          <w:rFonts w:cs="宋体"/>
          <w:snapToGrid w:val="0"/>
          <w:color w:val="auto"/>
          <w:kern w:val="0"/>
          <w:sz w:val="24"/>
          <w:szCs w:val="21"/>
          <w:highlight w:val="none"/>
        </w:rPr>
        <w:t>6785.652</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749.7</w:t>
      </w:r>
      <w:r>
        <w:rPr>
          <w:rFonts w:hint="eastAsia" w:cs="宋体"/>
          <w:snapToGrid w:val="0"/>
          <w:color w:val="auto"/>
          <w:kern w:val="0"/>
          <w:sz w:val="24"/>
          <w:szCs w:val="21"/>
          <w:highlight w:val="none"/>
        </w:rPr>
        <w:t>万元，码头工程建安工程费最高结算价为</w:t>
      </w:r>
      <w:r>
        <w:rPr>
          <w:rFonts w:cs="宋体"/>
          <w:snapToGrid w:val="0"/>
          <w:color w:val="auto"/>
          <w:kern w:val="0"/>
          <w:sz w:val="24"/>
          <w:szCs w:val="21"/>
          <w:highlight w:val="none"/>
        </w:rPr>
        <w:t>1644.55</w:t>
      </w:r>
      <w:r>
        <w:rPr>
          <w:rFonts w:hint="eastAsia" w:cs="宋体"/>
          <w:snapToGrid w:val="0"/>
          <w:color w:val="auto"/>
          <w:kern w:val="0"/>
          <w:sz w:val="24"/>
          <w:szCs w:val="21"/>
          <w:highlight w:val="none"/>
        </w:rPr>
        <w:t>2万元，航道疏浚建安工程费最高结算价为2100万元，码头水域疏浚建安工程费最高结算价为</w:t>
      </w:r>
      <w:r>
        <w:rPr>
          <w:rFonts w:cs="宋体"/>
          <w:snapToGrid w:val="0"/>
          <w:color w:val="auto"/>
          <w:kern w:val="0"/>
          <w:sz w:val="24"/>
          <w:szCs w:val="21"/>
          <w:highlight w:val="none"/>
        </w:rPr>
        <w:t>1278</w:t>
      </w:r>
      <w:r>
        <w:rPr>
          <w:rFonts w:hint="eastAsia" w:cs="宋体"/>
          <w:snapToGrid w:val="0"/>
          <w:color w:val="auto"/>
          <w:kern w:val="0"/>
          <w:sz w:val="24"/>
          <w:szCs w:val="21"/>
          <w:highlight w:val="none"/>
        </w:rPr>
        <w:t>万元，维护期疏浚建安工程费最高结算价为</w:t>
      </w:r>
      <w:r>
        <w:rPr>
          <w:rFonts w:cs="宋体"/>
          <w:snapToGrid w:val="0"/>
          <w:color w:val="auto"/>
          <w:kern w:val="0"/>
          <w:sz w:val="24"/>
          <w:szCs w:val="21"/>
          <w:highlight w:val="none"/>
        </w:rPr>
        <w:t>1013.4</w:t>
      </w:r>
      <w:r>
        <w:rPr>
          <w:rFonts w:hint="eastAsia" w:cs="宋体"/>
          <w:snapToGrid w:val="0"/>
          <w:color w:val="auto"/>
          <w:kern w:val="0"/>
          <w:sz w:val="24"/>
          <w:szCs w:val="21"/>
          <w:highlight w:val="none"/>
        </w:rPr>
        <w:t>万元），承包人应确保限额设计，实际结算价（指各分项，下同）高于最高结算价的，以最高结算价作为限额，超出部分由承包人承担不予调整，实际结算价低于最高结算价的按实调整。结算价由前期工作费用与建安工程费组成，结算方法按本合同约定执行。</w:t>
      </w:r>
      <w:r>
        <w:rPr>
          <w:rFonts w:hint="eastAsia" w:cs="宋体"/>
          <w:snapToGrid w:val="0"/>
          <w:color w:val="auto"/>
          <w:kern w:val="0"/>
          <w:sz w:val="24"/>
          <w:szCs w:val="21"/>
          <w:highlight w:val="none"/>
        </w:rPr>
        <w:t>航道疏浚施工过程中如发现有必须处理的暗礁，暗礁处理费用另行结算，不受最高结算价约束。</w:t>
      </w:r>
      <w:r>
        <w:rPr>
          <w:rFonts w:hint="eastAsia" w:cs="宋体"/>
          <w:snapToGrid w:val="0"/>
          <w:color w:val="auto"/>
          <w:kern w:val="0"/>
          <w:sz w:val="24"/>
          <w:szCs w:val="21"/>
          <w:highlight w:val="none"/>
        </w:rPr>
        <w:t>维护期疏浚，如因台风、地震等不可抗力因素，造成航道、港池大面积淤积，无法正常通航的，由发包人另行委托处理，不纳入实际结算价、最高结算价。</w:t>
      </w:r>
    </w:p>
    <w:p w14:paraId="6B1C36EB">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w:t>
      </w:r>
      <w:r>
        <w:rPr>
          <w:rFonts w:hint="eastAsia" w:cs="宋体"/>
          <w:snapToGrid w:val="0"/>
          <w:color w:val="auto"/>
          <w:kern w:val="0"/>
          <w:sz w:val="24"/>
          <w:szCs w:val="21"/>
          <w:highlight w:val="none"/>
        </w:rPr>
        <w:t>矿山地质环境保护与土地复垦最高结算价为</w:t>
      </w:r>
      <w:r>
        <w:rPr>
          <w:rFonts w:cs="宋体"/>
          <w:snapToGrid w:val="0"/>
          <w:color w:val="auto"/>
          <w:kern w:val="0"/>
          <w:sz w:val="24"/>
          <w:szCs w:val="21"/>
          <w:highlight w:val="none"/>
        </w:rPr>
        <w:t>691.8704</w:t>
      </w:r>
      <w:r>
        <w:rPr>
          <w:rFonts w:hint="eastAsia" w:cs="宋体"/>
          <w:snapToGrid w:val="0"/>
          <w:color w:val="auto"/>
          <w:kern w:val="0"/>
          <w:sz w:val="24"/>
          <w:szCs w:val="21"/>
          <w:highlight w:val="none"/>
        </w:rPr>
        <w:t>万元（其中：前期工作费用最高结算价为</w:t>
      </w:r>
      <w:r>
        <w:rPr>
          <w:rFonts w:cs="宋体"/>
          <w:snapToGrid w:val="0"/>
          <w:color w:val="auto"/>
          <w:kern w:val="0"/>
          <w:sz w:val="24"/>
          <w:szCs w:val="21"/>
          <w:highlight w:val="none"/>
        </w:rPr>
        <w:t>34</w:t>
      </w:r>
      <w:r>
        <w:rPr>
          <w:rFonts w:hint="eastAsia" w:cs="宋体"/>
          <w:snapToGrid w:val="0"/>
          <w:color w:val="auto"/>
          <w:kern w:val="0"/>
          <w:sz w:val="24"/>
          <w:szCs w:val="21"/>
          <w:highlight w:val="none"/>
        </w:rPr>
        <w:t>.</w:t>
      </w:r>
      <w:r>
        <w:rPr>
          <w:rFonts w:cs="宋体"/>
          <w:snapToGrid w:val="0"/>
          <w:color w:val="auto"/>
          <w:kern w:val="0"/>
          <w:sz w:val="24"/>
          <w:szCs w:val="21"/>
          <w:highlight w:val="none"/>
        </w:rPr>
        <w:t>7051</w:t>
      </w:r>
      <w:r>
        <w:rPr>
          <w:rFonts w:hint="eastAsia" w:cs="宋体"/>
          <w:snapToGrid w:val="0"/>
          <w:color w:val="auto"/>
          <w:kern w:val="0"/>
          <w:sz w:val="24"/>
          <w:szCs w:val="21"/>
          <w:highlight w:val="none"/>
        </w:rPr>
        <w:t>万元，监测费最高结算价为</w:t>
      </w:r>
      <w:r>
        <w:rPr>
          <w:rFonts w:cs="宋体"/>
          <w:snapToGrid w:val="0"/>
          <w:color w:val="auto"/>
          <w:kern w:val="0"/>
          <w:sz w:val="24"/>
          <w:szCs w:val="21"/>
          <w:highlight w:val="none"/>
        </w:rPr>
        <w:t>58</w:t>
      </w:r>
      <w:r>
        <w:rPr>
          <w:rFonts w:hint="eastAsia" w:cs="宋体"/>
          <w:snapToGrid w:val="0"/>
          <w:color w:val="auto"/>
          <w:kern w:val="0"/>
          <w:sz w:val="24"/>
          <w:szCs w:val="21"/>
          <w:highlight w:val="none"/>
        </w:rPr>
        <w:t>.</w:t>
      </w:r>
      <w:r>
        <w:rPr>
          <w:rFonts w:cs="宋体"/>
          <w:snapToGrid w:val="0"/>
          <w:color w:val="auto"/>
          <w:kern w:val="0"/>
          <w:sz w:val="24"/>
          <w:szCs w:val="21"/>
          <w:highlight w:val="none"/>
        </w:rPr>
        <w:t>0459</w:t>
      </w:r>
      <w:r>
        <w:rPr>
          <w:rFonts w:hint="eastAsia" w:cs="宋体"/>
          <w:snapToGrid w:val="0"/>
          <w:color w:val="auto"/>
          <w:kern w:val="0"/>
          <w:sz w:val="24"/>
          <w:szCs w:val="21"/>
          <w:highlight w:val="none"/>
        </w:rPr>
        <w:t>万元，竣工验收费最高结算价为</w:t>
      </w:r>
      <w:r>
        <w:rPr>
          <w:rFonts w:cs="宋体"/>
          <w:snapToGrid w:val="0"/>
          <w:color w:val="auto"/>
          <w:kern w:val="0"/>
          <w:sz w:val="24"/>
          <w:szCs w:val="21"/>
          <w:highlight w:val="none"/>
        </w:rPr>
        <w:t>17</w:t>
      </w:r>
      <w:r>
        <w:rPr>
          <w:rFonts w:hint="eastAsia" w:cs="宋体"/>
          <w:snapToGrid w:val="0"/>
          <w:color w:val="auto"/>
          <w:kern w:val="0"/>
          <w:sz w:val="24"/>
          <w:szCs w:val="21"/>
          <w:highlight w:val="none"/>
        </w:rPr>
        <w:t>.</w:t>
      </w:r>
      <w:r>
        <w:rPr>
          <w:rFonts w:cs="宋体"/>
          <w:snapToGrid w:val="0"/>
          <w:color w:val="auto"/>
          <w:kern w:val="0"/>
          <w:sz w:val="24"/>
          <w:szCs w:val="21"/>
          <w:highlight w:val="none"/>
        </w:rPr>
        <w:t>3526</w:t>
      </w:r>
      <w:r>
        <w:rPr>
          <w:rFonts w:hint="eastAsia" w:cs="宋体"/>
          <w:snapToGrid w:val="0"/>
          <w:color w:val="auto"/>
          <w:kern w:val="0"/>
          <w:sz w:val="24"/>
          <w:szCs w:val="21"/>
          <w:highlight w:val="none"/>
        </w:rPr>
        <w:t>万元，工程施工费最高结算价为</w:t>
      </w:r>
      <w:r>
        <w:rPr>
          <w:rFonts w:cs="宋体"/>
          <w:snapToGrid w:val="0"/>
          <w:color w:val="auto"/>
          <w:kern w:val="0"/>
          <w:sz w:val="24"/>
          <w:szCs w:val="21"/>
          <w:highlight w:val="none"/>
        </w:rPr>
        <w:t>581.7668</w:t>
      </w:r>
      <w:r>
        <w:rPr>
          <w:rFonts w:hint="eastAsia" w:cs="宋体"/>
          <w:snapToGrid w:val="0"/>
          <w:color w:val="auto"/>
          <w:kern w:val="0"/>
          <w:sz w:val="24"/>
          <w:szCs w:val="21"/>
          <w:highlight w:val="none"/>
        </w:rPr>
        <w:t>万元），承包人应确保限额设计，实际结算价（指各分项，下同）高于最高结算价的，以最高结算价作为限额，超出部分由承包人承担不予调整，实际结算价低于最高结算价的按实调整。结算价由前期工作费、监测费、验收费和工程施工费组成，结算方法按本合同约定执行。</w:t>
      </w:r>
    </w:p>
    <w:p w14:paraId="66C4B186">
      <w:pPr>
        <w:widowControl w:val="0"/>
        <w:adjustRightInd w:val="0"/>
        <w:snapToGrid w:val="0"/>
        <w:spacing w:line="300" w:lineRule="auto"/>
        <w:ind w:firstLine="482" w:firstLineChars="200"/>
        <w:rPr>
          <w:bCs/>
          <w:color w:val="auto"/>
          <w:sz w:val="24"/>
          <w:highlight w:val="none"/>
        </w:rPr>
      </w:pPr>
      <w:r>
        <w:rPr>
          <w:rFonts w:hint="eastAsia"/>
          <w:b/>
          <w:snapToGrid w:val="0"/>
          <w:color w:val="auto"/>
          <w:kern w:val="0"/>
          <w:sz w:val="24"/>
          <w:highlight w:val="none"/>
        </w:rPr>
        <w:t>17.1.2</w:t>
      </w:r>
      <w:r>
        <w:rPr>
          <w:rFonts w:hint="eastAsia" w:cs="宋体"/>
          <w:snapToGrid w:val="0"/>
          <w:color w:val="auto"/>
          <w:kern w:val="0"/>
          <w:sz w:val="24"/>
          <w:szCs w:val="21"/>
          <w:highlight w:val="none"/>
        </w:rPr>
        <w:t>前期工作费用、监测费、竣工验收费以协议或正式发票进入实际结算价，有相应收费标准的，不得高于收费标准的8折，费用经第三方咨询机构审定并报采购人审批后实施。</w:t>
      </w:r>
    </w:p>
    <w:p w14:paraId="06FBF40F">
      <w:pPr>
        <w:widowControl w:val="0"/>
        <w:adjustRightInd w:val="0"/>
        <w:snapToGrid w:val="0"/>
        <w:spacing w:line="300" w:lineRule="auto"/>
        <w:ind w:firstLine="482" w:firstLineChars="200"/>
        <w:rPr>
          <w:bCs/>
          <w:snapToGrid w:val="0"/>
          <w:color w:val="auto"/>
          <w:kern w:val="0"/>
          <w:sz w:val="24"/>
          <w:highlight w:val="none"/>
        </w:rPr>
      </w:pPr>
      <w:r>
        <w:rPr>
          <w:rFonts w:hint="eastAsia"/>
          <w:b/>
          <w:snapToGrid w:val="0"/>
          <w:color w:val="auto"/>
          <w:kern w:val="0"/>
          <w:sz w:val="24"/>
          <w:highlight w:val="none"/>
        </w:rPr>
        <w:t>17.1.3</w:t>
      </w:r>
      <w:r>
        <w:rPr>
          <w:rFonts w:hint="eastAsia"/>
          <w:bCs/>
          <w:snapToGrid w:val="0"/>
          <w:color w:val="auto"/>
          <w:kern w:val="0"/>
          <w:sz w:val="24"/>
          <w:highlight w:val="none"/>
        </w:rPr>
        <w:t>外运配套码头（包括外运配套码头工程、航道疏浚工程、码头水域疏浚工程和维护期疏浚）建安工程费计算办法：</w:t>
      </w:r>
    </w:p>
    <w:p w14:paraId="7AF2A6F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（1）编制依据：经审查合格的地勘报告、施工图及相关资料，经发包人、监理人确认的施工方案。</w:t>
      </w:r>
    </w:p>
    <w:p w14:paraId="0B8A982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（2）采用工程量清单计价，执行《交通建设工程工程量清单计价规范 第2部分：港口工程》（DB33/T628.2-2010（2013））、《交通建设工程工程量清单计价规范 第3部分：航道工程》（DB33/T628.3-2013）。</w:t>
      </w:r>
    </w:p>
    <w:p w14:paraId="36138B04">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w:t>
      </w:r>
      <w:r>
        <w:rPr>
          <w:snapToGrid w:val="0"/>
          <w:color w:val="auto"/>
          <w:kern w:val="0"/>
          <w:sz w:val="24"/>
          <w:highlight w:val="none"/>
        </w:rPr>
        <w:t>3</w:t>
      </w:r>
      <w:r>
        <w:rPr>
          <w:rFonts w:hint="eastAsia"/>
          <w:snapToGrid w:val="0"/>
          <w:color w:val="auto"/>
          <w:kern w:val="0"/>
          <w:sz w:val="24"/>
          <w:highlight w:val="none"/>
        </w:rPr>
        <w:t>）定额采用《水运建设工程概算预算编制规定》（JTS/T116-2019）、《沿海港口水工建筑工程定额》（JTS/T276-1-2019）、《沿海港口工程船舶机械艘（台）班费用定额》（JTS/T276-2-2019）、《沿海港口工程参考定额》（JTS/T276-3-2019）、《水运工程混凝土和砂浆材料用量定额》（JTS/T277-2019）、《疏浚工程预算定额》（JTS/T278-1-2019）、《疏浚工程船舶艘班费用定额》（JTS/T278-2-2019）、《水运工程定额材料基价单价》（2019年版）、《财政部税务总局海关总署关于深化增值税改革有关政策的公告》等有关文件及浙江省补充定额。</w:t>
      </w:r>
    </w:p>
    <w:p w14:paraId="44351D3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（4）取费标准按规定计取；工程一切险保险费率不超3.0‰，安全生产责任险（包含第三者责任险）保险费率不超1.0‰，安全生产费按1.5％，增值税税率9%。</w:t>
      </w:r>
    </w:p>
    <w:p w14:paraId="1FF70FBE">
      <w:pPr>
        <w:widowControl w:val="0"/>
        <w:adjustRightInd w:val="0"/>
        <w:snapToGrid w:val="0"/>
        <w:spacing w:line="300" w:lineRule="auto"/>
        <w:ind w:firstLine="480" w:firstLineChars="200"/>
        <w:rPr>
          <w:bCs/>
          <w:color w:val="auto"/>
          <w:sz w:val="24"/>
          <w:highlight w:val="none"/>
        </w:rPr>
      </w:pPr>
      <w:r>
        <w:rPr>
          <w:rFonts w:hint="eastAsia"/>
          <w:bCs/>
          <w:color w:val="auto"/>
          <w:sz w:val="24"/>
          <w:highlight w:val="none"/>
        </w:rPr>
        <w:t>（5）人工价格：人工单价为62.47元/工日，船员单价为106.76元/工日，司机及机械使用工单价69.19元/工日。</w:t>
      </w:r>
    </w:p>
    <w:p w14:paraId="486D099C">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6）材料价格：根据施工图预算清单编制时所在月份按以下排列次序优先套用，浙江省交通工程管理中心发布的《质监与造价》上的信息价计算（该期《质监与造价》无材料价格但前两期《质监与造价》有材料价格的，可按最新期材料价格计算）；《质监与造价》中无信息价的，按《宁波建设工程造价信息》（综合版）（象山栏，象山栏无的材料按同期宁波市区栏）中的信息价；《宁波建设工程造价信息》中无信息价的，按《浙江造价信息》。</w:t>
      </w:r>
    </w:p>
    <w:p w14:paraId="5605DCB9">
      <w:pPr>
        <w:widowControl w:val="0"/>
        <w:adjustRightInd w:val="0"/>
        <w:snapToGrid w:val="0"/>
        <w:spacing w:line="300" w:lineRule="auto"/>
        <w:ind w:firstLine="482" w:firstLineChars="200"/>
        <w:rPr>
          <w:b/>
          <w:bCs/>
          <w:snapToGrid w:val="0"/>
          <w:color w:val="auto"/>
          <w:kern w:val="0"/>
          <w:sz w:val="24"/>
          <w:highlight w:val="none"/>
        </w:rPr>
      </w:pPr>
      <w:r>
        <w:rPr>
          <w:rFonts w:hint="eastAsia"/>
          <w:b/>
          <w:bCs/>
          <w:snapToGrid w:val="0"/>
          <w:color w:val="auto"/>
          <w:kern w:val="0"/>
          <w:sz w:val="24"/>
          <w:highlight w:val="none"/>
        </w:rPr>
        <w:t>（7）根据上述原则组价的综合单价，下浮8%后作为该子目的单价。</w:t>
      </w:r>
    </w:p>
    <w:p w14:paraId="368A90B8">
      <w:pPr>
        <w:widowControl w:val="0"/>
        <w:adjustRightInd w:val="0"/>
        <w:snapToGrid w:val="0"/>
        <w:spacing w:line="300" w:lineRule="auto"/>
        <w:ind w:firstLine="482" w:firstLineChars="200"/>
        <w:rPr>
          <w:bCs/>
          <w:snapToGrid w:val="0"/>
          <w:color w:val="auto"/>
          <w:kern w:val="0"/>
          <w:sz w:val="24"/>
          <w:highlight w:val="none"/>
        </w:rPr>
      </w:pPr>
      <w:r>
        <w:rPr>
          <w:rFonts w:hint="eastAsia"/>
          <w:b/>
          <w:snapToGrid w:val="0"/>
          <w:color w:val="auto"/>
          <w:kern w:val="0"/>
          <w:sz w:val="24"/>
          <w:highlight w:val="none"/>
        </w:rPr>
        <w:t>17.1.4</w:t>
      </w:r>
      <w:r>
        <w:rPr>
          <w:rFonts w:hint="eastAsia"/>
          <w:bCs/>
          <w:snapToGrid w:val="0"/>
          <w:color w:val="auto"/>
          <w:kern w:val="0"/>
          <w:sz w:val="24"/>
          <w:highlight w:val="none"/>
        </w:rPr>
        <w:t>矿山地质环境保护与土地复垦建安工程费计算办法：</w:t>
      </w:r>
    </w:p>
    <w:p w14:paraId="0773D36A">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1）定额采用财政部与国土资源部编制的《土地开发整理项目预算定额标准》（2012年）、《浙江省土地整治项目预算定额标准》（浙财农〔2016〕1号）、关于调整土地整治项目预算计价规则的通知（浙土资厅函〔2016〕550号）、《浙江省园林绿化及仿古建筑工程预算定额》（2018年）、《浙江省建筑工程预算定额》（2018年）。</w:t>
      </w:r>
    </w:p>
    <w:p w14:paraId="51CE8922">
      <w:pPr>
        <w:widowControl w:val="0"/>
        <w:adjustRightInd w:val="0"/>
        <w:snapToGrid w:val="0"/>
        <w:spacing w:line="300" w:lineRule="auto"/>
        <w:ind w:firstLine="480" w:firstLineChars="200"/>
        <w:rPr>
          <w:snapToGrid w:val="0"/>
          <w:color w:val="auto"/>
          <w:kern w:val="0"/>
          <w:sz w:val="24"/>
          <w:highlight w:val="none"/>
        </w:rPr>
      </w:pPr>
      <w:r>
        <w:rPr>
          <w:rFonts w:hint="eastAsia"/>
          <w:snapToGrid w:val="0"/>
          <w:color w:val="auto"/>
          <w:kern w:val="0"/>
          <w:sz w:val="24"/>
          <w:highlight w:val="none"/>
        </w:rPr>
        <w:t>（2）取费标准按施工图预算清单编制时相关规定。</w:t>
      </w:r>
    </w:p>
    <w:p w14:paraId="7B6FB83C">
      <w:pPr>
        <w:widowControl w:val="0"/>
        <w:adjustRightInd w:val="0"/>
        <w:snapToGrid w:val="0"/>
        <w:spacing w:line="300" w:lineRule="auto"/>
        <w:ind w:firstLine="480" w:firstLineChars="200"/>
        <w:rPr>
          <w:bCs/>
          <w:color w:val="auto"/>
          <w:sz w:val="24"/>
          <w:highlight w:val="none"/>
        </w:rPr>
      </w:pPr>
      <w:r>
        <w:rPr>
          <w:rFonts w:hint="eastAsia"/>
          <w:bCs/>
          <w:color w:val="auto"/>
          <w:sz w:val="24"/>
          <w:highlight w:val="none"/>
        </w:rPr>
        <w:t>（3）人工、材料、机械台班价格按</w:t>
      </w:r>
      <w:r>
        <w:rPr>
          <w:rFonts w:hint="eastAsia"/>
          <w:snapToGrid w:val="0"/>
          <w:color w:val="auto"/>
          <w:kern w:val="0"/>
          <w:sz w:val="24"/>
          <w:highlight w:val="none"/>
        </w:rPr>
        <w:t>按施工图预算清单编制时相关规定，信息价按施工图预算清单编制时所在月份按以下排列次序优先套用，《宁波建设工程造价信息》（综合版）（象山栏，象山栏无的材料按同期宁波市区栏）中的信息价；《宁波建设工程造价信息》中无信息价的，按《浙江造价信息》。</w:t>
      </w:r>
    </w:p>
    <w:p w14:paraId="30E4D20D">
      <w:pPr>
        <w:widowControl w:val="0"/>
        <w:adjustRightInd w:val="0"/>
        <w:snapToGrid w:val="0"/>
        <w:spacing w:line="300" w:lineRule="auto"/>
        <w:ind w:firstLine="482" w:firstLineChars="200"/>
        <w:rPr>
          <w:b/>
          <w:bCs/>
          <w:snapToGrid w:val="0"/>
          <w:color w:val="auto"/>
          <w:kern w:val="0"/>
          <w:sz w:val="24"/>
          <w:highlight w:val="none"/>
        </w:rPr>
      </w:pPr>
      <w:r>
        <w:rPr>
          <w:rFonts w:hint="eastAsia"/>
          <w:b/>
          <w:bCs/>
          <w:snapToGrid w:val="0"/>
          <w:color w:val="auto"/>
          <w:kern w:val="0"/>
          <w:sz w:val="24"/>
          <w:highlight w:val="none"/>
        </w:rPr>
        <w:t>（4）根据上述原则组价的综合单价，下浮8%后作为该子目的单价。</w:t>
      </w:r>
    </w:p>
    <w:p w14:paraId="0D325BD5">
      <w:pPr>
        <w:widowControl w:val="0"/>
        <w:adjustRightInd w:val="0"/>
        <w:snapToGrid w:val="0"/>
        <w:spacing w:line="300" w:lineRule="auto"/>
        <w:ind w:firstLine="482" w:firstLineChars="200"/>
        <w:rPr>
          <w:rFonts w:cs="宋体"/>
          <w:snapToGrid w:val="0"/>
          <w:color w:val="auto"/>
          <w:kern w:val="0"/>
          <w:sz w:val="24"/>
          <w:szCs w:val="24"/>
          <w:highlight w:val="none"/>
        </w:rPr>
      </w:pPr>
      <w:r>
        <w:rPr>
          <w:b/>
          <w:bCs/>
          <w:snapToGrid w:val="0"/>
          <w:color w:val="auto"/>
          <w:kern w:val="0"/>
          <w:sz w:val="24"/>
          <w:szCs w:val="24"/>
          <w:highlight w:val="none"/>
        </w:rPr>
        <w:t>17.1.5</w:t>
      </w:r>
      <w:r>
        <w:rPr>
          <w:rFonts w:cs="宋体"/>
          <w:snapToGrid w:val="0"/>
          <w:color w:val="auto"/>
          <w:kern w:val="0"/>
          <w:sz w:val="24"/>
          <w:szCs w:val="24"/>
          <w:highlight w:val="none"/>
        </w:rPr>
        <w:t>承包人在收到经有关部门审查通过的图纸或《施工图设计文件审查合格书》后30天内（上述文件出具的日期所在月份，即为</w:t>
      </w:r>
      <w:r>
        <w:rPr>
          <w:snapToGrid w:val="0"/>
          <w:color w:val="auto"/>
          <w:kern w:val="0"/>
          <w:sz w:val="24"/>
          <w:szCs w:val="24"/>
          <w:highlight w:val="none"/>
        </w:rPr>
        <w:t>施工图预算清单编制时所在月份</w:t>
      </w:r>
      <w:r>
        <w:rPr>
          <w:rFonts w:cs="宋体"/>
          <w:snapToGrid w:val="0"/>
          <w:color w:val="auto"/>
          <w:kern w:val="0"/>
          <w:sz w:val="24"/>
          <w:szCs w:val="24"/>
          <w:highlight w:val="none"/>
        </w:rPr>
        <w:t>）完成施工图预算清单编制并上报发包人，承包人未在30天内上报的，每延误一天扣10000元。根据</w:t>
      </w:r>
      <w:r>
        <w:rPr>
          <w:rFonts w:ascii="宋体" w:hAnsi="宋体" w:cs="宋体"/>
          <w:snapToGrid w:val="0"/>
          <w:color w:val="auto"/>
          <w:kern w:val="0"/>
          <w:sz w:val="24"/>
          <w:szCs w:val="24"/>
          <w:highlight w:val="none"/>
        </w:rPr>
        <w:t>“</w:t>
      </w:r>
      <w:r>
        <w:rPr>
          <w:snapToGrid w:val="0"/>
          <w:color w:val="auto"/>
          <w:kern w:val="0"/>
          <w:sz w:val="24"/>
          <w:szCs w:val="24"/>
          <w:highlight w:val="none"/>
        </w:rPr>
        <w:t>17.1.3</w:t>
      </w:r>
      <w:r>
        <w:rPr>
          <w:rFonts w:ascii="宋体" w:hAnsi="宋体" w:cs="宋体"/>
          <w:snapToGrid w:val="0"/>
          <w:color w:val="auto"/>
          <w:kern w:val="0"/>
          <w:sz w:val="24"/>
          <w:szCs w:val="24"/>
          <w:highlight w:val="none"/>
        </w:rPr>
        <w:t>”、“</w:t>
      </w:r>
      <w:r>
        <w:rPr>
          <w:snapToGrid w:val="0"/>
          <w:color w:val="auto"/>
          <w:kern w:val="0"/>
          <w:sz w:val="24"/>
          <w:szCs w:val="24"/>
          <w:highlight w:val="none"/>
        </w:rPr>
        <w:t>17.1.4</w:t>
      </w:r>
      <w:r>
        <w:rPr>
          <w:rFonts w:ascii="宋体" w:hAnsi="宋体" w:cs="宋体"/>
          <w:snapToGrid w:val="0"/>
          <w:color w:val="auto"/>
          <w:kern w:val="0"/>
          <w:sz w:val="24"/>
          <w:szCs w:val="24"/>
          <w:highlight w:val="none"/>
        </w:rPr>
        <w:t>”项规</w:t>
      </w:r>
      <w:r>
        <w:rPr>
          <w:rFonts w:cs="宋体"/>
          <w:snapToGrid w:val="0"/>
          <w:color w:val="auto"/>
          <w:kern w:val="0"/>
          <w:sz w:val="24"/>
          <w:szCs w:val="24"/>
          <w:highlight w:val="none"/>
        </w:rPr>
        <w:t>定计算施工图预算清单，报发包人审定，审定</w:t>
      </w:r>
      <w:r>
        <w:rPr>
          <w:color w:val="auto"/>
          <w:sz w:val="24"/>
          <w:szCs w:val="24"/>
          <w:highlight w:val="none"/>
        </w:rPr>
        <w:t>后作为</w:t>
      </w:r>
      <w:r>
        <w:rPr>
          <w:rFonts w:cs="宋体"/>
          <w:snapToGrid w:val="0"/>
          <w:color w:val="auto"/>
          <w:kern w:val="0"/>
          <w:sz w:val="24"/>
          <w:szCs w:val="24"/>
          <w:highlight w:val="none"/>
        </w:rPr>
        <w:t>施工图预算清单造价。</w:t>
      </w:r>
    </w:p>
    <w:p w14:paraId="5FF9B8A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施工图预算清单经发承包双方确认后，需出具经双方签字和盖章的书面文件，并调整合同价格，即：石料开采加工费综合单价中此部分应分摊价格的调整方式为：</w:t>
      </w:r>
      <w:r>
        <w:rPr>
          <w:rFonts w:cs="宋体"/>
          <w:snapToGrid w:val="0"/>
          <w:color w:val="auto"/>
          <w:kern w:val="0"/>
          <w:sz w:val="24"/>
          <w:szCs w:val="24"/>
          <w:highlight w:val="none"/>
        </w:rPr>
        <w:t>施工图预算清单造价</w:t>
      </w:r>
      <w:r>
        <w:rPr>
          <w:rFonts w:hint="eastAsia" w:cs="宋体"/>
          <w:snapToGrid w:val="0"/>
          <w:color w:val="auto"/>
          <w:kern w:val="0"/>
          <w:sz w:val="24"/>
          <w:szCs w:val="21"/>
          <w:highlight w:val="none"/>
        </w:rPr>
        <w:t>/合同约定开采量。</w:t>
      </w:r>
    </w:p>
    <w:p w14:paraId="3B94BC1C">
      <w:pPr>
        <w:widowControl w:val="0"/>
        <w:adjustRightInd w:val="0"/>
        <w:snapToGrid w:val="0"/>
        <w:spacing w:line="300" w:lineRule="auto"/>
        <w:ind w:firstLine="482" w:firstLineChars="200"/>
        <w:rPr>
          <w:rFonts w:cs="宋体"/>
          <w:snapToGrid w:val="0"/>
          <w:color w:val="auto"/>
          <w:kern w:val="0"/>
          <w:sz w:val="24"/>
          <w:szCs w:val="21"/>
          <w:highlight w:val="none"/>
        </w:rPr>
      </w:pPr>
      <w:r>
        <w:rPr>
          <w:b/>
          <w:bCs/>
          <w:snapToGrid w:val="0"/>
          <w:color w:val="auto"/>
          <w:kern w:val="0"/>
          <w:sz w:val="24"/>
          <w:szCs w:val="24"/>
          <w:highlight w:val="none"/>
        </w:rPr>
        <w:t>17.1.</w:t>
      </w:r>
      <w:r>
        <w:rPr>
          <w:rFonts w:hint="eastAsia"/>
          <w:b/>
          <w:bCs/>
          <w:snapToGrid w:val="0"/>
          <w:color w:val="auto"/>
          <w:kern w:val="0"/>
          <w:sz w:val="24"/>
          <w:szCs w:val="24"/>
          <w:highlight w:val="none"/>
        </w:rPr>
        <w:t>6</w:t>
      </w:r>
      <w:r>
        <w:rPr>
          <w:rFonts w:hint="eastAsia" w:cs="宋体"/>
          <w:snapToGrid w:val="0"/>
          <w:color w:val="auto"/>
          <w:kern w:val="0"/>
          <w:sz w:val="24"/>
          <w:szCs w:val="21"/>
          <w:highlight w:val="none"/>
        </w:rPr>
        <w:t>项目结束后，</w:t>
      </w:r>
      <w:r>
        <w:rPr>
          <w:rFonts w:hint="eastAsia"/>
          <w:snapToGrid w:val="0"/>
          <w:color w:val="auto"/>
          <w:kern w:val="0"/>
          <w:sz w:val="24"/>
          <w:highlight w:val="none"/>
        </w:rPr>
        <w:t>按实际完成的工程量进行结算，子目单价按第</w:t>
      </w:r>
      <w:r>
        <w:rPr>
          <w:rFonts w:ascii="宋体" w:hAnsi="宋体" w:cs="宋体"/>
          <w:snapToGrid w:val="0"/>
          <w:color w:val="auto"/>
          <w:kern w:val="0"/>
          <w:sz w:val="24"/>
          <w:szCs w:val="24"/>
          <w:highlight w:val="none"/>
        </w:rPr>
        <w:t>“</w:t>
      </w:r>
      <w:r>
        <w:rPr>
          <w:snapToGrid w:val="0"/>
          <w:color w:val="auto"/>
          <w:kern w:val="0"/>
          <w:sz w:val="24"/>
          <w:szCs w:val="24"/>
          <w:highlight w:val="none"/>
        </w:rPr>
        <w:t>17.1.3</w:t>
      </w:r>
      <w:r>
        <w:rPr>
          <w:rFonts w:ascii="宋体" w:hAnsi="宋体" w:cs="宋体"/>
          <w:snapToGrid w:val="0"/>
          <w:color w:val="auto"/>
          <w:kern w:val="0"/>
          <w:sz w:val="24"/>
          <w:szCs w:val="24"/>
          <w:highlight w:val="none"/>
        </w:rPr>
        <w:t>”、“</w:t>
      </w:r>
      <w:r>
        <w:rPr>
          <w:snapToGrid w:val="0"/>
          <w:color w:val="auto"/>
          <w:kern w:val="0"/>
          <w:sz w:val="24"/>
          <w:szCs w:val="24"/>
          <w:highlight w:val="none"/>
        </w:rPr>
        <w:t>17.1.4</w:t>
      </w:r>
      <w:r>
        <w:rPr>
          <w:rFonts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rPr>
        <w:t>项确定后不再调整，结算经</w:t>
      </w:r>
      <w:r>
        <w:rPr>
          <w:rFonts w:hint="eastAsia" w:cs="宋体"/>
          <w:snapToGrid w:val="0"/>
          <w:color w:val="auto"/>
          <w:kern w:val="0"/>
          <w:sz w:val="24"/>
          <w:szCs w:val="21"/>
          <w:highlight w:val="none"/>
        </w:rPr>
        <w:t>发承包双方确认后，石料开采加工费按实调整，即：石料开采加工费结算单价中此部分应分摊价格的调整方式为：结算价/实际开采量。</w:t>
      </w:r>
    </w:p>
    <w:p w14:paraId="22DB427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7" w:name="_Toc287444593"/>
      <w:bookmarkStart w:id="378" w:name="_Toc11199910"/>
      <w:r>
        <w:rPr>
          <w:rFonts w:hint="eastAsia" w:eastAsia="华文中宋"/>
          <w:b/>
          <w:bCs/>
          <w:snapToGrid w:val="0"/>
          <w:color w:val="auto"/>
          <w:kern w:val="0"/>
          <w:sz w:val="24"/>
          <w:highlight w:val="none"/>
        </w:rPr>
        <w:t>17.2预付款</w:t>
      </w:r>
      <w:bookmarkEnd w:id="377"/>
      <w:bookmarkEnd w:id="378"/>
    </w:p>
    <w:p w14:paraId="509282F6">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17.2.1预付款</w:t>
      </w:r>
    </w:p>
    <w:p w14:paraId="1FB6F12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预付款额度：</w:t>
      </w:r>
      <w:r>
        <w:rPr>
          <w:rFonts w:hint="eastAsia"/>
          <w:color w:val="auto"/>
          <w:sz w:val="24"/>
          <w:highlight w:val="none"/>
          <w:u w:val="single"/>
        </w:rPr>
        <w:t xml:space="preserve">   按《项目主体合同》约定   </w:t>
      </w:r>
      <w:r>
        <w:rPr>
          <w:rFonts w:hint="eastAsia"/>
          <w:color w:val="auto"/>
          <w:sz w:val="24"/>
          <w:highlight w:val="none"/>
        </w:rPr>
        <w:t>。</w:t>
      </w:r>
    </w:p>
    <w:p w14:paraId="484D700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预付款支付：</w:t>
      </w:r>
      <w:r>
        <w:rPr>
          <w:rFonts w:hint="eastAsia"/>
          <w:color w:val="auto"/>
          <w:sz w:val="24"/>
          <w:highlight w:val="none"/>
          <w:u w:val="single"/>
        </w:rPr>
        <w:t xml:space="preserve">   按《项目主体合同》约定   </w:t>
      </w:r>
      <w:r>
        <w:rPr>
          <w:rFonts w:hint="eastAsia"/>
          <w:color w:val="auto"/>
          <w:sz w:val="24"/>
          <w:highlight w:val="none"/>
        </w:rPr>
        <w:t>。</w:t>
      </w:r>
    </w:p>
    <w:p w14:paraId="5DD0A698">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17.2.2预付款保函</w:t>
      </w:r>
    </w:p>
    <w:p w14:paraId="2894096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         /         </w:t>
      </w:r>
      <w:r>
        <w:rPr>
          <w:rFonts w:hint="eastAsia"/>
          <w:color w:val="auto"/>
          <w:sz w:val="24"/>
          <w:highlight w:val="none"/>
        </w:rPr>
        <w:t>。</w:t>
      </w:r>
    </w:p>
    <w:p w14:paraId="523AB699">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17.2.3预付款的扣回与还清</w:t>
      </w:r>
    </w:p>
    <w:p w14:paraId="317BEC2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预付款的扣回办法：</w:t>
      </w:r>
      <w:r>
        <w:rPr>
          <w:rFonts w:hint="eastAsia"/>
          <w:color w:val="auto"/>
          <w:sz w:val="24"/>
          <w:highlight w:val="none"/>
          <w:u w:val="single"/>
        </w:rPr>
        <w:t xml:space="preserve">   /   </w:t>
      </w:r>
      <w:r>
        <w:rPr>
          <w:rFonts w:hint="eastAsia"/>
          <w:color w:val="auto"/>
          <w:sz w:val="24"/>
          <w:highlight w:val="none"/>
        </w:rPr>
        <w:t>。</w:t>
      </w:r>
    </w:p>
    <w:p w14:paraId="7A1FE643">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79" w:name="_Toc11199911"/>
      <w:bookmarkStart w:id="380" w:name="_Toc287444594"/>
      <w:r>
        <w:rPr>
          <w:rFonts w:hint="eastAsia" w:eastAsia="华文中宋"/>
          <w:b/>
          <w:bCs/>
          <w:snapToGrid w:val="0"/>
          <w:color w:val="auto"/>
          <w:kern w:val="0"/>
          <w:sz w:val="24"/>
          <w:highlight w:val="none"/>
        </w:rPr>
        <w:t>17.3工程进度付款</w:t>
      </w:r>
      <w:bookmarkEnd w:id="379"/>
      <w:bookmarkEnd w:id="380"/>
    </w:p>
    <w:p w14:paraId="34D1A4D5">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17.3.1付款时间</w:t>
      </w:r>
    </w:p>
    <w:p w14:paraId="69AD4908">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   按《项目主体合同》约定   </w:t>
      </w:r>
      <w:r>
        <w:rPr>
          <w:rFonts w:hint="eastAsia"/>
          <w:color w:val="auto"/>
          <w:sz w:val="24"/>
          <w:highlight w:val="none"/>
        </w:rPr>
        <w:t>。</w:t>
      </w:r>
    </w:p>
    <w:p w14:paraId="37D7A6F3">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17.3.3进度付款申请单</w:t>
      </w:r>
    </w:p>
    <w:p w14:paraId="672C997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承包人递交进度付款申请单的时间：</w:t>
      </w:r>
      <w:r>
        <w:rPr>
          <w:rFonts w:hint="eastAsia"/>
          <w:color w:val="auto"/>
          <w:sz w:val="24"/>
          <w:highlight w:val="none"/>
          <w:u w:val="single"/>
        </w:rPr>
        <w:t xml:space="preserve">   按《项目主体合同》约定   </w:t>
      </w:r>
      <w:r>
        <w:rPr>
          <w:rFonts w:hint="eastAsia"/>
          <w:color w:val="auto"/>
          <w:sz w:val="24"/>
          <w:highlight w:val="none"/>
        </w:rPr>
        <w:t>。</w:t>
      </w:r>
    </w:p>
    <w:p w14:paraId="35080DE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进度付款申请单的份数：</w:t>
      </w:r>
      <w:r>
        <w:rPr>
          <w:rFonts w:hint="eastAsia"/>
          <w:color w:val="auto"/>
          <w:sz w:val="24"/>
          <w:highlight w:val="none"/>
          <w:u w:val="single"/>
        </w:rPr>
        <w:t xml:space="preserve">   6份   </w:t>
      </w:r>
      <w:r>
        <w:rPr>
          <w:rFonts w:hint="eastAsia"/>
          <w:color w:val="auto"/>
          <w:sz w:val="24"/>
          <w:highlight w:val="none"/>
        </w:rPr>
        <w:t>。</w:t>
      </w:r>
    </w:p>
    <w:p w14:paraId="1109F5B7">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1" w:name="_Toc287444595"/>
      <w:bookmarkStart w:id="382" w:name="_Toc11199912"/>
      <w:r>
        <w:rPr>
          <w:rFonts w:hint="eastAsia" w:eastAsia="华文中宋"/>
          <w:b/>
          <w:bCs/>
          <w:snapToGrid w:val="0"/>
          <w:color w:val="auto"/>
          <w:kern w:val="0"/>
          <w:sz w:val="24"/>
          <w:highlight w:val="none"/>
        </w:rPr>
        <w:t>17.4质量保证金</w:t>
      </w:r>
      <w:bookmarkEnd w:id="381"/>
      <w:bookmarkEnd w:id="382"/>
    </w:p>
    <w:p w14:paraId="46243A0F">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17.4.1</w:t>
      </w:r>
      <w:r>
        <w:rPr>
          <w:rFonts w:hint="eastAsia"/>
          <w:color w:val="auto"/>
          <w:sz w:val="24"/>
          <w:highlight w:val="none"/>
        </w:rPr>
        <w:t>矿山地质环境保护与土地复垦工程竣工后，需保留该部分结算价的10%，作为苗木保活费用，一年后结清。</w:t>
      </w:r>
    </w:p>
    <w:p w14:paraId="76D41D59">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3" w:name="_Toc287444596"/>
      <w:bookmarkStart w:id="384" w:name="_Toc11199913"/>
      <w:r>
        <w:rPr>
          <w:rFonts w:hint="eastAsia" w:eastAsia="华文中宋"/>
          <w:b/>
          <w:bCs/>
          <w:snapToGrid w:val="0"/>
          <w:color w:val="auto"/>
          <w:kern w:val="0"/>
          <w:sz w:val="24"/>
          <w:highlight w:val="none"/>
        </w:rPr>
        <w:t>17.5竣工结算</w:t>
      </w:r>
      <w:bookmarkEnd w:id="383"/>
      <w:bookmarkEnd w:id="384"/>
    </w:p>
    <w:p w14:paraId="4276DF9C">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17.5.1竣工付款申请单</w:t>
      </w:r>
    </w:p>
    <w:p w14:paraId="656D3C4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承包人提交竣工付款申请单的份数：</w:t>
      </w:r>
      <w:r>
        <w:rPr>
          <w:rFonts w:hint="eastAsia"/>
          <w:color w:val="auto"/>
          <w:sz w:val="24"/>
          <w:highlight w:val="none"/>
          <w:u w:val="single"/>
        </w:rPr>
        <w:t xml:space="preserve">   6份   </w:t>
      </w:r>
      <w:r>
        <w:rPr>
          <w:rFonts w:hint="eastAsia"/>
          <w:color w:val="auto"/>
          <w:sz w:val="24"/>
          <w:highlight w:val="none"/>
        </w:rPr>
        <w:t>。</w:t>
      </w:r>
    </w:p>
    <w:p w14:paraId="2AAF9E5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承包人提交竣工付款申请单的期限：</w:t>
      </w:r>
      <w:r>
        <w:rPr>
          <w:rFonts w:hint="eastAsia"/>
          <w:color w:val="auto"/>
          <w:sz w:val="24"/>
          <w:highlight w:val="none"/>
          <w:u w:val="single"/>
        </w:rPr>
        <w:t xml:space="preserve"> 工程接收证书颁发后</w:t>
      </w:r>
      <w:r>
        <w:rPr>
          <w:color w:val="auto"/>
          <w:sz w:val="24"/>
          <w:highlight w:val="none"/>
          <w:u w:val="single"/>
        </w:rPr>
        <w:t>30</w:t>
      </w:r>
      <w:r>
        <w:rPr>
          <w:rFonts w:hint="eastAsia"/>
          <w:color w:val="auto"/>
          <w:sz w:val="24"/>
          <w:highlight w:val="none"/>
          <w:u w:val="single"/>
        </w:rPr>
        <w:t xml:space="preserve">天内 </w:t>
      </w:r>
      <w:r>
        <w:rPr>
          <w:rFonts w:hint="eastAsia"/>
          <w:color w:val="auto"/>
          <w:sz w:val="24"/>
          <w:highlight w:val="none"/>
        </w:rPr>
        <w:t>。</w:t>
      </w:r>
    </w:p>
    <w:p w14:paraId="2E59F17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竣工付款申请单的内容：</w:t>
      </w:r>
      <w:r>
        <w:rPr>
          <w:rFonts w:hint="eastAsia"/>
          <w:color w:val="auto"/>
          <w:sz w:val="24"/>
          <w:highlight w:val="none"/>
          <w:u w:val="single"/>
        </w:rPr>
        <w:t xml:space="preserve"> 通用合同条款规定的内容以及发包人规定的内容 </w:t>
      </w:r>
      <w:r>
        <w:rPr>
          <w:rFonts w:hint="eastAsia"/>
          <w:color w:val="auto"/>
          <w:sz w:val="24"/>
          <w:highlight w:val="none"/>
        </w:rPr>
        <w:t>。</w:t>
      </w:r>
    </w:p>
    <w:p w14:paraId="4B91C3E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5" w:name="_Toc287444597"/>
      <w:bookmarkStart w:id="386" w:name="_Toc11199914"/>
      <w:r>
        <w:rPr>
          <w:rFonts w:hint="eastAsia" w:eastAsia="华文中宋"/>
          <w:b/>
          <w:bCs/>
          <w:snapToGrid w:val="0"/>
          <w:color w:val="auto"/>
          <w:kern w:val="0"/>
          <w:sz w:val="24"/>
          <w:highlight w:val="none"/>
        </w:rPr>
        <w:t>17.6最终结清</w:t>
      </w:r>
      <w:bookmarkEnd w:id="385"/>
      <w:bookmarkEnd w:id="386"/>
    </w:p>
    <w:p w14:paraId="3215C5BF">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17.6.1最终结清申请单</w:t>
      </w:r>
    </w:p>
    <w:p w14:paraId="084FECC8">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承包人提交最终结清申请单的份数：</w:t>
      </w:r>
      <w:r>
        <w:rPr>
          <w:rFonts w:hint="eastAsia"/>
          <w:color w:val="auto"/>
          <w:sz w:val="24"/>
          <w:highlight w:val="none"/>
          <w:u w:val="single"/>
        </w:rPr>
        <w:t xml:space="preserve">   6份   </w:t>
      </w:r>
      <w:r>
        <w:rPr>
          <w:rFonts w:hint="eastAsia"/>
          <w:color w:val="auto"/>
          <w:sz w:val="24"/>
          <w:highlight w:val="none"/>
        </w:rPr>
        <w:t>。</w:t>
      </w:r>
    </w:p>
    <w:p w14:paraId="7D3B779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承包人提交最终结清申请单的期限：</w:t>
      </w:r>
      <w:r>
        <w:rPr>
          <w:rFonts w:hint="eastAsia"/>
          <w:color w:val="auto"/>
          <w:sz w:val="24"/>
          <w:highlight w:val="none"/>
          <w:u w:val="single"/>
        </w:rPr>
        <w:t xml:space="preserve">  缺陷责任期终止证书签发后28天内 </w:t>
      </w:r>
      <w:r>
        <w:rPr>
          <w:rFonts w:hint="eastAsia"/>
          <w:color w:val="auto"/>
          <w:sz w:val="24"/>
          <w:highlight w:val="none"/>
        </w:rPr>
        <w:t>。</w:t>
      </w:r>
    </w:p>
    <w:p w14:paraId="6D66D761">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87" w:name="_Toc287444598"/>
      <w:bookmarkStart w:id="388" w:name="_Toc11199915"/>
      <w:r>
        <w:rPr>
          <w:rFonts w:hint="eastAsia" w:eastAsia="华文中宋"/>
          <w:b/>
          <w:bCs/>
          <w:snapToGrid w:val="0"/>
          <w:color w:val="auto"/>
          <w:kern w:val="0"/>
          <w:sz w:val="28"/>
          <w:szCs w:val="28"/>
          <w:highlight w:val="none"/>
        </w:rPr>
        <w:t>18.竣工试验和竣工验收</w:t>
      </w:r>
      <w:bookmarkEnd w:id="387"/>
      <w:bookmarkEnd w:id="388"/>
    </w:p>
    <w:p w14:paraId="1D619F0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89" w:name="_Toc11199916"/>
      <w:bookmarkStart w:id="390" w:name="_Toc287444601"/>
      <w:r>
        <w:rPr>
          <w:rFonts w:hint="eastAsia" w:eastAsia="华文中宋"/>
          <w:b/>
          <w:bCs/>
          <w:snapToGrid w:val="0"/>
          <w:color w:val="auto"/>
          <w:kern w:val="0"/>
          <w:sz w:val="24"/>
          <w:highlight w:val="none"/>
        </w:rPr>
        <w:t>18.1竣工试验</w:t>
      </w:r>
      <w:bookmarkEnd w:id="389"/>
    </w:p>
    <w:p w14:paraId="451F5E1C">
      <w:pPr>
        <w:widowControl w:val="0"/>
        <w:adjustRightInd w:val="0"/>
        <w:snapToGrid w:val="0"/>
        <w:spacing w:line="300" w:lineRule="auto"/>
        <w:ind w:firstLine="482" w:firstLineChars="200"/>
        <w:rPr>
          <w:snapToGrid w:val="0"/>
          <w:color w:val="auto"/>
          <w:kern w:val="0"/>
          <w:sz w:val="24"/>
          <w:highlight w:val="none"/>
        </w:rPr>
      </w:pPr>
      <w:r>
        <w:rPr>
          <w:rFonts w:hint="eastAsia"/>
          <w:b/>
          <w:snapToGrid w:val="0"/>
          <w:color w:val="auto"/>
          <w:kern w:val="0"/>
          <w:sz w:val="24"/>
          <w:highlight w:val="none"/>
        </w:rPr>
        <w:t>18.1.3</w:t>
      </w:r>
      <w:r>
        <w:rPr>
          <w:rFonts w:hint="eastAsia"/>
          <w:snapToGrid w:val="0"/>
          <w:color w:val="auto"/>
          <w:kern w:val="0"/>
          <w:sz w:val="24"/>
          <w:highlight w:val="none"/>
        </w:rPr>
        <w:t>承包人应按合同约定进行工程及工程设备试运行。试运行所需人员、设备、材料、燃料、电力、消耗品、工具等必要的条件由承包人准备，试运行费用由承包人承担。</w:t>
      </w:r>
    </w:p>
    <w:p w14:paraId="5F6A2E5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1" w:name="_Toc11199917"/>
      <w:r>
        <w:rPr>
          <w:rFonts w:hint="eastAsia" w:eastAsia="华文中宋"/>
          <w:b/>
          <w:bCs/>
          <w:snapToGrid w:val="0"/>
          <w:color w:val="auto"/>
          <w:kern w:val="0"/>
          <w:sz w:val="24"/>
          <w:highlight w:val="none"/>
        </w:rPr>
        <w:t>18.6施工期运行</w:t>
      </w:r>
      <w:bookmarkEnd w:id="390"/>
      <w:bookmarkEnd w:id="391"/>
    </w:p>
    <w:p w14:paraId="0780951A">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18.6.1</w:t>
      </w:r>
      <w:r>
        <w:rPr>
          <w:rFonts w:hint="eastAsia"/>
          <w:color w:val="auto"/>
          <w:sz w:val="24"/>
          <w:highlight w:val="none"/>
        </w:rPr>
        <w:t>需要施工期运行的单位工程或设备安装工程：</w:t>
      </w:r>
      <w:r>
        <w:rPr>
          <w:rFonts w:hint="eastAsia"/>
          <w:color w:val="auto"/>
          <w:sz w:val="24"/>
          <w:highlight w:val="none"/>
          <w:u w:val="single"/>
        </w:rPr>
        <w:t xml:space="preserve">   按发包人要求   </w:t>
      </w:r>
      <w:r>
        <w:rPr>
          <w:rFonts w:hint="eastAsia"/>
          <w:color w:val="auto"/>
          <w:sz w:val="24"/>
          <w:highlight w:val="none"/>
        </w:rPr>
        <w:t>。</w:t>
      </w:r>
    </w:p>
    <w:p w14:paraId="6AE4C396">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2" w:name="_Toc11199918"/>
      <w:r>
        <w:rPr>
          <w:rFonts w:hint="eastAsia" w:eastAsia="华文中宋"/>
          <w:b/>
          <w:bCs/>
          <w:snapToGrid w:val="0"/>
          <w:color w:val="auto"/>
          <w:kern w:val="0"/>
          <w:sz w:val="24"/>
          <w:highlight w:val="none"/>
        </w:rPr>
        <w:t>18.9竣工后试验</w:t>
      </w:r>
      <w:bookmarkEnd w:id="392"/>
    </w:p>
    <w:p w14:paraId="653033B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执行通用合同条款（B）款，删除（A）款。</w:t>
      </w:r>
    </w:p>
    <w:p w14:paraId="053D1F2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93" w:name="_Toc287444606"/>
      <w:bookmarkStart w:id="394" w:name="_Toc11199919"/>
      <w:r>
        <w:rPr>
          <w:rFonts w:hint="eastAsia" w:eastAsia="华文中宋"/>
          <w:b/>
          <w:bCs/>
          <w:snapToGrid w:val="0"/>
          <w:color w:val="auto"/>
          <w:kern w:val="0"/>
          <w:sz w:val="28"/>
          <w:szCs w:val="28"/>
          <w:highlight w:val="none"/>
        </w:rPr>
        <w:t>19.缺陷责任与保修责任</w:t>
      </w:r>
      <w:bookmarkEnd w:id="393"/>
      <w:bookmarkEnd w:id="394"/>
    </w:p>
    <w:p w14:paraId="14E0873D">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5" w:name="_Toc11199920"/>
      <w:bookmarkStart w:id="396" w:name="_Toc287444607"/>
      <w:r>
        <w:rPr>
          <w:rFonts w:hint="eastAsia" w:eastAsia="华文中宋"/>
          <w:b/>
          <w:bCs/>
          <w:snapToGrid w:val="0"/>
          <w:color w:val="auto"/>
          <w:kern w:val="0"/>
          <w:sz w:val="24"/>
          <w:highlight w:val="none"/>
        </w:rPr>
        <w:t>19.7保修责任</w:t>
      </w:r>
      <w:bookmarkEnd w:id="395"/>
      <w:bookmarkEnd w:id="396"/>
    </w:p>
    <w:p w14:paraId="04B0FCD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（1）工程质量保修范围：</w:t>
      </w:r>
      <w:r>
        <w:rPr>
          <w:rFonts w:hint="eastAsia"/>
          <w:color w:val="auto"/>
          <w:sz w:val="24"/>
          <w:highlight w:val="none"/>
          <w:u w:val="single"/>
        </w:rPr>
        <w:t xml:space="preserve">  工程承包范围  </w:t>
      </w:r>
      <w:r>
        <w:rPr>
          <w:rFonts w:hint="eastAsia"/>
          <w:color w:val="auto"/>
          <w:sz w:val="24"/>
          <w:highlight w:val="none"/>
        </w:rPr>
        <w:t>。</w:t>
      </w:r>
    </w:p>
    <w:p w14:paraId="14E16BA0">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rPr>
        <w:t>（2）工程质量保修期限：</w:t>
      </w:r>
      <w:r>
        <w:rPr>
          <w:rFonts w:hint="eastAsia"/>
          <w:color w:val="auto"/>
          <w:sz w:val="24"/>
          <w:highlight w:val="none"/>
          <w:u w:val="single"/>
        </w:rPr>
        <w:t xml:space="preserve">  基础设施工程、房屋建筑的地基基础工程和主体结构工程，为设计文件规定的该工程的合理使用年限  </w:t>
      </w:r>
      <w:r>
        <w:rPr>
          <w:rFonts w:hint="eastAsia"/>
          <w:color w:val="auto"/>
          <w:sz w:val="24"/>
          <w:highlight w:val="none"/>
        </w:rPr>
        <w:t>。</w:t>
      </w:r>
    </w:p>
    <w:p w14:paraId="26EA9B9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（3）工程质量保修责任：</w:t>
      </w:r>
      <w:r>
        <w:rPr>
          <w:rFonts w:hint="eastAsia"/>
          <w:color w:val="auto"/>
          <w:sz w:val="24"/>
          <w:highlight w:val="none"/>
          <w:u w:val="single"/>
        </w:rPr>
        <w:t xml:space="preserve">  在保修范围和保修期限内发生施工质量问题的，承包人应当履行保修义务，并对造成的损失承担赔偿责任  </w:t>
      </w:r>
      <w:r>
        <w:rPr>
          <w:rFonts w:hint="eastAsia"/>
          <w:color w:val="auto"/>
          <w:sz w:val="24"/>
          <w:highlight w:val="none"/>
        </w:rPr>
        <w:t>。</w:t>
      </w:r>
    </w:p>
    <w:p w14:paraId="115FA7C1">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397" w:name="_Toc287444608"/>
      <w:bookmarkStart w:id="398" w:name="_Toc11199921"/>
      <w:r>
        <w:rPr>
          <w:rFonts w:hint="eastAsia" w:eastAsia="华文中宋"/>
          <w:b/>
          <w:bCs/>
          <w:snapToGrid w:val="0"/>
          <w:color w:val="auto"/>
          <w:kern w:val="0"/>
          <w:sz w:val="28"/>
          <w:szCs w:val="28"/>
          <w:highlight w:val="none"/>
        </w:rPr>
        <w:t>20.保险</w:t>
      </w:r>
      <w:bookmarkEnd w:id="397"/>
      <w:bookmarkEnd w:id="398"/>
    </w:p>
    <w:p w14:paraId="1DB35DEC">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399" w:name="_Toc287444609"/>
      <w:bookmarkStart w:id="400" w:name="_Toc11199922"/>
      <w:r>
        <w:rPr>
          <w:rFonts w:hint="eastAsia" w:eastAsia="华文中宋"/>
          <w:b/>
          <w:bCs/>
          <w:snapToGrid w:val="0"/>
          <w:color w:val="auto"/>
          <w:kern w:val="0"/>
          <w:sz w:val="24"/>
          <w:highlight w:val="none"/>
        </w:rPr>
        <w:t>20.1设计和工程保险</w:t>
      </w:r>
      <w:bookmarkEnd w:id="399"/>
      <w:bookmarkEnd w:id="400"/>
    </w:p>
    <w:p w14:paraId="0526F32A">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20.1.1</w:t>
      </w:r>
      <w:r>
        <w:rPr>
          <w:rFonts w:hint="eastAsia"/>
          <w:color w:val="auto"/>
          <w:sz w:val="24"/>
          <w:highlight w:val="none"/>
        </w:rPr>
        <w:t>设计责任险、建筑工程一切险、安装工程一切险的投保人：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承包人 </w:t>
      </w:r>
      <w:r>
        <w:rPr>
          <w:color w:val="auto"/>
          <w:sz w:val="24"/>
          <w:highlight w:val="none"/>
          <w:u w:val="single"/>
        </w:rPr>
        <w:t xml:space="preserve"> </w:t>
      </w:r>
      <w:r>
        <w:rPr>
          <w:rFonts w:hint="eastAsia"/>
          <w:color w:val="auto"/>
          <w:sz w:val="24"/>
          <w:highlight w:val="none"/>
        </w:rPr>
        <w:t>。</w:t>
      </w:r>
    </w:p>
    <w:p w14:paraId="424B503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保险范围：</w:t>
      </w:r>
      <w:r>
        <w:rPr>
          <w:rFonts w:hint="eastAsia"/>
          <w:color w:val="auto"/>
          <w:sz w:val="24"/>
          <w:highlight w:val="none"/>
          <w:u w:val="single"/>
        </w:rPr>
        <w:t xml:space="preserve"> 为本合同工程的施工图设计及相关服务、永久工程、临时工程及已运至施工工地用于永久工程的材料和设备所投的保险 </w:t>
      </w:r>
      <w:r>
        <w:rPr>
          <w:rFonts w:hint="eastAsia"/>
          <w:color w:val="auto"/>
          <w:sz w:val="24"/>
          <w:highlight w:val="none"/>
        </w:rPr>
        <w:t>。</w:t>
      </w:r>
    </w:p>
    <w:p w14:paraId="5E517CD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保险金额：</w:t>
      </w:r>
      <w:r>
        <w:rPr>
          <w:rFonts w:hint="eastAsia"/>
          <w:color w:val="auto"/>
          <w:sz w:val="24"/>
          <w:highlight w:val="none"/>
          <w:u w:val="single"/>
        </w:rPr>
        <w:t xml:space="preserve"> 按保险人规定 </w:t>
      </w:r>
      <w:r>
        <w:rPr>
          <w:rFonts w:hint="eastAsia"/>
          <w:color w:val="auto"/>
          <w:sz w:val="24"/>
          <w:highlight w:val="none"/>
        </w:rPr>
        <w:t>。</w:t>
      </w:r>
    </w:p>
    <w:p w14:paraId="7730022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保险费率：</w:t>
      </w:r>
      <w:r>
        <w:rPr>
          <w:rFonts w:hint="eastAsia"/>
          <w:color w:val="auto"/>
          <w:sz w:val="24"/>
          <w:highlight w:val="none"/>
          <w:u w:val="single"/>
        </w:rPr>
        <w:t xml:space="preserve"> 按保险人规定 </w:t>
      </w:r>
      <w:r>
        <w:rPr>
          <w:rFonts w:hint="eastAsia"/>
          <w:color w:val="auto"/>
          <w:sz w:val="24"/>
          <w:highlight w:val="none"/>
        </w:rPr>
        <w:t>。</w:t>
      </w:r>
    </w:p>
    <w:p w14:paraId="07D054A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保险期限：</w:t>
      </w:r>
      <w:r>
        <w:rPr>
          <w:rFonts w:hint="eastAsia"/>
          <w:color w:val="auto"/>
          <w:sz w:val="24"/>
          <w:highlight w:val="none"/>
          <w:u w:val="single"/>
        </w:rPr>
        <w:t xml:space="preserve"> 自开始工作之日算起至颁发工程移交证书 </w:t>
      </w:r>
      <w:r>
        <w:rPr>
          <w:rFonts w:hint="eastAsia"/>
          <w:color w:val="auto"/>
          <w:sz w:val="24"/>
          <w:highlight w:val="none"/>
        </w:rPr>
        <w:t>。</w:t>
      </w:r>
    </w:p>
    <w:p w14:paraId="5E4CA8D7">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保险费用已包含在合同价格中 </w:t>
      </w:r>
      <w:r>
        <w:rPr>
          <w:rFonts w:hint="eastAsia"/>
          <w:color w:val="auto"/>
          <w:sz w:val="24"/>
          <w:highlight w:val="none"/>
        </w:rPr>
        <w:t>。</w:t>
      </w:r>
    </w:p>
    <w:p w14:paraId="3DF62AF4">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20.1.2</w:t>
      </w:r>
      <w:r>
        <w:rPr>
          <w:rFonts w:hint="eastAsia"/>
          <w:color w:val="auto"/>
          <w:sz w:val="24"/>
          <w:highlight w:val="none"/>
        </w:rPr>
        <w:t>第三者责任险保险费率：</w:t>
      </w:r>
      <w:r>
        <w:rPr>
          <w:rFonts w:hint="eastAsia"/>
          <w:color w:val="auto"/>
          <w:sz w:val="24"/>
          <w:highlight w:val="none"/>
          <w:u w:val="single"/>
        </w:rPr>
        <w:t xml:space="preserve"> 按保险人规定 </w:t>
      </w:r>
      <w:r>
        <w:rPr>
          <w:rFonts w:hint="eastAsia"/>
          <w:color w:val="auto"/>
          <w:sz w:val="24"/>
          <w:highlight w:val="none"/>
        </w:rPr>
        <w:t>，保险金额：</w:t>
      </w:r>
      <w:r>
        <w:rPr>
          <w:rFonts w:hint="eastAsia"/>
          <w:color w:val="auto"/>
          <w:sz w:val="24"/>
          <w:highlight w:val="none"/>
          <w:u w:val="single"/>
        </w:rPr>
        <w:t xml:space="preserve"> 不低于500万元，事故次数不限（不计免赔额） </w:t>
      </w:r>
      <w:r>
        <w:rPr>
          <w:rFonts w:hint="eastAsia"/>
          <w:color w:val="auto"/>
          <w:sz w:val="24"/>
          <w:highlight w:val="none"/>
        </w:rPr>
        <w:t>。</w:t>
      </w:r>
    </w:p>
    <w:p w14:paraId="27DAAD3B">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20.5.4保险金不足的补偿</w:t>
      </w:r>
    </w:p>
    <w:p w14:paraId="0B347B1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 xml:space="preserve">保险金不足以补偿损失的，应由承包人承担，发包人不承担保险金不足的补偿 </w:t>
      </w:r>
      <w:r>
        <w:rPr>
          <w:rFonts w:hint="eastAsia"/>
          <w:color w:val="auto"/>
          <w:sz w:val="24"/>
          <w:highlight w:val="none"/>
        </w:rPr>
        <w:t>。</w:t>
      </w:r>
    </w:p>
    <w:p w14:paraId="7761EB5A">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1" w:name="_Toc287444611"/>
      <w:bookmarkStart w:id="402" w:name="_Toc11199923"/>
      <w:r>
        <w:rPr>
          <w:rFonts w:hint="eastAsia" w:eastAsia="华文中宋"/>
          <w:b/>
          <w:bCs/>
          <w:snapToGrid w:val="0"/>
          <w:color w:val="auto"/>
          <w:kern w:val="0"/>
          <w:sz w:val="24"/>
          <w:highlight w:val="none"/>
        </w:rPr>
        <w:t>20.4其他保险</w:t>
      </w:r>
      <w:bookmarkEnd w:id="401"/>
      <w:bookmarkEnd w:id="402"/>
    </w:p>
    <w:p w14:paraId="028ED409">
      <w:pPr>
        <w:widowControl w:val="0"/>
        <w:adjustRightInd w:val="0"/>
        <w:snapToGrid w:val="0"/>
        <w:spacing w:line="300" w:lineRule="auto"/>
        <w:ind w:firstLine="480" w:firstLineChars="200"/>
        <w:rPr>
          <w:color w:val="auto"/>
          <w:sz w:val="24"/>
          <w:highlight w:val="none"/>
          <w:u w:val="single"/>
        </w:rPr>
      </w:pPr>
      <w:r>
        <w:rPr>
          <w:rFonts w:hint="eastAsia"/>
          <w:color w:val="auto"/>
          <w:sz w:val="24"/>
          <w:highlight w:val="none"/>
        </w:rPr>
        <w:t>承包人应为其施工设备等办理的保险，其投保金额应足以现场重置。办理本款保险的一切费用均由承包人承担。</w:t>
      </w:r>
    </w:p>
    <w:p w14:paraId="3C6905F5">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3" w:name="_Toc287444612"/>
      <w:bookmarkStart w:id="404" w:name="_Toc11199924"/>
      <w:r>
        <w:rPr>
          <w:rFonts w:hint="eastAsia" w:eastAsia="华文中宋"/>
          <w:b/>
          <w:bCs/>
          <w:snapToGrid w:val="0"/>
          <w:color w:val="auto"/>
          <w:kern w:val="0"/>
          <w:sz w:val="24"/>
          <w:highlight w:val="none"/>
        </w:rPr>
        <w:t>20.5对各项保险的一般要求</w:t>
      </w:r>
      <w:bookmarkEnd w:id="403"/>
      <w:bookmarkEnd w:id="404"/>
    </w:p>
    <w:p w14:paraId="241653B0">
      <w:pPr>
        <w:widowControl w:val="0"/>
        <w:adjustRightInd w:val="0"/>
        <w:snapToGrid w:val="0"/>
        <w:spacing w:line="300" w:lineRule="auto"/>
        <w:ind w:firstLine="482" w:firstLineChars="200"/>
        <w:rPr>
          <w:b/>
          <w:snapToGrid w:val="0"/>
          <w:color w:val="auto"/>
          <w:kern w:val="0"/>
          <w:sz w:val="24"/>
          <w:highlight w:val="none"/>
        </w:rPr>
      </w:pPr>
      <w:r>
        <w:rPr>
          <w:rFonts w:hint="eastAsia"/>
          <w:b/>
          <w:snapToGrid w:val="0"/>
          <w:color w:val="auto"/>
          <w:kern w:val="0"/>
          <w:sz w:val="24"/>
          <w:highlight w:val="none"/>
        </w:rPr>
        <w:t>20.5.1保险凭证</w:t>
      </w:r>
    </w:p>
    <w:p w14:paraId="07953C9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承包人向发包人提交各项保险生效的证据和保险单副本的期限：</w:t>
      </w:r>
      <w:r>
        <w:rPr>
          <w:rFonts w:hint="eastAsia"/>
          <w:color w:val="auto"/>
          <w:sz w:val="24"/>
          <w:highlight w:val="none"/>
          <w:u w:val="single"/>
        </w:rPr>
        <w:t xml:space="preserve"> 开工后7天内 </w:t>
      </w:r>
      <w:r>
        <w:rPr>
          <w:rFonts w:hint="eastAsia"/>
          <w:color w:val="auto"/>
          <w:sz w:val="24"/>
          <w:highlight w:val="none"/>
        </w:rPr>
        <w:t>。</w:t>
      </w:r>
    </w:p>
    <w:p w14:paraId="0342226F">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405" w:name="_Toc287444613"/>
      <w:bookmarkStart w:id="406" w:name="_Toc11199925"/>
      <w:r>
        <w:rPr>
          <w:rFonts w:hint="eastAsia" w:eastAsia="华文中宋"/>
          <w:b/>
          <w:bCs/>
          <w:snapToGrid w:val="0"/>
          <w:color w:val="auto"/>
          <w:kern w:val="0"/>
          <w:sz w:val="28"/>
          <w:szCs w:val="28"/>
          <w:highlight w:val="none"/>
        </w:rPr>
        <w:t>21.不可抗力</w:t>
      </w:r>
      <w:bookmarkEnd w:id="405"/>
      <w:bookmarkEnd w:id="406"/>
    </w:p>
    <w:p w14:paraId="1B2FAAE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07" w:name="_Toc287444614"/>
      <w:bookmarkStart w:id="408" w:name="_Toc11199926"/>
      <w:r>
        <w:rPr>
          <w:rFonts w:hint="eastAsia" w:eastAsia="华文中宋"/>
          <w:b/>
          <w:bCs/>
          <w:snapToGrid w:val="0"/>
          <w:color w:val="auto"/>
          <w:kern w:val="0"/>
          <w:sz w:val="24"/>
          <w:highlight w:val="none"/>
        </w:rPr>
        <w:t>21.1不可抗力的确认</w:t>
      </w:r>
      <w:bookmarkEnd w:id="407"/>
      <w:bookmarkEnd w:id="408"/>
    </w:p>
    <w:p w14:paraId="0EBD458E">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21.1.1</w:t>
      </w:r>
      <w:r>
        <w:rPr>
          <w:rFonts w:hint="eastAsia"/>
          <w:color w:val="auto"/>
          <w:sz w:val="24"/>
          <w:highlight w:val="none"/>
        </w:rPr>
        <w:t>通用合同条款第21.1.1项约定的不可抗力以外的其他情形：</w:t>
      </w:r>
      <w:r>
        <w:rPr>
          <w:rFonts w:hint="eastAsia"/>
          <w:color w:val="auto"/>
          <w:sz w:val="24"/>
          <w:highlight w:val="none"/>
          <w:u w:val="single"/>
        </w:rPr>
        <w:t xml:space="preserve">   无   </w:t>
      </w:r>
      <w:r>
        <w:rPr>
          <w:rFonts w:hint="eastAsia"/>
          <w:color w:val="auto"/>
          <w:sz w:val="24"/>
          <w:highlight w:val="none"/>
        </w:rPr>
        <w:t>。</w:t>
      </w:r>
    </w:p>
    <w:p w14:paraId="0E2221F2">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bookmarkStart w:id="409" w:name="_Toc287444618"/>
      <w:bookmarkStart w:id="410" w:name="_Toc11199927"/>
      <w:r>
        <w:rPr>
          <w:rFonts w:hint="eastAsia" w:eastAsia="华文中宋"/>
          <w:b/>
          <w:bCs/>
          <w:snapToGrid w:val="0"/>
          <w:color w:val="auto"/>
          <w:kern w:val="0"/>
          <w:sz w:val="28"/>
          <w:szCs w:val="28"/>
          <w:highlight w:val="none"/>
        </w:rPr>
        <w:t>24.争议的解决</w:t>
      </w:r>
      <w:bookmarkEnd w:id="409"/>
      <w:bookmarkEnd w:id="410"/>
    </w:p>
    <w:p w14:paraId="4E7CEDB8">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11" w:name="_Toc11199928"/>
      <w:bookmarkStart w:id="412" w:name="_Toc287444619"/>
      <w:r>
        <w:rPr>
          <w:rFonts w:hint="eastAsia" w:eastAsia="华文中宋"/>
          <w:b/>
          <w:bCs/>
          <w:snapToGrid w:val="0"/>
          <w:color w:val="auto"/>
          <w:kern w:val="0"/>
          <w:sz w:val="24"/>
          <w:highlight w:val="none"/>
        </w:rPr>
        <w:t>24.1争议的解决方式</w:t>
      </w:r>
      <w:bookmarkEnd w:id="411"/>
      <w:bookmarkEnd w:id="412"/>
    </w:p>
    <w:p w14:paraId="29B89D8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因本合同引起的或与本合同有关的任何争议，合同双方友好协商不成、不愿提请争议组评审或者不愿接受争议评审组意见的，选择下列第</w:t>
      </w:r>
      <w:r>
        <w:rPr>
          <w:rFonts w:hint="eastAsia"/>
          <w:color w:val="auto"/>
          <w:sz w:val="24"/>
          <w:highlight w:val="none"/>
          <w:u w:val="single"/>
        </w:rPr>
        <w:t xml:space="preserve">    （二）    </w:t>
      </w:r>
      <w:r>
        <w:rPr>
          <w:rFonts w:hint="eastAsia"/>
          <w:color w:val="auto"/>
          <w:sz w:val="24"/>
          <w:highlight w:val="none"/>
        </w:rPr>
        <w:t>种方式解决：</w:t>
      </w:r>
    </w:p>
    <w:p w14:paraId="2A7F731F">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（一）</w:t>
      </w:r>
      <w:r>
        <w:rPr>
          <w:rFonts w:hint="eastAsia"/>
          <w:color w:val="auto"/>
          <w:sz w:val="24"/>
          <w:highlight w:val="none"/>
        </w:rPr>
        <w:t>提请</w:t>
      </w:r>
      <w:r>
        <w:rPr>
          <w:rFonts w:hint="eastAsia"/>
          <w:color w:val="auto"/>
          <w:sz w:val="24"/>
          <w:highlight w:val="none"/>
          <w:u w:val="single"/>
        </w:rPr>
        <w:t xml:space="preserve">     /     </w:t>
      </w:r>
      <w:r>
        <w:rPr>
          <w:rFonts w:hint="eastAsia"/>
          <w:color w:val="auto"/>
          <w:sz w:val="24"/>
          <w:highlight w:val="none"/>
        </w:rPr>
        <w:t>仲裁委员会按照该会仲裁规则进行仲裁，仲裁裁决是终局的，对合同双方均有约束力。</w:t>
      </w:r>
    </w:p>
    <w:p w14:paraId="76703F81">
      <w:pPr>
        <w:widowControl w:val="0"/>
        <w:adjustRightInd w:val="0"/>
        <w:snapToGrid w:val="0"/>
        <w:spacing w:line="300" w:lineRule="auto"/>
        <w:ind w:firstLine="480" w:firstLineChars="200"/>
        <w:rPr>
          <w:color w:val="auto"/>
          <w:sz w:val="24"/>
          <w:highlight w:val="none"/>
        </w:rPr>
      </w:pPr>
      <w:r>
        <w:rPr>
          <w:rFonts w:hint="eastAsia"/>
          <w:color w:val="auto"/>
          <w:sz w:val="24"/>
          <w:highlight w:val="none"/>
          <w:u w:val="single"/>
        </w:rPr>
        <w:t>（二）</w:t>
      </w:r>
      <w:r>
        <w:rPr>
          <w:rFonts w:hint="eastAsia"/>
          <w:color w:val="auto"/>
          <w:sz w:val="24"/>
          <w:highlight w:val="none"/>
        </w:rPr>
        <w:t>向有管辖权的人民法院提起诉讼。</w:t>
      </w:r>
    </w:p>
    <w:p w14:paraId="4B41307F">
      <w:pPr>
        <w:widowControl w:val="0"/>
        <w:adjustRightInd w:val="0"/>
        <w:snapToGrid w:val="0"/>
        <w:spacing w:line="300" w:lineRule="auto"/>
        <w:ind w:firstLine="480" w:firstLineChars="200"/>
        <w:rPr>
          <w:rFonts w:eastAsia="华文中宋"/>
          <w:b/>
          <w:bCs/>
          <w:snapToGrid w:val="0"/>
          <w:color w:val="auto"/>
          <w:kern w:val="0"/>
          <w:sz w:val="24"/>
          <w:highlight w:val="none"/>
        </w:rPr>
      </w:pPr>
      <w:bookmarkStart w:id="413" w:name="_Toc11199929"/>
      <w:r>
        <w:rPr>
          <w:rFonts w:hint="eastAsia" w:eastAsia="华文中宋"/>
          <w:b/>
          <w:bCs/>
          <w:snapToGrid w:val="0"/>
          <w:color w:val="auto"/>
          <w:kern w:val="0"/>
          <w:sz w:val="24"/>
          <w:highlight w:val="none"/>
        </w:rPr>
        <w:t>24.3争议评审</w:t>
      </w:r>
      <w:bookmarkEnd w:id="413"/>
    </w:p>
    <w:p w14:paraId="1EEE6310">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24.3.4</w:t>
      </w:r>
      <w:r>
        <w:rPr>
          <w:rFonts w:hint="eastAsia"/>
          <w:color w:val="auto"/>
          <w:sz w:val="24"/>
          <w:highlight w:val="none"/>
        </w:rPr>
        <w:t>争议评审组邀请合同双方代表人和有关人员举行调查会的期限：</w:t>
      </w:r>
      <w:r>
        <w:rPr>
          <w:rFonts w:hint="eastAsia"/>
          <w:color w:val="auto"/>
          <w:sz w:val="24"/>
          <w:highlight w:val="none"/>
          <w:u w:val="single"/>
        </w:rPr>
        <w:t xml:space="preserve">   /   </w:t>
      </w:r>
      <w:r>
        <w:rPr>
          <w:rFonts w:hint="eastAsia"/>
          <w:color w:val="auto"/>
          <w:sz w:val="24"/>
          <w:highlight w:val="none"/>
        </w:rPr>
        <w:t>。</w:t>
      </w:r>
    </w:p>
    <w:p w14:paraId="3A5B1802">
      <w:pPr>
        <w:widowControl w:val="0"/>
        <w:adjustRightInd w:val="0"/>
        <w:snapToGrid w:val="0"/>
        <w:spacing w:line="300" w:lineRule="auto"/>
        <w:ind w:firstLine="482" w:firstLineChars="200"/>
        <w:rPr>
          <w:color w:val="auto"/>
          <w:sz w:val="24"/>
          <w:highlight w:val="none"/>
        </w:rPr>
      </w:pPr>
      <w:r>
        <w:rPr>
          <w:rFonts w:hint="eastAsia"/>
          <w:b/>
          <w:snapToGrid w:val="0"/>
          <w:color w:val="auto"/>
          <w:kern w:val="0"/>
          <w:sz w:val="24"/>
          <w:highlight w:val="none"/>
        </w:rPr>
        <w:t>24.3.5</w:t>
      </w:r>
      <w:r>
        <w:rPr>
          <w:rFonts w:hint="eastAsia"/>
          <w:color w:val="auto"/>
          <w:sz w:val="24"/>
          <w:highlight w:val="none"/>
        </w:rPr>
        <w:t>争议评审组在调查会后作出争议评审意见的期限：</w:t>
      </w:r>
      <w:r>
        <w:rPr>
          <w:rFonts w:hint="eastAsia"/>
          <w:color w:val="auto"/>
          <w:sz w:val="24"/>
          <w:highlight w:val="none"/>
          <w:u w:val="single"/>
        </w:rPr>
        <w:t xml:space="preserve">   /   </w:t>
      </w:r>
      <w:r>
        <w:rPr>
          <w:rFonts w:hint="eastAsia"/>
          <w:color w:val="auto"/>
          <w:sz w:val="24"/>
          <w:highlight w:val="none"/>
        </w:rPr>
        <w:t>。</w:t>
      </w:r>
    </w:p>
    <w:p w14:paraId="78F18555">
      <w:pPr>
        <w:widowControl w:val="0"/>
        <w:adjustRightInd w:val="0"/>
        <w:snapToGrid w:val="0"/>
        <w:spacing w:line="300" w:lineRule="auto"/>
        <w:ind w:firstLine="476" w:firstLineChars="170"/>
        <w:rPr>
          <w:rFonts w:eastAsia="华文中宋"/>
          <w:b/>
          <w:bCs/>
          <w:snapToGrid w:val="0"/>
          <w:color w:val="auto"/>
          <w:kern w:val="0"/>
          <w:sz w:val="28"/>
          <w:szCs w:val="28"/>
          <w:highlight w:val="none"/>
        </w:rPr>
      </w:pPr>
      <w:r>
        <w:rPr>
          <w:rFonts w:hint="eastAsia" w:eastAsia="华文中宋"/>
          <w:b/>
          <w:bCs/>
          <w:snapToGrid w:val="0"/>
          <w:color w:val="auto"/>
          <w:kern w:val="0"/>
          <w:sz w:val="28"/>
          <w:szCs w:val="28"/>
          <w:highlight w:val="none"/>
        </w:rPr>
        <w:t>25.其他</w:t>
      </w:r>
    </w:p>
    <w:p w14:paraId="10136984">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25.1在采矿权终止后或本次采购服务履行完毕后或本次服务解除后，若相关部门要求拆除外运配套码头，拆除工作由承包人负责，拆除费用和残值需第三方鉴定并通过相关部门批准，若残值大于拆除费用的，余额在结算价中扣回，若残值小于拆除费用的，差额由承包人承担，发包人不再另行支付。</w:t>
      </w:r>
    </w:p>
    <w:p w14:paraId="39A6F1DB">
      <w:pPr>
        <w:widowControl w:val="0"/>
        <w:adjustRightInd w:val="0"/>
        <w:snapToGrid w:val="0"/>
        <w:rPr>
          <w:color w:val="auto"/>
          <w:highlight w:val="none"/>
        </w:rPr>
      </w:pPr>
    </w:p>
    <w:p w14:paraId="073D7EBB">
      <w:pPr>
        <w:widowControl w:val="0"/>
        <w:adjustRightInd w:val="0"/>
        <w:snapToGrid w:val="0"/>
        <w:spacing w:line="300" w:lineRule="auto"/>
        <w:rPr>
          <w:b/>
          <w:bCs/>
          <w:color w:val="auto"/>
          <w:sz w:val="24"/>
          <w:highlight w:val="none"/>
        </w:rPr>
      </w:pPr>
      <w:r>
        <w:rPr>
          <w:rFonts w:hint="eastAsia"/>
          <w:b/>
          <w:bCs/>
          <w:color w:val="auto"/>
          <w:sz w:val="24"/>
          <w:highlight w:val="none"/>
        </w:rPr>
        <w:t>附件1：发包人要求</w:t>
      </w:r>
    </w:p>
    <w:p w14:paraId="24BA7D47">
      <w:pPr>
        <w:widowControl w:val="0"/>
        <w:adjustRightInd w:val="0"/>
        <w:snapToGrid w:val="0"/>
        <w:rPr>
          <w:color w:val="auto"/>
          <w:highlight w:val="none"/>
        </w:rPr>
      </w:pPr>
    </w:p>
    <w:p w14:paraId="74489406">
      <w:pPr>
        <w:widowControl w:val="0"/>
        <w:adjustRightInd w:val="0"/>
        <w:snapToGrid w:val="0"/>
        <w:rPr>
          <w:color w:val="auto"/>
          <w:highlight w:val="none"/>
        </w:rPr>
      </w:pPr>
    </w:p>
    <w:p w14:paraId="42DAEC23">
      <w:pPr>
        <w:widowControl w:val="0"/>
        <w:adjustRightInd w:val="0"/>
        <w:snapToGrid w:val="0"/>
        <w:rPr>
          <w:color w:val="auto"/>
          <w:highlight w:val="none"/>
        </w:rPr>
      </w:pPr>
    </w:p>
    <w:p w14:paraId="5266FB77">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一、基本要求</w:t>
      </w:r>
    </w:p>
    <w:p w14:paraId="53C9F239">
      <w:pPr>
        <w:widowControl w:val="0"/>
        <w:adjustRightInd w:val="0"/>
        <w:snapToGrid w:val="0"/>
        <w:rPr>
          <w:color w:val="auto"/>
          <w:highlight w:val="none"/>
        </w:rPr>
      </w:pPr>
    </w:p>
    <w:p w14:paraId="055E676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外运配套码头建设内容包括码头、航道疏浚、码头水域疏浚和维护期疏浚，至少须配套建设2000吨级及以上货运码头，船舶位4个，承包人应根据发包人提供的外运配套码头建设初步方案，进一步细化初步设计并向有关部门报批码头建设许可（包含海上施工许可证、废弃物海洋倾倒许可证）、组织码头建设、验收。码头建设完成及航道须满足承包人承诺的年销售量的出运、由承包人负责码头的运营管理和保证码头的正常运行，并符合发包人和行业主管部门的基本要求。</w:t>
      </w:r>
    </w:p>
    <w:p w14:paraId="11B2779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建设前期工作（包括维护期疏浚分阶段的前期工作）涉及的包括但不限于项目建议书及可行性研究报告、专项研究、岸线使用申请、海域使用论证、环境影响评价、航道通航条件影响评价、通航安全咨询、地形测量、地质勘察、现场水文试验、海洋环境调查、潮流泥沙数模研究、波浪数模研究、岸滩稳定及回淤研究、施工期悬沙扩散与溢油数模研究、初步设计及审查、施工图阶段勘察、施工图设计及审查、施工图预算等报告编制、专项研究、基础资料提供及相关报批报建所有一切工作全部由承包人负责完成，发包人予以协助。</w:t>
      </w:r>
    </w:p>
    <w:p w14:paraId="06A2E8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3、初步方案、初步设计（含概算）、施工图设计经发包人审批后才可进行下一步骤（概算需第三方咨询机构审定）。</w:t>
      </w:r>
    </w:p>
    <w:p w14:paraId="32BE27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外运配套码头运营管理：在外运配套码头运营期间，中标承包人负有运营、管理、保管、养护、维修等运营期间的全部责任，确保码头的正常使用和出货要求，除不可抗力因素【地震、海啸、火山爆发、泥石流、暴雨（雪）、台风、龙卷风、水灾等自然灾害、战争、骚乱、暴动（但纯属承包人或其分包人派遣与雇用的人员由于本合同建设原因引起者除外）、核反应、辐射或放射性污染、空中飞行物体坠落或非发包人或承包人责任造成的爆炸（及火灾）、瘟疫等】以外，码头运营期间涉及的所有运营、管理、保管、维护、维修等所有费用均由中标承包人自行承担，发包人不再另行支付。因不可抗力因素造成外运配套码头损失的，由发包人及承包人各自承担50%的损失费用（损失费用不包括保险公司赔偿的费用，也不包括过错方责任造成的扩大损失）。</w:t>
      </w:r>
    </w:p>
    <w:p w14:paraId="44041180">
      <w:pPr>
        <w:widowControl w:val="0"/>
        <w:adjustRightInd w:val="0"/>
        <w:snapToGrid w:val="0"/>
        <w:rPr>
          <w:color w:val="auto"/>
          <w:highlight w:val="none"/>
        </w:rPr>
      </w:pPr>
    </w:p>
    <w:p w14:paraId="6B20418D">
      <w:pPr>
        <w:widowControl w:val="0"/>
        <w:adjustRightInd w:val="0"/>
        <w:snapToGrid w:val="0"/>
        <w:rPr>
          <w:color w:val="auto"/>
          <w:highlight w:val="none"/>
        </w:rPr>
      </w:pPr>
    </w:p>
    <w:p w14:paraId="4F7FA732">
      <w:pPr>
        <w:widowControl w:val="0"/>
        <w:adjustRightInd w:val="0"/>
        <w:snapToGrid w:val="0"/>
        <w:rPr>
          <w:color w:val="auto"/>
          <w:highlight w:val="none"/>
        </w:rPr>
      </w:pPr>
    </w:p>
    <w:p w14:paraId="6F3E156F">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二、外运配套码头工程安全生产、环境保护管理工作内容</w:t>
      </w:r>
    </w:p>
    <w:p w14:paraId="3BC92F39">
      <w:pPr>
        <w:widowControl w:val="0"/>
        <w:adjustRightInd w:val="0"/>
        <w:snapToGrid w:val="0"/>
        <w:rPr>
          <w:color w:val="auto"/>
          <w:highlight w:val="none"/>
        </w:rPr>
      </w:pPr>
    </w:p>
    <w:p w14:paraId="302566C3">
      <w:pPr>
        <w:pStyle w:val="24"/>
        <w:rPr>
          <w:color w:val="auto"/>
          <w:highlight w:val="none"/>
        </w:rPr>
      </w:pPr>
      <w:r>
        <w:rPr>
          <w:rFonts w:hint="eastAsia"/>
          <w:color w:val="auto"/>
          <w:highlight w:val="none"/>
        </w:rPr>
        <w:t>1、安全管理要求：</w:t>
      </w:r>
    </w:p>
    <w:p w14:paraId="25E4248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（1）承包人应严格执行国家、地方政府有关施工安全管理方面的法律、法规及规章制度，以及监理人有关安全工作的指示。</w:t>
      </w:r>
    </w:p>
    <w:p w14:paraId="3C591E4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（2）对影响安全的重要工序应编制专项施工方案，并附安全验算结果，经承包人项目技术负责人签字并报监理人和发包人批准后实施，由专职安全生产管理人员进行现场监督。</w:t>
      </w:r>
    </w:p>
    <w:p w14:paraId="41EBC3E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（3）承包人应充分关注和保障所有在现场工作的人员的安全，采取以下有效措施，使现场和本合同工程的实施保持有条不紊，以免使人员的安全受到威胁：</w:t>
      </w:r>
    </w:p>
    <w:p w14:paraId="0CC7C958">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按《公路水运工程安全生产监督管理办法》、《浙江省交通建设工程质量和安全生产管理办法》</w:t>
      </w:r>
      <w:r>
        <w:rPr>
          <w:rFonts w:hint="eastAsia" w:cs="宋体"/>
          <w:snapToGrid w:val="0"/>
          <w:color w:val="auto"/>
          <w:kern w:val="0"/>
          <w:sz w:val="24"/>
          <w:szCs w:val="24"/>
          <w:highlight w:val="none"/>
        </w:rPr>
        <w:t>、</w:t>
      </w:r>
      <w:r>
        <w:rPr>
          <w:rFonts w:cs="宋体"/>
          <w:snapToGrid w:val="0"/>
          <w:color w:val="auto"/>
          <w:kern w:val="0"/>
          <w:sz w:val="24"/>
          <w:szCs w:val="24"/>
          <w:highlight w:val="none"/>
        </w:rPr>
        <w:t>《</w:t>
      </w:r>
      <w:r>
        <w:rPr>
          <w:rFonts w:hint="eastAsia" w:cs="宋体"/>
          <w:snapToGrid w:val="0"/>
          <w:color w:val="auto"/>
          <w:kern w:val="0"/>
          <w:sz w:val="24"/>
          <w:szCs w:val="24"/>
          <w:highlight w:val="none"/>
        </w:rPr>
        <w:t>浙</w:t>
      </w:r>
      <w:r>
        <w:rPr>
          <w:rFonts w:cs="宋体"/>
          <w:snapToGrid w:val="0"/>
          <w:color w:val="auto"/>
          <w:kern w:val="0"/>
          <w:sz w:val="24"/>
          <w:szCs w:val="24"/>
          <w:highlight w:val="none"/>
        </w:rPr>
        <w:t>江省交通建设工程安全生产监督管理实施细则》（浙交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2013</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5号）、《关于进一步加强全省交通建设工程安全生产管理工作的若干规定》（浙交</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2020</w:t>
      </w:r>
      <w:r>
        <w:rPr>
          <w:rFonts w:ascii="宋体" w:hAnsi="宋体" w:cs="宋体"/>
          <w:snapToGrid w:val="0"/>
          <w:color w:val="auto"/>
          <w:kern w:val="0"/>
          <w:sz w:val="24"/>
          <w:szCs w:val="24"/>
          <w:highlight w:val="none"/>
        </w:rPr>
        <w:t>〕</w:t>
      </w:r>
      <w:r>
        <w:rPr>
          <w:rFonts w:cs="宋体"/>
          <w:snapToGrid w:val="0"/>
          <w:color w:val="auto"/>
          <w:kern w:val="0"/>
          <w:sz w:val="24"/>
          <w:szCs w:val="24"/>
          <w:highlight w:val="none"/>
        </w:rPr>
        <w:t>104号）配备专职安全生产管理人员；</w:t>
      </w:r>
    </w:p>
    <w:p w14:paraId="6783E69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承包人的垂直运输机械作业人员、施工船舶作业人员、焊破作业人员、安装拆卸工、起重信号工、电工、焊工等国家规定的特种作业人员，必须按照国家规定经过专门的安全作业培训，并取得特种作业操作资格证书后，方可上岗作业；</w:t>
      </w:r>
    </w:p>
    <w:p w14:paraId="4A315252">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所有施工机具设备和高空作业设备均应定期检查，并有安全员的签字记录；</w:t>
      </w:r>
    </w:p>
    <w:p w14:paraId="612FE11D">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根据本项目的施工特点，严格执行《公路水运工程安全生产监督管理办法》、《浙江省交通建设工程质量和安全生产管理办法》</w:t>
      </w:r>
      <w:r>
        <w:rPr>
          <w:rFonts w:hint="eastAsia" w:cs="宋体"/>
          <w:snapToGrid w:val="0"/>
          <w:color w:val="auto"/>
          <w:kern w:val="0"/>
          <w:sz w:val="24"/>
          <w:szCs w:val="24"/>
          <w:highlight w:val="none"/>
        </w:rPr>
        <w:t>和</w:t>
      </w:r>
      <w:r>
        <w:rPr>
          <w:rFonts w:cs="宋体"/>
          <w:snapToGrid w:val="0"/>
          <w:color w:val="auto"/>
          <w:kern w:val="0"/>
          <w:sz w:val="24"/>
          <w:szCs w:val="24"/>
          <w:highlight w:val="none"/>
        </w:rPr>
        <w:t>《水运工程施工安全技术规程》的具体规定。</w:t>
      </w:r>
    </w:p>
    <w:p w14:paraId="04DC00C3">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严格按批准的实施性交通安全组织方案做好施工安全相关组织管理工作。</w:t>
      </w:r>
    </w:p>
    <w:p w14:paraId="0715E98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（4）为了保护本项目免遭损坏，或为了现场附近和过往群众的安全与方便，在确有必要的时候和地方，或当监理人或有关主管部门要求时，承包人应负责提供照明、警卫、护栅、警告标志等安全防护设施。</w:t>
      </w:r>
    </w:p>
    <w:p w14:paraId="6EAD55E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（5）在通航水域施工时，承包人应与当地主管部门取得联系，负责办理水上水下作业许可证，设置必要的导航标志，及时发布航行通知，确保施工水域安全。所需的一切费用均由承包人负责。</w:t>
      </w:r>
    </w:p>
    <w:p w14:paraId="0AC4978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14:paraId="32F589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承包人在高压线、水上、水下及地下管线、易燃、易碎地段或其他有害环境下施工时，施工前应提出安全保护措施，经监理人审查同意后实施。监理人的同意不能免除承包人应承担的责任。防护措施费用由承包人承担。</w:t>
      </w:r>
    </w:p>
    <w:p w14:paraId="10AFB32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（8）施工现场发生安全事故时，承包人应立即采取有效措施，并将事故情况按规定上报有关部门并报告发包人与监理人。</w:t>
      </w:r>
    </w:p>
    <w:p w14:paraId="3F798C7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（9）承包人应解决施工船舶的临时停泊设施并不得阻塞航道、妨碍进出港船舶航行及安全，保证船舶在施工水域内航行安全和畅通。</w:t>
      </w:r>
    </w:p>
    <w:p w14:paraId="350E267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（10）承包人应按照《浙江省公路水运建设工程施工现场安全标志和安全防护设施设置规定（试行）》（浙交</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2011</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63号）、《关于在全省公路水运工程开展“质安文化进工地”活动的通知》（浙交监</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2014</w:t>
      </w:r>
      <w:r>
        <w:rPr>
          <w:rFonts w:hint="eastAsia" w:ascii="宋体" w:hAnsi="宋体" w:cs="宋体"/>
          <w:snapToGrid w:val="0"/>
          <w:color w:val="auto"/>
          <w:kern w:val="0"/>
          <w:sz w:val="24"/>
          <w:szCs w:val="21"/>
          <w:highlight w:val="none"/>
        </w:rPr>
        <w:t>〕</w:t>
      </w:r>
      <w:r>
        <w:rPr>
          <w:rFonts w:hint="eastAsia" w:cs="宋体"/>
          <w:snapToGrid w:val="0"/>
          <w:color w:val="auto"/>
          <w:kern w:val="0"/>
          <w:sz w:val="24"/>
          <w:szCs w:val="21"/>
          <w:highlight w:val="none"/>
        </w:rPr>
        <w:t>41号）等（以上相关文件内容如有更新，以最新内容为准）及合同实施过程中可能发布和更新的文件等要求进行施工。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AE590E4">
      <w:pPr>
        <w:pStyle w:val="24"/>
        <w:rPr>
          <w:color w:val="auto"/>
          <w:highlight w:val="none"/>
        </w:rPr>
      </w:pPr>
      <w:r>
        <w:rPr>
          <w:rFonts w:hint="eastAsia"/>
          <w:color w:val="auto"/>
          <w:highlight w:val="none"/>
        </w:rPr>
        <w:t>2、外运配套码头工程环境保护管理要求</w:t>
      </w:r>
    </w:p>
    <w:p w14:paraId="53F484D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（1）承包人应严格执行国家有关水域环境生态保护的规定，合理选择施工船机和施工工艺，采取有效措施，减少施工对周边水域的影响。</w:t>
      </w:r>
    </w:p>
    <w:p w14:paraId="669942C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（2）承包人应切实执行相关技术标准和要求中有关环境保护方面的条款和规定：</w:t>
      </w:r>
    </w:p>
    <w:p w14:paraId="20A3FD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对于来自施工机械和运输车辆、船舶的施工噪声，为保护施工人员的健康，应遵守《中华人民共和国噪声污染防治法》并依据《工业全业噪声卫生标准》合理安排工作人员轮流操作施工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E43C1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2）对于施工中粉尘污染的主要污染源—灰土拌和、施工车辆和施工机械运行及运输产生的扬尘，应采取有效措施减轻其对施工现场的大气污染，保护人民健康，如：</w:t>
      </w:r>
      <w:r>
        <w:rPr>
          <w:rFonts w:hint="eastAsia" w:ascii="宋体" w:hAnsi="宋体" w:cs="宋体"/>
          <w:snapToGrid w:val="0"/>
          <w:color w:val="auto"/>
          <w:kern w:val="0"/>
          <w:sz w:val="24"/>
          <w:szCs w:val="24"/>
          <w:highlight w:val="none"/>
        </w:rPr>
        <w:t>①</w:t>
      </w:r>
      <w:r>
        <w:rPr>
          <w:rFonts w:cs="宋体"/>
          <w:snapToGrid w:val="0"/>
          <w:color w:val="auto"/>
          <w:kern w:val="0"/>
          <w:sz w:val="24"/>
          <w:szCs w:val="24"/>
          <w:highlight w:val="none"/>
        </w:rPr>
        <w:t>拌和设备应有较好的密封，或有防尘设备</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②</w:t>
      </w:r>
      <w:r>
        <w:rPr>
          <w:rFonts w:cs="宋体"/>
          <w:snapToGrid w:val="0"/>
          <w:color w:val="auto"/>
          <w:kern w:val="0"/>
          <w:sz w:val="24"/>
          <w:szCs w:val="24"/>
          <w:highlight w:val="none"/>
        </w:rPr>
        <w:t>施工通道、混凝土拌和站及灰土拌和站应经常进行洒水降尘</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③</w:t>
      </w:r>
      <w:r>
        <w:rPr>
          <w:rFonts w:cs="宋体"/>
          <w:snapToGrid w:val="0"/>
          <w:color w:val="auto"/>
          <w:kern w:val="0"/>
          <w:sz w:val="24"/>
          <w:szCs w:val="24"/>
          <w:highlight w:val="none"/>
        </w:rPr>
        <w:t>路面施工应注意保持水分，以免扬尘</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④</w:t>
      </w:r>
      <w:r>
        <w:rPr>
          <w:rFonts w:cs="宋体"/>
          <w:snapToGrid w:val="0"/>
          <w:color w:val="auto"/>
          <w:kern w:val="0"/>
          <w:sz w:val="24"/>
          <w:szCs w:val="24"/>
          <w:highlight w:val="none"/>
        </w:rPr>
        <w:t>钻孔灌注桩施工时排出的泥浆要进行妥善处理，严禁向河流或农田排放</w:t>
      </w:r>
      <w:r>
        <w:rPr>
          <w:rFonts w:hint="eastAsia" w:cs="宋体"/>
          <w:snapToGrid w:val="0"/>
          <w:color w:val="auto"/>
          <w:kern w:val="0"/>
          <w:sz w:val="24"/>
          <w:szCs w:val="24"/>
          <w:highlight w:val="none"/>
        </w:rPr>
        <w:t>；</w:t>
      </w:r>
      <w:r>
        <w:rPr>
          <w:rFonts w:hint="eastAsia" w:ascii="宋体" w:hAnsi="宋体" w:cs="宋体"/>
          <w:snapToGrid w:val="0"/>
          <w:color w:val="auto"/>
          <w:kern w:val="0"/>
          <w:sz w:val="24"/>
          <w:szCs w:val="24"/>
          <w:highlight w:val="none"/>
        </w:rPr>
        <w:t>⑤</w:t>
      </w:r>
      <w:r>
        <w:rPr>
          <w:rFonts w:cs="宋体"/>
          <w:snapToGrid w:val="0"/>
          <w:color w:val="auto"/>
          <w:kern w:val="0"/>
          <w:sz w:val="24"/>
          <w:szCs w:val="24"/>
          <w:highlight w:val="none"/>
        </w:rPr>
        <w:t>采取可靠措施保证原有交通的正常通行，维持沿线村镇的居民饮水、农田灌溉、生产生活用电及通信等管线的正常使用。</w:t>
      </w:r>
    </w:p>
    <w:p w14:paraId="1853CDF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在整个施工过程中对承包人采取的环境保护措施，发包人和监理人有权监督，并向承包人提出整改要求。如果由于承包人未能对其负责的上述事项采取各种必要的措施而导致或发生与此有关的人身伤亡、罚款、索赂、损失补偿、诉讼费用及其他一切责任应由承包人负责。</w:t>
      </w:r>
    </w:p>
    <w:p w14:paraId="6211A6E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（4）在施工期间，承包人应随时保持现场整洁，施工设备和材料、工程设备应整齐安善存放和储存，废料与垃圾及不再需要的临时设施应及时从现场清除、拆除并运走。</w:t>
      </w:r>
    </w:p>
    <w:p w14:paraId="5A3C66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承包人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土场必须先挡后弃，严禁在指定的取（弃）土场以外的地方乱挖乱弃。</w:t>
      </w:r>
    </w:p>
    <w:p w14:paraId="5A24BA4C">
      <w:pPr>
        <w:widowControl w:val="0"/>
        <w:adjustRightInd w:val="0"/>
        <w:snapToGrid w:val="0"/>
        <w:rPr>
          <w:color w:val="auto"/>
          <w:highlight w:val="none"/>
        </w:rPr>
      </w:pPr>
    </w:p>
    <w:p w14:paraId="4E0BD5D1">
      <w:pPr>
        <w:widowControl w:val="0"/>
        <w:adjustRightInd w:val="0"/>
        <w:snapToGrid w:val="0"/>
        <w:rPr>
          <w:color w:val="auto"/>
          <w:highlight w:val="none"/>
        </w:rPr>
      </w:pPr>
    </w:p>
    <w:p w14:paraId="37169575">
      <w:pPr>
        <w:widowControl w:val="0"/>
        <w:adjustRightInd w:val="0"/>
        <w:snapToGrid w:val="0"/>
        <w:rPr>
          <w:color w:val="auto"/>
          <w:highlight w:val="none"/>
        </w:rPr>
      </w:pPr>
    </w:p>
    <w:p w14:paraId="78707DDF">
      <w:pPr>
        <w:widowControl w:val="0"/>
        <w:adjustRightInd w:val="0"/>
        <w:snapToGrid w:val="0"/>
        <w:spacing w:line="300" w:lineRule="auto"/>
        <w:ind w:firstLine="482" w:firstLineChars="200"/>
        <w:rPr>
          <w:rFonts w:cs="宋体"/>
          <w:b/>
          <w:bCs/>
          <w:snapToGrid w:val="0"/>
          <w:color w:val="auto"/>
          <w:kern w:val="0"/>
          <w:sz w:val="24"/>
          <w:szCs w:val="21"/>
          <w:highlight w:val="none"/>
        </w:rPr>
      </w:pPr>
      <w:r>
        <w:rPr>
          <w:rFonts w:hint="eastAsia" w:cs="宋体"/>
          <w:b/>
          <w:bCs/>
          <w:snapToGrid w:val="0"/>
          <w:color w:val="auto"/>
          <w:kern w:val="0"/>
          <w:sz w:val="24"/>
          <w:szCs w:val="21"/>
          <w:highlight w:val="none"/>
        </w:rPr>
        <w:t>三、矿山地质环境治理与土地复垦及闭坑审批工作内容</w:t>
      </w:r>
    </w:p>
    <w:p w14:paraId="0E99C216">
      <w:pPr>
        <w:widowControl w:val="0"/>
        <w:adjustRightInd w:val="0"/>
        <w:snapToGrid w:val="0"/>
        <w:rPr>
          <w:color w:val="auto"/>
          <w:highlight w:val="none"/>
        </w:rPr>
      </w:pPr>
    </w:p>
    <w:p w14:paraId="3BB7730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1、矿山地质环境治理与土地复垦要求：承包人应根据评审通过的《施工设计方案》实施</w:t>
      </w:r>
      <w:r>
        <w:rPr>
          <w:rFonts w:hint="eastAsia" w:hAnsi="宋体"/>
          <w:color w:val="auto"/>
          <w:sz w:val="24"/>
          <w:highlight w:val="none"/>
        </w:rPr>
        <w:t>矿山地质环境保护与土地复垦</w:t>
      </w:r>
      <w:r>
        <w:rPr>
          <w:rFonts w:hint="eastAsia" w:cs="宋体"/>
          <w:snapToGrid w:val="0"/>
          <w:color w:val="auto"/>
          <w:kern w:val="0"/>
          <w:sz w:val="24"/>
          <w:szCs w:val="21"/>
          <w:highlight w:val="none"/>
        </w:rPr>
        <w:t>工作，承包人可以在此基础上进行优化并满足采购需求的各项要求及标准。</w:t>
      </w:r>
    </w:p>
    <w:p w14:paraId="07C48D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在采矿权终止后或本次采购服务履行完毕后或本次服务解除后，矿山不可移动设施、设备和建筑归发包人所有，若发包人决定不可移动设施、设备及建筑不需要保留的，由承包人负责处置，发包人按第三方鉴定残值并通过相关部门批准后，在结算价款中向承包人扣回该笔费用。若发包人决定不可移动设施、设备及建筑需要保留的，则应免除承包人在不拆除建筑、不可移动设施设备区域内的土地复垦生态修复义务。</w:t>
      </w:r>
    </w:p>
    <w:p w14:paraId="1A70F1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3、进入矿山生产尾期，承包人必须准备矿山闭坑报告及有关采掘工程、不安全隐患、土地复垦利用、环境保护等相关资料，并按照国家规定报请闭坑审查批准。</w:t>
      </w:r>
    </w:p>
    <w:p w14:paraId="4A2A9F6F">
      <w:pPr>
        <w:widowControl w:val="0"/>
        <w:adjustRightInd w:val="0"/>
        <w:snapToGrid w:val="0"/>
        <w:rPr>
          <w:color w:val="auto"/>
          <w:highlight w:val="none"/>
        </w:rPr>
      </w:pPr>
    </w:p>
    <w:p w14:paraId="17A1268E">
      <w:pPr>
        <w:widowControl w:val="0"/>
        <w:adjustRightInd w:val="0"/>
        <w:snapToGrid w:val="0"/>
        <w:rPr>
          <w:color w:val="auto"/>
          <w:highlight w:val="none"/>
        </w:rPr>
      </w:pPr>
    </w:p>
    <w:p w14:paraId="554E046B">
      <w:pPr>
        <w:widowControl w:val="0"/>
        <w:adjustRightInd w:val="0"/>
        <w:snapToGrid w:val="0"/>
        <w:rPr>
          <w:color w:val="auto"/>
          <w:highlight w:val="none"/>
        </w:rPr>
      </w:pPr>
    </w:p>
    <w:p w14:paraId="008A10A7">
      <w:pPr>
        <w:widowControl w:val="0"/>
        <w:adjustRightInd w:val="0"/>
        <w:snapToGrid w:val="0"/>
        <w:rPr>
          <w:color w:val="auto"/>
          <w:highlight w:val="none"/>
        </w:rPr>
      </w:pPr>
    </w:p>
    <w:p w14:paraId="2A83FA56">
      <w:pPr>
        <w:widowControl w:val="0"/>
        <w:adjustRightInd w:val="0"/>
        <w:snapToGrid w:val="0"/>
        <w:rPr>
          <w:color w:val="auto"/>
          <w:highlight w:val="none"/>
        </w:rPr>
      </w:pPr>
    </w:p>
    <w:p w14:paraId="07BA4F61">
      <w:pPr>
        <w:widowControl w:val="0"/>
        <w:adjustRightInd w:val="0"/>
        <w:snapToGrid w:val="0"/>
        <w:rPr>
          <w:color w:val="auto"/>
          <w:highlight w:val="none"/>
        </w:rPr>
      </w:pPr>
    </w:p>
    <w:p w14:paraId="3F1DAD3C">
      <w:pPr>
        <w:widowControl w:val="0"/>
        <w:adjustRightInd w:val="0"/>
        <w:snapToGrid w:val="0"/>
        <w:rPr>
          <w:color w:val="auto"/>
          <w:highlight w:val="none"/>
        </w:rPr>
      </w:pPr>
    </w:p>
    <w:p w14:paraId="136313F2">
      <w:pPr>
        <w:widowControl w:val="0"/>
        <w:adjustRightInd w:val="0"/>
        <w:snapToGrid w:val="0"/>
        <w:rPr>
          <w:color w:val="auto"/>
          <w:highlight w:val="none"/>
        </w:rPr>
      </w:pPr>
    </w:p>
    <w:p w14:paraId="067E81EE">
      <w:pPr>
        <w:widowControl w:val="0"/>
        <w:adjustRightInd w:val="0"/>
        <w:snapToGrid w:val="0"/>
        <w:rPr>
          <w:color w:val="auto"/>
          <w:highlight w:val="none"/>
        </w:rPr>
      </w:pPr>
    </w:p>
    <w:p w14:paraId="590EAABB">
      <w:pPr>
        <w:widowControl w:val="0"/>
        <w:adjustRightInd w:val="0"/>
        <w:snapToGrid w:val="0"/>
        <w:rPr>
          <w:color w:val="auto"/>
          <w:highlight w:val="none"/>
        </w:rPr>
      </w:pPr>
    </w:p>
    <w:p w14:paraId="11D36A0C">
      <w:pPr>
        <w:widowControl w:val="0"/>
        <w:adjustRightInd w:val="0"/>
        <w:snapToGrid w:val="0"/>
        <w:rPr>
          <w:color w:val="auto"/>
          <w:highlight w:val="none"/>
        </w:rPr>
      </w:pPr>
    </w:p>
    <w:p w14:paraId="3A27A905">
      <w:pPr>
        <w:widowControl w:val="0"/>
        <w:adjustRightInd w:val="0"/>
        <w:snapToGrid w:val="0"/>
        <w:rPr>
          <w:color w:val="auto"/>
          <w:highlight w:val="none"/>
        </w:rPr>
      </w:pPr>
    </w:p>
    <w:p w14:paraId="4EF0FEBA">
      <w:pPr>
        <w:widowControl w:val="0"/>
        <w:adjustRightInd w:val="0"/>
        <w:snapToGrid w:val="0"/>
        <w:rPr>
          <w:color w:val="auto"/>
          <w:highlight w:val="none"/>
        </w:rPr>
      </w:pPr>
    </w:p>
    <w:p w14:paraId="5F595795">
      <w:pPr>
        <w:widowControl w:val="0"/>
        <w:adjustRightInd w:val="0"/>
        <w:snapToGrid w:val="0"/>
        <w:rPr>
          <w:color w:val="auto"/>
          <w:highlight w:val="none"/>
        </w:rPr>
      </w:pPr>
    </w:p>
    <w:p w14:paraId="1DD6EC4F">
      <w:pPr>
        <w:widowControl w:val="0"/>
        <w:adjustRightInd w:val="0"/>
        <w:snapToGrid w:val="0"/>
        <w:rPr>
          <w:color w:val="auto"/>
          <w:highlight w:val="none"/>
        </w:rPr>
      </w:pPr>
    </w:p>
    <w:p w14:paraId="3006CD22">
      <w:pPr>
        <w:widowControl w:val="0"/>
        <w:adjustRightInd w:val="0"/>
        <w:snapToGrid w:val="0"/>
        <w:rPr>
          <w:color w:val="auto"/>
          <w:highlight w:val="none"/>
        </w:rPr>
      </w:pPr>
    </w:p>
    <w:p w14:paraId="66FA3C80">
      <w:pPr>
        <w:widowControl w:val="0"/>
        <w:adjustRightInd w:val="0"/>
        <w:snapToGrid w:val="0"/>
        <w:rPr>
          <w:color w:val="auto"/>
          <w:highlight w:val="none"/>
        </w:rPr>
      </w:pPr>
    </w:p>
    <w:p w14:paraId="3A51BD67">
      <w:pPr>
        <w:widowControl w:val="0"/>
        <w:adjustRightInd w:val="0"/>
        <w:snapToGrid w:val="0"/>
        <w:rPr>
          <w:color w:val="auto"/>
          <w:highlight w:val="none"/>
        </w:rPr>
      </w:pPr>
    </w:p>
    <w:p w14:paraId="0F32450F">
      <w:pPr>
        <w:widowControl w:val="0"/>
        <w:adjustRightInd w:val="0"/>
        <w:snapToGrid w:val="0"/>
        <w:rPr>
          <w:color w:val="auto"/>
          <w:highlight w:val="none"/>
        </w:rPr>
      </w:pPr>
    </w:p>
    <w:p w14:paraId="69545176">
      <w:pPr>
        <w:widowControl w:val="0"/>
        <w:adjustRightInd w:val="0"/>
        <w:snapToGrid w:val="0"/>
        <w:rPr>
          <w:color w:val="auto"/>
          <w:highlight w:val="none"/>
        </w:rPr>
      </w:pPr>
    </w:p>
    <w:p w14:paraId="6D283333">
      <w:pPr>
        <w:widowControl w:val="0"/>
        <w:adjustRightInd w:val="0"/>
        <w:snapToGrid w:val="0"/>
        <w:rPr>
          <w:color w:val="auto"/>
          <w:highlight w:val="none"/>
        </w:rPr>
      </w:pPr>
    </w:p>
    <w:p w14:paraId="07347A1E">
      <w:pPr>
        <w:widowControl w:val="0"/>
        <w:adjustRightInd w:val="0"/>
        <w:snapToGrid w:val="0"/>
        <w:rPr>
          <w:color w:val="auto"/>
          <w:highlight w:val="none"/>
        </w:rPr>
      </w:pPr>
    </w:p>
    <w:p w14:paraId="4FB29588">
      <w:pPr>
        <w:widowControl w:val="0"/>
        <w:adjustRightInd w:val="0"/>
        <w:snapToGrid w:val="0"/>
        <w:rPr>
          <w:color w:val="auto"/>
          <w:highlight w:val="none"/>
        </w:rPr>
      </w:pPr>
    </w:p>
    <w:p w14:paraId="7EAA42C3">
      <w:pPr>
        <w:widowControl w:val="0"/>
        <w:adjustRightInd w:val="0"/>
        <w:snapToGrid w:val="0"/>
        <w:rPr>
          <w:color w:val="auto"/>
          <w:highlight w:val="none"/>
        </w:rPr>
      </w:pPr>
    </w:p>
    <w:p w14:paraId="44E9D3C0">
      <w:pPr>
        <w:widowControl w:val="0"/>
        <w:adjustRightInd w:val="0"/>
        <w:snapToGrid w:val="0"/>
        <w:rPr>
          <w:color w:val="auto"/>
          <w:highlight w:val="none"/>
        </w:rPr>
      </w:pPr>
    </w:p>
    <w:p w14:paraId="28D961F1">
      <w:pPr>
        <w:widowControl w:val="0"/>
        <w:adjustRightInd w:val="0"/>
        <w:snapToGrid w:val="0"/>
        <w:rPr>
          <w:color w:val="auto"/>
          <w:highlight w:val="none"/>
        </w:rPr>
      </w:pPr>
    </w:p>
    <w:p w14:paraId="2B93D2A3">
      <w:pPr>
        <w:widowControl w:val="0"/>
        <w:adjustRightInd w:val="0"/>
        <w:snapToGrid w:val="0"/>
        <w:rPr>
          <w:color w:val="auto"/>
          <w:highlight w:val="none"/>
        </w:rPr>
      </w:pPr>
    </w:p>
    <w:p w14:paraId="2BCB0474">
      <w:pPr>
        <w:widowControl w:val="0"/>
        <w:adjustRightInd w:val="0"/>
        <w:snapToGrid w:val="0"/>
        <w:rPr>
          <w:color w:val="auto"/>
          <w:highlight w:val="none"/>
        </w:rPr>
      </w:pPr>
    </w:p>
    <w:p w14:paraId="104D12AA">
      <w:pPr>
        <w:widowControl w:val="0"/>
        <w:adjustRightInd w:val="0"/>
        <w:snapToGrid w:val="0"/>
        <w:rPr>
          <w:color w:val="auto"/>
          <w:highlight w:val="none"/>
        </w:rPr>
      </w:pPr>
    </w:p>
    <w:p w14:paraId="7DEC87EE">
      <w:pPr>
        <w:widowControl w:val="0"/>
        <w:adjustRightInd w:val="0"/>
        <w:snapToGrid w:val="0"/>
        <w:rPr>
          <w:color w:val="auto"/>
          <w:highlight w:val="none"/>
        </w:rPr>
      </w:pPr>
    </w:p>
    <w:p w14:paraId="588F8F4F">
      <w:pPr>
        <w:widowControl w:val="0"/>
        <w:adjustRightInd w:val="0"/>
        <w:snapToGrid w:val="0"/>
        <w:rPr>
          <w:color w:val="auto"/>
          <w:highlight w:val="none"/>
        </w:rPr>
      </w:pPr>
    </w:p>
    <w:p w14:paraId="0A9819C1">
      <w:pPr>
        <w:widowControl w:val="0"/>
        <w:adjustRightInd w:val="0"/>
        <w:snapToGrid w:val="0"/>
        <w:rPr>
          <w:color w:val="auto"/>
          <w:highlight w:val="none"/>
        </w:rPr>
      </w:pPr>
    </w:p>
    <w:p w14:paraId="2BE25F50">
      <w:pPr>
        <w:widowControl w:val="0"/>
        <w:adjustRightInd w:val="0"/>
        <w:snapToGrid w:val="0"/>
        <w:rPr>
          <w:color w:val="auto"/>
          <w:highlight w:val="none"/>
        </w:rPr>
      </w:pPr>
    </w:p>
    <w:p w14:paraId="623E52B7">
      <w:pPr>
        <w:widowControl w:val="0"/>
        <w:adjustRightInd w:val="0"/>
        <w:snapToGrid w:val="0"/>
        <w:rPr>
          <w:color w:val="auto"/>
          <w:highlight w:val="none"/>
        </w:rPr>
      </w:pPr>
    </w:p>
    <w:p w14:paraId="6B66D915">
      <w:pPr>
        <w:widowControl w:val="0"/>
        <w:adjustRightInd w:val="0"/>
        <w:snapToGrid w:val="0"/>
        <w:rPr>
          <w:color w:val="auto"/>
          <w:highlight w:val="none"/>
        </w:rPr>
      </w:pPr>
    </w:p>
    <w:p w14:paraId="49C8A555">
      <w:pPr>
        <w:widowControl w:val="0"/>
        <w:adjustRightInd w:val="0"/>
        <w:snapToGrid w:val="0"/>
        <w:rPr>
          <w:color w:val="auto"/>
          <w:highlight w:val="none"/>
        </w:rPr>
      </w:pPr>
    </w:p>
    <w:p w14:paraId="249C7293">
      <w:pPr>
        <w:widowControl w:val="0"/>
        <w:adjustRightInd w:val="0"/>
        <w:snapToGrid w:val="0"/>
        <w:rPr>
          <w:color w:val="auto"/>
          <w:highlight w:val="none"/>
        </w:rPr>
      </w:pPr>
    </w:p>
    <w:p w14:paraId="1A0AA780">
      <w:pPr>
        <w:widowControl w:val="0"/>
        <w:adjustRightInd w:val="0"/>
        <w:snapToGrid w:val="0"/>
        <w:rPr>
          <w:color w:val="auto"/>
          <w:highlight w:val="none"/>
        </w:rPr>
      </w:pPr>
    </w:p>
    <w:p w14:paraId="634D5925">
      <w:pPr>
        <w:widowControl w:val="0"/>
        <w:adjustRightInd w:val="0"/>
        <w:snapToGrid w:val="0"/>
        <w:rPr>
          <w:color w:val="auto"/>
          <w:highlight w:val="none"/>
        </w:rPr>
      </w:pPr>
    </w:p>
    <w:p w14:paraId="63C42639">
      <w:pPr>
        <w:widowControl w:val="0"/>
        <w:adjustRightInd w:val="0"/>
        <w:snapToGrid w:val="0"/>
        <w:rPr>
          <w:color w:val="auto"/>
          <w:highlight w:val="none"/>
        </w:rPr>
      </w:pPr>
    </w:p>
    <w:p w14:paraId="4D0C2BD1">
      <w:pPr>
        <w:widowControl w:val="0"/>
        <w:adjustRightInd w:val="0"/>
        <w:snapToGrid w:val="0"/>
        <w:rPr>
          <w:color w:val="auto"/>
          <w:highlight w:val="none"/>
        </w:rPr>
      </w:pPr>
    </w:p>
    <w:p w14:paraId="231C6C0E">
      <w:pPr>
        <w:widowControl w:val="0"/>
        <w:adjustRightInd w:val="0"/>
        <w:snapToGrid w:val="0"/>
        <w:rPr>
          <w:color w:val="auto"/>
          <w:highlight w:val="none"/>
        </w:rPr>
      </w:pPr>
    </w:p>
    <w:p w14:paraId="5406B143">
      <w:pPr>
        <w:widowControl w:val="0"/>
        <w:adjustRightInd w:val="0"/>
        <w:snapToGrid w:val="0"/>
        <w:rPr>
          <w:color w:val="auto"/>
          <w:highlight w:val="none"/>
        </w:rPr>
      </w:pPr>
    </w:p>
    <w:p w14:paraId="1602D4B2">
      <w:pPr>
        <w:widowControl w:val="0"/>
        <w:adjustRightInd w:val="0"/>
        <w:snapToGrid w:val="0"/>
        <w:rPr>
          <w:color w:val="auto"/>
          <w:highlight w:val="none"/>
        </w:rPr>
      </w:pPr>
    </w:p>
    <w:p w14:paraId="126E9A1D">
      <w:pPr>
        <w:widowControl w:val="0"/>
        <w:adjustRightInd w:val="0"/>
        <w:snapToGrid w:val="0"/>
        <w:rPr>
          <w:color w:val="auto"/>
          <w:highlight w:val="none"/>
        </w:rPr>
      </w:pPr>
    </w:p>
    <w:p w14:paraId="21B6C055">
      <w:pPr>
        <w:widowControl w:val="0"/>
        <w:adjustRightInd w:val="0"/>
        <w:snapToGrid w:val="0"/>
        <w:rPr>
          <w:color w:val="auto"/>
          <w:highlight w:val="none"/>
        </w:rPr>
      </w:pPr>
    </w:p>
    <w:p w14:paraId="5D7B3083">
      <w:pPr>
        <w:widowControl w:val="0"/>
        <w:adjustRightInd w:val="0"/>
        <w:snapToGrid w:val="0"/>
        <w:rPr>
          <w:color w:val="auto"/>
          <w:highlight w:val="none"/>
        </w:rPr>
      </w:pPr>
    </w:p>
    <w:p w14:paraId="4AEF7CFC">
      <w:pPr>
        <w:widowControl w:val="0"/>
        <w:adjustRightInd w:val="0"/>
        <w:snapToGrid w:val="0"/>
        <w:rPr>
          <w:color w:val="auto"/>
          <w:highlight w:val="none"/>
        </w:rPr>
      </w:pPr>
    </w:p>
    <w:p w14:paraId="6BBC27F6">
      <w:pPr>
        <w:widowControl w:val="0"/>
        <w:adjustRightInd w:val="0"/>
        <w:snapToGrid w:val="0"/>
        <w:rPr>
          <w:color w:val="auto"/>
          <w:highlight w:val="none"/>
        </w:rPr>
      </w:pPr>
    </w:p>
    <w:p w14:paraId="514CEEC2">
      <w:pPr>
        <w:widowControl w:val="0"/>
        <w:adjustRightInd w:val="0"/>
        <w:snapToGrid w:val="0"/>
        <w:spacing w:line="300" w:lineRule="auto"/>
        <w:rPr>
          <w:b/>
          <w:bCs/>
          <w:color w:val="auto"/>
          <w:sz w:val="24"/>
          <w:highlight w:val="none"/>
        </w:rPr>
      </w:pPr>
      <w:r>
        <w:rPr>
          <w:rFonts w:hint="eastAsia"/>
          <w:b/>
          <w:bCs/>
          <w:color w:val="auto"/>
          <w:sz w:val="24"/>
          <w:highlight w:val="none"/>
        </w:rPr>
        <w:t>附件2：安全生产合同</w:t>
      </w:r>
    </w:p>
    <w:p w14:paraId="4089CE71">
      <w:pPr>
        <w:widowControl w:val="0"/>
        <w:adjustRightInd w:val="0"/>
        <w:snapToGrid w:val="0"/>
        <w:rPr>
          <w:color w:val="auto"/>
          <w:sz w:val="24"/>
          <w:highlight w:val="none"/>
        </w:rPr>
      </w:pPr>
    </w:p>
    <w:p w14:paraId="5E8FE28F">
      <w:pPr>
        <w:widowControl w:val="0"/>
        <w:adjustRightInd w:val="0"/>
        <w:snapToGrid w:val="0"/>
        <w:rPr>
          <w:color w:val="auto"/>
          <w:highlight w:val="none"/>
        </w:rPr>
      </w:pPr>
    </w:p>
    <w:p w14:paraId="62A1E3DD">
      <w:pPr>
        <w:widowControl w:val="0"/>
        <w:adjustRightInd w:val="0"/>
        <w:snapToGrid w:val="0"/>
        <w:rPr>
          <w:color w:val="auto"/>
          <w:highlight w:val="none"/>
        </w:rPr>
      </w:pPr>
    </w:p>
    <w:p w14:paraId="01C1A603">
      <w:pPr>
        <w:widowControl w:val="0"/>
        <w:tabs>
          <w:tab w:val="left" w:pos="2790"/>
        </w:tabs>
        <w:adjustRightInd w:val="0"/>
        <w:snapToGrid w:val="0"/>
        <w:spacing w:line="300" w:lineRule="auto"/>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安全生产合同</w:t>
      </w:r>
    </w:p>
    <w:p w14:paraId="7D0A7636">
      <w:pPr>
        <w:widowControl w:val="0"/>
        <w:adjustRightInd w:val="0"/>
        <w:snapToGrid w:val="0"/>
        <w:rPr>
          <w:color w:val="auto"/>
          <w:highlight w:val="none"/>
        </w:rPr>
      </w:pPr>
    </w:p>
    <w:p w14:paraId="1565ED82">
      <w:pPr>
        <w:widowControl w:val="0"/>
        <w:adjustRightInd w:val="0"/>
        <w:snapToGrid w:val="0"/>
        <w:rPr>
          <w:color w:val="auto"/>
          <w:highlight w:val="none"/>
        </w:rPr>
      </w:pPr>
    </w:p>
    <w:p w14:paraId="02555066">
      <w:pPr>
        <w:widowControl w:val="0"/>
        <w:adjustRightInd w:val="0"/>
        <w:snapToGrid w:val="0"/>
        <w:rPr>
          <w:color w:val="auto"/>
          <w:highlight w:val="none"/>
        </w:rPr>
      </w:pPr>
    </w:p>
    <w:p w14:paraId="1DFA071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为在</w:t>
      </w:r>
      <w:r>
        <w:rPr>
          <w:rFonts w:hint="eastAsia"/>
          <w:color w:val="auto"/>
          <w:sz w:val="24"/>
          <w:highlight w:val="none"/>
          <w:u w:val="single"/>
        </w:rPr>
        <w:t xml:space="preserve">               </w:t>
      </w:r>
      <w:r>
        <w:rPr>
          <w:rFonts w:hint="eastAsia"/>
          <w:color w:val="auto"/>
          <w:sz w:val="24"/>
          <w:highlight w:val="none"/>
        </w:rPr>
        <w:t>（项目名称）</w:t>
      </w:r>
      <w:r>
        <w:rPr>
          <w:rFonts w:hint="eastAsia"/>
          <w:color w:val="auto"/>
          <w:sz w:val="24"/>
          <w:highlight w:val="none"/>
          <w:u w:val="single"/>
        </w:rPr>
        <w:t xml:space="preserve">     </w:t>
      </w:r>
      <w:r>
        <w:rPr>
          <w:rFonts w:hint="eastAsia"/>
          <w:color w:val="auto"/>
          <w:sz w:val="24"/>
          <w:highlight w:val="none"/>
        </w:rPr>
        <w:t>标段施工合同的实施过程中创造安全、高效的施工环境，切实搞好本项目的安全管理工作，本项目发包人</w:t>
      </w:r>
      <w:r>
        <w:rPr>
          <w:rFonts w:hint="eastAsia"/>
          <w:color w:val="auto"/>
          <w:sz w:val="24"/>
          <w:highlight w:val="none"/>
          <w:u w:val="single"/>
        </w:rPr>
        <w:t xml:space="preserve">               </w:t>
      </w:r>
      <w:r>
        <w:rPr>
          <w:rFonts w:hint="eastAsia"/>
          <w:color w:val="auto"/>
          <w:sz w:val="24"/>
          <w:highlight w:val="none"/>
        </w:rPr>
        <w:t>（发包人名称，以下简称“发包人”）与承包人</w:t>
      </w:r>
      <w:r>
        <w:rPr>
          <w:rFonts w:hint="eastAsia"/>
          <w:color w:val="auto"/>
          <w:sz w:val="24"/>
          <w:highlight w:val="none"/>
          <w:u w:val="single"/>
        </w:rPr>
        <w:t xml:space="preserve">                </w:t>
      </w:r>
      <w:r>
        <w:rPr>
          <w:rFonts w:hint="eastAsia"/>
          <w:color w:val="auto"/>
          <w:sz w:val="24"/>
          <w:highlight w:val="none"/>
        </w:rPr>
        <w:t>（承包人名称，以下简称“承包人”）特此签订安全生产合同：</w:t>
      </w:r>
    </w:p>
    <w:p w14:paraId="1BEDB886">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1.发包人职责</w:t>
      </w:r>
    </w:p>
    <w:p w14:paraId="09CCB0A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（1）严格遵守国家有关安全生产的法律法规，认真执行工程承包合同中的有关安全要求。</w:t>
      </w:r>
    </w:p>
    <w:p w14:paraId="0CA153C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安全生产工作应当以人为本，坚持人民至上、生命至上，把保护人民生命安全摆在首位，树牢安全发展理念，坚持安全第一、预防为主、综合治理的方针，从源头上防范化解重大安全风险。做到生产与安全工作同时计划、布置、检查、总结和评比。</w:t>
      </w:r>
    </w:p>
    <w:p w14:paraId="2416D43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（3）重要的安全设施必须坚持与主体工程“三同时”的原则，即：新建、改建、扩建工程项目的安全设施，必须与主体工程同时设计、同时施工、同时投入生产和使用。安全设施投资应当纳入项目概算。</w:t>
      </w:r>
    </w:p>
    <w:p w14:paraId="1AD888F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（4）定期召开安全生产调度会，及时传达中央及地方有关安全生产的精神。</w:t>
      </w:r>
    </w:p>
    <w:p w14:paraId="000C3C8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（5）发包人对安全生产承担全面管理责任，督促承包人加强安全生产管理,按照规定要求开展施工安全总体风险评估和安全生产条件检查以及日常检查,发现生产安全事故隐患的,及时组织整改。</w:t>
      </w:r>
    </w:p>
    <w:p w14:paraId="707B197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若项目为PPP建设管理模式的，项目实施机构必须设置安全生产管理机构，配备专职安全生产管理人员，加强对项目公司安全生产管理监督考核。项目公司对项目安全生产负总责，加强安全生产管理，督促承包人做好安全生产工作。</w:t>
      </w:r>
    </w:p>
    <w:p w14:paraId="3D8C4E2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（7）两个以上承包人在同一作业区域内进行施工作业，可能危及对方生产安全的，发包人应当牵头协调承包人签订安全生产管理协议。</w:t>
      </w:r>
    </w:p>
    <w:p w14:paraId="4A9E517B">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2.承包人职责</w:t>
      </w:r>
    </w:p>
    <w:p w14:paraId="36A8C170">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严格遵守《中华人民共和国安全生产法》、《建设工程安全生产管理条例》等国家有关安全生产的法律法规、《公路水运工程安全生产监督管理办法》、《水运工程施工安全技术规范》、《公路筑养路机械操作规程》和《浙江省交通建设工程质量和安全生产管理条例》等有关安全生产的规定。认真执行工程承包合同中的有关安全要求。</w:t>
      </w:r>
    </w:p>
    <w:p w14:paraId="0311B2C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904C5B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质量和安全生产监督工作实施办法》、《浙江省交通运输厅关于进一步加强全省交通建设工程安全生产管理工作的若干规定》、《省交通运输厅安委办关于印发&lt;浙江省交通建设工程施工安全十条规定&gt;的通知》规定的最低数量和资质条件配备专职安全生产管理人员，专职负责所有员工的安全和治安保卫工作及预防事故的发生。安全机构人员有权按有关规定发布指令，并采取保护性措施防止事故发生。</w:t>
      </w:r>
    </w:p>
    <w:p w14:paraId="2721477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（4）承包人在任何时候都应采取各种合理的预防措施，防止其员工发生任何违法、违禁、暴力或妨碍治安的行为。</w:t>
      </w:r>
    </w:p>
    <w:p w14:paraId="42BF45C5">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5）承包人必须按国家有关规定取得安全生产许可证。施工作业人员必须按规定接受安全教育培训，未经安全生产教育和培训合格的施工作业人员，不得上岗作业。电工、焊工、架子工等特种作业人员，以及特种设备作业人员必须按照国家有关规定经专门的安全作业培训，取得相应资格，方可上岗作业。</w:t>
      </w:r>
    </w:p>
    <w:p w14:paraId="3EE4707B">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CBBF75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（7）操作人员上岗，必须按规定穿戴防护用品。施工负责人和安全检查员应随时检查劳动防护用品的穿戴情况，不按规定穿戴防护用品的人员不得上岗。</w:t>
      </w:r>
    </w:p>
    <w:p w14:paraId="320C006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（8）所有施工机具设备和高空作业的设备均应定期检查，并有安全员的签字记录，保证其经常处于完好状态；不合格的机具、设备和劳动保护用品严禁使用。</w:t>
      </w:r>
    </w:p>
    <w:p w14:paraId="1178FDD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（9）施工中采用新技术、新工艺、新设备、新材料时，必须制定相应的安全技术措施，施工现场必须具有相关的安全标志牌。</w:t>
      </w:r>
    </w:p>
    <w:p w14:paraId="69AEC2F9">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10）承包人必须按照本工程项目特点，组织制定本工程实施中的生产安全事故应急救援预案；如果发生安全事故，应按照《生产安全事故报告和调查处理条例》、《浙江省生产安全事故报告和调查处理规定》以及其他有关规定，及时上报有关部门，并坚持“四不放过”的原则，严肃处理相关责任人。</w:t>
      </w:r>
    </w:p>
    <w:p w14:paraId="707AA83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（11）安全生产费用按照《浙江省交通建设工程安全生产费用管理办法》的相关要求以及相关最新规定使用和管理。</w:t>
      </w:r>
    </w:p>
    <w:p w14:paraId="2C93428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（12）承包人在施工期间应当服从发包人及交通等行业主管部门的监督、检查、指令，并积极做好相关配合工作。</w:t>
      </w:r>
    </w:p>
    <w:p w14:paraId="286D2B03">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3.违约责任</w:t>
      </w:r>
    </w:p>
    <w:p w14:paraId="7F17DB5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如因发包人或承包人违约造成安全事故，将依法追究责任。</w:t>
      </w:r>
    </w:p>
    <w:p w14:paraId="514797B7">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4.本合同由双方法定代表人或其授权的代理人签署并加盖单位章后生效，全部工程竣工验收后失效。</w:t>
      </w:r>
    </w:p>
    <w:p w14:paraId="429416FB">
      <w:pPr>
        <w:widowControl w:val="0"/>
        <w:adjustRightInd w:val="0"/>
        <w:snapToGrid w:val="0"/>
        <w:spacing w:line="300" w:lineRule="auto"/>
        <w:ind w:firstLine="482" w:firstLineChars="200"/>
        <w:rPr>
          <w:b/>
          <w:bCs/>
          <w:color w:val="auto"/>
          <w:sz w:val="24"/>
          <w:highlight w:val="none"/>
        </w:rPr>
      </w:pPr>
      <w:r>
        <w:rPr>
          <w:rFonts w:hint="eastAsia"/>
          <w:b/>
          <w:bCs/>
          <w:color w:val="auto"/>
          <w:sz w:val="24"/>
          <w:highlight w:val="none"/>
        </w:rPr>
        <w:t>5.本协议正本二份、副本</w:t>
      </w:r>
      <w:r>
        <w:rPr>
          <w:rFonts w:hint="eastAsia"/>
          <w:color w:val="auto"/>
          <w:sz w:val="24"/>
          <w:highlight w:val="none"/>
          <w:u w:val="single"/>
        </w:rPr>
        <w:t xml:space="preserve">     </w:t>
      </w:r>
      <w:r>
        <w:rPr>
          <w:rFonts w:hint="eastAsia"/>
          <w:b/>
          <w:bCs/>
          <w:color w:val="auto"/>
          <w:sz w:val="24"/>
          <w:highlight w:val="none"/>
        </w:rPr>
        <w:t>份，协议双方各执正本一份，副本</w:t>
      </w:r>
      <w:r>
        <w:rPr>
          <w:rFonts w:hint="eastAsia"/>
          <w:color w:val="auto"/>
          <w:sz w:val="24"/>
          <w:highlight w:val="none"/>
          <w:u w:val="single"/>
        </w:rPr>
        <w:t xml:space="preserve">     </w:t>
      </w:r>
      <w:r>
        <w:rPr>
          <w:rFonts w:hint="eastAsia"/>
          <w:b/>
          <w:bCs/>
          <w:color w:val="auto"/>
          <w:sz w:val="24"/>
          <w:highlight w:val="none"/>
        </w:rPr>
        <w:t>份，当正本与副本的内容不一致时，以正本为准。</w:t>
      </w:r>
    </w:p>
    <w:p w14:paraId="46426A4F">
      <w:pPr>
        <w:widowControl w:val="0"/>
        <w:adjustRightInd w:val="0"/>
        <w:snapToGrid w:val="0"/>
        <w:rPr>
          <w:color w:val="auto"/>
          <w:highlight w:val="none"/>
        </w:rPr>
      </w:pPr>
    </w:p>
    <w:p w14:paraId="7CF52B57">
      <w:pPr>
        <w:widowControl w:val="0"/>
        <w:adjustRightInd w:val="0"/>
        <w:snapToGrid w:val="0"/>
        <w:rPr>
          <w:color w:val="auto"/>
          <w:highlight w:val="none"/>
        </w:rPr>
      </w:pPr>
    </w:p>
    <w:p w14:paraId="648CB638">
      <w:pPr>
        <w:widowControl w:val="0"/>
        <w:adjustRightInd w:val="0"/>
        <w:snapToGrid w:val="0"/>
        <w:rPr>
          <w:color w:val="auto"/>
          <w:highlight w:val="none"/>
        </w:rPr>
      </w:pPr>
    </w:p>
    <w:p w14:paraId="053767E0">
      <w:pPr>
        <w:widowControl w:val="0"/>
        <w:adjustRightInd w:val="0"/>
        <w:snapToGrid w:val="0"/>
        <w:rPr>
          <w:color w:val="auto"/>
          <w:highlight w:val="none"/>
        </w:rPr>
      </w:pPr>
    </w:p>
    <w:p w14:paraId="3998B492">
      <w:pPr>
        <w:widowControl w:val="0"/>
        <w:adjustRightInd w:val="0"/>
        <w:snapToGrid w:val="0"/>
        <w:rPr>
          <w:color w:val="auto"/>
          <w:highlight w:val="none"/>
        </w:rPr>
      </w:pPr>
    </w:p>
    <w:p w14:paraId="325427B9">
      <w:pPr>
        <w:widowControl w:val="0"/>
        <w:adjustRightInd w:val="0"/>
        <w:snapToGrid w:val="0"/>
        <w:rPr>
          <w:color w:val="auto"/>
          <w:highlight w:val="none"/>
        </w:rPr>
      </w:pPr>
    </w:p>
    <w:p w14:paraId="6184A026">
      <w:pPr>
        <w:widowControl w:val="0"/>
        <w:adjustRightInd w:val="0"/>
        <w:snapToGrid w:val="0"/>
        <w:spacing w:line="300" w:lineRule="auto"/>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（盖单位章）    承包人：</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（盖单位章）</w:t>
      </w:r>
    </w:p>
    <w:p w14:paraId="3800B7A2">
      <w:pPr>
        <w:widowControl w:val="0"/>
        <w:adjustRightInd w:val="0"/>
        <w:snapToGrid w:val="0"/>
        <w:spacing w:line="300" w:lineRule="auto"/>
        <w:rPr>
          <w:color w:val="auto"/>
          <w:sz w:val="24"/>
          <w:highlight w:val="none"/>
        </w:rPr>
      </w:pPr>
      <w:r>
        <w:rPr>
          <w:rFonts w:hint="eastAsia"/>
          <w:color w:val="auto"/>
          <w:sz w:val="24"/>
          <w:highlight w:val="none"/>
        </w:rPr>
        <w:t xml:space="preserve">法定代表人或                         </w:t>
      </w:r>
      <w:r>
        <w:rPr>
          <w:color w:val="auto"/>
          <w:sz w:val="24"/>
          <w:highlight w:val="none"/>
        </w:rPr>
        <w:t xml:space="preserve"> </w:t>
      </w:r>
      <w:r>
        <w:rPr>
          <w:rFonts w:hint="eastAsia"/>
          <w:color w:val="auto"/>
          <w:sz w:val="24"/>
          <w:highlight w:val="none"/>
        </w:rPr>
        <w:t xml:space="preserve">    法定代表人或</w:t>
      </w:r>
    </w:p>
    <w:p w14:paraId="0E9195ED">
      <w:pPr>
        <w:widowControl w:val="0"/>
        <w:adjustRightInd w:val="0"/>
        <w:snapToGrid w:val="0"/>
        <w:spacing w:line="300" w:lineRule="auto"/>
        <w:rPr>
          <w:color w:val="auto"/>
          <w:sz w:val="24"/>
          <w:highlight w:val="none"/>
        </w:rPr>
      </w:pPr>
      <w:r>
        <w:rPr>
          <w:rFonts w:hint="eastAsia"/>
          <w:color w:val="auto"/>
          <w:sz w:val="24"/>
          <w:highlight w:val="none"/>
        </w:rPr>
        <w:t>其委托代理人：</w:t>
      </w:r>
      <w:r>
        <w:rPr>
          <w:rFonts w:hint="eastAsia"/>
          <w:color w:val="auto"/>
          <w:sz w:val="24"/>
          <w:highlight w:val="none"/>
          <w:u w:val="single"/>
        </w:rPr>
        <w:t xml:space="preserve">              </w:t>
      </w:r>
      <w:r>
        <w:rPr>
          <w:rFonts w:hint="eastAsia"/>
          <w:color w:val="auto"/>
          <w:sz w:val="24"/>
          <w:highlight w:val="none"/>
        </w:rPr>
        <w:t>（签字）      其委托代理人：</w:t>
      </w:r>
      <w:r>
        <w:rPr>
          <w:rFonts w:hint="eastAsia"/>
          <w:color w:val="auto"/>
          <w:sz w:val="24"/>
          <w:highlight w:val="none"/>
          <w:u w:val="single"/>
        </w:rPr>
        <w:t xml:space="preserve">              </w:t>
      </w:r>
      <w:r>
        <w:rPr>
          <w:rFonts w:hint="eastAsia"/>
          <w:color w:val="auto"/>
          <w:sz w:val="24"/>
          <w:highlight w:val="none"/>
        </w:rPr>
        <w:t>（签字）</w:t>
      </w:r>
    </w:p>
    <w:p w14:paraId="023150EF">
      <w:pPr>
        <w:widowControl w:val="0"/>
        <w:adjustRightInd w:val="0"/>
        <w:snapToGrid w:val="0"/>
        <w:rPr>
          <w:color w:val="auto"/>
          <w:highlight w:val="none"/>
        </w:rPr>
      </w:pPr>
    </w:p>
    <w:p w14:paraId="38FA9E44">
      <w:pPr>
        <w:widowControl w:val="0"/>
        <w:adjustRightInd w:val="0"/>
        <w:snapToGrid w:val="0"/>
        <w:spacing w:line="300" w:lineRule="auto"/>
        <w:jc w:val="right"/>
        <w:rPr>
          <w:color w:val="auto"/>
          <w:sz w:val="24"/>
          <w:highlight w:val="none"/>
        </w:rPr>
      </w:pP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01966E73">
      <w:pPr>
        <w:widowControl w:val="0"/>
        <w:adjustRightInd w:val="0"/>
        <w:snapToGrid w:val="0"/>
        <w:rPr>
          <w:color w:val="auto"/>
          <w:highlight w:val="none"/>
        </w:rPr>
      </w:pPr>
    </w:p>
    <w:p w14:paraId="0317F0CC">
      <w:pPr>
        <w:widowControl w:val="0"/>
        <w:adjustRightInd w:val="0"/>
        <w:snapToGrid w:val="0"/>
        <w:rPr>
          <w:color w:val="auto"/>
          <w:highlight w:val="none"/>
        </w:rPr>
      </w:pPr>
    </w:p>
    <w:p w14:paraId="487D6C5F">
      <w:pPr>
        <w:widowControl w:val="0"/>
        <w:adjustRightInd w:val="0"/>
        <w:snapToGrid w:val="0"/>
        <w:rPr>
          <w:color w:val="auto"/>
          <w:highlight w:val="none"/>
        </w:rPr>
      </w:pPr>
    </w:p>
    <w:p w14:paraId="0EB34893">
      <w:pPr>
        <w:widowControl w:val="0"/>
        <w:adjustRightInd w:val="0"/>
        <w:snapToGrid w:val="0"/>
        <w:rPr>
          <w:color w:val="auto"/>
          <w:highlight w:val="none"/>
        </w:rPr>
      </w:pPr>
    </w:p>
    <w:p w14:paraId="0EF3E248">
      <w:pPr>
        <w:widowControl w:val="0"/>
        <w:adjustRightInd w:val="0"/>
        <w:snapToGrid w:val="0"/>
        <w:rPr>
          <w:color w:val="auto"/>
          <w:highlight w:val="none"/>
        </w:rPr>
      </w:pPr>
    </w:p>
    <w:p w14:paraId="2DC27016">
      <w:pPr>
        <w:widowControl w:val="0"/>
        <w:adjustRightInd w:val="0"/>
        <w:snapToGrid w:val="0"/>
        <w:rPr>
          <w:color w:val="auto"/>
          <w:highlight w:val="none"/>
        </w:rPr>
      </w:pPr>
    </w:p>
    <w:p w14:paraId="5E698EFE">
      <w:pPr>
        <w:widowControl w:val="0"/>
        <w:adjustRightInd w:val="0"/>
        <w:snapToGrid w:val="0"/>
        <w:rPr>
          <w:color w:val="auto"/>
          <w:highlight w:val="none"/>
        </w:rPr>
      </w:pPr>
    </w:p>
    <w:p w14:paraId="7232F5F3">
      <w:pPr>
        <w:widowControl w:val="0"/>
        <w:adjustRightInd w:val="0"/>
        <w:snapToGrid w:val="0"/>
        <w:rPr>
          <w:color w:val="auto"/>
          <w:highlight w:val="none"/>
        </w:rPr>
      </w:pPr>
    </w:p>
    <w:p w14:paraId="70074760">
      <w:pPr>
        <w:widowControl w:val="0"/>
        <w:adjustRightInd w:val="0"/>
        <w:snapToGrid w:val="0"/>
        <w:rPr>
          <w:color w:val="auto"/>
          <w:highlight w:val="none"/>
        </w:rPr>
      </w:pPr>
    </w:p>
    <w:p w14:paraId="50A3205C">
      <w:pPr>
        <w:widowControl w:val="0"/>
        <w:adjustRightInd w:val="0"/>
        <w:snapToGrid w:val="0"/>
        <w:rPr>
          <w:color w:val="auto"/>
          <w:highlight w:val="none"/>
        </w:rPr>
      </w:pPr>
    </w:p>
    <w:p w14:paraId="0F527C47">
      <w:pPr>
        <w:widowControl w:val="0"/>
        <w:adjustRightInd w:val="0"/>
        <w:snapToGrid w:val="0"/>
        <w:rPr>
          <w:color w:val="auto"/>
          <w:highlight w:val="none"/>
        </w:rPr>
      </w:pPr>
    </w:p>
    <w:p w14:paraId="59A5ECEE">
      <w:pPr>
        <w:widowControl w:val="0"/>
        <w:adjustRightInd w:val="0"/>
        <w:snapToGrid w:val="0"/>
        <w:rPr>
          <w:color w:val="auto"/>
          <w:highlight w:val="none"/>
        </w:rPr>
      </w:pPr>
    </w:p>
    <w:p w14:paraId="6589B6E9">
      <w:pPr>
        <w:widowControl w:val="0"/>
        <w:adjustRightInd w:val="0"/>
        <w:snapToGrid w:val="0"/>
        <w:rPr>
          <w:color w:val="auto"/>
          <w:highlight w:val="none"/>
        </w:rPr>
      </w:pPr>
    </w:p>
    <w:p w14:paraId="41DCAD14">
      <w:pPr>
        <w:widowControl w:val="0"/>
        <w:adjustRightInd w:val="0"/>
        <w:snapToGrid w:val="0"/>
        <w:rPr>
          <w:color w:val="auto"/>
          <w:highlight w:val="none"/>
        </w:rPr>
      </w:pPr>
    </w:p>
    <w:p w14:paraId="3D3CA472">
      <w:pPr>
        <w:widowControl w:val="0"/>
        <w:adjustRightInd w:val="0"/>
        <w:snapToGrid w:val="0"/>
        <w:rPr>
          <w:color w:val="auto"/>
          <w:highlight w:val="none"/>
        </w:rPr>
      </w:pPr>
    </w:p>
    <w:p w14:paraId="295E0CC2">
      <w:pPr>
        <w:widowControl w:val="0"/>
        <w:adjustRightInd w:val="0"/>
        <w:snapToGrid w:val="0"/>
        <w:rPr>
          <w:color w:val="auto"/>
          <w:highlight w:val="none"/>
        </w:rPr>
      </w:pPr>
    </w:p>
    <w:p w14:paraId="2A708DF7">
      <w:pPr>
        <w:widowControl w:val="0"/>
        <w:adjustRightInd w:val="0"/>
        <w:snapToGrid w:val="0"/>
        <w:rPr>
          <w:color w:val="auto"/>
          <w:highlight w:val="none"/>
        </w:rPr>
      </w:pPr>
    </w:p>
    <w:p w14:paraId="70BA2DE3">
      <w:pPr>
        <w:widowControl w:val="0"/>
        <w:adjustRightInd w:val="0"/>
        <w:snapToGrid w:val="0"/>
        <w:rPr>
          <w:color w:val="auto"/>
          <w:highlight w:val="none"/>
        </w:rPr>
      </w:pPr>
    </w:p>
    <w:p w14:paraId="38F957F9">
      <w:pPr>
        <w:widowControl w:val="0"/>
        <w:adjustRightInd w:val="0"/>
        <w:snapToGrid w:val="0"/>
        <w:rPr>
          <w:color w:val="auto"/>
          <w:highlight w:val="none"/>
        </w:rPr>
      </w:pPr>
    </w:p>
    <w:p w14:paraId="27E1462D">
      <w:pPr>
        <w:widowControl w:val="0"/>
        <w:adjustRightInd w:val="0"/>
        <w:snapToGrid w:val="0"/>
        <w:rPr>
          <w:color w:val="auto"/>
          <w:highlight w:val="none"/>
        </w:rPr>
      </w:pPr>
    </w:p>
    <w:p w14:paraId="32678719">
      <w:pPr>
        <w:widowControl w:val="0"/>
        <w:adjustRightInd w:val="0"/>
        <w:snapToGrid w:val="0"/>
        <w:rPr>
          <w:color w:val="auto"/>
          <w:highlight w:val="none"/>
        </w:rPr>
      </w:pPr>
    </w:p>
    <w:p w14:paraId="0BD6AA6B">
      <w:pPr>
        <w:widowControl w:val="0"/>
        <w:adjustRightInd w:val="0"/>
        <w:snapToGrid w:val="0"/>
        <w:rPr>
          <w:color w:val="auto"/>
          <w:highlight w:val="none"/>
        </w:rPr>
      </w:pPr>
    </w:p>
    <w:p w14:paraId="5B8A4EA1">
      <w:pPr>
        <w:widowControl w:val="0"/>
        <w:adjustRightInd w:val="0"/>
        <w:snapToGrid w:val="0"/>
        <w:rPr>
          <w:color w:val="auto"/>
          <w:highlight w:val="none"/>
        </w:rPr>
      </w:pPr>
    </w:p>
    <w:p w14:paraId="5A3225A5">
      <w:pPr>
        <w:widowControl w:val="0"/>
        <w:adjustRightInd w:val="0"/>
        <w:snapToGrid w:val="0"/>
        <w:rPr>
          <w:color w:val="auto"/>
          <w:highlight w:val="none"/>
        </w:rPr>
      </w:pPr>
    </w:p>
    <w:p w14:paraId="01BFCB61">
      <w:pPr>
        <w:widowControl w:val="0"/>
        <w:adjustRightInd w:val="0"/>
        <w:snapToGrid w:val="0"/>
        <w:rPr>
          <w:color w:val="auto"/>
          <w:highlight w:val="none"/>
        </w:rPr>
      </w:pPr>
    </w:p>
    <w:p w14:paraId="79059BC3">
      <w:pPr>
        <w:widowControl w:val="0"/>
        <w:adjustRightInd w:val="0"/>
        <w:snapToGrid w:val="0"/>
        <w:rPr>
          <w:color w:val="auto"/>
          <w:highlight w:val="none"/>
        </w:rPr>
      </w:pPr>
    </w:p>
    <w:p w14:paraId="096959ED">
      <w:pPr>
        <w:widowControl w:val="0"/>
        <w:adjustRightInd w:val="0"/>
        <w:snapToGrid w:val="0"/>
        <w:rPr>
          <w:color w:val="auto"/>
          <w:highlight w:val="none"/>
        </w:rPr>
      </w:pPr>
    </w:p>
    <w:p w14:paraId="19619BEC">
      <w:pPr>
        <w:widowControl w:val="0"/>
        <w:adjustRightInd w:val="0"/>
        <w:snapToGrid w:val="0"/>
        <w:rPr>
          <w:color w:val="auto"/>
          <w:highlight w:val="none"/>
        </w:rPr>
      </w:pPr>
    </w:p>
    <w:p w14:paraId="41414349">
      <w:pPr>
        <w:widowControl w:val="0"/>
        <w:adjustRightInd w:val="0"/>
        <w:snapToGrid w:val="0"/>
        <w:rPr>
          <w:color w:val="auto"/>
          <w:highlight w:val="none"/>
        </w:rPr>
      </w:pPr>
    </w:p>
    <w:p w14:paraId="0FBE2390">
      <w:pPr>
        <w:widowControl w:val="0"/>
        <w:adjustRightInd w:val="0"/>
        <w:snapToGrid w:val="0"/>
        <w:rPr>
          <w:color w:val="auto"/>
          <w:highlight w:val="none"/>
        </w:rPr>
      </w:pPr>
    </w:p>
    <w:p w14:paraId="53E52815">
      <w:pPr>
        <w:widowControl w:val="0"/>
        <w:adjustRightInd w:val="0"/>
        <w:snapToGrid w:val="0"/>
        <w:rPr>
          <w:color w:val="auto"/>
          <w:highlight w:val="none"/>
        </w:rPr>
      </w:pPr>
    </w:p>
    <w:p w14:paraId="6027DBDF">
      <w:pPr>
        <w:widowControl w:val="0"/>
        <w:adjustRightInd w:val="0"/>
        <w:snapToGrid w:val="0"/>
        <w:rPr>
          <w:color w:val="auto"/>
          <w:highlight w:val="none"/>
        </w:rPr>
      </w:pPr>
    </w:p>
    <w:p w14:paraId="6D91AD81">
      <w:pPr>
        <w:widowControl w:val="0"/>
        <w:adjustRightInd w:val="0"/>
        <w:snapToGrid w:val="0"/>
        <w:rPr>
          <w:color w:val="auto"/>
          <w:highlight w:val="none"/>
        </w:rPr>
      </w:pPr>
    </w:p>
    <w:p w14:paraId="0B85AE35">
      <w:pPr>
        <w:widowControl w:val="0"/>
        <w:adjustRightInd w:val="0"/>
        <w:snapToGrid w:val="0"/>
        <w:rPr>
          <w:color w:val="auto"/>
          <w:highlight w:val="none"/>
        </w:rPr>
      </w:pPr>
    </w:p>
    <w:p w14:paraId="33C7F3B4">
      <w:pPr>
        <w:widowControl w:val="0"/>
        <w:adjustRightInd w:val="0"/>
        <w:snapToGrid w:val="0"/>
        <w:rPr>
          <w:color w:val="auto"/>
          <w:highlight w:val="none"/>
        </w:rPr>
      </w:pPr>
    </w:p>
    <w:p w14:paraId="5A7D7D68">
      <w:pPr>
        <w:widowControl w:val="0"/>
        <w:adjustRightInd w:val="0"/>
        <w:snapToGrid w:val="0"/>
        <w:rPr>
          <w:color w:val="auto"/>
          <w:highlight w:val="none"/>
        </w:rPr>
      </w:pPr>
    </w:p>
    <w:p w14:paraId="4CD05D93">
      <w:pPr>
        <w:widowControl w:val="0"/>
        <w:adjustRightInd w:val="0"/>
        <w:snapToGrid w:val="0"/>
        <w:spacing w:line="300" w:lineRule="auto"/>
        <w:rPr>
          <w:b/>
          <w:bCs/>
          <w:color w:val="auto"/>
          <w:sz w:val="24"/>
          <w:highlight w:val="none"/>
        </w:rPr>
      </w:pPr>
      <w:r>
        <w:rPr>
          <w:rFonts w:hint="eastAsia"/>
          <w:b/>
          <w:bCs/>
          <w:color w:val="auto"/>
          <w:sz w:val="24"/>
          <w:highlight w:val="none"/>
        </w:rPr>
        <w:t>附件3：工程质量责任合同</w:t>
      </w:r>
    </w:p>
    <w:p w14:paraId="1AB31A9F">
      <w:pPr>
        <w:widowControl w:val="0"/>
        <w:adjustRightInd w:val="0"/>
        <w:snapToGrid w:val="0"/>
        <w:rPr>
          <w:color w:val="auto"/>
          <w:highlight w:val="none"/>
        </w:rPr>
      </w:pPr>
    </w:p>
    <w:p w14:paraId="61B75A87">
      <w:pPr>
        <w:widowControl w:val="0"/>
        <w:adjustRightInd w:val="0"/>
        <w:snapToGrid w:val="0"/>
        <w:rPr>
          <w:color w:val="auto"/>
          <w:highlight w:val="none"/>
        </w:rPr>
      </w:pPr>
    </w:p>
    <w:p w14:paraId="515B7632">
      <w:pPr>
        <w:widowControl w:val="0"/>
        <w:adjustRightInd w:val="0"/>
        <w:snapToGrid w:val="0"/>
        <w:rPr>
          <w:color w:val="auto"/>
          <w:highlight w:val="none"/>
        </w:rPr>
      </w:pPr>
    </w:p>
    <w:p w14:paraId="3CD23960">
      <w:pPr>
        <w:widowControl w:val="0"/>
        <w:tabs>
          <w:tab w:val="left" w:pos="2790"/>
        </w:tabs>
        <w:adjustRightInd w:val="0"/>
        <w:snapToGrid w:val="0"/>
        <w:spacing w:line="300" w:lineRule="auto"/>
        <w:jc w:val="center"/>
        <w:rPr>
          <w:rFonts w:hint="eastAsia" w:ascii="华文中宋" w:hAnsi="华文中宋" w:eastAsia="华文中宋"/>
          <w:b/>
          <w:color w:val="auto"/>
          <w:sz w:val="28"/>
          <w:szCs w:val="28"/>
          <w:highlight w:val="none"/>
        </w:rPr>
      </w:pPr>
      <w:r>
        <w:rPr>
          <w:rFonts w:hint="eastAsia" w:ascii="华文中宋" w:hAnsi="华文中宋" w:eastAsia="华文中宋"/>
          <w:b/>
          <w:color w:val="auto"/>
          <w:sz w:val="28"/>
          <w:szCs w:val="28"/>
          <w:highlight w:val="none"/>
        </w:rPr>
        <w:t>工程质量责任合同</w:t>
      </w:r>
    </w:p>
    <w:p w14:paraId="67EFF037">
      <w:pPr>
        <w:widowControl w:val="0"/>
        <w:adjustRightInd w:val="0"/>
        <w:snapToGrid w:val="0"/>
        <w:rPr>
          <w:color w:val="auto"/>
          <w:highlight w:val="none"/>
        </w:rPr>
      </w:pPr>
    </w:p>
    <w:p w14:paraId="7ADF4DBC">
      <w:pPr>
        <w:widowControl w:val="0"/>
        <w:adjustRightInd w:val="0"/>
        <w:snapToGrid w:val="0"/>
        <w:rPr>
          <w:color w:val="auto"/>
          <w:highlight w:val="none"/>
        </w:rPr>
      </w:pPr>
    </w:p>
    <w:p w14:paraId="63B62ABE">
      <w:pPr>
        <w:widowControl w:val="0"/>
        <w:adjustRightInd w:val="0"/>
        <w:snapToGrid w:val="0"/>
        <w:rPr>
          <w:color w:val="auto"/>
          <w:highlight w:val="none"/>
        </w:rPr>
      </w:pPr>
    </w:p>
    <w:p w14:paraId="5E92A83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根据国务院《建设工程质量管理条例》，为保证在设计使用年限内建设工程质量，</w:t>
      </w:r>
      <w:r>
        <w:rPr>
          <w:rFonts w:hint="eastAsia"/>
          <w:color w:val="auto"/>
          <w:sz w:val="24"/>
          <w:highlight w:val="none"/>
          <w:u w:val="single"/>
        </w:rPr>
        <w:t xml:space="preserve">  （项目名称）  </w:t>
      </w:r>
      <w:r>
        <w:rPr>
          <w:rFonts w:hint="eastAsia"/>
          <w:color w:val="auto"/>
          <w:sz w:val="24"/>
          <w:highlight w:val="none"/>
        </w:rPr>
        <w:t>的发包人</w:t>
      </w:r>
      <w:r>
        <w:rPr>
          <w:rFonts w:hint="eastAsia"/>
          <w:color w:val="auto"/>
          <w:sz w:val="24"/>
          <w:highlight w:val="none"/>
          <w:u w:val="single"/>
        </w:rPr>
        <w:t xml:space="preserve">          </w:t>
      </w:r>
      <w:r>
        <w:rPr>
          <w:rFonts w:hint="eastAsia"/>
          <w:color w:val="auto"/>
          <w:sz w:val="24"/>
          <w:highlight w:val="none"/>
        </w:rPr>
        <w:t>（以下称甲方）与承包人</w:t>
      </w:r>
      <w:r>
        <w:rPr>
          <w:rFonts w:hint="eastAsia"/>
          <w:color w:val="auto"/>
          <w:sz w:val="24"/>
          <w:highlight w:val="none"/>
          <w:u w:val="single"/>
        </w:rPr>
        <w:t xml:space="preserve">               </w:t>
      </w:r>
      <w:r>
        <w:rPr>
          <w:rFonts w:hint="eastAsia"/>
          <w:color w:val="auto"/>
          <w:sz w:val="24"/>
          <w:highlight w:val="none"/>
        </w:rPr>
        <w:t>（以下称乙方），特订立如下质量责任合同。</w:t>
      </w:r>
    </w:p>
    <w:p w14:paraId="3B4B5297">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第一条 </w:t>
      </w:r>
      <w:r>
        <w:rPr>
          <w:rFonts w:hint="eastAsia"/>
          <w:color w:val="auto"/>
          <w:sz w:val="24"/>
          <w:highlight w:val="none"/>
        </w:rPr>
        <w:t>本建设工程项目的质量目标为标段工程交工验收的质量评定：</w:t>
      </w:r>
      <w:r>
        <w:rPr>
          <w:rFonts w:hint="eastAsia"/>
          <w:color w:val="auto"/>
          <w:sz w:val="24"/>
          <w:highlight w:val="none"/>
          <w:u w:val="single"/>
        </w:rPr>
        <w:t xml:space="preserve">          </w:t>
      </w:r>
      <w:r>
        <w:rPr>
          <w:rFonts w:hint="eastAsia"/>
          <w:color w:val="auto"/>
          <w:sz w:val="24"/>
          <w:highlight w:val="none"/>
        </w:rPr>
        <w:t>；标段工程竣工验收的质量评定：</w:t>
      </w:r>
      <w:r>
        <w:rPr>
          <w:rFonts w:hint="eastAsia"/>
          <w:color w:val="auto"/>
          <w:sz w:val="24"/>
          <w:highlight w:val="none"/>
          <w:u w:val="single"/>
        </w:rPr>
        <w:t xml:space="preserve">          </w:t>
      </w:r>
      <w:r>
        <w:rPr>
          <w:rFonts w:hint="eastAsia"/>
          <w:color w:val="auto"/>
          <w:sz w:val="24"/>
          <w:highlight w:val="none"/>
        </w:rPr>
        <w:t>，承包人对本建设工程的施工质量在设计使用年限内依法终身负责。施工质量责任人</w:t>
      </w:r>
      <w:r>
        <w:rPr>
          <w:rFonts w:hint="eastAsia"/>
          <w:color w:val="auto"/>
          <w:sz w:val="24"/>
          <w:highlight w:val="none"/>
          <w:u w:val="single"/>
        </w:rPr>
        <w:t xml:space="preserve">         </w:t>
      </w:r>
      <w:r>
        <w:rPr>
          <w:rFonts w:hint="eastAsia"/>
          <w:color w:val="auto"/>
          <w:sz w:val="24"/>
          <w:highlight w:val="none"/>
        </w:rPr>
        <w:t>。</w:t>
      </w:r>
    </w:p>
    <w:p w14:paraId="53AC4F2F">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第二条 </w:t>
      </w:r>
      <w:r>
        <w:rPr>
          <w:rFonts w:hint="eastAsia"/>
          <w:color w:val="auto"/>
          <w:sz w:val="24"/>
          <w:highlight w:val="none"/>
        </w:rPr>
        <w:t>甲乙双方的权利与义务</w:t>
      </w:r>
    </w:p>
    <w:p w14:paraId="1466A03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（一）严格遵守国家有关法律法规及交通运输部、浙江省交通运输厅的有关规定。</w:t>
      </w:r>
    </w:p>
    <w:p w14:paraId="401DCF5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（二）严格执行</w:t>
      </w:r>
      <w:r>
        <w:rPr>
          <w:rFonts w:hint="eastAsia"/>
          <w:color w:val="auto"/>
          <w:sz w:val="24"/>
          <w:highlight w:val="none"/>
          <w:u w:val="single"/>
        </w:rPr>
        <w:t xml:space="preserve">  （项目名称）  </w:t>
      </w:r>
      <w:r>
        <w:rPr>
          <w:rFonts w:hint="eastAsia"/>
          <w:color w:val="auto"/>
          <w:sz w:val="24"/>
          <w:highlight w:val="none"/>
        </w:rPr>
        <w:t>第</w:t>
      </w:r>
      <w:r>
        <w:rPr>
          <w:rFonts w:hint="eastAsia"/>
          <w:color w:val="auto"/>
          <w:sz w:val="24"/>
          <w:highlight w:val="none"/>
          <w:u w:val="single"/>
        </w:rPr>
        <w:t xml:space="preserve">    </w:t>
      </w:r>
      <w:r>
        <w:rPr>
          <w:rFonts w:hint="eastAsia"/>
          <w:color w:val="auto"/>
          <w:sz w:val="24"/>
          <w:highlight w:val="none"/>
        </w:rPr>
        <w:t>标段施工合同文件，自觉按合同办事。</w:t>
      </w:r>
    </w:p>
    <w:p w14:paraId="52A77F7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（三）双方的施工业务活动必须坚持科学、公正、诚信、平等的原则，不得损害国家、集体的利益，不得违反工程建设管理规章制度。</w:t>
      </w:r>
    </w:p>
    <w:p w14:paraId="7ED1C9A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（四）发现对方在施工业务活动中，有违反有关规定的行为，有及时提醒对方纠正的权利和义务。</w:t>
      </w:r>
    </w:p>
    <w:p w14:paraId="5132DCB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（五）发现对方严重违反施工合同文件的行为，有向其上级有关部门举报，建议给予处理并要求告知处理结果的权利。</w:t>
      </w:r>
    </w:p>
    <w:p w14:paraId="27497367">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第三条 </w:t>
      </w:r>
      <w:r>
        <w:rPr>
          <w:rFonts w:hint="eastAsia"/>
          <w:color w:val="auto"/>
          <w:sz w:val="24"/>
          <w:highlight w:val="none"/>
        </w:rPr>
        <w:t>甲方的义务</w:t>
      </w:r>
    </w:p>
    <w:p w14:paraId="47DD0EFC">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（一）甲方向乙方及时提供有关资料（包括技术规范、工程量清单、施工图等。）</w:t>
      </w:r>
    </w:p>
    <w:p w14:paraId="0694A7DA">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（二）甲方向乙方及时提供建设用地，及时解决对工程占地范围以内尚未拆迁的建筑物及其他障碍物。</w:t>
      </w:r>
    </w:p>
    <w:p w14:paraId="0FF8028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（三）甲方应向乙方提供主要原材料和产品质量的检验标准和检测频率，重点明确主要受力构件产品平行抽检和见证检验的要求。</w:t>
      </w:r>
    </w:p>
    <w:p w14:paraId="3886C97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（四）甲方不得指使乙方不按法律、法规、工程建设强制性标准和施工规范进行工程的施工活动。</w:t>
      </w:r>
    </w:p>
    <w:p w14:paraId="25EAD54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（五）甲方须按施工合同的约定支付工程款，除施工合同的约定外，甲方不得以任何借口克扣工程款或拖延工程款的支付。</w:t>
      </w:r>
    </w:p>
    <w:p w14:paraId="3D0608B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（六）甲方不得明示或暗示向乙方推荐单位或个人承包或分包本工程项目的施工任务。</w:t>
      </w:r>
    </w:p>
    <w:p w14:paraId="2B887C1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（七）甲方不得以任何理由索取回扣或其它好处。</w:t>
      </w:r>
    </w:p>
    <w:p w14:paraId="2E0C6521">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第四条 </w:t>
      </w:r>
      <w:r>
        <w:rPr>
          <w:rFonts w:hint="eastAsia"/>
          <w:color w:val="auto"/>
          <w:sz w:val="24"/>
          <w:highlight w:val="none"/>
        </w:rPr>
        <w:t>乙方的义务</w:t>
      </w:r>
    </w:p>
    <w:p w14:paraId="2C906B5F">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（一）乙方应具备与本工程项目相应等级的施工资质证书。</w:t>
      </w:r>
    </w:p>
    <w:p w14:paraId="3B73E0D2">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（二）乙方不得允许其它单位或个人以乙方的名义承揽本工程项目的施工任务，不得转包或违法分包所承揽的本工程的项目施工任务。</w:t>
      </w:r>
    </w:p>
    <w:p w14:paraId="6784B2CD">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（三）乙方必须严格履行施工合同，按投标承诺的施工技术人员及时到位。施工技术人员原则上不得擅自调换，如有特殊原因确需调换的，须经发包人书面同意方能换人。</w:t>
      </w:r>
    </w:p>
    <w:p w14:paraId="68CC4C7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（四）乙方应配备专职的质量管理人员。</w:t>
      </w:r>
    </w:p>
    <w:p w14:paraId="009F7ECE">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（五）乙方必须建立工地临时试验室，按要求配合相应的试验检测人员和设备，并取得工地临时试验室资质证书。按有关规定做好各类试验，试验资料应真实、完整，统一归档。</w:t>
      </w:r>
    </w:p>
    <w:p w14:paraId="01D05013">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（六）乙方必须按照工程设计图纸和施工技术规范施工，不得擅自修改工程设计，不得偷工减料。</w:t>
      </w:r>
    </w:p>
    <w:p w14:paraId="2F9C94F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（七）乙方在施工过程中发现设计文件和图纸有差错的，应当及时提出意见和建议。</w:t>
      </w:r>
    </w:p>
    <w:p w14:paraId="250B7F3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（八）乙方与甲方、承包人或指定分包人之间有关工程质量、进度和费用的一切往来函件、报表均应分类编号归档保存；施工技术资料应真实、完整。</w:t>
      </w:r>
    </w:p>
    <w:p w14:paraId="451C2401">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九）乙方应加强对甲方按合同规定采购的材料和设备的检验，对涉及结构安全的锚夹具、支座、吊杆（索）等受力构件产品检测，应当在甲方或者监理单位见证下现场取样，对检验不合格的产品，乙方应拒绝使用。</w:t>
      </w:r>
    </w:p>
    <w:p w14:paraId="639E135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（十）乙方不得暗示材料、设备供应单位提供使用不合格或质量低劣的材料、设备。</w:t>
      </w:r>
    </w:p>
    <w:p w14:paraId="4258D203">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第五条 </w:t>
      </w:r>
      <w:r>
        <w:rPr>
          <w:rFonts w:hint="eastAsia"/>
          <w:color w:val="auto"/>
          <w:sz w:val="24"/>
          <w:highlight w:val="none"/>
        </w:rPr>
        <w:t>违约责任</w:t>
      </w:r>
    </w:p>
    <w:p w14:paraId="647D9C06">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（一）甲方及其工作人员违反本协议第二、三条，按管理权限，依据国务院《建设工程质量管理条例》有关规定给予相应的处罚；涉嫌犯罪的，依法追究刑事责任；给乙方单位造成经济损失的，应予以赔偿。</w:t>
      </w:r>
    </w:p>
    <w:p w14:paraId="41D77157">
      <w:pPr>
        <w:widowControl w:val="0"/>
        <w:adjustRightInd w:val="0"/>
        <w:snapToGrid w:val="0"/>
        <w:spacing w:line="300" w:lineRule="auto"/>
        <w:ind w:firstLine="480" w:firstLineChars="200"/>
        <w:rPr>
          <w:color w:val="auto"/>
          <w:sz w:val="24"/>
          <w:highlight w:val="none"/>
        </w:rPr>
      </w:pPr>
      <w:r>
        <w:rPr>
          <w:rFonts w:hint="eastAsia"/>
          <w:color w:val="auto"/>
          <w:sz w:val="24"/>
          <w:highlight w:val="none"/>
        </w:rPr>
        <w:t>（二）乙方及其工作人员违反本协议第二、四条，按管理权限，依据国务院《建设工程质量管理条例》有关规定给予相应的处罚；涉嫌犯罪的，依法追究刑事责任；给甲方单位造成经济损失的，应予以赔偿。</w:t>
      </w:r>
    </w:p>
    <w:p w14:paraId="0123E44F">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第六条 </w:t>
      </w:r>
      <w:r>
        <w:rPr>
          <w:rFonts w:hint="eastAsia"/>
          <w:color w:val="auto"/>
          <w:sz w:val="24"/>
          <w:highlight w:val="none"/>
        </w:rPr>
        <w:t>本合同有效期为甲乙双方自签署之日起至该工程项目设计使用年限之日止。</w:t>
      </w:r>
    </w:p>
    <w:p w14:paraId="58FA6C09">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第七条 </w:t>
      </w:r>
      <w:r>
        <w:rPr>
          <w:rFonts w:hint="eastAsia"/>
          <w:color w:val="auto"/>
          <w:sz w:val="24"/>
          <w:highlight w:val="none"/>
        </w:rPr>
        <w:t xml:space="preserve">本合同作为 </w:t>
      </w:r>
      <w:r>
        <w:rPr>
          <w:rFonts w:hint="eastAsia"/>
          <w:color w:val="auto"/>
          <w:sz w:val="24"/>
          <w:highlight w:val="none"/>
          <w:u w:val="single"/>
        </w:rPr>
        <w:t xml:space="preserve"> （项目名称）  </w:t>
      </w:r>
      <w:r>
        <w:rPr>
          <w:rFonts w:hint="eastAsia"/>
          <w:color w:val="auto"/>
          <w:sz w:val="24"/>
          <w:highlight w:val="none"/>
        </w:rPr>
        <w:t>第</w:t>
      </w:r>
      <w:r>
        <w:rPr>
          <w:rFonts w:hint="eastAsia"/>
          <w:color w:val="auto"/>
          <w:sz w:val="24"/>
          <w:highlight w:val="none"/>
          <w:u w:val="single"/>
        </w:rPr>
        <w:t xml:space="preserve">    </w:t>
      </w:r>
      <w:r>
        <w:rPr>
          <w:rFonts w:hint="eastAsia"/>
          <w:color w:val="auto"/>
          <w:sz w:val="24"/>
          <w:highlight w:val="none"/>
        </w:rPr>
        <w:t>标段施工合同附件，与工程施工合同具有同等的法律效力，经合同双方签署后立即生效。</w:t>
      </w:r>
    </w:p>
    <w:p w14:paraId="1A0F7E19">
      <w:pPr>
        <w:widowControl w:val="0"/>
        <w:adjustRightInd w:val="0"/>
        <w:snapToGrid w:val="0"/>
        <w:spacing w:line="300" w:lineRule="auto"/>
        <w:ind w:firstLine="482" w:firstLineChars="200"/>
        <w:rPr>
          <w:color w:val="auto"/>
          <w:sz w:val="24"/>
          <w:highlight w:val="none"/>
        </w:rPr>
      </w:pPr>
      <w:r>
        <w:rPr>
          <w:rFonts w:hint="eastAsia"/>
          <w:b/>
          <w:bCs/>
          <w:color w:val="auto"/>
          <w:sz w:val="24"/>
          <w:highlight w:val="none"/>
        </w:rPr>
        <w:t xml:space="preserve">第八条 </w:t>
      </w:r>
      <w:r>
        <w:rPr>
          <w:rFonts w:hint="eastAsia"/>
          <w:color w:val="auto"/>
          <w:sz w:val="24"/>
          <w:highlight w:val="none"/>
        </w:rPr>
        <w:t>本合同正本二份、副本</w:t>
      </w:r>
      <w:r>
        <w:rPr>
          <w:rFonts w:hint="eastAsia"/>
          <w:color w:val="auto"/>
          <w:sz w:val="24"/>
          <w:highlight w:val="none"/>
          <w:u w:val="single"/>
        </w:rPr>
        <w:t xml:space="preserve">     </w:t>
      </w:r>
      <w:r>
        <w:rPr>
          <w:rFonts w:hint="eastAsia"/>
          <w:color w:val="auto"/>
          <w:sz w:val="24"/>
          <w:highlight w:val="none"/>
        </w:rPr>
        <w:t>份，合同双方各执正本一份，副本</w:t>
      </w:r>
      <w:r>
        <w:rPr>
          <w:rFonts w:hint="eastAsia"/>
          <w:color w:val="auto"/>
          <w:sz w:val="24"/>
          <w:highlight w:val="none"/>
          <w:u w:val="single"/>
        </w:rPr>
        <w:t xml:space="preserve">     </w:t>
      </w:r>
      <w:r>
        <w:rPr>
          <w:rFonts w:hint="eastAsia"/>
          <w:color w:val="auto"/>
          <w:sz w:val="24"/>
          <w:highlight w:val="none"/>
        </w:rPr>
        <w:t>份，当正本与副本的内容不一致时，以正本为准。</w:t>
      </w:r>
    </w:p>
    <w:p w14:paraId="5F654871">
      <w:pPr>
        <w:widowControl w:val="0"/>
        <w:adjustRightInd w:val="0"/>
        <w:snapToGrid w:val="0"/>
        <w:rPr>
          <w:color w:val="auto"/>
          <w:highlight w:val="none"/>
        </w:rPr>
      </w:pPr>
    </w:p>
    <w:p w14:paraId="4B98FC34">
      <w:pPr>
        <w:widowControl w:val="0"/>
        <w:adjustRightInd w:val="0"/>
        <w:snapToGrid w:val="0"/>
        <w:rPr>
          <w:color w:val="auto"/>
          <w:highlight w:val="none"/>
        </w:rPr>
      </w:pPr>
    </w:p>
    <w:p w14:paraId="471038F9">
      <w:pPr>
        <w:widowControl w:val="0"/>
        <w:adjustRightInd w:val="0"/>
        <w:snapToGrid w:val="0"/>
        <w:rPr>
          <w:color w:val="auto"/>
          <w:highlight w:val="none"/>
        </w:rPr>
      </w:pPr>
    </w:p>
    <w:p w14:paraId="54667961">
      <w:pPr>
        <w:widowControl w:val="0"/>
        <w:adjustRightInd w:val="0"/>
        <w:snapToGrid w:val="0"/>
        <w:spacing w:line="300" w:lineRule="auto"/>
        <w:rPr>
          <w:color w:val="auto"/>
          <w:sz w:val="24"/>
          <w:highlight w:val="none"/>
        </w:rPr>
      </w:pPr>
      <w:r>
        <w:rPr>
          <w:rFonts w:hint="eastAsia"/>
          <w:color w:val="auto"/>
          <w:sz w:val="24"/>
          <w:highlight w:val="none"/>
        </w:rPr>
        <w:t>发包人：</w:t>
      </w:r>
      <w:r>
        <w:rPr>
          <w:rFonts w:hint="eastAsia"/>
          <w:color w:val="auto"/>
          <w:sz w:val="24"/>
          <w:highlight w:val="none"/>
          <w:u w:val="single"/>
        </w:rPr>
        <w:t xml:space="preserve">                  </w:t>
      </w:r>
      <w:r>
        <w:rPr>
          <w:rFonts w:hint="eastAsia"/>
          <w:color w:val="auto"/>
          <w:sz w:val="24"/>
          <w:highlight w:val="none"/>
        </w:rPr>
        <w:t>（盖单位章）   承包人：</w:t>
      </w:r>
      <w:r>
        <w:rPr>
          <w:rFonts w:hint="eastAsia"/>
          <w:color w:val="auto"/>
          <w:sz w:val="24"/>
          <w:highlight w:val="none"/>
          <w:u w:val="single"/>
        </w:rPr>
        <w:t xml:space="preserve">                </w:t>
      </w:r>
      <w:r>
        <w:rPr>
          <w:rFonts w:hint="eastAsia"/>
          <w:color w:val="auto"/>
          <w:sz w:val="24"/>
          <w:highlight w:val="none"/>
        </w:rPr>
        <w:t>（盖单位章）</w:t>
      </w:r>
    </w:p>
    <w:p w14:paraId="7A4B5EAB">
      <w:pPr>
        <w:widowControl w:val="0"/>
        <w:adjustRightInd w:val="0"/>
        <w:snapToGrid w:val="0"/>
        <w:rPr>
          <w:color w:val="auto"/>
          <w:highlight w:val="none"/>
        </w:rPr>
      </w:pPr>
    </w:p>
    <w:p w14:paraId="387BBD8F">
      <w:pPr>
        <w:widowControl w:val="0"/>
        <w:adjustRightInd w:val="0"/>
        <w:snapToGrid w:val="0"/>
        <w:spacing w:line="300" w:lineRule="auto"/>
        <w:rPr>
          <w:color w:val="auto"/>
          <w:sz w:val="24"/>
          <w:highlight w:val="none"/>
        </w:rPr>
      </w:pPr>
      <w:r>
        <w:rPr>
          <w:rFonts w:hint="eastAsia"/>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（签字）   法定代表人或其委托代理人：</w:t>
      </w:r>
      <w:r>
        <w:rPr>
          <w:rFonts w:hint="eastAsia"/>
          <w:color w:val="auto"/>
          <w:sz w:val="24"/>
          <w:highlight w:val="none"/>
          <w:u w:val="single"/>
        </w:rPr>
        <w:t xml:space="preserve">  </w:t>
      </w:r>
      <w:r>
        <w:rPr>
          <w:rFonts w:hint="eastAsia"/>
          <w:color w:val="auto"/>
          <w:sz w:val="24"/>
          <w:highlight w:val="none"/>
        </w:rPr>
        <w:t>（签字）</w:t>
      </w:r>
    </w:p>
    <w:p w14:paraId="7E23DF1A">
      <w:pPr>
        <w:widowControl w:val="0"/>
        <w:adjustRightInd w:val="0"/>
        <w:snapToGrid w:val="0"/>
        <w:rPr>
          <w:color w:val="auto"/>
          <w:highlight w:val="none"/>
        </w:rPr>
      </w:pPr>
    </w:p>
    <w:p w14:paraId="4132E593">
      <w:pPr>
        <w:widowControl w:val="0"/>
        <w:adjustRightInd w:val="0"/>
        <w:snapToGrid w:val="0"/>
        <w:spacing w:line="300" w:lineRule="auto"/>
        <w:ind w:firstLine="2280" w:firstLineChars="950"/>
        <w:rPr>
          <w:color w:val="auto"/>
          <w:sz w:val="24"/>
          <w:highlight w:val="none"/>
        </w:r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 xml:space="preserve">日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 xml:space="preserve">月 </w:t>
      </w:r>
      <w:r>
        <w:rPr>
          <w:rFonts w:hint="eastAsia"/>
          <w:color w:val="auto"/>
          <w:sz w:val="24"/>
          <w:highlight w:val="none"/>
          <w:u w:val="single"/>
        </w:rPr>
        <w:t xml:space="preserve">   </w:t>
      </w:r>
      <w:r>
        <w:rPr>
          <w:rFonts w:hint="eastAsia"/>
          <w:color w:val="auto"/>
          <w:sz w:val="24"/>
          <w:highlight w:val="none"/>
        </w:rPr>
        <w:t>日</w:t>
      </w:r>
    </w:p>
    <w:p w14:paraId="589E1F6D">
      <w:pPr>
        <w:widowControl w:val="0"/>
        <w:adjustRightInd w:val="0"/>
        <w:snapToGrid w:val="0"/>
        <w:rPr>
          <w:color w:val="auto"/>
          <w:highlight w:val="none"/>
        </w:rPr>
      </w:pPr>
    </w:p>
    <w:p w14:paraId="45288F6F">
      <w:pPr>
        <w:widowControl w:val="0"/>
        <w:adjustRightInd w:val="0"/>
        <w:snapToGrid w:val="0"/>
        <w:rPr>
          <w:color w:val="auto"/>
          <w:highlight w:val="none"/>
        </w:rPr>
      </w:pPr>
    </w:p>
    <w:p w14:paraId="5E687810">
      <w:pPr>
        <w:widowControl w:val="0"/>
        <w:adjustRightInd w:val="0"/>
        <w:snapToGrid w:val="0"/>
        <w:rPr>
          <w:color w:val="auto"/>
          <w:highlight w:val="none"/>
        </w:rPr>
      </w:pPr>
    </w:p>
    <w:p w14:paraId="0BBD892C">
      <w:pPr>
        <w:widowControl w:val="0"/>
        <w:adjustRightInd w:val="0"/>
        <w:snapToGrid w:val="0"/>
        <w:rPr>
          <w:color w:val="auto"/>
          <w:highlight w:val="none"/>
        </w:rPr>
      </w:pPr>
    </w:p>
    <w:p w14:paraId="04B1C09E">
      <w:pPr>
        <w:pStyle w:val="417"/>
        <w:ind w:firstLine="0" w:firstLineChars="0"/>
        <w:jc w:val="center"/>
        <w:rPr>
          <w:color w:val="auto"/>
          <w:highlight w:val="none"/>
        </w:rPr>
      </w:pPr>
      <w:bookmarkStart w:id="414" w:name="_Toc173762013"/>
      <w:r>
        <w:rPr>
          <w:rFonts w:hint="eastAsia"/>
          <w:color w:val="auto"/>
          <w:highlight w:val="none"/>
        </w:rPr>
        <w:t>四、非煤矿山外包工程安全生产管理协议</w:t>
      </w:r>
      <w:bookmarkEnd w:id="414"/>
    </w:p>
    <w:p w14:paraId="590743F6">
      <w:pPr>
        <w:widowControl w:val="0"/>
        <w:adjustRightInd w:val="0"/>
        <w:snapToGrid w:val="0"/>
        <w:rPr>
          <w:color w:val="auto"/>
          <w:highlight w:val="none"/>
        </w:rPr>
      </w:pPr>
    </w:p>
    <w:p w14:paraId="5CEB5F80">
      <w:pPr>
        <w:widowControl w:val="0"/>
        <w:adjustRightInd w:val="0"/>
        <w:snapToGrid w:val="0"/>
        <w:rPr>
          <w:color w:val="auto"/>
          <w:highlight w:val="none"/>
        </w:rPr>
      </w:pPr>
    </w:p>
    <w:p w14:paraId="7B532683">
      <w:pPr>
        <w:widowControl w:val="0"/>
        <w:adjustRightInd w:val="0"/>
        <w:snapToGrid w:val="0"/>
        <w:rPr>
          <w:color w:val="auto"/>
          <w:highlight w:val="none"/>
        </w:rPr>
      </w:pPr>
    </w:p>
    <w:p w14:paraId="3702D387">
      <w:pPr>
        <w:widowControl w:val="0"/>
        <w:adjustRightInd w:val="0"/>
        <w:snapToGrid w:val="0"/>
        <w:rPr>
          <w:color w:val="auto"/>
          <w:highlight w:val="none"/>
        </w:rPr>
      </w:pPr>
    </w:p>
    <w:p w14:paraId="1C0F8414">
      <w:pPr>
        <w:widowControl w:val="0"/>
        <w:adjustRightInd w:val="0"/>
        <w:snapToGrid w:val="0"/>
        <w:rPr>
          <w:color w:val="auto"/>
          <w:highlight w:val="none"/>
        </w:rPr>
      </w:pPr>
    </w:p>
    <w:p w14:paraId="3E9AC54C">
      <w:pPr>
        <w:widowControl w:val="0"/>
        <w:adjustRightInd w:val="0"/>
        <w:snapToGrid w:val="0"/>
        <w:rPr>
          <w:color w:val="auto"/>
          <w:highlight w:val="none"/>
        </w:rPr>
      </w:pPr>
    </w:p>
    <w:p w14:paraId="7137EBB9">
      <w:pPr>
        <w:widowControl w:val="0"/>
        <w:adjustRightInd w:val="0"/>
        <w:snapToGrid w:val="0"/>
        <w:rPr>
          <w:color w:val="auto"/>
          <w:highlight w:val="none"/>
        </w:rPr>
      </w:pPr>
    </w:p>
    <w:p w14:paraId="05FB0EF3">
      <w:pPr>
        <w:widowControl w:val="0"/>
        <w:adjustRightInd w:val="0"/>
        <w:snapToGrid w:val="0"/>
        <w:rPr>
          <w:color w:val="auto"/>
          <w:highlight w:val="none"/>
        </w:rPr>
      </w:pPr>
    </w:p>
    <w:p w14:paraId="41FA3959">
      <w:pPr>
        <w:widowControl w:val="0"/>
        <w:adjustRightInd w:val="0"/>
        <w:snapToGrid w:val="0"/>
        <w:rPr>
          <w:color w:val="auto"/>
          <w:highlight w:val="none"/>
        </w:rPr>
      </w:pPr>
    </w:p>
    <w:p w14:paraId="67A73621">
      <w:pPr>
        <w:widowControl w:val="0"/>
        <w:adjustRightInd w:val="0"/>
        <w:snapToGrid w:val="0"/>
        <w:rPr>
          <w:color w:val="auto"/>
          <w:highlight w:val="none"/>
        </w:rPr>
      </w:pPr>
    </w:p>
    <w:p w14:paraId="353D0C8F">
      <w:pPr>
        <w:widowControl w:val="0"/>
        <w:adjustRightInd w:val="0"/>
        <w:snapToGrid w:val="0"/>
        <w:rPr>
          <w:color w:val="auto"/>
          <w:highlight w:val="none"/>
        </w:rPr>
      </w:pPr>
    </w:p>
    <w:p w14:paraId="5C9D9477">
      <w:pPr>
        <w:widowControl w:val="0"/>
        <w:adjustRightInd w:val="0"/>
        <w:snapToGrid w:val="0"/>
        <w:rPr>
          <w:color w:val="auto"/>
          <w:highlight w:val="none"/>
        </w:rPr>
      </w:pPr>
    </w:p>
    <w:p w14:paraId="7C8E4953">
      <w:pPr>
        <w:widowControl w:val="0"/>
        <w:adjustRightInd w:val="0"/>
        <w:snapToGrid w:val="0"/>
        <w:rPr>
          <w:color w:val="auto"/>
          <w:highlight w:val="none"/>
        </w:rPr>
      </w:pPr>
    </w:p>
    <w:p w14:paraId="06A04C50">
      <w:pPr>
        <w:widowControl w:val="0"/>
        <w:adjustRightInd w:val="0"/>
        <w:snapToGrid w:val="0"/>
        <w:rPr>
          <w:color w:val="auto"/>
          <w:highlight w:val="none"/>
        </w:rPr>
      </w:pPr>
    </w:p>
    <w:p w14:paraId="5C67E4DB">
      <w:pPr>
        <w:widowControl w:val="0"/>
        <w:adjustRightInd w:val="0"/>
        <w:snapToGrid w:val="0"/>
        <w:rPr>
          <w:color w:val="auto"/>
          <w:highlight w:val="none"/>
        </w:rPr>
      </w:pPr>
    </w:p>
    <w:p w14:paraId="21E69C1B">
      <w:pPr>
        <w:widowControl w:val="0"/>
        <w:adjustRightInd w:val="0"/>
        <w:snapToGrid w:val="0"/>
        <w:rPr>
          <w:color w:val="auto"/>
          <w:highlight w:val="none"/>
        </w:rPr>
      </w:pPr>
    </w:p>
    <w:p w14:paraId="3019DD50">
      <w:pPr>
        <w:widowControl w:val="0"/>
        <w:adjustRightInd w:val="0"/>
        <w:snapToGrid w:val="0"/>
        <w:rPr>
          <w:color w:val="auto"/>
          <w:highlight w:val="none"/>
        </w:rPr>
      </w:pPr>
    </w:p>
    <w:p w14:paraId="6117C21B">
      <w:pPr>
        <w:widowControl w:val="0"/>
        <w:adjustRightInd w:val="0"/>
        <w:snapToGrid w:val="0"/>
        <w:rPr>
          <w:color w:val="auto"/>
          <w:highlight w:val="none"/>
        </w:rPr>
      </w:pPr>
    </w:p>
    <w:p w14:paraId="7B3B7A85">
      <w:pPr>
        <w:widowControl w:val="0"/>
        <w:adjustRightInd w:val="0"/>
        <w:snapToGrid w:val="0"/>
        <w:rPr>
          <w:color w:val="auto"/>
          <w:highlight w:val="none"/>
        </w:rPr>
      </w:pPr>
    </w:p>
    <w:p w14:paraId="1387EB92">
      <w:pPr>
        <w:widowControl w:val="0"/>
        <w:adjustRightInd w:val="0"/>
        <w:snapToGrid w:val="0"/>
        <w:rPr>
          <w:color w:val="auto"/>
          <w:highlight w:val="none"/>
        </w:rPr>
      </w:pPr>
    </w:p>
    <w:p w14:paraId="0E546580">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项目名称：</w:t>
      </w:r>
      <w:r>
        <w:rPr>
          <w:rFonts w:hint="eastAsia" w:cs="宋体"/>
          <w:snapToGrid w:val="0"/>
          <w:color w:val="auto"/>
          <w:kern w:val="0"/>
          <w:sz w:val="24"/>
          <w:szCs w:val="21"/>
          <w:highlight w:val="none"/>
          <w:u w:val="single"/>
        </w:rPr>
        <w:t xml:space="preserve">                                       </w:t>
      </w:r>
    </w:p>
    <w:p w14:paraId="56C69E24">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发包单位（甲方）：</w:t>
      </w:r>
      <w:r>
        <w:rPr>
          <w:rFonts w:hint="eastAsia" w:cs="宋体"/>
          <w:snapToGrid w:val="0"/>
          <w:color w:val="auto"/>
          <w:kern w:val="0"/>
          <w:sz w:val="24"/>
          <w:szCs w:val="21"/>
          <w:highlight w:val="none"/>
          <w:u w:val="single"/>
        </w:rPr>
        <w:t xml:space="preserve">                               </w:t>
      </w:r>
    </w:p>
    <w:p w14:paraId="1CAD9F3A">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承包单位（乙方）：</w:t>
      </w:r>
      <w:r>
        <w:rPr>
          <w:rFonts w:hint="eastAsia" w:cs="宋体"/>
          <w:snapToGrid w:val="0"/>
          <w:color w:val="auto"/>
          <w:kern w:val="0"/>
          <w:sz w:val="24"/>
          <w:szCs w:val="21"/>
          <w:highlight w:val="none"/>
          <w:u w:val="single"/>
        </w:rPr>
        <w:t xml:space="preserve">                               </w:t>
      </w:r>
    </w:p>
    <w:p w14:paraId="4BC226DF">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签订时间：</w:t>
      </w:r>
      <w:r>
        <w:rPr>
          <w:rFonts w:hint="eastAsia" w:cs="宋体"/>
          <w:snapToGrid w:val="0"/>
          <w:color w:val="auto"/>
          <w:kern w:val="0"/>
          <w:sz w:val="24"/>
          <w:szCs w:val="21"/>
          <w:highlight w:val="none"/>
          <w:u w:val="single"/>
        </w:rPr>
        <w:t xml:space="preserve">                                       </w:t>
      </w:r>
    </w:p>
    <w:p w14:paraId="725A18B1">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签订地点：</w:t>
      </w:r>
      <w:r>
        <w:rPr>
          <w:rFonts w:hint="eastAsia" w:cs="宋体"/>
          <w:snapToGrid w:val="0"/>
          <w:color w:val="auto"/>
          <w:kern w:val="0"/>
          <w:sz w:val="24"/>
          <w:szCs w:val="21"/>
          <w:highlight w:val="none"/>
          <w:u w:val="single"/>
        </w:rPr>
        <w:t xml:space="preserve">                                       </w:t>
      </w:r>
    </w:p>
    <w:p w14:paraId="05723CC9">
      <w:pPr>
        <w:widowControl w:val="0"/>
        <w:adjustRightInd w:val="0"/>
        <w:snapToGrid w:val="0"/>
        <w:spacing w:line="300" w:lineRule="auto"/>
        <w:ind w:firstLine="1440" w:firstLineChars="600"/>
        <w:rPr>
          <w:rFonts w:cs="宋体"/>
          <w:snapToGrid w:val="0"/>
          <w:color w:val="auto"/>
          <w:kern w:val="0"/>
          <w:sz w:val="24"/>
          <w:szCs w:val="21"/>
          <w:highlight w:val="none"/>
        </w:rPr>
      </w:pPr>
      <w:r>
        <w:rPr>
          <w:rFonts w:hint="eastAsia" w:cs="宋体"/>
          <w:snapToGrid w:val="0"/>
          <w:color w:val="auto"/>
          <w:kern w:val="0"/>
          <w:sz w:val="24"/>
          <w:szCs w:val="21"/>
          <w:highlight w:val="none"/>
        </w:rPr>
        <w:t>有效期限：</w:t>
      </w:r>
      <w:r>
        <w:rPr>
          <w:rFonts w:hint="eastAsia" w:cs="宋体"/>
          <w:snapToGrid w:val="0"/>
          <w:color w:val="auto"/>
          <w:kern w:val="0"/>
          <w:sz w:val="24"/>
          <w:szCs w:val="21"/>
          <w:highlight w:val="none"/>
          <w:u w:val="single"/>
        </w:rPr>
        <w:t xml:space="preserve">                                       </w:t>
      </w:r>
    </w:p>
    <w:p w14:paraId="591FD75C">
      <w:pPr>
        <w:widowControl w:val="0"/>
        <w:adjustRightInd w:val="0"/>
        <w:snapToGrid w:val="0"/>
        <w:rPr>
          <w:color w:val="auto"/>
          <w:highlight w:val="none"/>
        </w:rPr>
      </w:pPr>
    </w:p>
    <w:p w14:paraId="3595D5A4">
      <w:pPr>
        <w:widowControl w:val="0"/>
        <w:adjustRightInd w:val="0"/>
        <w:snapToGrid w:val="0"/>
        <w:rPr>
          <w:color w:val="auto"/>
          <w:highlight w:val="none"/>
        </w:rPr>
      </w:pPr>
    </w:p>
    <w:p w14:paraId="5031B9A9">
      <w:pPr>
        <w:widowControl w:val="0"/>
        <w:adjustRightInd w:val="0"/>
        <w:snapToGrid w:val="0"/>
        <w:rPr>
          <w:color w:val="auto"/>
          <w:highlight w:val="none"/>
        </w:rPr>
      </w:pPr>
    </w:p>
    <w:p w14:paraId="1EAC745E">
      <w:pPr>
        <w:widowControl w:val="0"/>
        <w:adjustRightInd w:val="0"/>
        <w:snapToGrid w:val="0"/>
        <w:rPr>
          <w:color w:val="auto"/>
          <w:highlight w:val="none"/>
        </w:rPr>
      </w:pPr>
    </w:p>
    <w:p w14:paraId="58F90A2C">
      <w:pPr>
        <w:widowControl w:val="0"/>
        <w:adjustRightInd w:val="0"/>
        <w:snapToGrid w:val="0"/>
        <w:rPr>
          <w:color w:val="auto"/>
          <w:highlight w:val="none"/>
        </w:rPr>
      </w:pPr>
    </w:p>
    <w:p w14:paraId="65081386">
      <w:pPr>
        <w:widowControl w:val="0"/>
        <w:adjustRightInd w:val="0"/>
        <w:snapToGrid w:val="0"/>
        <w:rPr>
          <w:color w:val="auto"/>
          <w:highlight w:val="none"/>
        </w:rPr>
      </w:pPr>
    </w:p>
    <w:p w14:paraId="01E1D7D8">
      <w:pPr>
        <w:widowControl w:val="0"/>
        <w:adjustRightInd w:val="0"/>
        <w:snapToGrid w:val="0"/>
        <w:rPr>
          <w:color w:val="auto"/>
          <w:highlight w:val="none"/>
        </w:rPr>
      </w:pPr>
    </w:p>
    <w:p w14:paraId="54542600">
      <w:pPr>
        <w:widowControl w:val="0"/>
        <w:adjustRightInd w:val="0"/>
        <w:snapToGrid w:val="0"/>
        <w:spacing w:line="300" w:lineRule="auto"/>
        <w:jc w:val="center"/>
        <w:rPr>
          <w:rFonts w:cs="宋体"/>
          <w:b/>
          <w:snapToGrid w:val="0"/>
          <w:color w:val="auto"/>
          <w:kern w:val="0"/>
          <w:sz w:val="24"/>
          <w:szCs w:val="21"/>
          <w:highlight w:val="none"/>
        </w:rPr>
      </w:pPr>
      <w:r>
        <w:rPr>
          <w:rFonts w:hint="eastAsia" w:cs="宋体"/>
          <w:b/>
          <w:snapToGrid w:val="0"/>
          <w:color w:val="auto"/>
          <w:kern w:val="0"/>
          <w:sz w:val="24"/>
          <w:szCs w:val="21"/>
          <w:highlight w:val="none"/>
        </w:rPr>
        <w:t>国家安全生产监督管理总局印制</w:t>
      </w:r>
    </w:p>
    <w:p w14:paraId="15892BF8">
      <w:pPr>
        <w:widowControl w:val="0"/>
        <w:adjustRightInd w:val="0"/>
        <w:snapToGrid w:val="0"/>
        <w:rPr>
          <w:color w:val="auto"/>
          <w:highlight w:val="none"/>
        </w:rPr>
      </w:pPr>
    </w:p>
    <w:p w14:paraId="4A689140">
      <w:pPr>
        <w:widowControl w:val="0"/>
        <w:adjustRightInd w:val="0"/>
        <w:snapToGrid w:val="0"/>
        <w:rPr>
          <w:color w:val="auto"/>
          <w:highlight w:val="none"/>
        </w:rPr>
      </w:pPr>
    </w:p>
    <w:p w14:paraId="28991B05">
      <w:pPr>
        <w:widowControl w:val="0"/>
        <w:adjustRightInd w:val="0"/>
        <w:snapToGrid w:val="0"/>
        <w:rPr>
          <w:color w:val="auto"/>
          <w:highlight w:val="none"/>
        </w:rPr>
      </w:pPr>
    </w:p>
    <w:p w14:paraId="14AE4F55">
      <w:pPr>
        <w:widowControl w:val="0"/>
        <w:adjustRightInd w:val="0"/>
        <w:snapToGrid w:val="0"/>
        <w:rPr>
          <w:color w:val="auto"/>
          <w:highlight w:val="none"/>
        </w:rPr>
      </w:pPr>
    </w:p>
    <w:p w14:paraId="7E263269">
      <w:pPr>
        <w:widowControl w:val="0"/>
        <w:adjustRightInd w:val="0"/>
        <w:snapToGrid w:val="0"/>
        <w:rPr>
          <w:color w:val="auto"/>
          <w:highlight w:val="none"/>
        </w:rPr>
      </w:pPr>
    </w:p>
    <w:p w14:paraId="1A68F1BD">
      <w:pPr>
        <w:widowControl w:val="0"/>
        <w:adjustRightInd w:val="0"/>
        <w:snapToGrid w:val="0"/>
        <w:rPr>
          <w:color w:val="auto"/>
          <w:highlight w:val="none"/>
        </w:rPr>
      </w:pPr>
    </w:p>
    <w:p w14:paraId="470EA26C">
      <w:pPr>
        <w:widowControl w:val="0"/>
        <w:adjustRightInd w:val="0"/>
        <w:snapToGrid w:val="0"/>
        <w:rPr>
          <w:color w:val="auto"/>
          <w:highlight w:val="none"/>
        </w:rPr>
      </w:pPr>
    </w:p>
    <w:p w14:paraId="278E1FD6">
      <w:pPr>
        <w:widowControl w:val="0"/>
        <w:adjustRightInd w:val="0"/>
        <w:snapToGrid w:val="0"/>
        <w:rPr>
          <w:color w:val="auto"/>
          <w:highlight w:val="none"/>
        </w:rPr>
      </w:pPr>
    </w:p>
    <w:p w14:paraId="12680992">
      <w:pPr>
        <w:widowControl w:val="0"/>
        <w:adjustRightInd w:val="0"/>
        <w:snapToGrid w:val="0"/>
        <w:rPr>
          <w:color w:val="auto"/>
          <w:highlight w:val="none"/>
        </w:rPr>
      </w:pPr>
    </w:p>
    <w:p w14:paraId="3C43DBB0">
      <w:pPr>
        <w:widowControl w:val="0"/>
        <w:adjustRightInd w:val="0"/>
        <w:snapToGrid w:val="0"/>
        <w:rPr>
          <w:color w:val="auto"/>
          <w:highlight w:val="none"/>
        </w:rPr>
      </w:pPr>
    </w:p>
    <w:p w14:paraId="124FCAE1">
      <w:pPr>
        <w:widowControl w:val="0"/>
        <w:adjustRightInd w:val="0"/>
        <w:snapToGrid w:val="0"/>
        <w:rPr>
          <w:color w:val="auto"/>
          <w:highlight w:val="none"/>
        </w:rPr>
      </w:pPr>
    </w:p>
    <w:p w14:paraId="1A26C859">
      <w:pPr>
        <w:widowControl w:val="0"/>
        <w:adjustRightInd w:val="0"/>
        <w:snapToGrid w:val="0"/>
        <w:rPr>
          <w:color w:val="auto"/>
          <w:highlight w:val="none"/>
        </w:rPr>
      </w:pPr>
    </w:p>
    <w:p w14:paraId="5CE0B10F">
      <w:pPr>
        <w:widowControl w:val="0"/>
        <w:adjustRightInd w:val="0"/>
        <w:snapToGrid w:val="0"/>
        <w:rPr>
          <w:color w:val="auto"/>
          <w:highlight w:val="none"/>
        </w:rPr>
      </w:pPr>
    </w:p>
    <w:p w14:paraId="32F5652A">
      <w:pPr>
        <w:widowControl w:val="0"/>
        <w:adjustRightInd w:val="0"/>
        <w:snapToGrid w:val="0"/>
        <w:rPr>
          <w:color w:val="auto"/>
          <w:highlight w:val="none"/>
        </w:rPr>
      </w:pPr>
    </w:p>
    <w:p w14:paraId="7D33BF2C">
      <w:pPr>
        <w:widowControl w:val="0"/>
        <w:adjustRightInd w:val="0"/>
        <w:snapToGrid w:val="0"/>
        <w:rPr>
          <w:color w:val="auto"/>
          <w:highlight w:val="none"/>
        </w:rPr>
      </w:pPr>
    </w:p>
    <w:p w14:paraId="4539E5E8">
      <w:pPr>
        <w:widowControl w:val="0"/>
        <w:adjustRightInd w:val="0"/>
        <w:snapToGrid w:val="0"/>
        <w:rPr>
          <w:color w:val="auto"/>
          <w:highlight w:val="none"/>
        </w:rPr>
      </w:pPr>
    </w:p>
    <w:p w14:paraId="5935D6E9">
      <w:pPr>
        <w:widowControl w:val="0"/>
        <w:adjustRightInd w:val="0"/>
        <w:snapToGrid w:val="0"/>
        <w:rPr>
          <w:color w:val="auto"/>
          <w:highlight w:val="none"/>
        </w:rPr>
      </w:pPr>
    </w:p>
    <w:p w14:paraId="1F98144C">
      <w:pPr>
        <w:widowControl w:val="0"/>
        <w:adjustRightInd w:val="0"/>
        <w:snapToGrid w:val="0"/>
        <w:rPr>
          <w:color w:val="auto"/>
          <w:highlight w:val="none"/>
        </w:rPr>
      </w:pPr>
    </w:p>
    <w:p w14:paraId="284F69E3">
      <w:pPr>
        <w:widowControl w:val="0"/>
        <w:adjustRightInd w:val="0"/>
        <w:snapToGrid w:val="0"/>
        <w:rPr>
          <w:color w:val="auto"/>
          <w:highlight w:val="none"/>
        </w:rPr>
      </w:pPr>
    </w:p>
    <w:p w14:paraId="0010722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（以下简称甲方）已将</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工程（以下简称工程）承包给</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（以下简称乙方）施工。</w:t>
      </w:r>
    </w:p>
    <w:p w14:paraId="11F8D36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为了加强对工程的安全生产管理，明确安全生产责任，防止和减少施工作业中的生产安全事故，按照《安全生产法》、《矿山安全法》及其他有关法律、法规、规章的有关规定，并依据《非煤矿山外包工程安全管理暂行办法》（国家安全监管总局令第62号，以下简称《办法》）的要求，甲乙双方遵循平等、自愿、公平和诚实信用的原则，就工程安全生产管理事项协商一致，订立本协议。</w:t>
      </w:r>
    </w:p>
    <w:p w14:paraId="11D40DD0">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第一条 工程概况</w:t>
      </w:r>
    </w:p>
    <w:p w14:paraId="0F22A6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（一）工程名称：</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3F58287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（二）工程地点与范围：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3414543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（三）工程承包主要内容：</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0AEF3EC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（四）工程工期自</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月</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日至</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年</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月</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日。</w:t>
      </w:r>
    </w:p>
    <w:p w14:paraId="17477996">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第二条 承诺</w:t>
      </w:r>
    </w:p>
    <w:p w14:paraId="2C10328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（一）甲方承诺。</w:t>
      </w:r>
    </w:p>
    <w:p w14:paraId="04703AD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1.严格遵守《安全生产法》、《矿山安全法》和《办法》及其他有关法律、法规、规章和标准的有关规定。</w:t>
      </w:r>
    </w:p>
    <w:p w14:paraId="608F22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2.严格遵守工程设计，不违章指挥或者强令乙方及其从业人员冒险作业。</w:t>
      </w:r>
    </w:p>
    <w:p w14:paraId="6E38D4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3.严格遵守甲乙双方签订的本协议。</w:t>
      </w:r>
    </w:p>
    <w:p w14:paraId="15419F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4.对工程安全生产负主体责任。</w:t>
      </w:r>
    </w:p>
    <w:p w14:paraId="11A0D13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（二）乙方承诺。</w:t>
      </w:r>
    </w:p>
    <w:p w14:paraId="6186F27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1.严格遵守《安全生产法》、《矿山安全法》和《办法》及其他有关法律、法规、规章和标准的有关规定。</w:t>
      </w:r>
    </w:p>
    <w:p w14:paraId="11107DA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2.严格遵守工程设计，按工程设计、工程施工方案组织施工。</w:t>
      </w:r>
    </w:p>
    <w:p w14:paraId="40B1088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3.严格遵守甲乙双方签订的本协议。</w:t>
      </w:r>
    </w:p>
    <w:p w14:paraId="62A1A20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4.保证提供给甲方的非煤矿山安全生产许可证、施工资质证书（包括主管部门颁发的安全生产许可证等）、从业人员信息等相关资料真实可靠，并对因上述资料不真实可靠造成的后果负法律责任。</w:t>
      </w:r>
    </w:p>
    <w:p w14:paraId="6DD19EB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5.对工程施工现场的安全生产负责。</w:t>
      </w:r>
    </w:p>
    <w:p w14:paraId="1DC39B58">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第三条 安全投入和资金保障</w:t>
      </w:r>
    </w:p>
    <w:p w14:paraId="742B3A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（一）甲方是工程安全投入的责任主体，负责完善和改进工程安全生产条件的资金保障，并及时、足额向乙方提供保障施工作业所需的安全投入。</w:t>
      </w:r>
    </w:p>
    <w:p w14:paraId="3982C258">
      <w:pPr>
        <w:widowControl w:val="0"/>
        <w:adjustRightInd w:val="0"/>
        <w:snapToGrid w:val="0"/>
        <w:spacing w:line="300" w:lineRule="auto"/>
        <w:ind w:firstLine="200"/>
        <w:rPr>
          <w:rFonts w:cs="宋体"/>
          <w:snapToGrid w:val="0"/>
          <w:color w:val="auto"/>
          <w:kern w:val="0"/>
          <w:sz w:val="24"/>
          <w:szCs w:val="21"/>
          <w:highlight w:val="none"/>
        </w:rPr>
      </w:pPr>
      <w:r>
        <w:rPr>
          <w:rFonts w:hint="eastAsia" w:cs="宋体"/>
          <w:snapToGrid w:val="0"/>
          <w:color w:val="auto"/>
          <w:kern w:val="0"/>
          <w:sz w:val="24"/>
          <w:szCs w:val="21"/>
          <w:highlight w:val="none"/>
        </w:rPr>
        <w:t>（二）甲方负责支付给乙方的工程款或者工程单价中含有的安全生产费用，其内容包括以下项目：</w:t>
      </w:r>
    </w:p>
    <w:p w14:paraId="686679E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完善、改造和维护安全防护设施设备（不含“三同时”要求初期投入的安全设施）和重大事故隐患治理支出，包括矿山综合防尘、防灭火、防治水、危险气体监测、支护及防治边帮滑坡、机电设备、供配电系统、运输系统等完善、改造和维护支出以及实施露天矿边坡治理等支出；</w:t>
      </w:r>
    </w:p>
    <w:p w14:paraId="3E5FFE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完善非煤矿山监测监控、人员、设备位置监测、通信联络等安全避险设施设备支出，应急救援技术装备、设施配置及维护保养支出，事故逃生和紧急避难设施设备的配置和应急救援队伍建设、应急预案制修订与应急演练支出；</w:t>
      </w:r>
    </w:p>
    <w:p w14:paraId="03C443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3.开展重大危险源检测、评估、监控支出，安全风险分级管控和事故隐患排查整改支出，机械化、智能化建设，安全生产信息化建设、运维和网络安全支出；</w:t>
      </w:r>
    </w:p>
    <w:p w14:paraId="1B6B2BE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4.安全生产检查、评估评价（不含新建、改建、扩建项目安全评价）、咨询、标准化建设等应由乙方承担的支出；</w:t>
      </w:r>
    </w:p>
    <w:p w14:paraId="797F26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5.配备和更新现场作业人员安全防护用品支出；</w:t>
      </w:r>
    </w:p>
    <w:p w14:paraId="1E077FF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6.安全生产宣传、教育、培训和从业人员发现并报告事故隐患的奖励支出；</w:t>
      </w:r>
    </w:p>
    <w:p w14:paraId="20C6033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7.安全生产适用的新技术、新标准、新工艺、智能化、机器人等新装备的推广应用支出；</w:t>
      </w:r>
    </w:p>
    <w:p w14:paraId="6776744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8.安全设施及特种设备检测检验、检定校准支出；</w:t>
      </w:r>
    </w:p>
    <w:p w14:paraId="4657A81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9.安全生产责任保险支出；</w:t>
      </w:r>
    </w:p>
    <w:p w14:paraId="2BD7CA6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10.与安全生产直接相关的其他支出：</w:t>
      </w:r>
    </w:p>
    <w:p w14:paraId="107CA1A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甲方应当明确其金额或者比例为：基本建设期建以建筑安装工程造价为依据，于月末按工程进度计算提取企业安全生产费用。</w:t>
      </w:r>
      <w:r>
        <w:rPr>
          <w:rFonts w:hint="eastAsia" w:cs="宋体"/>
          <w:snapToGrid w:val="0"/>
          <w:color w:val="auto"/>
          <w:kern w:val="0"/>
          <w:sz w:val="24"/>
          <w:szCs w:val="21"/>
          <w:highlight w:val="none"/>
        </w:rPr>
        <w:t>提取标准</w:t>
      </w:r>
      <w:r>
        <w:rPr>
          <w:rFonts w:hint="eastAsia" w:cs="宋体"/>
          <w:snapToGrid w:val="0"/>
          <w:color w:val="auto"/>
          <w:kern w:val="0"/>
          <w:sz w:val="24"/>
          <w:szCs w:val="21"/>
          <w:highlight w:val="none"/>
          <w:u w:val="single"/>
        </w:rPr>
        <w:t>3.5%</w:t>
      </w:r>
      <w:r>
        <w:rPr>
          <w:rFonts w:hint="eastAsia" w:cs="宋体"/>
          <w:snapToGrid w:val="0"/>
          <w:color w:val="auto"/>
          <w:kern w:val="0"/>
          <w:sz w:val="24"/>
          <w:szCs w:val="21"/>
          <w:highlight w:val="none"/>
        </w:rPr>
        <w:t>；转入矿山正常采掘及生产加工期按照采掘原矿3元/吨计提，其中归属乙方承包范围使用的安全生产费用</w:t>
      </w:r>
      <w:r>
        <w:rPr>
          <w:rFonts w:hint="eastAsia" w:cs="宋体"/>
          <w:snapToGrid w:val="0"/>
          <w:color w:val="auto"/>
          <w:kern w:val="0"/>
          <w:sz w:val="24"/>
          <w:szCs w:val="21"/>
          <w:highlight w:val="none"/>
          <w:u w:val="single"/>
        </w:rPr>
        <w:t xml:space="preserve"> 1.5 </w:t>
      </w:r>
      <w:r>
        <w:rPr>
          <w:rFonts w:hint="eastAsia" w:cs="宋体"/>
          <w:snapToGrid w:val="0"/>
          <w:color w:val="auto"/>
          <w:kern w:val="0"/>
          <w:sz w:val="24"/>
          <w:szCs w:val="21"/>
          <w:highlight w:val="none"/>
        </w:rPr>
        <w:t>元/吨。</w:t>
      </w:r>
    </w:p>
    <w:p w14:paraId="1852E53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甲方应当监督乙方将各项安全投入落实到位。</w:t>
      </w:r>
    </w:p>
    <w:p w14:paraId="3F2FCB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（三）乙方应当按照相关法律、法规、规章和标准的有关规定和本协议，保证将甲方支付的安全生产费用落实到位、专款专用，不断完善和改进工程安全生产条件。</w:t>
      </w:r>
    </w:p>
    <w:p w14:paraId="27A609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（四）乙方应当承诺为从业人员的按时缴纳工伤保险等费用，并为矿山开采系统人员缴纳安全生产责任险，其金额为：</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27D7FE5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（五）本协议未明确的安全投入，但依据相关法律、法规、规章和标准要求必须投入的，或因地质条件、作业环境等变化产生的安全生产费用，需要由乙方完成投入的，其费用由甲方另行支付给乙方。</w:t>
      </w:r>
    </w:p>
    <w:p w14:paraId="24458515">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第四条 安全设施和施工条件</w:t>
      </w:r>
    </w:p>
    <w:p w14:paraId="1A0F4DE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（一）甲方应当保证与外包工程有关的生产系统安全设施正常运行，保证外包工程具备法律、法规、规章和标准规定的安全生产条件。</w:t>
      </w:r>
    </w:p>
    <w:p w14:paraId="582D21A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（二）甲方应当为乙方提供安全生产所必要的施工作业条件。除不可抗力外，甲方未向乙方提供安全生产所必要的施工作业条件，由此给乙方造成有关生产进度、经济等方面损失的，由甲方承担责任。</w:t>
      </w:r>
    </w:p>
    <w:p w14:paraId="567142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14:paraId="521CE70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甲方提供乙方图纸资料的日期（包括图纸的绘制时间）、名称和数量清单，技术交底的时间、负责人、参加人员等记录资料，应当在本协议的附件1（《技术交底记录文件》）中予以明确。</w:t>
      </w:r>
    </w:p>
    <w:p w14:paraId="39D8AE1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（四）乙方应当制定工程施工方案。</w:t>
      </w:r>
    </w:p>
    <w:p w14:paraId="489CB14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（五）乙方应当保证工程作业范围内施工的安全生产条件，按照甲方的统一要求，及时维护、保养工程作业范围内施工的设备设施。</w:t>
      </w:r>
    </w:p>
    <w:p w14:paraId="3E49DEB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（六）乙方应当建立健全本单位安全管理的规章制度和安全操作规程，并提供给甲方备案。</w:t>
      </w:r>
    </w:p>
    <w:p w14:paraId="32F1D7D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（七）乙方应当明确其工程施工人员和设备设施的情况，具体内容如下：</w:t>
      </w:r>
    </w:p>
    <w:p w14:paraId="02F31A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1.安全管理人员、工程技术人员和特种作业人员的姓名、性别、年龄、文化程度、所在岗位和资格证书。</w:t>
      </w:r>
    </w:p>
    <w:p w14:paraId="4356B71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2.其他从业人员的姓名、身份证号、性别、年龄、文化程度。</w:t>
      </w:r>
    </w:p>
    <w:p w14:paraId="70BB61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3.主要设备设施的名称、型号规格、数量、安装位置等情况。</w:t>
      </w:r>
    </w:p>
    <w:p w14:paraId="5FA5A6E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乙方应当将上述情况在本协议附件（《有关人员和设备设施证明文件》）中列明。</w:t>
      </w:r>
    </w:p>
    <w:p w14:paraId="710113D4">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第五条 隐患排查与治理</w:t>
      </w:r>
    </w:p>
    <w:p w14:paraId="5162AE6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（一）甲方应当建立健全事故隐患排查治理和建档、监控等项制度，定期对隐患排查治理情况进行统计分析与报告。</w:t>
      </w:r>
    </w:p>
    <w:p w14:paraId="51C90E4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（二）乙方应当定期排查并及时治理工程作业范围内的事故隐患，建立台账，做好相关记录，并及时向甲方报告。</w:t>
      </w:r>
    </w:p>
    <w:p w14:paraId="29351BA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（三）乙方在工程作业范围内发现重大事故隐患后不能立即治理的，应当采取必要的防范措施，并及时书面报告甲方协商解决，消除事故隐患。</w:t>
      </w:r>
    </w:p>
    <w:p w14:paraId="75736E9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第六条 安全教育与培训</w:t>
      </w:r>
    </w:p>
    <w:p w14:paraId="6865D61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（一）甲方应当对乙方的安全教育与培训工作进行指导。</w:t>
      </w:r>
    </w:p>
    <w:p w14:paraId="25D4192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（二）甲方应当监督检查乙方开展员工安全教育培训工作情况。</w:t>
      </w:r>
    </w:p>
    <w:p w14:paraId="54D51E3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（三）乙方应当制定本单位的安全教育培训工作计划。</w:t>
      </w:r>
    </w:p>
    <w:p w14:paraId="0EF42CC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（四）乙方应当按照相关法律、法规、规章和标准对本单位从业人员进行安全教育培训，保证从业人员掌握必需的安全生产知识、操作技能和应急逃生知识。</w:t>
      </w:r>
    </w:p>
    <w:p w14:paraId="48665BC8">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第七条 事故应急救援</w:t>
      </w:r>
    </w:p>
    <w:p w14:paraId="19DBD5C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（一）应急准备。</w:t>
      </w:r>
    </w:p>
    <w:p w14:paraId="21A62AF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1.甲方应当按照国家有关规定建立应急救援组织或者与其他应急救援组织签订救援协议，编制本单位事故应急预案，并定期组织演练。</w:t>
      </w:r>
    </w:p>
    <w:p w14:paraId="7ECBD5A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2.甲方配置的应急救援设备设施和器材包括：</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6CCFFB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3.乙方应当编制与工程相适应的应急预案或者应急处置预案，并定期组织演练或者参加甲方组织的演练。</w:t>
      </w:r>
    </w:p>
    <w:p w14:paraId="01EE42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4.乙方配置的应急救援设备设施和器材包括：</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w:t>
      </w:r>
    </w:p>
    <w:p w14:paraId="2C86364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（二）事故报告。</w:t>
      </w:r>
    </w:p>
    <w:p w14:paraId="33DC056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1.工程施工发生事故后，事故现场有关人员应当立即向乙方项目部负责人报告；乙方项目部负责人接到报告后，应当及时向甲乙双方的负责人报告。</w:t>
      </w:r>
    </w:p>
    <w:p w14:paraId="1AC8FEB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2.工程施工发生事故后，甲方负责人应当按照《生产安全事故报告和调查处理条例》（国务院令第493号）等法律、法规、规章的规定报告。</w:t>
      </w:r>
    </w:p>
    <w:p w14:paraId="2BE07D5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（三）事故救援。</w:t>
      </w:r>
    </w:p>
    <w:p w14:paraId="5E35115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1.工程施工发生事故后，乙方应当按照专项应急预案或者应急处置方案立即开展事故救援。</w:t>
      </w:r>
    </w:p>
    <w:p w14:paraId="34E689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2.工程施工发生事故后，甲方应当按照应急预案要求，立即开展应急救援，负责指挥、协调事故救援工作，充分调动甲乙双方的应急资源。</w:t>
      </w:r>
    </w:p>
    <w:p w14:paraId="0B2760A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（四）事故处理。</w:t>
      </w:r>
    </w:p>
    <w:p w14:paraId="00B399D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1.事故调查结案后，甲乙双方根据事故调查处理结论承担各自相应责任。</w:t>
      </w:r>
    </w:p>
    <w:p w14:paraId="0521CFA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2.甲方应当承担的经济处罚不得转嫁或者变相转嫁给乙方。</w:t>
      </w:r>
    </w:p>
    <w:p w14:paraId="7D273D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3.根据事故调查处理结论，甲乙双方相关人员承担各自相应责任。</w:t>
      </w:r>
    </w:p>
    <w:p w14:paraId="6569F102">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第八条 安全检查与考评</w:t>
      </w:r>
    </w:p>
    <w:p w14:paraId="2C4FBA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（一）甲方应当加强工程监督检查工作，发现乙方违反法律、法规、规章和标准的行为，有权制止。</w:t>
      </w:r>
    </w:p>
    <w:p w14:paraId="09B6C73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（二）甲方应当建立健全工程施工的安全生产考核机制，制定考核办法，对乙方每年至少进行一次安全生产考核和奖惩。</w:t>
      </w:r>
    </w:p>
    <w:p w14:paraId="4404787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（三）乙方负责工程范围内的作业安全管理，制定施工方案，加强工程作业现场的日常安全检查，落实各项规章制度和安全操作规程。</w:t>
      </w:r>
    </w:p>
    <w:p w14:paraId="7A8D787D">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14:paraId="205453C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（五）乙方应当接受甲方的监督管理，遵守甲方的有关规章制度的要求。同时，乙方有权拒绝甲方违章指挥和强令冒险作业。</w:t>
      </w:r>
    </w:p>
    <w:p w14:paraId="5E1E3F8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（六）乙方应当向甲方提供安全生产考核所需资料，接受甲方的考核与奖惩。</w:t>
      </w:r>
    </w:p>
    <w:p w14:paraId="4977CFCC">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第九条 违约责任</w:t>
      </w:r>
    </w:p>
    <w:p w14:paraId="146B8FF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（一）甲乙双方遵守《办法》及其他法律、法规、规章规定的义务，并享有相应的权利。</w:t>
      </w:r>
    </w:p>
    <w:p w14:paraId="7D7EBBD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（二）甲方违约。</w:t>
      </w:r>
    </w:p>
    <w:p w14:paraId="01F806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当发生下列情况之一的，甲方承担违约责任，依法赔偿给乙方造成的经济损失；因违约造成生产安全事故的，按照相关法律、法规、规章的规定，甲方依法承担相应责任：</w:t>
      </w:r>
    </w:p>
    <w:p w14:paraId="231F85D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1.甲方擅自压缩工程合同约定的工期，违章指挥或者强令乙方及其从业人员冒险作业的；</w:t>
      </w:r>
    </w:p>
    <w:p w14:paraId="0B5F762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2.甲方未提供工程施工作业所必要的图纸资料，未向乙方进行技术交底的；</w:t>
      </w:r>
    </w:p>
    <w:p w14:paraId="6844CB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3.甲方不能提供合法的外包工程项目的；</w:t>
      </w:r>
    </w:p>
    <w:p w14:paraId="3242A79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4.甲方不能保证与外包工程有关的生产系统安全设施正常运行的；</w:t>
      </w:r>
    </w:p>
    <w:p w14:paraId="4223EF8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5.甲方违反工程设计安排乙方施工作业的；</w:t>
      </w:r>
    </w:p>
    <w:p w14:paraId="77A8ACD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6.甲方未按照合同或者协议约定支付应当由甲方承担的工程安全生产费用的；</w:t>
      </w:r>
    </w:p>
    <w:p w14:paraId="1CFB80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7.发生事故后，甲方未及时组织开展应急救援工作的；</w:t>
      </w:r>
    </w:p>
    <w:p w14:paraId="778485A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8.甲方不履行协议义务或不按协议约定履行义务的其他情况。</w:t>
      </w:r>
    </w:p>
    <w:p w14:paraId="320732F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（三）乙方违约。</w:t>
      </w:r>
    </w:p>
    <w:p w14:paraId="593B71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当发生下列情况之一的，乙方承担违约责任，依法赔偿给甲方造成的损失；因违约造成生产安全事故的，按照相关法律、法规、规章的规定，乙方依法承担相应责任：</w:t>
      </w:r>
    </w:p>
    <w:p w14:paraId="5879071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1.乙方未按照合同或者协议约定将甲方提供的安全生产费用落实到位、专款专用的；</w:t>
      </w:r>
    </w:p>
    <w:p w14:paraId="3612562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2.乙方不能保证与承揽工程规模相匹配的施工资质、技术人员、特种作业人员和设备设施的；</w:t>
      </w:r>
    </w:p>
    <w:p w14:paraId="787ECFC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3.乙方有关资质、证照已过期的，或者安排证件已过期的各类应持证人员上岗作业的；</w:t>
      </w:r>
    </w:p>
    <w:p w14:paraId="33F51F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4.乙方人员违章指挥或者违章作业的；</w:t>
      </w:r>
    </w:p>
    <w:p w14:paraId="5DD6372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5.乙方现场安全管理不到位的；</w:t>
      </w:r>
    </w:p>
    <w:p w14:paraId="7E0E1F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6.发生事故后，乙方未及时开展应急救援工作的；</w:t>
      </w:r>
    </w:p>
    <w:p w14:paraId="7EDA0B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7.乙方不履行协议义务或者未按协议约定履行义务的其他情况。</w:t>
      </w:r>
    </w:p>
    <w:p w14:paraId="0DFF820F">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第十条 补充条款</w:t>
      </w:r>
    </w:p>
    <w:p w14:paraId="1E2D3D9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甲乙双方在遵守有关法律、法规、规章和标准的前提下，结合工程施工实际，经协商一致后，可对以上条款内容进行补充但不得相悖，补充条款与本协议其他条款具有同等法律效力。</w:t>
      </w:r>
    </w:p>
    <w:p w14:paraId="489F750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（一）乙方必须建立、健全安全标准化管理体系、</w:t>
      </w:r>
      <w:r>
        <w:rPr>
          <w:rFonts w:hint="eastAsia" w:cs="宋体"/>
          <w:snapToGrid w:val="0"/>
          <w:color w:val="auto"/>
          <w:kern w:val="0"/>
          <w:sz w:val="24"/>
          <w:szCs w:val="21"/>
          <w:highlight w:val="none"/>
        </w:rPr>
        <w:t>安全生产双重预防机制、隐蔽致灾因素普查</w:t>
      </w:r>
      <w:r>
        <w:rPr>
          <w:rFonts w:hint="eastAsia" w:cs="宋体"/>
          <w:snapToGrid w:val="0"/>
          <w:color w:val="auto"/>
          <w:kern w:val="0"/>
          <w:sz w:val="24"/>
          <w:szCs w:val="21"/>
          <w:highlight w:val="none"/>
        </w:rPr>
        <w:t>，强化安全管理制度、</w:t>
      </w:r>
      <w:r>
        <w:rPr>
          <w:rFonts w:hint="eastAsia" w:cs="宋体"/>
          <w:snapToGrid w:val="0"/>
          <w:color w:val="auto"/>
          <w:kern w:val="0"/>
          <w:sz w:val="24"/>
          <w:szCs w:val="21"/>
          <w:highlight w:val="none"/>
        </w:rPr>
        <w:t>安全生产领导小组会议制度、安全教育培训制度、安全检查制度、安全费用使用制度、应急管理制度等各项管理制度的执行力度，</w:t>
      </w:r>
      <w:r>
        <w:rPr>
          <w:rFonts w:hint="eastAsia" w:cs="宋体"/>
          <w:snapToGrid w:val="0"/>
          <w:color w:val="auto"/>
          <w:kern w:val="0"/>
          <w:sz w:val="24"/>
          <w:szCs w:val="21"/>
          <w:highlight w:val="none"/>
        </w:rPr>
        <w:t>完善安全施工条件，确保安全施工。</w:t>
      </w:r>
    </w:p>
    <w:p w14:paraId="285A9F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甲方定期和不定期的对乙方的施工质量标准、施工工艺和施工场所、办公及生活场所的安全设施、承包工程的供电系统、防排水系统设备设施进行检查。甲方有权对检查中发现的安全隐患有权责令乙方整改、停工整顿。对于检查发现的安全隐患，乙方必须立即处理解决，不能立即处理解决的，要求乙方限期解决、并要落实到人。</w:t>
      </w:r>
    </w:p>
    <w:p w14:paraId="37ACD13E">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（三）乙方项目负责人每月带队对本项目至少进行一次安全检查，形成以重大事故排查治理为重点的检查报告，</w:t>
      </w:r>
      <w:r>
        <w:rPr>
          <w:rFonts w:hint="eastAsia" w:cs="宋体"/>
          <w:snapToGrid w:val="0"/>
          <w:color w:val="auto"/>
          <w:kern w:val="0"/>
          <w:sz w:val="24"/>
          <w:szCs w:val="21"/>
          <w:highlight w:val="none"/>
        </w:rPr>
        <w:t>对乙方施工现场存在的重大安全隐患</w:t>
      </w:r>
      <w:r>
        <w:rPr>
          <w:rFonts w:hint="eastAsia" w:cs="宋体"/>
          <w:snapToGrid w:val="0"/>
          <w:color w:val="auto"/>
          <w:kern w:val="0"/>
          <w:sz w:val="24"/>
          <w:szCs w:val="21"/>
          <w:highlight w:val="none"/>
        </w:rPr>
        <w:t>，甲方有权责令乙方立即停工整改，影响工期或造成损失以及因其受相关政府部门处罚等均由乙方负责。</w:t>
      </w:r>
    </w:p>
    <w:p w14:paraId="7BE41B1A">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（四）乙方必须建立、健全安全施工的自我监督检查管理系统，对施工现场及要害场所进行定期、不定期检查，</w:t>
      </w:r>
      <w:r>
        <w:rPr>
          <w:rFonts w:hint="eastAsia" w:cs="宋体"/>
          <w:snapToGrid w:val="0"/>
          <w:color w:val="auto"/>
          <w:kern w:val="0"/>
          <w:sz w:val="24"/>
          <w:szCs w:val="21"/>
          <w:highlight w:val="none"/>
        </w:rPr>
        <w:t>每个采区、加工车间、码头</w:t>
      </w:r>
      <w:r>
        <w:rPr>
          <w:rFonts w:hint="eastAsia" w:cs="宋体"/>
          <w:snapToGrid w:val="0"/>
          <w:color w:val="auto"/>
          <w:kern w:val="0"/>
          <w:sz w:val="24"/>
          <w:szCs w:val="21"/>
          <w:highlight w:val="none"/>
        </w:rPr>
        <w:t>必须配备一名专职安全员（须具备单位任命文件），且专职安全员必须由</w:t>
      </w:r>
      <w:r>
        <w:rPr>
          <w:rFonts w:hint="eastAsia" w:cs="宋体"/>
          <w:snapToGrid w:val="0"/>
          <w:color w:val="auto"/>
          <w:kern w:val="0"/>
          <w:sz w:val="24"/>
          <w:szCs w:val="21"/>
          <w:highlight w:val="none"/>
        </w:rPr>
        <w:t>应急管理部门</w:t>
      </w:r>
      <w:r>
        <w:rPr>
          <w:rFonts w:hint="eastAsia" w:cs="宋体"/>
          <w:snapToGrid w:val="0"/>
          <w:color w:val="auto"/>
          <w:kern w:val="0"/>
          <w:sz w:val="24"/>
          <w:szCs w:val="21"/>
          <w:highlight w:val="none"/>
        </w:rPr>
        <w:t>核发的安全管理资格证。专职安全管理人员，对现场进行各项安全检查和监督，并如实记录每天检查项目和情况。</w:t>
      </w:r>
    </w:p>
    <w:p w14:paraId="78F09DA4">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五）乙方必须建立双重预防机制体系建设机制，不断提高项目管理自查自纠质量，加强矿山安全生产数字化平台管理维护能力，常态化开展风险辨识及隐患排查治理分层分级管控，严格采场边坡管理、采掘施工作业、运输提升、爆破作业、动火作业、检维修等重点岗位、关键环节的安全管理，并及时形成有效的台账记录、监控视频记录。</w:t>
      </w:r>
    </w:p>
    <w:p w14:paraId="41DC9DA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（六）甲方在检查过程中发现的安全生产方面的隐患要及时整改，不能及时整改处理的，落实责任人，乙方必须按甲方下达的整改通知书限期整改，若不能按期完成整改，必须停止生产。</w:t>
      </w:r>
    </w:p>
    <w:p w14:paraId="4799F4D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（七）在作业场所不允许的情况下（暴雨、大雾、暴雪等极端恶劣气候的影响），乙方必须立即停工并报备甲方，若违反规定造成损失全部由乙方承担。</w:t>
      </w:r>
    </w:p>
    <w:p w14:paraId="7853247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（八）在矿山生产作业中</w:t>
      </w:r>
      <w:r>
        <w:rPr>
          <w:rFonts w:hint="eastAsia" w:cs="宋体"/>
          <w:snapToGrid w:val="0"/>
          <w:color w:val="auto"/>
          <w:kern w:val="0"/>
          <w:sz w:val="24"/>
          <w:szCs w:val="21"/>
          <w:highlight w:val="none"/>
        </w:rPr>
        <w:t>，做好山林防火工作</w:t>
      </w:r>
      <w:r>
        <w:rPr>
          <w:rFonts w:hint="eastAsia" w:cs="宋体"/>
          <w:snapToGrid w:val="0"/>
          <w:color w:val="auto"/>
          <w:kern w:val="0"/>
          <w:sz w:val="24"/>
          <w:szCs w:val="21"/>
          <w:highlight w:val="none"/>
        </w:rPr>
        <w:t>，若乙方管理不善造成森林火灾，一切损失由乙方承担，造成严重后果的，甲方将按照有关法律法规追究责任。</w:t>
      </w:r>
    </w:p>
    <w:p w14:paraId="28AAB7D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（九）在开采过程中乙方应当根据生产进度要求将表层腐殖土进行合理堆放或按甲方要求处置。</w:t>
      </w:r>
    </w:p>
    <w:p w14:paraId="385B2EA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（十）甲方制订的健康安全环保等方面的管理规定作为甲方的管理制度，与本协议一样具有法律效力。</w:t>
      </w:r>
    </w:p>
    <w:p w14:paraId="1D1AD448">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（十一）乙方必须在甲方规定的采掘施工坐标范围内作业，如擅自越界超期施工造成的一切安全事故、环保事件、林地土地违规占用罚款、行政处罚等全部由乙方承担责任。</w:t>
      </w:r>
    </w:p>
    <w:p w14:paraId="294E866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（十二）乙方必须做好本方矿山人员职业健康体检档案，并提交甲方备案。</w:t>
      </w:r>
    </w:p>
    <w:p w14:paraId="4487ED3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（十三）因乙方违反国家相关规定和未完成本协议所造成的安全管理、隐患整改、安全咨询、工程设计、事故处理等费用由乙方负责。</w:t>
      </w:r>
    </w:p>
    <w:p w14:paraId="2DA56813">
      <w:pPr>
        <w:pStyle w:val="20"/>
        <w:adjustRightInd w:val="0"/>
        <w:snapToGrid w:val="0"/>
        <w:spacing w:line="300" w:lineRule="auto"/>
        <w:ind w:firstLine="480" w:firstLineChars="200"/>
        <w:jc w:val="both"/>
        <w:rPr>
          <w:rFonts w:cs="宋体"/>
          <w:snapToGrid w:val="0"/>
          <w:color w:val="auto"/>
          <w:kern w:val="0"/>
          <w:sz w:val="24"/>
          <w:szCs w:val="21"/>
          <w:highlight w:val="none"/>
        </w:rPr>
      </w:pPr>
      <w:r>
        <w:rPr>
          <w:rFonts w:hint="eastAsia" w:cs="宋体"/>
          <w:snapToGrid w:val="0"/>
          <w:color w:val="auto"/>
          <w:kern w:val="0"/>
          <w:sz w:val="24"/>
          <w:szCs w:val="21"/>
          <w:highlight w:val="none"/>
        </w:rPr>
        <w:t>（十四）矿山责任区范围内的安全生产设施设备维护和维修由乙方负责，包括采场边坡、矿山运输道路、排水系统沟渠及设施设备</w:t>
      </w:r>
      <w:r>
        <w:rPr>
          <w:rFonts w:hint="eastAsia" w:cs="宋体"/>
          <w:snapToGrid w:val="0"/>
          <w:color w:val="auto"/>
          <w:kern w:val="0"/>
          <w:sz w:val="24"/>
          <w:szCs w:val="21"/>
          <w:highlight w:val="none"/>
        </w:rPr>
        <w:t>、消防灭火设备、</w:t>
      </w:r>
      <w:r>
        <w:rPr>
          <w:rFonts w:hint="eastAsia" w:cs="宋体"/>
          <w:snapToGrid w:val="0"/>
          <w:color w:val="auto"/>
          <w:kern w:val="0"/>
          <w:sz w:val="24"/>
          <w:szCs w:val="21"/>
          <w:highlight w:val="none"/>
        </w:rPr>
        <w:t>拦砂坝（挡土墙）、</w:t>
      </w:r>
      <w:r>
        <w:rPr>
          <w:rFonts w:hint="eastAsia" w:cs="宋体"/>
          <w:snapToGrid w:val="0"/>
          <w:color w:val="auto"/>
          <w:kern w:val="0"/>
          <w:sz w:val="24"/>
          <w:szCs w:val="21"/>
          <w:highlight w:val="none"/>
        </w:rPr>
        <w:t>数字化矿山</w:t>
      </w:r>
      <w:r>
        <w:rPr>
          <w:rFonts w:hint="eastAsia" w:cs="宋体"/>
          <w:snapToGrid w:val="0"/>
          <w:color w:val="auto"/>
          <w:kern w:val="0"/>
          <w:sz w:val="24"/>
          <w:szCs w:val="21"/>
          <w:highlight w:val="none"/>
        </w:rPr>
        <w:t>各类视频监控设备、安全标识牌等相关设施设备的维修和保养。</w:t>
      </w:r>
    </w:p>
    <w:p w14:paraId="3D9660B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（十五）乙方采场、加工区严格执行每天安全生产例会（班前班后会）制度，对会议内容如实记录存档。</w:t>
      </w:r>
    </w:p>
    <w:p w14:paraId="3F5400F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（十六）全员安全生产责任制考核</w:t>
      </w:r>
    </w:p>
    <w:p w14:paraId="73F7002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乙方必须建立健全全员安全生产目标责任制及重大安全隐患排查治理目标管理体系，细化安全生产方针、目标和安全承诺，甲方每年预留50万元安全生产费用，用于对乙方上年度安全生产目标责任书各项指标进项考核的奖惩兑现。</w:t>
      </w:r>
    </w:p>
    <w:p w14:paraId="4D0A299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（十七）违反安全管理制度的处罚细则：</w:t>
      </w:r>
    </w:p>
    <w:p w14:paraId="19E9A9F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1）乙方所有进场施工人员必须经三级安全教育培训并经安全教育考核合格后方可上岗作业，并报甲方备案。安全管理人员、特种作业必须持证上岗。每发现一名未经教育上岗作业或特种作业未持证上岗人员，罚款个人200元，单位1000元，均由乙方支付，甲方有权从</w:t>
      </w:r>
      <w:r>
        <w:rPr>
          <w:rFonts w:hint="eastAsia" w:cs="宋体"/>
          <w:snapToGrid w:val="0"/>
          <w:color w:val="auto"/>
          <w:kern w:val="0"/>
          <w:sz w:val="24"/>
          <w:szCs w:val="21"/>
          <w:highlight w:val="none"/>
        </w:rPr>
        <w:t>石料开采加工服务费</w:t>
      </w:r>
      <w:r>
        <w:rPr>
          <w:rFonts w:hint="eastAsia" w:cs="宋体"/>
          <w:snapToGrid w:val="0"/>
          <w:color w:val="auto"/>
          <w:kern w:val="0"/>
          <w:sz w:val="24"/>
          <w:szCs w:val="21"/>
          <w:highlight w:val="none"/>
        </w:rPr>
        <w:t>中扣除。造成严重后果的，乙方承担全部责任。</w:t>
      </w:r>
    </w:p>
    <w:p w14:paraId="342B5AF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（2）现场动用明火作业未经过批准，开具动火作业证的，每发现一次处罚个人1000元，单位5000元，均由乙方支付，甲方有权从</w:t>
      </w:r>
      <w:r>
        <w:rPr>
          <w:rFonts w:hint="eastAsia" w:cs="宋体"/>
          <w:snapToGrid w:val="0"/>
          <w:color w:val="auto"/>
          <w:kern w:val="0"/>
          <w:sz w:val="24"/>
          <w:szCs w:val="21"/>
          <w:highlight w:val="none"/>
        </w:rPr>
        <w:t>石料开采加工服务费</w:t>
      </w:r>
      <w:r>
        <w:rPr>
          <w:rFonts w:hint="eastAsia" w:cs="宋体"/>
          <w:snapToGrid w:val="0"/>
          <w:color w:val="auto"/>
          <w:kern w:val="0"/>
          <w:sz w:val="24"/>
          <w:szCs w:val="21"/>
          <w:highlight w:val="none"/>
        </w:rPr>
        <w:t>中扣除。其余七项作业许可处罚若在条款中未具体说明的均参照动火处罚条款造成严重后果影响的，乙方承担全部责任。</w:t>
      </w:r>
    </w:p>
    <w:p w14:paraId="7E4D08C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（3）现场所有用电设备使用安全由乙方负责，造成安全生产事故的，乙方承担全部责任。</w:t>
      </w:r>
    </w:p>
    <w:p w14:paraId="6C566E5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4）乙方所有人员进入施工现场必须佩戴好个人劳动防护用品，如进入现场必须戴好安全帽，接尘作业人员佩戴防尘口罩，2米以上高空作业必须挂好安全带，电工作业穿好绝缘鞋等，每发现一次违反情形罚款个人200元，单位1000元，由乙方支付，甲方有权从</w:t>
      </w:r>
      <w:r>
        <w:rPr>
          <w:rFonts w:hint="eastAsia" w:cs="宋体"/>
          <w:snapToGrid w:val="0"/>
          <w:color w:val="auto"/>
          <w:kern w:val="0"/>
          <w:sz w:val="24"/>
          <w:szCs w:val="21"/>
          <w:highlight w:val="none"/>
        </w:rPr>
        <w:t>石料开采加工服务费</w:t>
      </w:r>
      <w:r>
        <w:rPr>
          <w:rFonts w:hint="eastAsia" w:cs="宋体"/>
          <w:snapToGrid w:val="0"/>
          <w:color w:val="auto"/>
          <w:kern w:val="0"/>
          <w:sz w:val="24"/>
          <w:szCs w:val="21"/>
          <w:highlight w:val="none"/>
        </w:rPr>
        <w:t>中扣除，发生事故的，乙方承担全部责任。</w:t>
      </w:r>
    </w:p>
    <w:p w14:paraId="4AD4EF4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5）乙方使用小型机械设备、手持电动工具等必须符合国家相关标准，规定，定期检查、维修、保养。工人使用时必须按章操作，每发现一次不合格设备工具或违章操作使用，甲方有权没收，并罚单位1000元，由乙方支付，甲方有权从</w:t>
      </w:r>
      <w:r>
        <w:rPr>
          <w:rFonts w:hint="eastAsia" w:cs="宋体"/>
          <w:snapToGrid w:val="0"/>
          <w:color w:val="auto"/>
          <w:kern w:val="0"/>
          <w:sz w:val="24"/>
          <w:szCs w:val="21"/>
          <w:highlight w:val="none"/>
        </w:rPr>
        <w:t>石料开采加工服务费</w:t>
      </w:r>
      <w:r>
        <w:rPr>
          <w:rFonts w:hint="eastAsia" w:cs="宋体"/>
          <w:snapToGrid w:val="0"/>
          <w:color w:val="auto"/>
          <w:kern w:val="0"/>
          <w:sz w:val="24"/>
          <w:szCs w:val="21"/>
          <w:highlight w:val="none"/>
        </w:rPr>
        <w:t>中扣除，造成安全生产事故的，乙方承担全部责任。</w:t>
      </w:r>
    </w:p>
    <w:p w14:paraId="65EC5C9E">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（6）其他违反甲方安全管理制度的行为按甲方管理制度、办法进行处罚。</w:t>
      </w:r>
    </w:p>
    <w:p w14:paraId="12C7A494">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（7）因安全引发的行政管理部门处罚事项，按照主体合同条款执行。</w:t>
      </w:r>
    </w:p>
    <w:p w14:paraId="10017F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（8）本协议未尽事项，参照主体合同相关事项执行。</w:t>
      </w:r>
    </w:p>
    <w:p w14:paraId="2479EBFF">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第十一条 协议生效</w:t>
      </w:r>
    </w:p>
    <w:p w14:paraId="745F640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本协议有效期与双方所签订的《象山县爵溪街道小微企业集聚区建筑用石料（凝灰岩）矿开采、加工、配套设施建设及矿产品销售代理项目合同书》所约定的合同期限相同，同时生效同时终止、解除。</w:t>
      </w:r>
    </w:p>
    <w:p w14:paraId="0A8CA0C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系《象山县爵溪街道小微企业集聚区建筑用石料（凝灰岩）矿开采、加工、配套设施建设及矿产品销售代理项目合同书》的组成部分、本协议项下的各专项安全协议作为主体合同附件，与主体合同具有同等法律效力。</w:t>
      </w:r>
    </w:p>
    <w:p w14:paraId="5000DC7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本协议一式肆份，自甲方双方签字盖章之日起生效，甲、乙双方各持贰份，均具有同等法律效力。</w:t>
      </w:r>
    </w:p>
    <w:p w14:paraId="7153F3FB">
      <w:pPr>
        <w:widowControl w:val="0"/>
        <w:adjustRightInd w:val="0"/>
        <w:snapToGrid w:val="0"/>
        <w:rPr>
          <w:color w:val="auto"/>
          <w:highlight w:val="none"/>
        </w:rPr>
      </w:pPr>
    </w:p>
    <w:p w14:paraId="64FA6A59">
      <w:pPr>
        <w:widowControl w:val="0"/>
        <w:adjustRightInd w:val="0"/>
        <w:snapToGrid w:val="0"/>
        <w:rPr>
          <w:color w:val="auto"/>
          <w:highlight w:val="none"/>
        </w:rPr>
      </w:pPr>
    </w:p>
    <w:p w14:paraId="519CC9D9">
      <w:pPr>
        <w:widowControl w:val="0"/>
        <w:adjustRightInd w:val="0"/>
        <w:snapToGrid w:val="0"/>
        <w:rPr>
          <w:color w:val="auto"/>
          <w:highlight w:val="none"/>
        </w:rPr>
      </w:pPr>
    </w:p>
    <w:p w14:paraId="3F959E58">
      <w:pPr>
        <w:widowControl w:val="0"/>
        <w:adjustRightInd w:val="0"/>
        <w:snapToGrid w:val="0"/>
        <w:rPr>
          <w:color w:val="auto"/>
          <w:highlight w:val="none"/>
        </w:rPr>
      </w:pPr>
    </w:p>
    <w:p w14:paraId="17A8C11F">
      <w:pPr>
        <w:widowControl w:val="0"/>
        <w:adjustRightInd w:val="0"/>
        <w:snapToGrid w:val="0"/>
        <w:rPr>
          <w:color w:val="auto"/>
          <w:highlight w:val="none"/>
        </w:rPr>
      </w:pPr>
    </w:p>
    <w:p w14:paraId="2CAE1478">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甲方（盖章）：                             乙方（盖章）：</w:t>
      </w:r>
    </w:p>
    <w:p w14:paraId="0DB9180D">
      <w:pPr>
        <w:widowControl w:val="0"/>
        <w:adjustRightInd w:val="0"/>
        <w:snapToGrid w:val="0"/>
        <w:rPr>
          <w:color w:val="auto"/>
          <w:highlight w:val="none"/>
        </w:rPr>
      </w:pPr>
    </w:p>
    <w:p w14:paraId="6F05EE1C">
      <w:pPr>
        <w:widowControl w:val="0"/>
        <w:adjustRightInd w:val="0"/>
        <w:snapToGrid w:val="0"/>
        <w:rPr>
          <w:color w:val="auto"/>
          <w:highlight w:val="none"/>
        </w:rPr>
      </w:pPr>
    </w:p>
    <w:p w14:paraId="682F6EDA">
      <w:pPr>
        <w:widowControl w:val="0"/>
        <w:adjustRightInd w:val="0"/>
        <w:snapToGrid w:val="0"/>
        <w:rPr>
          <w:color w:val="auto"/>
          <w:highlight w:val="none"/>
        </w:rPr>
      </w:pPr>
    </w:p>
    <w:p w14:paraId="0C32E21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住所：                                     住所：</w:t>
      </w:r>
    </w:p>
    <w:p w14:paraId="63BD9E4A">
      <w:pPr>
        <w:widowControl w:val="0"/>
        <w:adjustRightInd w:val="0"/>
        <w:snapToGrid w:val="0"/>
        <w:rPr>
          <w:color w:val="auto"/>
          <w:highlight w:val="none"/>
        </w:rPr>
      </w:pPr>
    </w:p>
    <w:p w14:paraId="68A7A2DE">
      <w:pPr>
        <w:widowControl w:val="0"/>
        <w:adjustRightInd w:val="0"/>
        <w:snapToGrid w:val="0"/>
        <w:rPr>
          <w:color w:val="auto"/>
          <w:highlight w:val="none"/>
        </w:rPr>
      </w:pPr>
    </w:p>
    <w:p w14:paraId="1758AB6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企业主要负责人（签字）：                   企业主要负责人（签字）：</w:t>
      </w:r>
    </w:p>
    <w:p w14:paraId="3FB585B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或者委托代理人（签字）：                   或者委托代理人（签字）：</w:t>
      </w:r>
    </w:p>
    <w:p w14:paraId="170B73EB">
      <w:pPr>
        <w:widowControl w:val="0"/>
        <w:adjustRightInd w:val="0"/>
        <w:snapToGrid w:val="0"/>
        <w:rPr>
          <w:color w:val="auto"/>
          <w:highlight w:val="none"/>
        </w:rPr>
      </w:pPr>
    </w:p>
    <w:p w14:paraId="31D850E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联系电话：                                 联系电话：</w:t>
      </w:r>
    </w:p>
    <w:p w14:paraId="631598DC">
      <w:pPr>
        <w:widowControl w:val="0"/>
        <w:adjustRightInd w:val="0"/>
        <w:snapToGrid w:val="0"/>
        <w:rPr>
          <w:color w:val="auto"/>
          <w:highlight w:val="none"/>
        </w:rPr>
      </w:pPr>
    </w:p>
    <w:p w14:paraId="4B4E5A58">
      <w:pPr>
        <w:widowControl w:val="0"/>
        <w:adjustRightInd w:val="0"/>
        <w:snapToGrid w:val="0"/>
        <w:spacing w:line="300" w:lineRule="auto"/>
        <w:ind w:firstLine="600" w:firstLineChars="250"/>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4C185E0A">
      <w:pPr>
        <w:adjustRightInd w:val="0"/>
        <w:snapToGrid w:val="0"/>
        <w:spacing w:line="300" w:lineRule="auto"/>
        <w:rPr>
          <w:rFonts w:hint="eastAsia" w:cs="宋体"/>
          <w:b/>
          <w:bCs/>
          <w:snapToGrid w:val="0"/>
          <w:color w:val="auto"/>
          <w:sz w:val="24"/>
          <w:szCs w:val="21"/>
          <w:highlight w:val="none"/>
        </w:rPr>
      </w:pPr>
    </w:p>
    <w:p w14:paraId="390CEEEE">
      <w:pPr>
        <w:adjustRightInd w:val="0"/>
        <w:snapToGrid w:val="0"/>
        <w:spacing w:line="300" w:lineRule="auto"/>
        <w:rPr>
          <w:rFonts w:hint="eastAsia" w:cs="宋体"/>
          <w:b/>
          <w:bCs/>
          <w:snapToGrid w:val="0"/>
          <w:color w:val="auto"/>
          <w:sz w:val="24"/>
          <w:szCs w:val="21"/>
          <w:highlight w:val="none"/>
        </w:rPr>
      </w:pPr>
    </w:p>
    <w:p w14:paraId="4D679313">
      <w:pPr>
        <w:adjustRightInd w:val="0"/>
        <w:snapToGrid w:val="0"/>
        <w:spacing w:line="300" w:lineRule="auto"/>
        <w:rPr>
          <w:rFonts w:hint="eastAsia" w:cs="宋体"/>
          <w:b/>
          <w:bCs/>
          <w:snapToGrid w:val="0"/>
          <w:color w:val="auto"/>
          <w:sz w:val="24"/>
          <w:szCs w:val="21"/>
          <w:highlight w:val="none"/>
        </w:rPr>
      </w:pPr>
    </w:p>
    <w:p w14:paraId="1372BF75">
      <w:pPr>
        <w:adjustRightInd w:val="0"/>
        <w:snapToGrid w:val="0"/>
        <w:spacing w:line="300" w:lineRule="auto"/>
        <w:rPr>
          <w:rFonts w:hint="eastAsia" w:cs="宋体"/>
          <w:b/>
          <w:bCs/>
          <w:snapToGrid w:val="0"/>
          <w:color w:val="auto"/>
          <w:sz w:val="24"/>
          <w:szCs w:val="21"/>
          <w:highlight w:val="none"/>
        </w:rPr>
      </w:pPr>
    </w:p>
    <w:p w14:paraId="370E80A4">
      <w:pPr>
        <w:adjustRightInd w:val="0"/>
        <w:snapToGrid w:val="0"/>
        <w:spacing w:line="300" w:lineRule="auto"/>
        <w:rPr>
          <w:rFonts w:hint="eastAsia" w:cs="宋体"/>
          <w:b/>
          <w:bCs/>
          <w:snapToGrid w:val="0"/>
          <w:color w:val="auto"/>
          <w:sz w:val="24"/>
          <w:szCs w:val="21"/>
          <w:highlight w:val="none"/>
        </w:rPr>
      </w:pPr>
    </w:p>
    <w:p w14:paraId="0DE4CFA9">
      <w:pPr>
        <w:adjustRightInd w:val="0"/>
        <w:snapToGrid w:val="0"/>
        <w:spacing w:line="300" w:lineRule="auto"/>
        <w:rPr>
          <w:rFonts w:hint="eastAsia" w:cs="宋体"/>
          <w:b/>
          <w:bCs/>
          <w:snapToGrid w:val="0"/>
          <w:color w:val="auto"/>
          <w:sz w:val="24"/>
          <w:szCs w:val="21"/>
          <w:highlight w:val="none"/>
        </w:rPr>
      </w:pPr>
    </w:p>
    <w:p w14:paraId="34E2BA43">
      <w:pPr>
        <w:adjustRightInd w:val="0"/>
        <w:snapToGrid w:val="0"/>
        <w:spacing w:line="300" w:lineRule="auto"/>
        <w:rPr>
          <w:rFonts w:hint="eastAsia" w:cs="宋体"/>
          <w:b/>
          <w:bCs/>
          <w:snapToGrid w:val="0"/>
          <w:color w:val="auto"/>
          <w:sz w:val="24"/>
          <w:szCs w:val="21"/>
          <w:highlight w:val="none"/>
        </w:rPr>
      </w:pPr>
    </w:p>
    <w:p w14:paraId="4BC16182">
      <w:pPr>
        <w:adjustRightInd w:val="0"/>
        <w:snapToGrid w:val="0"/>
        <w:spacing w:line="300" w:lineRule="auto"/>
        <w:rPr>
          <w:rFonts w:hint="eastAsia" w:cs="宋体"/>
          <w:b/>
          <w:bCs/>
          <w:snapToGrid w:val="0"/>
          <w:color w:val="auto"/>
          <w:sz w:val="24"/>
          <w:szCs w:val="21"/>
          <w:highlight w:val="none"/>
        </w:rPr>
      </w:pPr>
    </w:p>
    <w:p w14:paraId="18331A81">
      <w:pPr>
        <w:adjustRightInd w:val="0"/>
        <w:snapToGrid w:val="0"/>
        <w:spacing w:line="300" w:lineRule="auto"/>
        <w:rPr>
          <w:rFonts w:hint="eastAsia" w:cs="宋体"/>
          <w:b/>
          <w:bCs/>
          <w:snapToGrid w:val="0"/>
          <w:color w:val="auto"/>
          <w:sz w:val="24"/>
          <w:szCs w:val="21"/>
          <w:highlight w:val="none"/>
        </w:rPr>
      </w:pPr>
    </w:p>
    <w:p w14:paraId="622DADEA">
      <w:pPr>
        <w:adjustRightInd w:val="0"/>
        <w:snapToGrid w:val="0"/>
        <w:spacing w:line="300" w:lineRule="auto"/>
        <w:rPr>
          <w:rFonts w:hint="eastAsia" w:cs="宋体"/>
          <w:b/>
          <w:bCs/>
          <w:snapToGrid w:val="0"/>
          <w:color w:val="auto"/>
          <w:sz w:val="24"/>
          <w:szCs w:val="21"/>
          <w:highlight w:val="none"/>
        </w:rPr>
      </w:pPr>
    </w:p>
    <w:p w14:paraId="15B48876">
      <w:pPr>
        <w:adjustRightInd w:val="0"/>
        <w:snapToGrid w:val="0"/>
        <w:spacing w:line="300" w:lineRule="auto"/>
        <w:rPr>
          <w:rFonts w:hint="eastAsia" w:cs="宋体"/>
          <w:b/>
          <w:bCs/>
          <w:snapToGrid w:val="0"/>
          <w:color w:val="auto"/>
          <w:sz w:val="24"/>
          <w:szCs w:val="21"/>
          <w:highlight w:val="none"/>
        </w:rPr>
      </w:pPr>
    </w:p>
    <w:p w14:paraId="4EE2B69C">
      <w:pPr>
        <w:adjustRightInd w:val="0"/>
        <w:snapToGrid w:val="0"/>
        <w:spacing w:line="300" w:lineRule="auto"/>
        <w:rPr>
          <w:rFonts w:hint="eastAsia" w:cs="宋体"/>
          <w:b/>
          <w:bCs/>
          <w:snapToGrid w:val="0"/>
          <w:color w:val="auto"/>
          <w:sz w:val="24"/>
          <w:szCs w:val="21"/>
          <w:highlight w:val="none"/>
        </w:rPr>
      </w:pPr>
    </w:p>
    <w:p w14:paraId="4463A9F3">
      <w:pPr>
        <w:adjustRightInd w:val="0"/>
        <w:snapToGrid w:val="0"/>
        <w:spacing w:line="300" w:lineRule="auto"/>
        <w:rPr>
          <w:rFonts w:hint="eastAsia" w:cs="宋体"/>
          <w:b/>
          <w:bCs/>
          <w:snapToGrid w:val="0"/>
          <w:color w:val="auto"/>
          <w:sz w:val="24"/>
          <w:szCs w:val="21"/>
          <w:highlight w:val="none"/>
        </w:rPr>
      </w:pPr>
    </w:p>
    <w:p w14:paraId="3AC0D1E6">
      <w:pPr>
        <w:adjustRightInd w:val="0"/>
        <w:snapToGrid w:val="0"/>
        <w:spacing w:line="300" w:lineRule="auto"/>
        <w:rPr>
          <w:rFonts w:hint="eastAsia" w:cs="宋体"/>
          <w:b/>
          <w:bCs/>
          <w:snapToGrid w:val="0"/>
          <w:color w:val="auto"/>
          <w:sz w:val="24"/>
          <w:szCs w:val="21"/>
          <w:highlight w:val="none"/>
        </w:rPr>
      </w:pPr>
    </w:p>
    <w:p w14:paraId="1A4102CA">
      <w:pPr>
        <w:adjustRightInd w:val="0"/>
        <w:snapToGrid w:val="0"/>
        <w:spacing w:line="300" w:lineRule="auto"/>
        <w:rPr>
          <w:rFonts w:cs="宋体"/>
          <w:b/>
          <w:bCs/>
          <w:snapToGrid w:val="0"/>
          <w:color w:val="auto"/>
          <w:sz w:val="24"/>
          <w:szCs w:val="21"/>
          <w:highlight w:val="none"/>
        </w:rPr>
      </w:pPr>
      <w:r>
        <w:rPr>
          <w:rFonts w:hint="eastAsia" w:cs="宋体"/>
          <w:b/>
          <w:bCs/>
          <w:snapToGrid w:val="0"/>
          <w:color w:val="auto"/>
          <w:sz w:val="24"/>
          <w:szCs w:val="21"/>
          <w:highlight w:val="none"/>
        </w:rPr>
        <w:t>附件1</w:t>
      </w:r>
    </w:p>
    <w:p w14:paraId="04528D0B">
      <w:pPr>
        <w:widowControl w:val="0"/>
        <w:adjustRightInd w:val="0"/>
        <w:snapToGrid w:val="0"/>
        <w:rPr>
          <w:color w:val="auto"/>
          <w:highlight w:val="none"/>
        </w:rPr>
      </w:pPr>
    </w:p>
    <w:p w14:paraId="6DF99158">
      <w:pPr>
        <w:widowControl w:val="0"/>
        <w:adjustRightInd w:val="0"/>
        <w:snapToGrid w:val="0"/>
        <w:rPr>
          <w:color w:val="auto"/>
          <w:highlight w:val="none"/>
        </w:rPr>
      </w:pPr>
    </w:p>
    <w:p w14:paraId="1A49DF92">
      <w:pPr>
        <w:widowControl w:val="0"/>
        <w:adjustRightInd w:val="0"/>
        <w:snapToGrid w:val="0"/>
        <w:rPr>
          <w:color w:val="auto"/>
          <w:highlight w:val="none"/>
        </w:rPr>
      </w:pPr>
    </w:p>
    <w:p w14:paraId="6D562553">
      <w:pPr>
        <w:adjustRightInd w:val="0"/>
        <w:snapToGrid w:val="0"/>
        <w:spacing w:line="300" w:lineRule="auto"/>
        <w:jc w:val="center"/>
        <w:rPr>
          <w:rFonts w:cs="宋体"/>
          <w:b/>
          <w:snapToGrid w:val="0"/>
          <w:color w:val="auto"/>
          <w:sz w:val="24"/>
          <w:szCs w:val="21"/>
          <w:highlight w:val="none"/>
        </w:rPr>
      </w:pPr>
      <w:r>
        <w:rPr>
          <w:rFonts w:hint="eastAsia" w:cs="宋体"/>
          <w:b/>
          <w:snapToGrid w:val="0"/>
          <w:color w:val="auto"/>
          <w:sz w:val="24"/>
          <w:szCs w:val="21"/>
          <w:highlight w:val="none"/>
        </w:rPr>
        <w:t>技术交底记录文件</w:t>
      </w:r>
    </w:p>
    <w:p w14:paraId="7D61BFDD">
      <w:pPr>
        <w:widowControl w:val="0"/>
        <w:adjustRightInd w:val="0"/>
        <w:snapToGrid w:val="0"/>
        <w:rPr>
          <w:color w:val="auto"/>
          <w:highlight w:val="none"/>
        </w:rPr>
      </w:pPr>
    </w:p>
    <w:p w14:paraId="2A0A73DA">
      <w:pPr>
        <w:widowControl w:val="0"/>
        <w:adjustRightInd w:val="0"/>
        <w:snapToGrid w:val="0"/>
        <w:rPr>
          <w:color w:val="auto"/>
          <w:highlight w:val="none"/>
        </w:rPr>
      </w:pPr>
    </w:p>
    <w:p w14:paraId="6E0B41B1">
      <w:pPr>
        <w:widowControl w:val="0"/>
        <w:adjustRightInd w:val="0"/>
        <w:snapToGrid w:val="0"/>
        <w:rPr>
          <w:color w:val="auto"/>
          <w:highlight w:val="none"/>
        </w:rPr>
      </w:pPr>
    </w:p>
    <w:p w14:paraId="450F0746">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一、甲方向乙方技术交底的相关情况</w:t>
      </w:r>
    </w:p>
    <w:p w14:paraId="6C96E257">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（一）技术交底时间。</w:t>
      </w:r>
    </w:p>
    <w:p w14:paraId="7376229B">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（二）甲乙双方参加技术交底的负责人。</w:t>
      </w:r>
    </w:p>
    <w:p w14:paraId="161A9005">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（三）甲乙双方参加技术交底的其他参加人员。</w:t>
      </w:r>
    </w:p>
    <w:p w14:paraId="1413BF19">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（四）技术交底方式。</w:t>
      </w:r>
    </w:p>
    <w:p w14:paraId="5A6963FD">
      <w:pPr>
        <w:widowControl w:val="0"/>
        <w:adjustRightInd w:val="0"/>
        <w:snapToGrid w:val="0"/>
        <w:rPr>
          <w:color w:val="auto"/>
          <w:highlight w:val="none"/>
        </w:rPr>
      </w:pPr>
    </w:p>
    <w:p w14:paraId="182DD67A">
      <w:pPr>
        <w:widowControl w:val="0"/>
        <w:adjustRightInd w:val="0"/>
        <w:snapToGrid w:val="0"/>
        <w:rPr>
          <w:color w:val="auto"/>
          <w:highlight w:val="none"/>
        </w:rPr>
      </w:pPr>
    </w:p>
    <w:p w14:paraId="3189B993">
      <w:pPr>
        <w:widowControl w:val="0"/>
        <w:adjustRightInd w:val="0"/>
        <w:snapToGrid w:val="0"/>
        <w:rPr>
          <w:color w:val="auto"/>
          <w:highlight w:val="none"/>
        </w:rPr>
      </w:pPr>
    </w:p>
    <w:p w14:paraId="3D1517E2">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二、甲方提供乙方的图纸资料情况</w:t>
      </w:r>
    </w:p>
    <w:p w14:paraId="6D4218B5">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（一）提交日期。</w:t>
      </w:r>
    </w:p>
    <w:p w14:paraId="1BBACF44">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（二）图纸资料清单（包括图纸的绘制时间）。</w:t>
      </w:r>
    </w:p>
    <w:p w14:paraId="4E14CEC5">
      <w:pPr>
        <w:widowControl w:val="0"/>
        <w:adjustRightInd w:val="0"/>
        <w:snapToGrid w:val="0"/>
        <w:rPr>
          <w:color w:val="auto"/>
          <w:highlight w:val="none"/>
        </w:rPr>
      </w:pPr>
    </w:p>
    <w:p w14:paraId="2ADA0489">
      <w:pPr>
        <w:widowControl w:val="0"/>
        <w:adjustRightInd w:val="0"/>
        <w:snapToGrid w:val="0"/>
        <w:rPr>
          <w:color w:val="auto"/>
          <w:highlight w:val="none"/>
        </w:rPr>
      </w:pPr>
    </w:p>
    <w:p w14:paraId="08ECB970">
      <w:pPr>
        <w:widowControl w:val="0"/>
        <w:adjustRightInd w:val="0"/>
        <w:snapToGrid w:val="0"/>
        <w:rPr>
          <w:color w:val="auto"/>
          <w:highlight w:val="none"/>
        </w:rPr>
      </w:pPr>
    </w:p>
    <w:p w14:paraId="7C92C3F8">
      <w:pPr>
        <w:widowControl w:val="0"/>
        <w:adjustRightInd w:val="0"/>
        <w:snapToGrid w:val="0"/>
        <w:rPr>
          <w:color w:val="auto"/>
          <w:highlight w:val="none"/>
        </w:rPr>
      </w:pPr>
    </w:p>
    <w:p w14:paraId="0749460C">
      <w:pPr>
        <w:widowControl w:val="0"/>
        <w:adjustRightInd w:val="0"/>
        <w:snapToGrid w:val="0"/>
        <w:rPr>
          <w:color w:val="auto"/>
          <w:highlight w:val="none"/>
        </w:rPr>
      </w:pPr>
    </w:p>
    <w:p w14:paraId="2110E299">
      <w:pPr>
        <w:widowControl w:val="0"/>
        <w:adjustRightInd w:val="0"/>
        <w:snapToGrid w:val="0"/>
        <w:rPr>
          <w:color w:val="auto"/>
          <w:highlight w:val="none"/>
        </w:rPr>
      </w:pPr>
    </w:p>
    <w:p w14:paraId="1FD1CFD1">
      <w:pPr>
        <w:widowControl w:val="0"/>
        <w:adjustRightInd w:val="0"/>
        <w:snapToGrid w:val="0"/>
        <w:rPr>
          <w:color w:val="auto"/>
          <w:highlight w:val="none"/>
        </w:rPr>
      </w:pPr>
    </w:p>
    <w:p w14:paraId="21BD8AFA">
      <w:pPr>
        <w:widowControl w:val="0"/>
        <w:adjustRightInd w:val="0"/>
        <w:snapToGrid w:val="0"/>
        <w:rPr>
          <w:color w:val="auto"/>
          <w:highlight w:val="none"/>
        </w:rPr>
      </w:pPr>
    </w:p>
    <w:p w14:paraId="7F896791">
      <w:pPr>
        <w:widowControl w:val="0"/>
        <w:adjustRightInd w:val="0"/>
        <w:snapToGrid w:val="0"/>
        <w:rPr>
          <w:color w:val="auto"/>
          <w:highlight w:val="none"/>
        </w:rPr>
      </w:pPr>
    </w:p>
    <w:p w14:paraId="55572235">
      <w:pPr>
        <w:widowControl w:val="0"/>
        <w:adjustRightInd w:val="0"/>
        <w:snapToGrid w:val="0"/>
        <w:rPr>
          <w:color w:val="auto"/>
          <w:highlight w:val="none"/>
        </w:rPr>
      </w:pPr>
    </w:p>
    <w:p w14:paraId="69514CD9">
      <w:pPr>
        <w:widowControl w:val="0"/>
        <w:adjustRightInd w:val="0"/>
        <w:snapToGrid w:val="0"/>
        <w:rPr>
          <w:color w:val="auto"/>
          <w:highlight w:val="none"/>
        </w:rPr>
      </w:pPr>
    </w:p>
    <w:p w14:paraId="62F3FCAE">
      <w:pPr>
        <w:widowControl w:val="0"/>
        <w:adjustRightInd w:val="0"/>
        <w:snapToGrid w:val="0"/>
        <w:rPr>
          <w:color w:val="auto"/>
          <w:highlight w:val="none"/>
        </w:rPr>
      </w:pPr>
    </w:p>
    <w:p w14:paraId="04704800">
      <w:pPr>
        <w:widowControl w:val="0"/>
        <w:adjustRightInd w:val="0"/>
        <w:snapToGrid w:val="0"/>
        <w:rPr>
          <w:color w:val="auto"/>
          <w:highlight w:val="none"/>
        </w:rPr>
      </w:pPr>
    </w:p>
    <w:p w14:paraId="6B53C0D8">
      <w:pPr>
        <w:widowControl w:val="0"/>
        <w:adjustRightInd w:val="0"/>
        <w:snapToGrid w:val="0"/>
        <w:rPr>
          <w:color w:val="auto"/>
          <w:highlight w:val="none"/>
        </w:rPr>
      </w:pPr>
    </w:p>
    <w:p w14:paraId="4C966292">
      <w:pPr>
        <w:widowControl w:val="0"/>
        <w:adjustRightInd w:val="0"/>
        <w:snapToGrid w:val="0"/>
        <w:rPr>
          <w:color w:val="auto"/>
          <w:highlight w:val="none"/>
        </w:rPr>
      </w:pPr>
    </w:p>
    <w:p w14:paraId="631D4132">
      <w:pPr>
        <w:widowControl w:val="0"/>
        <w:adjustRightInd w:val="0"/>
        <w:snapToGrid w:val="0"/>
        <w:rPr>
          <w:color w:val="auto"/>
          <w:highlight w:val="none"/>
        </w:rPr>
      </w:pPr>
    </w:p>
    <w:p w14:paraId="62E5BCF8">
      <w:pPr>
        <w:widowControl w:val="0"/>
        <w:adjustRightInd w:val="0"/>
        <w:snapToGrid w:val="0"/>
        <w:rPr>
          <w:color w:val="auto"/>
          <w:highlight w:val="none"/>
        </w:rPr>
      </w:pPr>
    </w:p>
    <w:p w14:paraId="777AB677">
      <w:pPr>
        <w:widowControl w:val="0"/>
        <w:adjustRightInd w:val="0"/>
        <w:snapToGrid w:val="0"/>
        <w:rPr>
          <w:color w:val="auto"/>
          <w:highlight w:val="none"/>
        </w:rPr>
      </w:pPr>
    </w:p>
    <w:p w14:paraId="3B18B5E6">
      <w:pPr>
        <w:widowControl w:val="0"/>
        <w:adjustRightInd w:val="0"/>
        <w:snapToGrid w:val="0"/>
        <w:rPr>
          <w:color w:val="auto"/>
          <w:highlight w:val="none"/>
        </w:rPr>
      </w:pPr>
    </w:p>
    <w:p w14:paraId="3F1C0B76">
      <w:pPr>
        <w:widowControl w:val="0"/>
        <w:adjustRightInd w:val="0"/>
        <w:snapToGrid w:val="0"/>
        <w:rPr>
          <w:color w:val="auto"/>
          <w:highlight w:val="none"/>
        </w:rPr>
      </w:pPr>
    </w:p>
    <w:p w14:paraId="3905DC4A">
      <w:pPr>
        <w:widowControl w:val="0"/>
        <w:adjustRightInd w:val="0"/>
        <w:snapToGrid w:val="0"/>
        <w:rPr>
          <w:color w:val="auto"/>
          <w:highlight w:val="none"/>
        </w:rPr>
      </w:pPr>
    </w:p>
    <w:p w14:paraId="3E2A0F40">
      <w:pPr>
        <w:widowControl w:val="0"/>
        <w:adjustRightInd w:val="0"/>
        <w:snapToGrid w:val="0"/>
        <w:rPr>
          <w:color w:val="auto"/>
          <w:highlight w:val="none"/>
        </w:rPr>
      </w:pPr>
    </w:p>
    <w:p w14:paraId="52138F2D">
      <w:pPr>
        <w:widowControl w:val="0"/>
        <w:adjustRightInd w:val="0"/>
        <w:snapToGrid w:val="0"/>
        <w:rPr>
          <w:color w:val="auto"/>
          <w:highlight w:val="none"/>
        </w:rPr>
      </w:pPr>
    </w:p>
    <w:p w14:paraId="40FFBFDB">
      <w:pPr>
        <w:widowControl w:val="0"/>
        <w:adjustRightInd w:val="0"/>
        <w:snapToGrid w:val="0"/>
        <w:rPr>
          <w:color w:val="auto"/>
          <w:highlight w:val="none"/>
        </w:rPr>
      </w:pPr>
    </w:p>
    <w:p w14:paraId="19F3E71A">
      <w:pPr>
        <w:widowControl w:val="0"/>
        <w:adjustRightInd w:val="0"/>
        <w:snapToGrid w:val="0"/>
        <w:rPr>
          <w:color w:val="auto"/>
          <w:highlight w:val="none"/>
        </w:rPr>
      </w:pPr>
    </w:p>
    <w:p w14:paraId="0CFAFA14">
      <w:pPr>
        <w:widowControl w:val="0"/>
        <w:adjustRightInd w:val="0"/>
        <w:snapToGrid w:val="0"/>
        <w:rPr>
          <w:color w:val="auto"/>
          <w:highlight w:val="none"/>
        </w:rPr>
      </w:pPr>
    </w:p>
    <w:p w14:paraId="3B31FA92">
      <w:pPr>
        <w:widowControl w:val="0"/>
        <w:adjustRightInd w:val="0"/>
        <w:snapToGrid w:val="0"/>
        <w:rPr>
          <w:color w:val="auto"/>
          <w:highlight w:val="none"/>
        </w:rPr>
      </w:pPr>
    </w:p>
    <w:p w14:paraId="4751A27B">
      <w:pPr>
        <w:widowControl w:val="0"/>
        <w:adjustRightInd w:val="0"/>
        <w:snapToGrid w:val="0"/>
        <w:rPr>
          <w:color w:val="auto"/>
          <w:highlight w:val="none"/>
        </w:rPr>
      </w:pPr>
    </w:p>
    <w:p w14:paraId="6EFE060F">
      <w:pPr>
        <w:widowControl w:val="0"/>
        <w:adjustRightInd w:val="0"/>
        <w:snapToGrid w:val="0"/>
        <w:rPr>
          <w:color w:val="auto"/>
          <w:highlight w:val="none"/>
        </w:rPr>
      </w:pPr>
    </w:p>
    <w:p w14:paraId="223B5680">
      <w:pPr>
        <w:widowControl w:val="0"/>
        <w:adjustRightInd w:val="0"/>
        <w:snapToGrid w:val="0"/>
        <w:rPr>
          <w:color w:val="auto"/>
          <w:highlight w:val="none"/>
        </w:rPr>
      </w:pPr>
    </w:p>
    <w:p w14:paraId="0F4D43B8">
      <w:pPr>
        <w:widowControl w:val="0"/>
        <w:adjustRightInd w:val="0"/>
        <w:snapToGrid w:val="0"/>
        <w:rPr>
          <w:color w:val="auto"/>
          <w:highlight w:val="none"/>
        </w:rPr>
      </w:pPr>
    </w:p>
    <w:p w14:paraId="222BAFC1">
      <w:pPr>
        <w:widowControl w:val="0"/>
        <w:adjustRightInd w:val="0"/>
        <w:snapToGrid w:val="0"/>
        <w:rPr>
          <w:color w:val="auto"/>
          <w:highlight w:val="none"/>
        </w:rPr>
      </w:pPr>
    </w:p>
    <w:p w14:paraId="1017CA0E">
      <w:pPr>
        <w:adjustRightInd w:val="0"/>
        <w:snapToGrid w:val="0"/>
        <w:spacing w:line="300" w:lineRule="auto"/>
        <w:rPr>
          <w:rFonts w:cs="宋体"/>
          <w:b/>
          <w:bCs/>
          <w:snapToGrid w:val="0"/>
          <w:color w:val="auto"/>
          <w:sz w:val="24"/>
          <w:szCs w:val="21"/>
          <w:highlight w:val="none"/>
        </w:rPr>
      </w:pPr>
      <w:r>
        <w:rPr>
          <w:rFonts w:hint="eastAsia" w:cs="宋体"/>
          <w:b/>
          <w:bCs/>
          <w:snapToGrid w:val="0"/>
          <w:color w:val="auto"/>
          <w:sz w:val="24"/>
          <w:szCs w:val="21"/>
          <w:highlight w:val="none"/>
        </w:rPr>
        <w:t>附件2</w:t>
      </w:r>
    </w:p>
    <w:p w14:paraId="7ABD7A7A">
      <w:pPr>
        <w:widowControl w:val="0"/>
        <w:adjustRightInd w:val="0"/>
        <w:snapToGrid w:val="0"/>
        <w:rPr>
          <w:color w:val="auto"/>
          <w:highlight w:val="none"/>
        </w:rPr>
      </w:pPr>
    </w:p>
    <w:p w14:paraId="60DCC5AC">
      <w:pPr>
        <w:widowControl w:val="0"/>
        <w:adjustRightInd w:val="0"/>
        <w:snapToGrid w:val="0"/>
        <w:rPr>
          <w:color w:val="auto"/>
          <w:highlight w:val="none"/>
        </w:rPr>
      </w:pPr>
    </w:p>
    <w:p w14:paraId="7BAF34DA">
      <w:pPr>
        <w:adjustRightInd w:val="0"/>
        <w:snapToGrid w:val="0"/>
        <w:spacing w:line="300" w:lineRule="auto"/>
        <w:jc w:val="center"/>
        <w:rPr>
          <w:rFonts w:cs="宋体"/>
          <w:b/>
          <w:snapToGrid w:val="0"/>
          <w:color w:val="auto"/>
          <w:sz w:val="24"/>
          <w:szCs w:val="21"/>
          <w:highlight w:val="none"/>
        </w:rPr>
      </w:pPr>
      <w:r>
        <w:rPr>
          <w:rFonts w:hint="eastAsia" w:cs="宋体"/>
          <w:b/>
          <w:snapToGrid w:val="0"/>
          <w:color w:val="auto"/>
          <w:sz w:val="24"/>
          <w:szCs w:val="21"/>
          <w:highlight w:val="none"/>
        </w:rPr>
        <w:t>有关人员与设备设施证明文件</w:t>
      </w:r>
    </w:p>
    <w:p w14:paraId="0303B047">
      <w:pPr>
        <w:widowControl w:val="0"/>
        <w:adjustRightInd w:val="0"/>
        <w:snapToGrid w:val="0"/>
        <w:rPr>
          <w:color w:val="auto"/>
          <w:highlight w:val="none"/>
        </w:rPr>
      </w:pPr>
    </w:p>
    <w:p w14:paraId="3F8E5176">
      <w:pPr>
        <w:widowControl w:val="0"/>
        <w:adjustRightInd w:val="0"/>
        <w:snapToGrid w:val="0"/>
        <w:rPr>
          <w:color w:val="auto"/>
          <w:highlight w:val="none"/>
        </w:rPr>
      </w:pPr>
    </w:p>
    <w:p w14:paraId="52B9B530">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在整个工程施工过程中，乙方负责保证以下安全管理与工程技术人员、特种作业人员、设备设施的配备，其配备情况见表一、表二和表三。</w:t>
      </w:r>
    </w:p>
    <w:p w14:paraId="3BEB1189">
      <w:pPr>
        <w:widowControl w:val="0"/>
        <w:adjustRightInd w:val="0"/>
        <w:snapToGrid w:val="0"/>
        <w:rPr>
          <w:color w:val="auto"/>
          <w:highlight w:val="none"/>
        </w:rPr>
      </w:pPr>
    </w:p>
    <w:p w14:paraId="02C264DE">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表一 乙方安全管理与工程技术人员配备情况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0"/>
        <w:gridCol w:w="1276"/>
        <w:gridCol w:w="1276"/>
        <w:gridCol w:w="2126"/>
        <w:gridCol w:w="2552"/>
      </w:tblGrid>
      <w:tr w14:paraId="65B40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2260" w:type="dxa"/>
            <w:tcMar>
              <w:left w:w="108" w:type="dxa"/>
              <w:right w:w="108" w:type="dxa"/>
            </w:tcMar>
            <w:vAlign w:val="center"/>
          </w:tcPr>
          <w:p w14:paraId="76A45004">
            <w:pPr>
              <w:adjustRightInd w:val="0"/>
              <w:snapToGrid w:val="0"/>
              <w:jc w:val="center"/>
              <w:rPr>
                <w:snapToGrid w:val="0"/>
                <w:color w:val="auto"/>
                <w:highlight w:val="none"/>
              </w:rPr>
            </w:pPr>
            <w:r>
              <w:rPr>
                <w:rFonts w:hint="eastAsia"/>
                <w:snapToGrid w:val="0"/>
                <w:color w:val="auto"/>
                <w:highlight w:val="none"/>
              </w:rPr>
              <w:t>姓名</w:t>
            </w:r>
          </w:p>
        </w:tc>
        <w:tc>
          <w:tcPr>
            <w:tcW w:w="1276" w:type="dxa"/>
            <w:tcMar>
              <w:left w:w="108" w:type="dxa"/>
              <w:right w:w="108" w:type="dxa"/>
            </w:tcMar>
            <w:vAlign w:val="center"/>
          </w:tcPr>
          <w:p w14:paraId="189EB294">
            <w:pPr>
              <w:adjustRightInd w:val="0"/>
              <w:snapToGrid w:val="0"/>
              <w:jc w:val="center"/>
              <w:rPr>
                <w:snapToGrid w:val="0"/>
                <w:color w:val="auto"/>
                <w:highlight w:val="none"/>
              </w:rPr>
            </w:pPr>
            <w:r>
              <w:rPr>
                <w:rFonts w:hint="eastAsia"/>
                <w:snapToGrid w:val="0"/>
                <w:color w:val="auto"/>
                <w:highlight w:val="none"/>
              </w:rPr>
              <w:t>性别</w:t>
            </w:r>
          </w:p>
        </w:tc>
        <w:tc>
          <w:tcPr>
            <w:tcW w:w="1276" w:type="dxa"/>
            <w:tcMar>
              <w:left w:w="108" w:type="dxa"/>
              <w:right w:w="108" w:type="dxa"/>
            </w:tcMar>
            <w:vAlign w:val="center"/>
          </w:tcPr>
          <w:p w14:paraId="1B358B65">
            <w:pPr>
              <w:adjustRightInd w:val="0"/>
              <w:snapToGrid w:val="0"/>
              <w:jc w:val="center"/>
              <w:rPr>
                <w:snapToGrid w:val="0"/>
                <w:color w:val="auto"/>
                <w:highlight w:val="none"/>
              </w:rPr>
            </w:pPr>
            <w:r>
              <w:rPr>
                <w:rFonts w:hint="eastAsia"/>
                <w:snapToGrid w:val="0"/>
                <w:color w:val="auto"/>
                <w:highlight w:val="none"/>
              </w:rPr>
              <w:t>年龄</w:t>
            </w:r>
          </w:p>
        </w:tc>
        <w:tc>
          <w:tcPr>
            <w:tcW w:w="2126" w:type="dxa"/>
            <w:tcMar>
              <w:left w:w="108" w:type="dxa"/>
              <w:right w:w="108" w:type="dxa"/>
            </w:tcMar>
            <w:vAlign w:val="center"/>
          </w:tcPr>
          <w:p w14:paraId="70315AEF">
            <w:pPr>
              <w:adjustRightInd w:val="0"/>
              <w:snapToGrid w:val="0"/>
              <w:jc w:val="center"/>
              <w:rPr>
                <w:snapToGrid w:val="0"/>
                <w:color w:val="auto"/>
                <w:highlight w:val="none"/>
              </w:rPr>
            </w:pPr>
            <w:r>
              <w:rPr>
                <w:rFonts w:hint="eastAsia"/>
                <w:snapToGrid w:val="0"/>
                <w:color w:val="auto"/>
                <w:highlight w:val="none"/>
              </w:rPr>
              <w:t>职称/岗位</w:t>
            </w:r>
          </w:p>
        </w:tc>
        <w:tc>
          <w:tcPr>
            <w:tcW w:w="2552" w:type="dxa"/>
            <w:tcMar>
              <w:left w:w="108" w:type="dxa"/>
              <w:right w:w="108" w:type="dxa"/>
            </w:tcMar>
            <w:vAlign w:val="center"/>
          </w:tcPr>
          <w:p w14:paraId="307A7A56">
            <w:pPr>
              <w:adjustRightInd w:val="0"/>
              <w:snapToGrid w:val="0"/>
              <w:jc w:val="center"/>
              <w:rPr>
                <w:snapToGrid w:val="0"/>
                <w:color w:val="auto"/>
                <w:highlight w:val="none"/>
              </w:rPr>
            </w:pPr>
            <w:r>
              <w:rPr>
                <w:rFonts w:hint="eastAsia"/>
                <w:snapToGrid w:val="0"/>
                <w:color w:val="auto"/>
                <w:highlight w:val="none"/>
              </w:rPr>
              <w:t>持证情况/证号</w:t>
            </w:r>
          </w:p>
        </w:tc>
      </w:tr>
      <w:tr w14:paraId="3CE67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46157CEC">
            <w:pPr>
              <w:adjustRightInd w:val="0"/>
              <w:snapToGrid w:val="0"/>
              <w:jc w:val="left"/>
              <w:rPr>
                <w:snapToGrid w:val="0"/>
                <w:color w:val="auto"/>
                <w:highlight w:val="none"/>
              </w:rPr>
            </w:pPr>
          </w:p>
        </w:tc>
        <w:tc>
          <w:tcPr>
            <w:tcW w:w="1276" w:type="dxa"/>
            <w:tcMar>
              <w:left w:w="108" w:type="dxa"/>
              <w:right w:w="108" w:type="dxa"/>
            </w:tcMar>
            <w:vAlign w:val="center"/>
          </w:tcPr>
          <w:p w14:paraId="4166551B">
            <w:pPr>
              <w:adjustRightInd w:val="0"/>
              <w:snapToGrid w:val="0"/>
              <w:jc w:val="left"/>
              <w:rPr>
                <w:snapToGrid w:val="0"/>
                <w:color w:val="auto"/>
                <w:highlight w:val="none"/>
              </w:rPr>
            </w:pPr>
          </w:p>
        </w:tc>
        <w:tc>
          <w:tcPr>
            <w:tcW w:w="1276" w:type="dxa"/>
            <w:tcMar>
              <w:left w:w="108" w:type="dxa"/>
              <w:right w:w="108" w:type="dxa"/>
            </w:tcMar>
            <w:vAlign w:val="center"/>
          </w:tcPr>
          <w:p w14:paraId="0DDBD1D1">
            <w:pPr>
              <w:adjustRightInd w:val="0"/>
              <w:snapToGrid w:val="0"/>
              <w:jc w:val="left"/>
              <w:rPr>
                <w:snapToGrid w:val="0"/>
                <w:color w:val="auto"/>
                <w:highlight w:val="none"/>
              </w:rPr>
            </w:pPr>
          </w:p>
        </w:tc>
        <w:tc>
          <w:tcPr>
            <w:tcW w:w="2126" w:type="dxa"/>
            <w:tcMar>
              <w:left w:w="108" w:type="dxa"/>
              <w:right w:w="108" w:type="dxa"/>
            </w:tcMar>
            <w:vAlign w:val="center"/>
          </w:tcPr>
          <w:p w14:paraId="450CECB5">
            <w:pPr>
              <w:adjustRightInd w:val="0"/>
              <w:snapToGrid w:val="0"/>
              <w:jc w:val="left"/>
              <w:rPr>
                <w:snapToGrid w:val="0"/>
                <w:color w:val="auto"/>
                <w:highlight w:val="none"/>
              </w:rPr>
            </w:pPr>
          </w:p>
        </w:tc>
        <w:tc>
          <w:tcPr>
            <w:tcW w:w="2552" w:type="dxa"/>
            <w:tcMar>
              <w:left w:w="108" w:type="dxa"/>
              <w:right w:w="108" w:type="dxa"/>
            </w:tcMar>
            <w:vAlign w:val="center"/>
          </w:tcPr>
          <w:p w14:paraId="1BE1B4EC">
            <w:pPr>
              <w:adjustRightInd w:val="0"/>
              <w:snapToGrid w:val="0"/>
              <w:jc w:val="left"/>
              <w:rPr>
                <w:snapToGrid w:val="0"/>
                <w:color w:val="auto"/>
                <w:highlight w:val="none"/>
              </w:rPr>
            </w:pPr>
          </w:p>
        </w:tc>
      </w:tr>
      <w:tr w14:paraId="4E3D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710BA033">
            <w:pPr>
              <w:adjustRightInd w:val="0"/>
              <w:snapToGrid w:val="0"/>
              <w:jc w:val="left"/>
              <w:rPr>
                <w:snapToGrid w:val="0"/>
                <w:color w:val="auto"/>
                <w:highlight w:val="none"/>
              </w:rPr>
            </w:pPr>
          </w:p>
        </w:tc>
        <w:tc>
          <w:tcPr>
            <w:tcW w:w="1276" w:type="dxa"/>
            <w:tcMar>
              <w:left w:w="108" w:type="dxa"/>
              <w:right w:w="108" w:type="dxa"/>
            </w:tcMar>
            <w:vAlign w:val="center"/>
          </w:tcPr>
          <w:p w14:paraId="660DB5BE">
            <w:pPr>
              <w:adjustRightInd w:val="0"/>
              <w:snapToGrid w:val="0"/>
              <w:jc w:val="left"/>
              <w:rPr>
                <w:snapToGrid w:val="0"/>
                <w:color w:val="auto"/>
                <w:highlight w:val="none"/>
              </w:rPr>
            </w:pPr>
          </w:p>
        </w:tc>
        <w:tc>
          <w:tcPr>
            <w:tcW w:w="1276" w:type="dxa"/>
            <w:tcMar>
              <w:left w:w="108" w:type="dxa"/>
              <w:right w:w="108" w:type="dxa"/>
            </w:tcMar>
            <w:vAlign w:val="center"/>
          </w:tcPr>
          <w:p w14:paraId="3702258C">
            <w:pPr>
              <w:adjustRightInd w:val="0"/>
              <w:snapToGrid w:val="0"/>
              <w:jc w:val="left"/>
              <w:rPr>
                <w:snapToGrid w:val="0"/>
                <w:color w:val="auto"/>
                <w:highlight w:val="none"/>
              </w:rPr>
            </w:pPr>
          </w:p>
        </w:tc>
        <w:tc>
          <w:tcPr>
            <w:tcW w:w="2126" w:type="dxa"/>
            <w:tcMar>
              <w:left w:w="108" w:type="dxa"/>
              <w:right w:w="108" w:type="dxa"/>
            </w:tcMar>
            <w:vAlign w:val="center"/>
          </w:tcPr>
          <w:p w14:paraId="6867386F">
            <w:pPr>
              <w:adjustRightInd w:val="0"/>
              <w:snapToGrid w:val="0"/>
              <w:jc w:val="left"/>
              <w:rPr>
                <w:snapToGrid w:val="0"/>
                <w:color w:val="auto"/>
                <w:highlight w:val="none"/>
              </w:rPr>
            </w:pPr>
          </w:p>
        </w:tc>
        <w:tc>
          <w:tcPr>
            <w:tcW w:w="2552" w:type="dxa"/>
            <w:tcMar>
              <w:left w:w="108" w:type="dxa"/>
              <w:right w:w="108" w:type="dxa"/>
            </w:tcMar>
            <w:vAlign w:val="center"/>
          </w:tcPr>
          <w:p w14:paraId="5AECEC97">
            <w:pPr>
              <w:adjustRightInd w:val="0"/>
              <w:snapToGrid w:val="0"/>
              <w:jc w:val="left"/>
              <w:rPr>
                <w:snapToGrid w:val="0"/>
                <w:color w:val="auto"/>
                <w:highlight w:val="none"/>
              </w:rPr>
            </w:pPr>
          </w:p>
        </w:tc>
      </w:tr>
      <w:tr w14:paraId="49CC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1D6AFC36">
            <w:pPr>
              <w:adjustRightInd w:val="0"/>
              <w:snapToGrid w:val="0"/>
              <w:jc w:val="left"/>
              <w:rPr>
                <w:snapToGrid w:val="0"/>
                <w:color w:val="auto"/>
                <w:highlight w:val="none"/>
              </w:rPr>
            </w:pPr>
          </w:p>
        </w:tc>
        <w:tc>
          <w:tcPr>
            <w:tcW w:w="1276" w:type="dxa"/>
            <w:tcMar>
              <w:left w:w="108" w:type="dxa"/>
              <w:right w:w="108" w:type="dxa"/>
            </w:tcMar>
            <w:vAlign w:val="center"/>
          </w:tcPr>
          <w:p w14:paraId="2C5A5286">
            <w:pPr>
              <w:adjustRightInd w:val="0"/>
              <w:snapToGrid w:val="0"/>
              <w:jc w:val="left"/>
              <w:rPr>
                <w:snapToGrid w:val="0"/>
                <w:color w:val="auto"/>
                <w:highlight w:val="none"/>
              </w:rPr>
            </w:pPr>
          </w:p>
        </w:tc>
        <w:tc>
          <w:tcPr>
            <w:tcW w:w="1276" w:type="dxa"/>
            <w:tcMar>
              <w:left w:w="108" w:type="dxa"/>
              <w:right w:w="108" w:type="dxa"/>
            </w:tcMar>
            <w:vAlign w:val="center"/>
          </w:tcPr>
          <w:p w14:paraId="201CAD48">
            <w:pPr>
              <w:adjustRightInd w:val="0"/>
              <w:snapToGrid w:val="0"/>
              <w:jc w:val="left"/>
              <w:rPr>
                <w:snapToGrid w:val="0"/>
                <w:color w:val="auto"/>
                <w:highlight w:val="none"/>
              </w:rPr>
            </w:pPr>
          </w:p>
        </w:tc>
        <w:tc>
          <w:tcPr>
            <w:tcW w:w="2126" w:type="dxa"/>
            <w:tcMar>
              <w:left w:w="108" w:type="dxa"/>
              <w:right w:w="108" w:type="dxa"/>
            </w:tcMar>
            <w:vAlign w:val="center"/>
          </w:tcPr>
          <w:p w14:paraId="07306B64">
            <w:pPr>
              <w:adjustRightInd w:val="0"/>
              <w:snapToGrid w:val="0"/>
              <w:jc w:val="left"/>
              <w:rPr>
                <w:snapToGrid w:val="0"/>
                <w:color w:val="auto"/>
                <w:highlight w:val="none"/>
              </w:rPr>
            </w:pPr>
          </w:p>
        </w:tc>
        <w:tc>
          <w:tcPr>
            <w:tcW w:w="2552" w:type="dxa"/>
            <w:tcMar>
              <w:left w:w="108" w:type="dxa"/>
              <w:right w:w="108" w:type="dxa"/>
            </w:tcMar>
            <w:vAlign w:val="center"/>
          </w:tcPr>
          <w:p w14:paraId="679492B3">
            <w:pPr>
              <w:adjustRightInd w:val="0"/>
              <w:snapToGrid w:val="0"/>
              <w:jc w:val="left"/>
              <w:rPr>
                <w:snapToGrid w:val="0"/>
                <w:color w:val="auto"/>
                <w:highlight w:val="none"/>
              </w:rPr>
            </w:pPr>
          </w:p>
        </w:tc>
      </w:tr>
      <w:tr w14:paraId="43A70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260" w:type="dxa"/>
            <w:tcMar>
              <w:left w:w="108" w:type="dxa"/>
              <w:right w:w="108" w:type="dxa"/>
            </w:tcMar>
            <w:vAlign w:val="center"/>
          </w:tcPr>
          <w:p w14:paraId="4EE644EE">
            <w:pPr>
              <w:adjustRightInd w:val="0"/>
              <w:snapToGrid w:val="0"/>
              <w:jc w:val="left"/>
              <w:rPr>
                <w:snapToGrid w:val="0"/>
                <w:color w:val="auto"/>
                <w:highlight w:val="none"/>
              </w:rPr>
            </w:pPr>
          </w:p>
        </w:tc>
        <w:tc>
          <w:tcPr>
            <w:tcW w:w="1276" w:type="dxa"/>
            <w:tcMar>
              <w:left w:w="108" w:type="dxa"/>
              <w:right w:w="108" w:type="dxa"/>
            </w:tcMar>
            <w:vAlign w:val="center"/>
          </w:tcPr>
          <w:p w14:paraId="72EF402A">
            <w:pPr>
              <w:adjustRightInd w:val="0"/>
              <w:snapToGrid w:val="0"/>
              <w:jc w:val="left"/>
              <w:rPr>
                <w:snapToGrid w:val="0"/>
                <w:color w:val="auto"/>
                <w:highlight w:val="none"/>
              </w:rPr>
            </w:pPr>
          </w:p>
        </w:tc>
        <w:tc>
          <w:tcPr>
            <w:tcW w:w="1276" w:type="dxa"/>
            <w:tcMar>
              <w:left w:w="108" w:type="dxa"/>
              <w:right w:w="108" w:type="dxa"/>
            </w:tcMar>
            <w:vAlign w:val="center"/>
          </w:tcPr>
          <w:p w14:paraId="5F7D8610">
            <w:pPr>
              <w:adjustRightInd w:val="0"/>
              <w:snapToGrid w:val="0"/>
              <w:jc w:val="left"/>
              <w:rPr>
                <w:snapToGrid w:val="0"/>
                <w:color w:val="auto"/>
                <w:highlight w:val="none"/>
              </w:rPr>
            </w:pPr>
          </w:p>
        </w:tc>
        <w:tc>
          <w:tcPr>
            <w:tcW w:w="2126" w:type="dxa"/>
            <w:tcMar>
              <w:left w:w="108" w:type="dxa"/>
              <w:right w:w="108" w:type="dxa"/>
            </w:tcMar>
            <w:vAlign w:val="center"/>
          </w:tcPr>
          <w:p w14:paraId="6D8D08EC">
            <w:pPr>
              <w:adjustRightInd w:val="0"/>
              <w:snapToGrid w:val="0"/>
              <w:jc w:val="left"/>
              <w:rPr>
                <w:snapToGrid w:val="0"/>
                <w:color w:val="auto"/>
                <w:highlight w:val="none"/>
              </w:rPr>
            </w:pPr>
          </w:p>
        </w:tc>
        <w:tc>
          <w:tcPr>
            <w:tcW w:w="2552" w:type="dxa"/>
            <w:tcMar>
              <w:left w:w="108" w:type="dxa"/>
              <w:right w:w="108" w:type="dxa"/>
            </w:tcMar>
            <w:vAlign w:val="center"/>
          </w:tcPr>
          <w:p w14:paraId="569C4244">
            <w:pPr>
              <w:adjustRightInd w:val="0"/>
              <w:snapToGrid w:val="0"/>
              <w:jc w:val="left"/>
              <w:rPr>
                <w:snapToGrid w:val="0"/>
                <w:color w:val="auto"/>
                <w:highlight w:val="none"/>
              </w:rPr>
            </w:pPr>
          </w:p>
        </w:tc>
      </w:tr>
    </w:tbl>
    <w:p w14:paraId="5A97D074">
      <w:pPr>
        <w:widowControl w:val="0"/>
        <w:adjustRightInd w:val="0"/>
        <w:snapToGrid w:val="0"/>
        <w:rPr>
          <w:color w:val="auto"/>
          <w:highlight w:val="none"/>
        </w:rPr>
      </w:pPr>
    </w:p>
    <w:p w14:paraId="3D9F9322">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表二 乙方特种作业人员持证情况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68"/>
        <w:gridCol w:w="992"/>
        <w:gridCol w:w="1276"/>
        <w:gridCol w:w="1276"/>
        <w:gridCol w:w="2126"/>
        <w:gridCol w:w="2552"/>
      </w:tblGrid>
      <w:tr w14:paraId="14E3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2DDC5F09">
            <w:pPr>
              <w:adjustRightInd w:val="0"/>
              <w:snapToGrid w:val="0"/>
              <w:jc w:val="center"/>
              <w:rPr>
                <w:snapToGrid w:val="0"/>
                <w:color w:val="auto"/>
                <w:highlight w:val="none"/>
              </w:rPr>
            </w:pPr>
            <w:r>
              <w:rPr>
                <w:rFonts w:hint="eastAsia"/>
                <w:snapToGrid w:val="0"/>
                <w:color w:val="auto"/>
                <w:highlight w:val="none"/>
              </w:rPr>
              <w:t>姓名</w:t>
            </w:r>
          </w:p>
        </w:tc>
        <w:tc>
          <w:tcPr>
            <w:tcW w:w="992" w:type="dxa"/>
            <w:tcMar>
              <w:left w:w="108" w:type="dxa"/>
              <w:right w:w="108" w:type="dxa"/>
            </w:tcMar>
            <w:vAlign w:val="center"/>
          </w:tcPr>
          <w:p w14:paraId="7A36B462">
            <w:pPr>
              <w:adjustRightInd w:val="0"/>
              <w:snapToGrid w:val="0"/>
              <w:jc w:val="center"/>
              <w:rPr>
                <w:snapToGrid w:val="0"/>
                <w:color w:val="auto"/>
                <w:highlight w:val="none"/>
              </w:rPr>
            </w:pPr>
            <w:r>
              <w:rPr>
                <w:rFonts w:hint="eastAsia"/>
                <w:snapToGrid w:val="0"/>
                <w:color w:val="auto"/>
                <w:highlight w:val="none"/>
              </w:rPr>
              <w:t>性别</w:t>
            </w:r>
          </w:p>
        </w:tc>
        <w:tc>
          <w:tcPr>
            <w:tcW w:w="1276" w:type="dxa"/>
            <w:tcMar>
              <w:left w:w="108" w:type="dxa"/>
              <w:right w:w="108" w:type="dxa"/>
            </w:tcMar>
            <w:vAlign w:val="center"/>
          </w:tcPr>
          <w:p w14:paraId="1FB304D2">
            <w:pPr>
              <w:adjustRightInd w:val="0"/>
              <w:snapToGrid w:val="0"/>
              <w:jc w:val="center"/>
              <w:rPr>
                <w:snapToGrid w:val="0"/>
                <w:color w:val="auto"/>
                <w:highlight w:val="none"/>
              </w:rPr>
            </w:pPr>
            <w:r>
              <w:rPr>
                <w:rFonts w:hint="eastAsia"/>
                <w:snapToGrid w:val="0"/>
                <w:color w:val="auto"/>
                <w:highlight w:val="none"/>
              </w:rPr>
              <w:t>年龄</w:t>
            </w:r>
          </w:p>
        </w:tc>
        <w:tc>
          <w:tcPr>
            <w:tcW w:w="1276" w:type="dxa"/>
            <w:tcMar>
              <w:left w:w="108" w:type="dxa"/>
              <w:right w:w="108" w:type="dxa"/>
            </w:tcMar>
            <w:vAlign w:val="center"/>
          </w:tcPr>
          <w:p w14:paraId="31CCB173">
            <w:pPr>
              <w:adjustRightInd w:val="0"/>
              <w:snapToGrid w:val="0"/>
              <w:jc w:val="center"/>
              <w:rPr>
                <w:snapToGrid w:val="0"/>
                <w:color w:val="auto"/>
                <w:highlight w:val="none"/>
              </w:rPr>
            </w:pPr>
            <w:r>
              <w:rPr>
                <w:rFonts w:hint="eastAsia"/>
                <w:snapToGrid w:val="0"/>
                <w:color w:val="auto"/>
                <w:highlight w:val="none"/>
              </w:rPr>
              <w:t>岗位</w:t>
            </w:r>
          </w:p>
        </w:tc>
        <w:tc>
          <w:tcPr>
            <w:tcW w:w="2126" w:type="dxa"/>
            <w:tcMar>
              <w:left w:w="108" w:type="dxa"/>
              <w:right w:w="108" w:type="dxa"/>
            </w:tcMar>
            <w:vAlign w:val="center"/>
          </w:tcPr>
          <w:p w14:paraId="14C0555B">
            <w:pPr>
              <w:adjustRightInd w:val="0"/>
              <w:snapToGrid w:val="0"/>
              <w:jc w:val="center"/>
              <w:rPr>
                <w:snapToGrid w:val="0"/>
                <w:color w:val="auto"/>
                <w:highlight w:val="none"/>
              </w:rPr>
            </w:pPr>
            <w:r>
              <w:rPr>
                <w:rFonts w:hint="eastAsia"/>
                <w:snapToGrid w:val="0"/>
                <w:color w:val="auto"/>
                <w:highlight w:val="none"/>
              </w:rPr>
              <w:t>特种作业证</w:t>
            </w:r>
          </w:p>
        </w:tc>
        <w:tc>
          <w:tcPr>
            <w:tcW w:w="2552" w:type="dxa"/>
            <w:tcMar>
              <w:left w:w="108" w:type="dxa"/>
              <w:right w:w="108" w:type="dxa"/>
            </w:tcMar>
            <w:vAlign w:val="center"/>
          </w:tcPr>
          <w:p w14:paraId="31974FF6">
            <w:pPr>
              <w:adjustRightInd w:val="0"/>
              <w:snapToGrid w:val="0"/>
              <w:jc w:val="center"/>
              <w:rPr>
                <w:snapToGrid w:val="0"/>
                <w:color w:val="auto"/>
                <w:highlight w:val="none"/>
              </w:rPr>
            </w:pPr>
            <w:r>
              <w:rPr>
                <w:rFonts w:hint="eastAsia"/>
                <w:snapToGrid w:val="0"/>
                <w:color w:val="auto"/>
                <w:highlight w:val="none"/>
              </w:rPr>
              <w:t>特种作业证号</w:t>
            </w:r>
          </w:p>
        </w:tc>
      </w:tr>
      <w:tr w14:paraId="0ABC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737124CB">
            <w:pPr>
              <w:adjustRightInd w:val="0"/>
              <w:snapToGrid w:val="0"/>
              <w:jc w:val="left"/>
              <w:rPr>
                <w:snapToGrid w:val="0"/>
                <w:color w:val="auto"/>
                <w:highlight w:val="none"/>
              </w:rPr>
            </w:pPr>
          </w:p>
        </w:tc>
        <w:tc>
          <w:tcPr>
            <w:tcW w:w="992" w:type="dxa"/>
            <w:tcMar>
              <w:left w:w="108" w:type="dxa"/>
              <w:right w:w="108" w:type="dxa"/>
            </w:tcMar>
            <w:vAlign w:val="center"/>
          </w:tcPr>
          <w:p w14:paraId="569D7B60">
            <w:pPr>
              <w:adjustRightInd w:val="0"/>
              <w:snapToGrid w:val="0"/>
              <w:jc w:val="left"/>
              <w:rPr>
                <w:snapToGrid w:val="0"/>
                <w:color w:val="auto"/>
                <w:highlight w:val="none"/>
              </w:rPr>
            </w:pPr>
          </w:p>
        </w:tc>
        <w:tc>
          <w:tcPr>
            <w:tcW w:w="1276" w:type="dxa"/>
            <w:tcMar>
              <w:left w:w="108" w:type="dxa"/>
              <w:right w:w="108" w:type="dxa"/>
            </w:tcMar>
            <w:vAlign w:val="center"/>
          </w:tcPr>
          <w:p w14:paraId="729306FC">
            <w:pPr>
              <w:adjustRightInd w:val="0"/>
              <w:snapToGrid w:val="0"/>
              <w:jc w:val="left"/>
              <w:rPr>
                <w:snapToGrid w:val="0"/>
                <w:color w:val="auto"/>
                <w:highlight w:val="none"/>
              </w:rPr>
            </w:pPr>
          </w:p>
        </w:tc>
        <w:tc>
          <w:tcPr>
            <w:tcW w:w="1276" w:type="dxa"/>
            <w:tcMar>
              <w:left w:w="108" w:type="dxa"/>
              <w:right w:w="108" w:type="dxa"/>
            </w:tcMar>
            <w:vAlign w:val="center"/>
          </w:tcPr>
          <w:p w14:paraId="0D7FEE15">
            <w:pPr>
              <w:adjustRightInd w:val="0"/>
              <w:snapToGrid w:val="0"/>
              <w:jc w:val="left"/>
              <w:rPr>
                <w:snapToGrid w:val="0"/>
                <w:color w:val="auto"/>
                <w:highlight w:val="none"/>
              </w:rPr>
            </w:pPr>
          </w:p>
        </w:tc>
        <w:tc>
          <w:tcPr>
            <w:tcW w:w="2126" w:type="dxa"/>
            <w:tcMar>
              <w:left w:w="108" w:type="dxa"/>
              <w:right w:w="108" w:type="dxa"/>
            </w:tcMar>
            <w:vAlign w:val="center"/>
          </w:tcPr>
          <w:p w14:paraId="7FDD4AE8">
            <w:pPr>
              <w:adjustRightInd w:val="0"/>
              <w:snapToGrid w:val="0"/>
              <w:jc w:val="left"/>
              <w:rPr>
                <w:snapToGrid w:val="0"/>
                <w:color w:val="auto"/>
                <w:highlight w:val="none"/>
              </w:rPr>
            </w:pPr>
          </w:p>
        </w:tc>
        <w:tc>
          <w:tcPr>
            <w:tcW w:w="2552" w:type="dxa"/>
            <w:tcMar>
              <w:left w:w="108" w:type="dxa"/>
              <w:right w:w="108" w:type="dxa"/>
            </w:tcMar>
            <w:vAlign w:val="center"/>
          </w:tcPr>
          <w:p w14:paraId="678F97B8">
            <w:pPr>
              <w:adjustRightInd w:val="0"/>
              <w:snapToGrid w:val="0"/>
              <w:jc w:val="left"/>
              <w:rPr>
                <w:snapToGrid w:val="0"/>
                <w:color w:val="auto"/>
                <w:highlight w:val="none"/>
              </w:rPr>
            </w:pPr>
          </w:p>
        </w:tc>
      </w:tr>
      <w:tr w14:paraId="0986C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79E21383">
            <w:pPr>
              <w:adjustRightInd w:val="0"/>
              <w:snapToGrid w:val="0"/>
              <w:jc w:val="left"/>
              <w:rPr>
                <w:snapToGrid w:val="0"/>
                <w:color w:val="auto"/>
                <w:highlight w:val="none"/>
              </w:rPr>
            </w:pPr>
          </w:p>
        </w:tc>
        <w:tc>
          <w:tcPr>
            <w:tcW w:w="992" w:type="dxa"/>
            <w:tcMar>
              <w:left w:w="108" w:type="dxa"/>
              <w:right w:w="108" w:type="dxa"/>
            </w:tcMar>
            <w:vAlign w:val="center"/>
          </w:tcPr>
          <w:p w14:paraId="711377DB">
            <w:pPr>
              <w:adjustRightInd w:val="0"/>
              <w:snapToGrid w:val="0"/>
              <w:jc w:val="left"/>
              <w:rPr>
                <w:snapToGrid w:val="0"/>
                <w:color w:val="auto"/>
                <w:highlight w:val="none"/>
              </w:rPr>
            </w:pPr>
          </w:p>
        </w:tc>
        <w:tc>
          <w:tcPr>
            <w:tcW w:w="1276" w:type="dxa"/>
            <w:tcMar>
              <w:left w:w="108" w:type="dxa"/>
              <w:right w:w="108" w:type="dxa"/>
            </w:tcMar>
            <w:vAlign w:val="center"/>
          </w:tcPr>
          <w:p w14:paraId="12EA02B9">
            <w:pPr>
              <w:adjustRightInd w:val="0"/>
              <w:snapToGrid w:val="0"/>
              <w:jc w:val="left"/>
              <w:rPr>
                <w:snapToGrid w:val="0"/>
                <w:color w:val="auto"/>
                <w:highlight w:val="none"/>
              </w:rPr>
            </w:pPr>
          </w:p>
        </w:tc>
        <w:tc>
          <w:tcPr>
            <w:tcW w:w="1276" w:type="dxa"/>
            <w:tcMar>
              <w:left w:w="108" w:type="dxa"/>
              <w:right w:w="108" w:type="dxa"/>
            </w:tcMar>
            <w:vAlign w:val="center"/>
          </w:tcPr>
          <w:p w14:paraId="367737EB">
            <w:pPr>
              <w:adjustRightInd w:val="0"/>
              <w:snapToGrid w:val="0"/>
              <w:jc w:val="left"/>
              <w:rPr>
                <w:snapToGrid w:val="0"/>
                <w:color w:val="auto"/>
                <w:highlight w:val="none"/>
              </w:rPr>
            </w:pPr>
          </w:p>
        </w:tc>
        <w:tc>
          <w:tcPr>
            <w:tcW w:w="2126" w:type="dxa"/>
            <w:tcMar>
              <w:left w:w="108" w:type="dxa"/>
              <w:right w:w="108" w:type="dxa"/>
            </w:tcMar>
            <w:vAlign w:val="center"/>
          </w:tcPr>
          <w:p w14:paraId="16A8FB81">
            <w:pPr>
              <w:adjustRightInd w:val="0"/>
              <w:snapToGrid w:val="0"/>
              <w:jc w:val="left"/>
              <w:rPr>
                <w:snapToGrid w:val="0"/>
                <w:color w:val="auto"/>
                <w:highlight w:val="none"/>
              </w:rPr>
            </w:pPr>
          </w:p>
        </w:tc>
        <w:tc>
          <w:tcPr>
            <w:tcW w:w="2552" w:type="dxa"/>
            <w:tcMar>
              <w:left w:w="108" w:type="dxa"/>
              <w:right w:w="108" w:type="dxa"/>
            </w:tcMar>
            <w:vAlign w:val="center"/>
          </w:tcPr>
          <w:p w14:paraId="6BC54220">
            <w:pPr>
              <w:adjustRightInd w:val="0"/>
              <w:snapToGrid w:val="0"/>
              <w:jc w:val="left"/>
              <w:rPr>
                <w:snapToGrid w:val="0"/>
                <w:color w:val="auto"/>
                <w:highlight w:val="none"/>
              </w:rPr>
            </w:pPr>
          </w:p>
        </w:tc>
      </w:tr>
      <w:tr w14:paraId="0C709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120CCB97">
            <w:pPr>
              <w:adjustRightInd w:val="0"/>
              <w:snapToGrid w:val="0"/>
              <w:jc w:val="left"/>
              <w:rPr>
                <w:snapToGrid w:val="0"/>
                <w:color w:val="auto"/>
                <w:highlight w:val="none"/>
              </w:rPr>
            </w:pPr>
          </w:p>
        </w:tc>
        <w:tc>
          <w:tcPr>
            <w:tcW w:w="992" w:type="dxa"/>
            <w:tcMar>
              <w:left w:w="108" w:type="dxa"/>
              <w:right w:w="108" w:type="dxa"/>
            </w:tcMar>
            <w:vAlign w:val="center"/>
          </w:tcPr>
          <w:p w14:paraId="0FEB253E">
            <w:pPr>
              <w:adjustRightInd w:val="0"/>
              <w:snapToGrid w:val="0"/>
              <w:jc w:val="left"/>
              <w:rPr>
                <w:snapToGrid w:val="0"/>
                <w:color w:val="auto"/>
                <w:highlight w:val="none"/>
              </w:rPr>
            </w:pPr>
          </w:p>
        </w:tc>
        <w:tc>
          <w:tcPr>
            <w:tcW w:w="1276" w:type="dxa"/>
            <w:tcMar>
              <w:left w:w="108" w:type="dxa"/>
              <w:right w:w="108" w:type="dxa"/>
            </w:tcMar>
            <w:vAlign w:val="center"/>
          </w:tcPr>
          <w:p w14:paraId="4B0076A4">
            <w:pPr>
              <w:adjustRightInd w:val="0"/>
              <w:snapToGrid w:val="0"/>
              <w:jc w:val="left"/>
              <w:rPr>
                <w:snapToGrid w:val="0"/>
                <w:color w:val="auto"/>
                <w:highlight w:val="none"/>
              </w:rPr>
            </w:pPr>
          </w:p>
        </w:tc>
        <w:tc>
          <w:tcPr>
            <w:tcW w:w="1276" w:type="dxa"/>
            <w:tcMar>
              <w:left w:w="108" w:type="dxa"/>
              <w:right w:w="108" w:type="dxa"/>
            </w:tcMar>
            <w:vAlign w:val="center"/>
          </w:tcPr>
          <w:p w14:paraId="6BD4577A">
            <w:pPr>
              <w:adjustRightInd w:val="0"/>
              <w:snapToGrid w:val="0"/>
              <w:jc w:val="left"/>
              <w:rPr>
                <w:snapToGrid w:val="0"/>
                <w:color w:val="auto"/>
                <w:highlight w:val="none"/>
              </w:rPr>
            </w:pPr>
          </w:p>
        </w:tc>
        <w:tc>
          <w:tcPr>
            <w:tcW w:w="2126" w:type="dxa"/>
            <w:tcMar>
              <w:left w:w="108" w:type="dxa"/>
              <w:right w:w="108" w:type="dxa"/>
            </w:tcMar>
            <w:vAlign w:val="center"/>
          </w:tcPr>
          <w:p w14:paraId="4C2CE4B9">
            <w:pPr>
              <w:adjustRightInd w:val="0"/>
              <w:snapToGrid w:val="0"/>
              <w:jc w:val="left"/>
              <w:rPr>
                <w:snapToGrid w:val="0"/>
                <w:color w:val="auto"/>
                <w:highlight w:val="none"/>
              </w:rPr>
            </w:pPr>
          </w:p>
        </w:tc>
        <w:tc>
          <w:tcPr>
            <w:tcW w:w="2552" w:type="dxa"/>
            <w:tcMar>
              <w:left w:w="108" w:type="dxa"/>
              <w:right w:w="108" w:type="dxa"/>
            </w:tcMar>
            <w:vAlign w:val="center"/>
          </w:tcPr>
          <w:p w14:paraId="714F5B5B">
            <w:pPr>
              <w:adjustRightInd w:val="0"/>
              <w:snapToGrid w:val="0"/>
              <w:jc w:val="left"/>
              <w:rPr>
                <w:snapToGrid w:val="0"/>
                <w:color w:val="auto"/>
                <w:highlight w:val="none"/>
              </w:rPr>
            </w:pPr>
          </w:p>
        </w:tc>
      </w:tr>
      <w:tr w14:paraId="14A62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268" w:type="dxa"/>
            <w:tcMar>
              <w:left w:w="108" w:type="dxa"/>
              <w:right w:w="108" w:type="dxa"/>
            </w:tcMar>
            <w:vAlign w:val="center"/>
          </w:tcPr>
          <w:p w14:paraId="574BCA80">
            <w:pPr>
              <w:adjustRightInd w:val="0"/>
              <w:snapToGrid w:val="0"/>
              <w:jc w:val="left"/>
              <w:rPr>
                <w:snapToGrid w:val="0"/>
                <w:color w:val="auto"/>
                <w:highlight w:val="none"/>
              </w:rPr>
            </w:pPr>
          </w:p>
        </w:tc>
        <w:tc>
          <w:tcPr>
            <w:tcW w:w="992" w:type="dxa"/>
            <w:tcMar>
              <w:left w:w="108" w:type="dxa"/>
              <w:right w:w="108" w:type="dxa"/>
            </w:tcMar>
            <w:vAlign w:val="center"/>
          </w:tcPr>
          <w:p w14:paraId="11A47EF3">
            <w:pPr>
              <w:adjustRightInd w:val="0"/>
              <w:snapToGrid w:val="0"/>
              <w:jc w:val="left"/>
              <w:rPr>
                <w:snapToGrid w:val="0"/>
                <w:color w:val="auto"/>
                <w:highlight w:val="none"/>
              </w:rPr>
            </w:pPr>
          </w:p>
        </w:tc>
        <w:tc>
          <w:tcPr>
            <w:tcW w:w="1276" w:type="dxa"/>
            <w:tcMar>
              <w:left w:w="108" w:type="dxa"/>
              <w:right w:w="108" w:type="dxa"/>
            </w:tcMar>
            <w:vAlign w:val="center"/>
          </w:tcPr>
          <w:p w14:paraId="6EA6D9B6">
            <w:pPr>
              <w:adjustRightInd w:val="0"/>
              <w:snapToGrid w:val="0"/>
              <w:jc w:val="left"/>
              <w:rPr>
                <w:snapToGrid w:val="0"/>
                <w:color w:val="auto"/>
                <w:highlight w:val="none"/>
              </w:rPr>
            </w:pPr>
          </w:p>
        </w:tc>
        <w:tc>
          <w:tcPr>
            <w:tcW w:w="1276" w:type="dxa"/>
            <w:tcMar>
              <w:left w:w="108" w:type="dxa"/>
              <w:right w:w="108" w:type="dxa"/>
            </w:tcMar>
            <w:vAlign w:val="center"/>
          </w:tcPr>
          <w:p w14:paraId="11FB061E">
            <w:pPr>
              <w:adjustRightInd w:val="0"/>
              <w:snapToGrid w:val="0"/>
              <w:jc w:val="left"/>
              <w:rPr>
                <w:snapToGrid w:val="0"/>
                <w:color w:val="auto"/>
                <w:highlight w:val="none"/>
              </w:rPr>
            </w:pPr>
          </w:p>
        </w:tc>
        <w:tc>
          <w:tcPr>
            <w:tcW w:w="2126" w:type="dxa"/>
            <w:tcMar>
              <w:left w:w="108" w:type="dxa"/>
              <w:right w:w="108" w:type="dxa"/>
            </w:tcMar>
            <w:vAlign w:val="center"/>
          </w:tcPr>
          <w:p w14:paraId="66266F0F">
            <w:pPr>
              <w:adjustRightInd w:val="0"/>
              <w:snapToGrid w:val="0"/>
              <w:jc w:val="left"/>
              <w:rPr>
                <w:snapToGrid w:val="0"/>
                <w:color w:val="auto"/>
                <w:highlight w:val="none"/>
              </w:rPr>
            </w:pPr>
          </w:p>
        </w:tc>
        <w:tc>
          <w:tcPr>
            <w:tcW w:w="2552" w:type="dxa"/>
            <w:tcMar>
              <w:left w:w="108" w:type="dxa"/>
              <w:right w:w="108" w:type="dxa"/>
            </w:tcMar>
            <w:vAlign w:val="center"/>
          </w:tcPr>
          <w:p w14:paraId="6B7F7B32">
            <w:pPr>
              <w:adjustRightInd w:val="0"/>
              <w:snapToGrid w:val="0"/>
              <w:jc w:val="left"/>
              <w:rPr>
                <w:snapToGrid w:val="0"/>
                <w:color w:val="auto"/>
                <w:highlight w:val="none"/>
              </w:rPr>
            </w:pPr>
          </w:p>
        </w:tc>
      </w:tr>
    </w:tbl>
    <w:p w14:paraId="04F921E5">
      <w:pPr>
        <w:widowControl w:val="0"/>
        <w:adjustRightInd w:val="0"/>
        <w:snapToGrid w:val="0"/>
        <w:rPr>
          <w:color w:val="auto"/>
          <w:highlight w:val="none"/>
        </w:rPr>
      </w:pPr>
    </w:p>
    <w:p w14:paraId="45976144">
      <w:pPr>
        <w:adjustRightInd w:val="0"/>
        <w:snapToGrid w:val="0"/>
        <w:spacing w:line="300" w:lineRule="auto"/>
        <w:ind w:firstLine="480" w:firstLineChars="200"/>
        <w:rPr>
          <w:rFonts w:cs="宋体"/>
          <w:snapToGrid w:val="0"/>
          <w:color w:val="auto"/>
          <w:sz w:val="24"/>
          <w:szCs w:val="21"/>
          <w:highlight w:val="none"/>
        </w:rPr>
      </w:pPr>
      <w:r>
        <w:rPr>
          <w:rFonts w:hint="eastAsia" w:cs="宋体"/>
          <w:snapToGrid w:val="0"/>
          <w:color w:val="auto"/>
          <w:sz w:val="24"/>
          <w:szCs w:val="21"/>
          <w:highlight w:val="none"/>
        </w:rPr>
        <w:t>表三 乙方设备设施配备情况</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9"/>
        <w:gridCol w:w="1275"/>
        <w:gridCol w:w="1276"/>
        <w:gridCol w:w="2126"/>
        <w:gridCol w:w="2694"/>
      </w:tblGrid>
      <w:tr w14:paraId="573BC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5B7B516E">
            <w:pPr>
              <w:adjustRightInd w:val="0"/>
              <w:snapToGrid w:val="0"/>
              <w:jc w:val="center"/>
              <w:rPr>
                <w:snapToGrid w:val="0"/>
                <w:color w:val="auto"/>
                <w:highlight w:val="none"/>
              </w:rPr>
            </w:pPr>
            <w:r>
              <w:rPr>
                <w:rFonts w:hint="eastAsia"/>
                <w:snapToGrid w:val="0"/>
                <w:color w:val="auto"/>
                <w:highlight w:val="none"/>
              </w:rPr>
              <w:t>设备设施名称</w:t>
            </w:r>
          </w:p>
        </w:tc>
        <w:tc>
          <w:tcPr>
            <w:tcW w:w="1275" w:type="dxa"/>
            <w:tcMar>
              <w:left w:w="108" w:type="dxa"/>
              <w:right w:w="108" w:type="dxa"/>
            </w:tcMar>
            <w:vAlign w:val="center"/>
          </w:tcPr>
          <w:p w14:paraId="24EFE019">
            <w:pPr>
              <w:adjustRightInd w:val="0"/>
              <w:snapToGrid w:val="0"/>
              <w:jc w:val="center"/>
              <w:rPr>
                <w:snapToGrid w:val="0"/>
                <w:color w:val="auto"/>
                <w:highlight w:val="none"/>
              </w:rPr>
            </w:pPr>
            <w:r>
              <w:rPr>
                <w:rFonts w:hint="eastAsia"/>
                <w:snapToGrid w:val="0"/>
                <w:color w:val="auto"/>
                <w:highlight w:val="none"/>
              </w:rPr>
              <w:t>型号规格</w:t>
            </w:r>
          </w:p>
        </w:tc>
        <w:tc>
          <w:tcPr>
            <w:tcW w:w="1276" w:type="dxa"/>
            <w:tcMar>
              <w:left w:w="108" w:type="dxa"/>
              <w:right w:w="108" w:type="dxa"/>
            </w:tcMar>
            <w:vAlign w:val="center"/>
          </w:tcPr>
          <w:p w14:paraId="2174F195">
            <w:pPr>
              <w:adjustRightInd w:val="0"/>
              <w:snapToGrid w:val="0"/>
              <w:jc w:val="center"/>
              <w:rPr>
                <w:snapToGrid w:val="0"/>
                <w:color w:val="auto"/>
                <w:highlight w:val="none"/>
              </w:rPr>
            </w:pPr>
            <w:r>
              <w:rPr>
                <w:rFonts w:hint="eastAsia"/>
                <w:snapToGrid w:val="0"/>
                <w:color w:val="auto"/>
                <w:highlight w:val="none"/>
              </w:rPr>
              <w:t>编号</w:t>
            </w:r>
          </w:p>
        </w:tc>
        <w:tc>
          <w:tcPr>
            <w:tcW w:w="2126" w:type="dxa"/>
            <w:tcMar>
              <w:left w:w="108" w:type="dxa"/>
              <w:right w:w="108" w:type="dxa"/>
            </w:tcMar>
            <w:vAlign w:val="center"/>
          </w:tcPr>
          <w:p w14:paraId="1E649415">
            <w:pPr>
              <w:adjustRightInd w:val="0"/>
              <w:snapToGrid w:val="0"/>
              <w:jc w:val="center"/>
              <w:rPr>
                <w:snapToGrid w:val="0"/>
                <w:color w:val="auto"/>
                <w:highlight w:val="none"/>
              </w:rPr>
            </w:pPr>
            <w:r>
              <w:rPr>
                <w:rFonts w:hint="eastAsia"/>
                <w:snapToGrid w:val="0"/>
                <w:color w:val="auto"/>
                <w:highlight w:val="none"/>
              </w:rPr>
              <w:t>安装位置</w:t>
            </w:r>
          </w:p>
        </w:tc>
        <w:tc>
          <w:tcPr>
            <w:tcW w:w="2694" w:type="dxa"/>
            <w:tcMar>
              <w:left w:w="108" w:type="dxa"/>
              <w:right w:w="108" w:type="dxa"/>
            </w:tcMar>
            <w:vAlign w:val="center"/>
          </w:tcPr>
          <w:p w14:paraId="1391B0E4">
            <w:pPr>
              <w:adjustRightInd w:val="0"/>
              <w:snapToGrid w:val="0"/>
              <w:jc w:val="center"/>
              <w:rPr>
                <w:snapToGrid w:val="0"/>
                <w:color w:val="auto"/>
                <w:highlight w:val="none"/>
              </w:rPr>
            </w:pPr>
            <w:r>
              <w:rPr>
                <w:rFonts w:hint="eastAsia"/>
                <w:snapToGrid w:val="0"/>
                <w:color w:val="auto"/>
                <w:highlight w:val="none"/>
              </w:rPr>
              <w:t>数量</w:t>
            </w:r>
          </w:p>
        </w:tc>
      </w:tr>
      <w:tr w14:paraId="2D07B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2AE80936">
            <w:pPr>
              <w:adjustRightInd w:val="0"/>
              <w:snapToGrid w:val="0"/>
              <w:jc w:val="left"/>
              <w:rPr>
                <w:snapToGrid w:val="0"/>
                <w:color w:val="auto"/>
                <w:highlight w:val="none"/>
              </w:rPr>
            </w:pPr>
          </w:p>
        </w:tc>
        <w:tc>
          <w:tcPr>
            <w:tcW w:w="1275" w:type="dxa"/>
            <w:tcMar>
              <w:left w:w="108" w:type="dxa"/>
              <w:right w:w="108" w:type="dxa"/>
            </w:tcMar>
            <w:vAlign w:val="center"/>
          </w:tcPr>
          <w:p w14:paraId="22B61AA9">
            <w:pPr>
              <w:adjustRightInd w:val="0"/>
              <w:snapToGrid w:val="0"/>
              <w:jc w:val="left"/>
              <w:rPr>
                <w:snapToGrid w:val="0"/>
                <w:color w:val="auto"/>
                <w:highlight w:val="none"/>
              </w:rPr>
            </w:pPr>
          </w:p>
        </w:tc>
        <w:tc>
          <w:tcPr>
            <w:tcW w:w="1276" w:type="dxa"/>
            <w:tcMar>
              <w:left w:w="108" w:type="dxa"/>
              <w:right w:w="108" w:type="dxa"/>
            </w:tcMar>
            <w:vAlign w:val="center"/>
          </w:tcPr>
          <w:p w14:paraId="3F298828">
            <w:pPr>
              <w:adjustRightInd w:val="0"/>
              <w:snapToGrid w:val="0"/>
              <w:jc w:val="left"/>
              <w:rPr>
                <w:snapToGrid w:val="0"/>
                <w:color w:val="auto"/>
                <w:highlight w:val="none"/>
              </w:rPr>
            </w:pPr>
          </w:p>
        </w:tc>
        <w:tc>
          <w:tcPr>
            <w:tcW w:w="2126" w:type="dxa"/>
            <w:tcMar>
              <w:left w:w="108" w:type="dxa"/>
              <w:right w:w="108" w:type="dxa"/>
            </w:tcMar>
            <w:vAlign w:val="center"/>
          </w:tcPr>
          <w:p w14:paraId="37593A4D">
            <w:pPr>
              <w:adjustRightInd w:val="0"/>
              <w:snapToGrid w:val="0"/>
              <w:jc w:val="left"/>
              <w:rPr>
                <w:snapToGrid w:val="0"/>
                <w:color w:val="auto"/>
                <w:highlight w:val="none"/>
              </w:rPr>
            </w:pPr>
          </w:p>
        </w:tc>
        <w:tc>
          <w:tcPr>
            <w:tcW w:w="2694" w:type="dxa"/>
            <w:tcMar>
              <w:left w:w="108" w:type="dxa"/>
              <w:right w:w="108" w:type="dxa"/>
            </w:tcMar>
            <w:vAlign w:val="center"/>
          </w:tcPr>
          <w:p w14:paraId="751E78A8">
            <w:pPr>
              <w:adjustRightInd w:val="0"/>
              <w:snapToGrid w:val="0"/>
              <w:jc w:val="left"/>
              <w:rPr>
                <w:snapToGrid w:val="0"/>
                <w:color w:val="auto"/>
                <w:highlight w:val="none"/>
              </w:rPr>
            </w:pPr>
          </w:p>
        </w:tc>
      </w:tr>
      <w:tr w14:paraId="381E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1C5D5509">
            <w:pPr>
              <w:adjustRightInd w:val="0"/>
              <w:snapToGrid w:val="0"/>
              <w:jc w:val="left"/>
              <w:rPr>
                <w:snapToGrid w:val="0"/>
                <w:color w:val="auto"/>
                <w:highlight w:val="none"/>
              </w:rPr>
            </w:pPr>
          </w:p>
        </w:tc>
        <w:tc>
          <w:tcPr>
            <w:tcW w:w="1275" w:type="dxa"/>
            <w:tcMar>
              <w:left w:w="108" w:type="dxa"/>
              <w:right w:w="108" w:type="dxa"/>
            </w:tcMar>
            <w:vAlign w:val="center"/>
          </w:tcPr>
          <w:p w14:paraId="4393F05E">
            <w:pPr>
              <w:adjustRightInd w:val="0"/>
              <w:snapToGrid w:val="0"/>
              <w:jc w:val="left"/>
              <w:rPr>
                <w:snapToGrid w:val="0"/>
                <w:color w:val="auto"/>
                <w:highlight w:val="none"/>
              </w:rPr>
            </w:pPr>
          </w:p>
        </w:tc>
        <w:tc>
          <w:tcPr>
            <w:tcW w:w="1276" w:type="dxa"/>
            <w:tcMar>
              <w:left w:w="108" w:type="dxa"/>
              <w:right w:w="108" w:type="dxa"/>
            </w:tcMar>
            <w:vAlign w:val="center"/>
          </w:tcPr>
          <w:p w14:paraId="1D792589">
            <w:pPr>
              <w:adjustRightInd w:val="0"/>
              <w:snapToGrid w:val="0"/>
              <w:jc w:val="left"/>
              <w:rPr>
                <w:snapToGrid w:val="0"/>
                <w:color w:val="auto"/>
                <w:highlight w:val="none"/>
              </w:rPr>
            </w:pPr>
          </w:p>
        </w:tc>
        <w:tc>
          <w:tcPr>
            <w:tcW w:w="2126" w:type="dxa"/>
            <w:tcMar>
              <w:left w:w="108" w:type="dxa"/>
              <w:right w:w="108" w:type="dxa"/>
            </w:tcMar>
            <w:vAlign w:val="center"/>
          </w:tcPr>
          <w:p w14:paraId="4BA1B503">
            <w:pPr>
              <w:adjustRightInd w:val="0"/>
              <w:snapToGrid w:val="0"/>
              <w:jc w:val="left"/>
              <w:rPr>
                <w:snapToGrid w:val="0"/>
                <w:color w:val="auto"/>
                <w:highlight w:val="none"/>
              </w:rPr>
            </w:pPr>
          </w:p>
        </w:tc>
        <w:tc>
          <w:tcPr>
            <w:tcW w:w="2694" w:type="dxa"/>
            <w:tcMar>
              <w:left w:w="108" w:type="dxa"/>
              <w:right w:w="108" w:type="dxa"/>
            </w:tcMar>
            <w:vAlign w:val="center"/>
          </w:tcPr>
          <w:p w14:paraId="15AA0F6E">
            <w:pPr>
              <w:adjustRightInd w:val="0"/>
              <w:snapToGrid w:val="0"/>
              <w:jc w:val="left"/>
              <w:rPr>
                <w:snapToGrid w:val="0"/>
                <w:color w:val="auto"/>
                <w:highlight w:val="none"/>
              </w:rPr>
            </w:pPr>
          </w:p>
        </w:tc>
      </w:tr>
      <w:tr w14:paraId="10DBB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0CB4788F">
            <w:pPr>
              <w:adjustRightInd w:val="0"/>
              <w:snapToGrid w:val="0"/>
              <w:jc w:val="left"/>
              <w:rPr>
                <w:snapToGrid w:val="0"/>
                <w:color w:val="auto"/>
                <w:highlight w:val="none"/>
              </w:rPr>
            </w:pPr>
          </w:p>
        </w:tc>
        <w:tc>
          <w:tcPr>
            <w:tcW w:w="1275" w:type="dxa"/>
            <w:tcMar>
              <w:left w:w="108" w:type="dxa"/>
              <w:right w:w="108" w:type="dxa"/>
            </w:tcMar>
            <w:vAlign w:val="center"/>
          </w:tcPr>
          <w:p w14:paraId="0281B54F">
            <w:pPr>
              <w:adjustRightInd w:val="0"/>
              <w:snapToGrid w:val="0"/>
              <w:jc w:val="left"/>
              <w:rPr>
                <w:snapToGrid w:val="0"/>
                <w:color w:val="auto"/>
                <w:highlight w:val="none"/>
              </w:rPr>
            </w:pPr>
          </w:p>
        </w:tc>
        <w:tc>
          <w:tcPr>
            <w:tcW w:w="1276" w:type="dxa"/>
            <w:tcMar>
              <w:left w:w="108" w:type="dxa"/>
              <w:right w:w="108" w:type="dxa"/>
            </w:tcMar>
            <w:vAlign w:val="center"/>
          </w:tcPr>
          <w:p w14:paraId="45154362">
            <w:pPr>
              <w:adjustRightInd w:val="0"/>
              <w:snapToGrid w:val="0"/>
              <w:jc w:val="left"/>
              <w:rPr>
                <w:snapToGrid w:val="0"/>
                <w:color w:val="auto"/>
                <w:highlight w:val="none"/>
              </w:rPr>
            </w:pPr>
          </w:p>
        </w:tc>
        <w:tc>
          <w:tcPr>
            <w:tcW w:w="2126" w:type="dxa"/>
            <w:tcMar>
              <w:left w:w="108" w:type="dxa"/>
              <w:right w:w="108" w:type="dxa"/>
            </w:tcMar>
            <w:vAlign w:val="center"/>
          </w:tcPr>
          <w:p w14:paraId="5BC6DC78">
            <w:pPr>
              <w:adjustRightInd w:val="0"/>
              <w:snapToGrid w:val="0"/>
              <w:jc w:val="left"/>
              <w:rPr>
                <w:snapToGrid w:val="0"/>
                <w:color w:val="auto"/>
                <w:highlight w:val="none"/>
              </w:rPr>
            </w:pPr>
          </w:p>
        </w:tc>
        <w:tc>
          <w:tcPr>
            <w:tcW w:w="2694" w:type="dxa"/>
            <w:tcMar>
              <w:left w:w="108" w:type="dxa"/>
              <w:right w:w="108" w:type="dxa"/>
            </w:tcMar>
            <w:vAlign w:val="center"/>
          </w:tcPr>
          <w:p w14:paraId="7704DE94">
            <w:pPr>
              <w:adjustRightInd w:val="0"/>
              <w:snapToGrid w:val="0"/>
              <w:jc w:val="left"/>
              <w:rPr>
                <w:snapToGrid w:val="0"/>
                <w:color w:val="auto"/>
                <w:highlight w:val="none"/>
              </w:rPr>
            </w:pPr>
          </w:p>
        </w:tc>
      </w:tr>
      <w:tr w14:paraId="6ABD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2119" w:type="dxa"/>
            <w:tcMar>
              <w:left w:w="108" w:type="dxa"/>
              <w:right w:w="108" w:type="dxa"/>
            </w:tcMar>
            <w:vAlign w:val="center"/>
          </w:tcPr>
          <w:p w14:paraId="592F4791">
            <w:pPr>
              <w:adjustRightInd w:val="0"/>
              <w:snapToGrid w:val="0"/>
              <w:jc w:val="left"/>
              <w:rPr>
                <w:snapToGrid w:val="0"/>
                <w:color w:val="auto"/>
                <w:highlight w:val="none"/>
              </w:rPr>
            </w:pPr>
          </w:p>
        </w:tc>
        <w:tc>
          <w:tcPr>
            <w:tcW w:w="1275" w:type="dxa"/>
            <w:tcMar>
              <w:left w:w="108" w:type="dxa"/>
              <w:right w:w="108" w:type="dxa"/>
            </w:tcMar>
            <w:vAlign w:val="center"/>
          </w:tcPr>
          <w:p w14:paraId="05D97985">
            <w:pPr>
              <w:adjustRightInd w:val="0"/>
              <w:snapToGrid w:val="0"/>
              <w:jc w:val="left"/>
              <w:rPr>
                <w:snapToGrid w:val="0"/>
                <w:color w:val="auto"/>
                <w:highlight w:val="none"/>
              </w:rPr>
            </w:pPr>
          </w:p>
        </w:tc>
        <w:tc>
          <w:tcPr>
            <w:tcW w:w="1276" w:type="dxa"/>
            <w:tcMar>
              <w:left w:w="108" w:type="dxa"/>
              <w:right w:w="108" w:type="dxa"/>
            </w:tcMar>
            <w:vAlign w:val="center"/>
          </w:tcPr>
          <w:p w14:paraId="03178FC1">
            <w:pPr>
              <w:adjustRightInd w:val="0"/>
              <w:snapToGrid w:val="0"/>
              <w:jc w:val="left"/>
              <w:rPr>
                <w:snapToGrid w:val="0"/>
                <w:color w:val="auto"/>
                <w:highlight w:val="none"/>
              </w:rPr>
            </w:pPr>
          </w:p>
        </w:tc>
        <w:tc>
          <w:tcPr>
            <w:tcW w:w="2126" w:type="dxa"/>
            <w:tcMar>
              <w:left w:w="108" w:type="dxa"/>
              <w:right w:w="108" w:type="dxa"/>
            </w:tcMar>
            <w:vAlign w:val="center"/>
          </w:tcPr>
          <w:p w14:paraId="39F28793">
            <w:pPr>
              <w:adjustRightInd w:val="0"/>
              <w:snapToGrid w:val="0"/>
              <w:jc w:val="left"/>
              <w:rPr>
                <w:snapToGrid w:val="0"/>
                <w:color w:val="auto"/>
                <w:highlight w:val="none"/>
              </w:rPr>
            </w:pPr>
          </w:p>
        </w:tc>
        <w:tc>
          <w:tcPr>
            <w:tcW w:w="2694" w:type="dxa"/>
            <w:tcMar>
              <w:left w:w="108" w:type="dxa"/>
              <w:right w:w="108" w:type="dxa"/>
            </w:tcMar>
            <w:vAlign w:val="center"/>
          </w:tcPr>
          <w:p w14:paraId="2847EF8B">
            <w:pPr>
              <w:adjustRightInd w:val="0"/>
              <w:snapToGrid w:val="0"/>
              <w:jc w:val="left"/>
              <w:rPr>
                <w:snapToGrid w:val="0"/>
                <w:color w:val="auto"/>
                <w:highlight w:val="none"/>
              </w:rPr>
            </w:pPr>
          </w:p>
        </w:tc>
      </w:tr>
    </w:tbl>
    <w:p w14:paraId="5960A2C3">
      <w:pPr>
        <w:widowControl w:val="0"/>
        <w:adjustRightInd w:val="0"/>
        <w:snapToGrid w:val="0"/>
        <w:rPr>
          <w:color w:val="auto"/>
          <w:highlight w:val="none"/>
        </w:rPr>
      </w:pPr>
    </w:p>
    <w:p w14:paraId="6B50EA94">
      <w:pPr>
        <w:widowControl w:val="0"/>
        <w:adjustRightInd w:val="0"/>
        <w:snapToGrid w:val="0"/>
        <w:rPr>
          <w:color w:val="auto"/>
          <w:highlight w:val="none"/>
        </w:rPr>
      </w:pPr>
    </w:p>
    <w:p w14:paraId="1A442482">
      <w:pPr>
        <w:widowControl w:val="0"/>
        <w:adjustRightInd w:val="0"/>
        <w:snapToGrid w:val="0"/>
        <w:rPr>
          <w:color w:val="auto"/>
          <w:highlight w:val="none"/>
        </w:rPr>
      </w:pPr>
    </w:p>
    <w:p w14:paraId="608640F7">
      <w:pPr>
        <w:pStyle w:val="417"/>
        <w:ind w:firstLine="0" w:firstLineChars="0"/>
        <w:jc w:val="center"/>
        <w:rPr>
          <w:color w:val="auto"/>
          <w:highlight w:val="none"/>
        </w:rPr>
      </w:pPr>
      <w:bookmarkStart w:id="415" w:name="_Toc173762014"/>
      <w:r>
        <w:rPr>
          <w:rFonts w:hint="eastAsia"/>
          <w:color w:val="auto"/>
          <w:highlight w:val="none"/>
        </w:rPr>
        <w:t>五、廉政责任书</w:t>
      </w:r>
      <w:bookmarkEnd w:id="415"/>
    </w:p>
    <w:p w14:paraId="5D42F576">
      <w:pPr>
        <w:widowControl w:val="0"/>
        <w:adjustRightInd w:val="0"/>
        <w:snapToGrid w:val="0"/>
        <w:rPr>
          <w:color w:val="auto"/>
          <w:highlight w:val="none"/>
        </w:rPr>
      </w:pPr>
    </w:p>
    <w:p w14:paraId="10B94FBD">
      <w:pPr>
        <w:widowControl w:val="0"/>
        <w:adjustRightInd w:val="0"/>
        <w:snapToGrid w:val="0"/>
        <w:rPr>
          <w:color w:val="auto"/>
          <w:highlight w:val="none"/>
        </w:rPr>
      </w:pPr>
    </w:p>
    <w:p w14:paraId="3D1627BE">
      <w:pPr>
        <w:widowControl w:val="0"/>
        <w:adjustRightInd w:val="0"/>
        <w:snapToGrid w:val="0"/>
        <w:rPr>
          <w:color w:val="auto"/>
          <w:highlight w:val="none"/>
        </w:rPr>
      </w:pPr>
    </w:p>
    <w:p w14:paraId="6D1615F9">
      <w:pPr>
        <w:widowControl w:val="0"/>
        <w:adjustRightInd w:val="0"/>
        <w:snapToGrid w:val="0"/>
        <w:spacing w:line="300" w:lineRule="auto"/>
        <w:jc w:val="center"/>
        <w:rPr>
          <w:rFonts w:cs="宋体"/>
          <w:b/>
          <w:snapToGrid w:val="0"/>
          <w:color w:val="auto"/>
          <w:kern w:val="0"/>
          <w:sz w:val="32"/>
          <w:szCs w:val="32"/>
          <w:highlight w:val="none"/>
        </w:rPr>
      </w:pPr>
      <w:r>
        <w:rPr>
          <w:rFonts w:hint="eastAsia" w:cs="宋体"/>
          <w:b/>
          <w:snapToGrid w:val="0"/>
          <w:color w:val="auto"/>
          <w:kern w:val="0"/>
          <w:sz w:val="32"/>
          <w:szCs w:val="32"/>
          <w:highlight w:val="none"/>
        </w:rPr>
        <w:t>廉政责任书</w:t>
      </w:r>
    </w:p>
    <w:p w14:paraId="6A5B5FA1">
      <w:pPr>
        <w:widowControl w:val="0"/>
        <w:adjustRightInd w:val="0"/>
        <w:snapToGrid w:val="0"/>
        <w:rPr>
          <w:color w:val="auto"/>
          <w:highlight w:val="none"/>
        </w:rPr>
      </w:pPr>
    </w:p>
    <w:p w14:paraId="4E709C59">
      <w:pPr>
        <w:widowControl w:val="0"/>
        <w:adjustRightInd w:val="0"/>
        <w:snapToGrid w:val="0"/>
        <w:rPr>
          <w:color w:val="auto"/>
          <w:highlight w:val="none"/>
        </w:rPr>
      </w:pPr>
    </w:p>
    <w:p w14:paraId="11028AB7">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工程项目名称：</w:t>
      </w:r>
      <w:r>
        <w:rPr>
          <w:rFonts w:hint="eastAsia" w:cs="宋体"/>
          <w:snapToGrid w:val="0"/>
          <w:color w:val="auto"/>
          <w:kern w:val="0"/>
          <w:sz w:val="24"/>
          <w:szCs w:val="21"/>
          <w:highlight w:val="none"/>
          <w:u w:val="single"/>
        </w:rPr>
        <w:t xml:space="preserve">                                                     </w:t>
      </w:r>
    </w:p>
    <w:p w14:paraId="29905836">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工程项目地址：</w:t>
      </w:r>
      <w:r>
        <w:rPr>
          <w:rFonts w:hint="eastAsia" w:cs="宋体"/>
          <w:snapToGrid w:val="0"/>
          <w:color w:val="auto"/>
          <w:kern w:val="0"/>
          <w:sz w:val="24"/>
          <w:szCs w:val="21"/>
          <w:highlight w:val="none"/>
          <w:u w:val="single"/>
        </w:rPr>
        <w:t xml:space="preserve">                                                     </w:t>
      </w:r>
    </w:p>
    <w:p w14:paraId="2194DF45">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建设单位（甲方）：</w:t>
      </w:r>
      <w:r>
        <w:rPr>
          <w:rFonts w:hint="eastAsia" w:cs="宋体"/>
          <w:snapToGrid w:val="0"/>
          <w:color w:val="auto"/>
          <w:kern w:val="0"/>
          <w:sz w:val="24"/>
          <w:szCs w:val="21"/>
          <w:highlight w:val="none"/>
          <w:u w:val="single"/>
        </w:rPr>
        <w:t xml:space="preserve">                                                 </w:t>
      </w:r>
    </w:p>
    <w:p w14:paraId="674610C3">
      <w:pPr>
        <w:widowControl w:val="0"/>
        <w:adjustRightInd w:val="0"/>
        <w:snapToGrid w:val="0"/>
        <w:spacing w:line="300" w:lineRule="auto"/>
        <w:ind w:firstLine="480" w:firstLineChars="200"/>
        <w:rPr>
          <w:rFonts w:cs="宋体"/>
          <w:snapToGrid w:val="0"/>
          <w:color w:val="auto"/>
          <w:kern w:val="0"/>
          <w:sz w:val="24"/>
          <w:szCs w:val="21"/>
          <w:highlight w:val="none"/>
          <w:u w:val="single"/>
        </w:rPr>
      </w:pPr>
      <w:r>
        <w:rPr>
          <w:rFonts w:hint="eastAsia" w:cs="宋体"/>
          <w:snapToGrid w:val="0"/>
          <w:color w:val="auto"/>
          <w:kern w:val="0"/>
          <w:sz w:val="24"/>
          <w:szCs w:val="21"/>
          <w:highlight w:val="none"/>
        </w:rPr>
        <w:t>承包单位（乙方）：</w:t>
      </w:r>
      <w:r>
        <w:rPr>
          <w:rFonts w:hint="eastAsia" w:cs="宋体"/>
          <w:snapToGrid w:val="0"/>
          <w:color w:val="auto"/>
          <w:kern w:val="0"/>
          <w:sz w:val="24"/>
          <w:szCs w:val="21"/>
          <w:highlight w:val="none"/>
          <w:u w:val="single"/>
        </w:rPr>
        <w:t xml:space="preserve">                                                 </w:t>
      </w:r>
    </w:p>
    <w:p w14:paraId="05FDF99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为加强工程建设中的廉政建设，规范工程建设项目委托与被委托双方的各项活动，防止发生各种谋取不正当利益的违法违纪行为，保护国家、集体和当事人的合法权益，根据国家有关工程建设的法律法规和廉政建设责任制规定，特订立本廉政责任书。</w:t>
      </w:r>
    </w:p>
    <w:p w14:paraId="7B5D974E">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第一条 甲乙双方的责任</w:t>
      </w:r>
    </w:p>
    <w:p w14:paraId="5082900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（一）应严格遵守国家关于市场准入、项目招标投标、工程建设、施工安装、建设监理、勘察设计和市场活动的有关法律、法规，相关政策，以及廉政建设的各项规定。</w:t>
      </w:r>
    </w:p>
    <w:p w14:paraId="3BDC771F">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（二）严格执行建设工程项目合同文件，自觉按合同办事。</w:t>
      </w:r>
    </w:p>
    <w:p w14:paraId="13D2AF8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业务活动必须坚持公开、公平、公正、诚信、透明的原则（除法律法规另有规定者外），不得为获取不正当的利益，损害国家、集体和对方利益，不得违反工程建设管理、施工安装、建设监理和勘察设计的规章制度。</w:t>
      </w:r>
    </w:p>
    <w:p w14:paraId="14A4FB5B">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（四）发现对方在业务活动中有违规、违纪、违法行为的，应及时提醒对方，情节严重的，应向其上级主管部门或纪检监察、司法等有关机关举报。</w:t>
      </w:r>
    </w:p>
    <w:p w14:paraId="184B8AB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（五）严格遵守宁波市机关干部“正风肃纪”十项规定。</w:t>
      </w:r>
    </w:p>
    <w:p w14:paraId="25150185">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第二条 甲方的责任</w:t>
      </w:r>
    </w:p>
    <w:p w14:paraId="31E814E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甲方的领导和从事该建设工程项目的工作人员在工程建设的事前、事中、事后应遵守以下规定：</w:t>
      </w:r>
    </w:p>
    <w:p w14:paraId="2F767D45">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（一）不准向乙方和相关单位索要或接受回扣、礼金、有价证券、贵重物品和好处费、感谢费等。</w:t>
      </w:r>
    </w:p>
    <w:p w14:paraId="6FB07F0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（二）不准在乙方和相关单位报销任何应由甲方或个人支付的费用。</w:t>
      </w:r>
    </w:p>
    <w:p w14:paraId="6105396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（三）不准要求、暗示和接受乙方和相关单位为个人装修住房、婚丧嫁娶、配偶子女的工作安排以及出国（境）、旅游等提供方便。</w:t>
      </w:r>
    </w:p>
    <w:p w14:paraId="20772D5C">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（四）不准参加有可能影响公正执行公务的乙方和相关单位的宴请、健身、娱乐等活动。</w:t>
      </w:r>
    </w:p>
    <w:p w14:paraId="1713E436">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不准向乙方和相关单位介绍或为配偶、子女、亲属参与同甲方工程项目合同有关的分包项目等活动。不准向乙方和相关单位介绍或为配偶、子女、亲属参与同项目合同有关的设备、材料、工程分包、劳务、监理、勘察设计等经济活动。不得以任何理由向乙方和相关单位推荐分包单位和要求购买与项目工程合同规定以外的材料、设备等。</w:t>
      </w:r>
    </w:p>
    <w:p w14:paraId="7126B186">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第三条 乙方的责任</w:t>
      </w:r>
    </w:p>
    <w:p w14:paraId="74754D93">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应与甲方和相关单位保持正常的业务交往，按照有关法律法规和程序开展业务工作，严格执行工程建设的有关方针、政策，尤其是有关勘察设计、监理、施工安装的强制性标准和规范，认真履行职责，并遵守以下规定：</w:t>
      </w:r>
    </w:p>
    <w:p w14:paraId="532DEFD2">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（一）不准以任何理由向甲方和相关单位及其工作人员索要、接受或赠送礼金、有价证券、贵重物品及回扣、好处费、感谢费等。</w:t>
      </w:r>
    </w:p>
    <w:p w14:paraId="24562907">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（二）不准以任何理由为甲方和相关单位报销应由对方或个人支付的费用。</w:t>
      </w:r>
    </w:p>
    <w:p w14:paraId="1870ADF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（三）不准接受或暗示为甲方、相关单位或个人装修住房、婚丧嫁娶、配偶子女的工作安排以及出国（境）、旅游等提供方便。</w:t>
      </w:r>
    </w:p>
    <w:p w14:paraId="35CD9319">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（四）不准违反合同约定而使用甲方、相关单位提供的通信、交通工具和高档办公用品。</w:t>
      </w:r>
    </w:p>
    <w:p w14:paraId="2A9107CA">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（五）不准以任何理由为甲方、相关单位或个人组织有可能影响公正执行公务的宴请、健身、娱乐等活动。</w:t>
      </w:r>
    </w:p>
    <w:p w14:paraId="18E4A4D4">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第四条 违约责任</w:t>
      </w:r>
    </w:p>
    <w:p w14:paraId="169427B1">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CC38080">
      <w:pPr>
        <w:widowControl w:val="0"/>
        <w:adjustRightInd w:val="0"/>
        <w:snapToGrid w:val="0"/>
        <w:spacing w:line="300" w:lineRule="auto"/>
        <w:ind w:firstLine="480" w:firstLineChars="200"/>
        <w:rPr>
          <w:rFonts w:cs="宋体"/>
          <w:snapToGrid w:val="0"/>
          <w:color w:val="auto"/>
          <w:kern w:val="0"/>
          <w:sz w:val="24"/>
          <w:szCs w:val="21"/>
          <w:highlight w:val="none"/>
        </w:rPr>
      </w:pPr>
      <w:r>
        <w:rPr>
          <w:rFonts w:hint="eastAsia" w:cs="宋体"/>
          <w:snapToGrid w:val="0"/>
          <w:color w:val="auto"/>
          <w:kern w:val="0"/>
          <w:sz w:val="24"/>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0325881E">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第五条 本责任书作为工程建设项目合同的附件，与工程建设项目合同具有同等法律效力。经双方签署后立即生效。</w:t>
      </w:r>
    </w:p>
    <w:p w14:paraId="51E3A3AA">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第六条 本责任书的有效期为双方签署之日起至该工程项目竣工验收合格时止。</w:t>
      </w:r>
    </w:p>
    <w:p w14:paraId="250A9684">
      <w:pPr>
        <w:widowControl w:val="0"/>
        <w:adjustRightInd w:val="0"/>
        <w:snapToGrid w:val="0"/>
        <w:spacing w:line="300" w:lineRule="auto"/>
        <w:ind w:firstLine="482" w:firstLineChars="200"/>
        <w:rPr>
          <w:rFonts w:cs="宋体"/>
          <w:b/>
          <w:snapToGrid w:val="0"/>
          <w:color w:val="auto"/>
          <w:kern w:val="0"/>
          <w:sz w:val="24"/>
          <w:szCs w:val="21"/>
          <w:highlight w:val="none"/>
        </w:rPr>
      </w:pPr>
      <w:r>
        <w:rPr>
          <w:rFonts w:hint="eastAsia" w:cs="宋体"/>
          <w:b/>
          <w:snapToGrid w:val="0"/>
          <w:color w:val="auto"/>
          <w:kern w:val="0"/>
          <w:sz w:val="24"/>
          <w:szCs w:val="21"/>
          <w:highlight w:val="none"/>
        </w:rPr>
        <w:t>第七条 本责任书一式五份，由甲乙双方各执一份，送交甲乙双方的监督单位各一份，合同备案管理机构备案一份。</w:t>
      </w:r>
    </w:p>
    <w:p w14:paraId="23C5199C">
      <w:pPr>
        <w:widowControl w:val="0"/>
        <w:adjustRightInd w:val="0"/>
        <w:snapToGrid w:val="0"/>
        <w:rPr>
          <w:color w:val="auto"/>
          <w:highlight w:val="none"/>
        </w:rPr>
      </w:pPr>
    </w:p>
    <w:p w14:paraId="17ED2855">
      <w:pPr>
        <w:widowControl w:val="0"/>
        <w:adjustRightInd w:val="0"/>
        <w:snapToGrid w:val="0"/>
        <w:rPr>
          <w:color w:val="auto"/>
          <w:highlight w:val="none"/>
        </w:rPr>
      </w:pPr>
    </w:p>
    <w:p w14:paraId="19C390EB">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甲方单位：（盖单位公章）</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乙方单位：（盖单位公章）</w:t>
      </w:r>
      <w:r>
        <w:rPr>
          <w:rFonts w:hint="eastAsia" w:cs="宋体"/>
          <w:snapToGrid w:val="0"/>
          <w:color w:val="auto"/>
          <w:kern w:val="0"/>
          <w:sz w:val="24"/>
          <w:szCs w:val="21"/>
          <w:highlight w:val="none"/>
          <w:u w:val="single"/>
        </w:rPr>
        <w:t xml:space="preserve">            </w:t>
      </w:r>
    </w:p>
    <w:p w14:paraId="7E9B4542">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法定代表人：（签字或盖章）</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法定代表人：（签字或盖章）</w:t>
      </w:r>
      <w:r>
        <w:rPr>
          <w:rFonts w:hint="eastAsia" w:cs="宋体"/>
          <w:snapToGrid w:val="0"/>
          <w:color w:val="auto"/>
          <w:kern w:val="0"/>
          <w:sz w:val="24"/>
          <w:szCs w:val="21"/>
          <w:highlight w:val="none"/>
          <w:u w:val="single"/>
        </w:rPr>
        <w:t xml:space="preserve">          </w:t>
      </w:r>
    </w:p>
    <w:p w14:paraId="25BCF688">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地址：</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地址：</w:t>
      </w:r>
      <w:r>
        <w:rPr>
          <w:rFonts w:hint="eastAsia" w:cs="宋体"/>
          <w:snapToGrid w:val="0"/>
          <w:color w:val="auto"/>
          <w:kern w:val="0"/>
          <w:sz w:val="24"/>
          <w:szCs w:val="21"/>
          <w:highlight w:val="none"/>
          <w:u w:val="single"/>
        </w:rPr>
        <w:t xml:space="preserve">                              </w:t>
      </w:r>
    </w:p>
    <w:p w14:paraId="5D4A7521">
      <w:pPr>
        <w:widowControl w:val="0"/>
        <w:adjustRightInd w:val="0"/>
        <w:snapToGrid w:val="0"/>
        <w:spacing w:line="300" w:lineRule="auto"/>
        <w:rPr>
          <w:rFonts w:cs="宋体"/>
          <w:snapToGrid w:val="0"/>
          <w:color w:val="auto"/>
          <w:kern w:val="0"/>
          <w:sz w:val="24"/>
          <w:szCs w:val="21"/>
          <w:highlight w:val="none"/>
          <w:u w:val="single"/>
        </w:rPr>
      </w:pPr>
      <w:r>
        <w:rPr>
          <w:rFonts w:hint="eastAsia" w:cs="宋体"/>
          <w:snapToGrid w:val="0"/>
          <w:color w:val="auto"/>
          <w:kern w:val="0"/>
          <w:sz w:val="24"/>
          <w:szCs w:val="21"/>
          <w:highlight w:val="none"/>
        </w:rPr>
        <w:t>电话：</w:t>
      </w:r>
      <w:r>
        <w:rPr>
          <w:rFonts w:hint="eastAsia" w:cs="宋体"/>
          <w:snapToGrid w:val="0"/>
          <w:color w:val="auto"/>
          <w:kern w:val="0"/>
          <w:sz w:val="24"/>
          <w:szCs w:val="21"/>
          <w:highlight w:val="none"/>
          <w:u w:val="single"/>
        </w:rPr>
        <w:t xml:space="preserve">                            </w:t>
      </w:r>
      <w:r>
        <w:rPr>
          <w:rFonts w:hint="eastAsia" w:cs="宋体"/>
          <w:snapToGrid w:val="0"/>
          <w:color w:val="auto"/>
          <w:kern w:val="0"/>
          <w:sz w:val="24"/>
          <w:szCs w:val="21"/>
          <w:highlight w:val="none"/>
        </w:rPr>
        <w:t xml:space="preserve">      电话：</w:t>
      </w:r>
      <w:r>
        <w:rPr>
          <w:rFonts w:hint="eastAsia" w:cs="宋体"/>
          <w:snapToGrid w:val="0"/>
          <w:color w:val="auto"/>
          <w:kern w:val="0"/>
          <w:sz w:val="24"/>
          <w:szCs w:val="21"/>
          <w:highlight w:val="none"/>
          <w:u w:val="single"/>
        </w:rPr>
        <w:t xml:space="preserve">                              </w:t>
      </w:r>
    </w:p>
    <w:p w14:paraId="63A1C6D0">
      <w:pPr>
        <w:widowControl w:val="0"/>
        <w:adjustRightInd w:val="0"/>
        <w:snapToGrid w:val="0"/>
        <w:rPr>
          <w:color w:val="auto"/>
          <w:highlight w:val="none"/>
        </w:rPr>
      </w:pPr>
    </w:p>
    <w:p w14:paraId="21F5D07B">
      <w:pPr>
        <w:widowControl w:val="0"/>
        <w:adjustRightInd w:val="0"/>
        <w:snapToGrid w:val="0"/>
        <w:spacing w:line="300" w:lineRule="auto"/>
        <w:ind w:firstLine="200"/>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6E4BBEAB">
      <w:pPr>
        <w:widowControl w:val="0"/>
        <w:adjustRightInd w:val="0"/>
        <w:snapToGrid w:val="0"/>
        <w:rPr>
          <w:color w:val="auto"/>
          <w:highlight w:val="none"/>
        </w:rPr>
      </w:pPr>
    </w:p>
    <w:p w14:paraId="026E4448">
      <w:pPr>
        <w:widowControl w:val="0"/>
        <w:adjustRightInd w:val="0"/>
        <w:snapToGrid w:val="0"/>
        <w:spacing w:line="300" w:lineRule="auto"/>
        <w:ind w:firstLine="200"/>
        <w:rPr>
          <w:rFonts w:cs="宋体"/>
          <w:snapToGrid w:val="0"/>
          <w:color w:val="auto"/>
          <w:kern w:val="0"/>
          <w:sz w:val="24"/>
          <w:szCs w:val="21"/>
          <w:highlight w:val="none"/>
        </w:rPr>
      </w:pPr>
      <w:r>
        <w:rPr>
          <w:rFonts w:hint="eastAsia" w:cs="宋体"/>
          <w:snapToGrid w:val="0"/>
          <w:color w:val="auto"/>
          <w:kern w:val="0"/>
          <w:sz w:val="24"/>
          <w:szCs w:val="21"/>
          <w:highlight w:val="none"/>
        </w:rPr>
        <w:t>甲方监督单位（盖单位公章）         乙方监督单位（盖单位公章）</w:t>
      </w:r>
    </w:p>
    <w:p w14:paraId="22EA9159">
      <w:pPr>
        <w:widowControl w:val="0"/>
        <w:adjustRightInd w:val="0"/>
        <w:snapToGrid w:val="0"/>
        <w:rPr>
          <w:color w:val="auto"/>
          <w:highlight w:val="none"/>
        </w:rPr>
      </w:pPr>
    </w:p>
    <w:p w14:paraId="5B3E1F7F">
      <w:pPr>
        <w:widowControl w:val="0"/>
        <w:adjustRightInd w:val="0"/>
        <w:snapToGrid w:val="0"/>
        <w:spacing w:line="300" w:lineRule="auto"/>
        <w:ind w:firstLine="200"/>
        <w:jc w:val="right"/>
        <w:rPr>
          <w:rFonts w:cs="宋体"/>
          <w:snapToGrid w:val="0"/>
          <w:color w:val="auto"/>
          <w:kern w:val="0"/>
          <w:sz w:val="24"/>
          <w:szCs w:val="21"/>
          <w:highlight w:val="none"/>
        </w:rPr>
      </w:pPr>
      <w:r>
        <w:rPr>
          <w:rFonts w:hint="eastAsia" w:cs="宋体"/>
          <w:snapToGrid w:val="0"/>
          <w:color w:val="auto"/>
          <w:kern w:val="0"/>
          <w:sz w:val="24"/>
          <w:szCs w:val="21"/>
          <w:highlight w:val="none"/>
        </w:rPr>
        <w:t>年   月   日                              年   月   日</w:t>
      </w:r>
    </w:p>
    <w:p w14:paraId="3628404E">
      <w:pPr>
        <w:widowControl w:val="0"/>
        <w:adjustRightInd w:val="0"/>
        <w:snapToGrid w:val="0"/>
        <w:rPr>
          <w:color w:val="auto"/>
          <w:highlight w:val="none"/>
          <w:lang w:val="zh-CN"/>
        </w:rPr>
      </w:pPr>
    </w:p>
    <w:p w14:paraId="5F9CC59B">
      <w:pPr>
        <w:pStyle w:val="79"/>
        <w:rPr>
          <w:color w:val="auto"/>
          <w:highlight w:val="none"/>
          <w:lang w:val="zh-CN"/>
        </w:rPr>
        <w:sectPr>
          <w:type w:val="oddPage"/>
          <w:pgSz w:w="11906" w:h="16838"/>
          <w:pgMar w:top="1440" w:right="1304" w:bottom="1440" w:left="1134" w:header="851" w:footer="992" w:gutter="0"/>
          <w:cols w:space="720" w:num="1"/>
          <w:docGrid w:type="lines" w:linePitch="312" w:charSpace="0"/>
        </w:sectPr>
      </w:pPr>
    </w:p>
    <w:p w14:paraId="666902B5">
      <w:pPr>
        <w:pStyle w:val="2"/>
        <w:keepNext w:val="0"/>
        <w:keepLines w:val="0"/>
        <w:adjustRightInd w:val="0"/>
        <w:snapToGrid w:val="0"/>
        <w:rPr>
          <w:color w:val="auto"/>
          <w:highlight w:val="none"/>
        </w:rPr>
      </w:pPr>
      <w:bookmarkStart w:id="416" w:name="_Toc173762015"/>
      <w:r>
        <w:rPr>
          <w:rFonts w:hint="eastAsia"/>
          <w:color w:val="auto"/>
          <w:highlight w:val="none"/>
        </w:rPr>
        <w:t>第六部分 应提交的有关格式范例</w:t>
      </w:r>
      <w:bookmarkEnd w:id="416"/>
    </w:p>
    <w:p w14:paraId="6599D6CF">
      <w:pPr>
        <w:widowControl w:val="0"/>
        <w:adjustRightInd w:val="0"/>
        <w:snapToGrid w:val="0"/>
        <w:rPr>
          <w:color w:val="auto"/>
          <w:highlight w:val="none"/>
        </w:rPr>
      </w:pPr>
    </w:p>
    <w:p w14:paraId="59D2A31B">
      <w:pPr>
        <w:widowControl w:val="0"/>
        <w:adjustRightInd w:val="0"/>
        <w:snapToGrid w:val="0"/>
        <w:rPr>
          <w:color w:val="auto"/>
          <w:highlight w:val="none"/>
        </w:rPr>
      </w:pPr>
    </w:p>
    <w:p w14:paraId="00C82FD5">
      <w:pPr>
        <w:widowControl w:val="0"/>
        <w:adjustRightInd w:val="0"/>
        <w:snapToGrid w:val="0"/>
        <w:rPr>
          <w:color w:val="auto"/>
          <w:highlight w:val="none"/>
        </w:rPr>
      </w:pPr>
    </w:p>
    <w:p w14:paraId="1ADFBCDF">
      <w:pPr>
        <w:widowControl w:val="0"/>
        <w:adjustRightInd w:val="0"/>
        <w:snapToGrid w:val="0"/>
        <w:rPr>
          <w:color w:val="auto"/>
          <w:highlight w:val="none"/>
        </w:rPr>
      </w:pPr>
    </w:p>
    <w:p w14:paraId="145D7D39">
      <w:pPr>
        <w:widowControl w:val="0"/>
        <w:adjustRightInd w:val="0"/>
        <w:snapToGrid w:val="0"/>
        <w:rPr>
          <w:color w:val="auto"/>
          <w:highlight w:val="none"/>
        </w:rPr>
      </w:pPr>
    </w:p>
    <w:p w14:paraId="6199BA40">
      <w:pPr>
        <w:widowControl w:val="0"/>
        <w:adjustRightInd w:val="0"/>
        <w:snapToGrid w:val="0"/>
        <w:rPr>
          <w:color w:val="auto"/>
          <w:highlight w:val="none"/>
        </w:rPr>
      </w:pPr>
    </w:p>
    <w:p w14:paraId="618B16D5">
      <w:pPr>
        <w:widowControl w:val="0"/>
        <w:adjustRightInd w:val="0"/>
        <w:snapToGrid w:val="0"/>
        <w:rPr>
          <w:color w:val="auto"/>
          <w:highlight w:val="none"/>
        </w:rPr>
      </w:pPr>
    </w:p>
    <w:p w14:paraId="2FF7C8FD">
      <w:pPr>
        <w:widowControl w:val="0"/>
        <w:adjustRightInd w:val="0"/>
        <w:snapToGrid w:val="0"/>
        <w:rPr>
          <w:color w:val="auto"/>
          <w:highlight w:val="none"/>
        </w:rPr>
      </w:pPr>
    </w:p>
    <w:p w14:paraId="4FE6630F">
      <w:pPr>
        <w:widowControl w:val="0"/>
        <w:adjustRightInd w:val="0"/>
        <w:snapToGrid w:val="0"/>
        <w:rPr>
          <w:color w:val="auto"/>
          <w:highlight w:val="none"/>
        </w:rPr>
      </w:pPr>
    </w:p>
    <w:p w14:paraId="5473056C">
      <w:pPr>
        <w:widowControl w:val="0"/>
        <w:adjustRightInd w:val="0"/>
        <w:snapToGrid w:val="0"/>
        <w:rPr>
          <w:color w:val="auto"/>
          <w:highlight w:val="none"/>
        </w:rPr>
      </w:pPr>
    </w:p>
    <w:p w14:paraId="5BA3EB4E">
      <w:pPr>
        <w:widowControl w:val="0"/>
        <w:adjustRightInd w:val="0"/>
        <w:snapToGrid w:val="0"/>
        <w:rPr>
          <w:color w:val="auto"/>
          <w:highlight w:val="none"/>
        </w:rPr>
      </w:pPr>
    </w:p>
    <w:p w14:paraId="3A86FED4">
      <w:pPr>
        <w:widowControl w:val="0"/>
        <w:adjustRightInd w:val="0"/>
        <w:snapToGrid w:val="0"/>
        <w:rPr>
          <w:color w:val="auto"/>
          <w:highlight w:val="none"/>
        </w:rPr>
      </w:pPr>
    </w:p>
    <w:p w14:paraId="67EAEFA4">
      <w:pPr>
        <w:widowControl w:val="0"/>
        <w:adjustRightInd w:val="0"/>
        <w:snapToGrid w:val="0"/>
        <w:rPr>
          <w:color w:val="auto"/>
          <w:highlight w:val="none"/>
        </w:rPr>
      </w:pPr>
    </w:p>
    <w:p w14:paraId="3AF8649C">
      <w:pPr>
        <w:widowControl w:val="0"/>
        <w:adjustRightInd w:val="0"/>
        <w:snapToGrid w:val="0"/>
        <w:rPr>
          <w:color w:val="auto"/>
          <w:highlight w:val="none"/>
        </w:rPr>
      </w:pPr>
    </w:p>
    <w:p w14:paraId="66387C14">
      <w:pPr>
        <w:widowControl w:val="0"/>
        <w:adjustRightInd w:val="0"/>
        <w:snapToGrid w:val="0"/>
        <w:rPr>
          <w:color w:val="auto"/>
          <w:highlight w:val="none"/>
        </w:rPr>
      </w:pPr>
    </w:p>
    <w:p w14:paraId="1FFCE914">
      <w:pPr>
        <w:widowControl w:val="0"/>
        <w:adjustRightInd w:val="0"/>
        <w:snapToGrid w:val="0"/>
        <w:rPr>
          <w:color w:val="auto"/>
          <w:highlight w:val="none"/>
        </w:rPr>
      </w:pPr>
    </w:p>
    <w:p w14:paraId="448667A0">
      <w:pPr>
        <w:widowControl w:val="0"/>
        <w:adjustRightInd w:val="0"/>
        <w:snapToGrid w:val="0"/>
        <w:rPr>
          <w:color w:val="auto"/>
          <w:highlight w:val="none"/>
        </w:rPr>
      </w:pPr>
    </w:p>
    <w:p w14:paraId="73424A46">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资格文件部分</w:t>
      </w:r>
    </w:p>
    <w:p w14:paraId="512867E0">
      <w:pPr>
        <w:widowControl w:val="0"/>
        <w:adjustRightInd w:val="0"/>
        <w:snapToGrid w:val="0"/>
        <w:rPr>
          <w:color w:val="auto"/>
          <w:highlight w:val="none"/>
        </w:rPr>
      </w:pPr>
    </w:p>
    <w:p w14:paraId="1625CD60">
      <w:pPr>
        <w:widowControl w:val="0"/>
        <w:adjustRightInd w:val="0"/>
        <w:snapToGrid w:val="0"/>
        <w:rPr>
          <w:color w:val="auto"/>
          <w:highlight w:val="none"/>
        </w:rPr>
      </w:pPr>
    </w:p>
    <w:p w14:paraId="43449CEA">
      <w:pPr>
        <w:widowControl w:val="0"/>
        <w:adjustRightInd w:val="0"/>
        <w:snapToGrid w:val="0"/>
        <w:rPr>
          <w:color w:val="auto"/>
          <w:highlight w:val="none"/>
        </w:rPr>
      </w:pPr>
    </w:p>
    <w:p w14:paraId="3A4489F6">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726D6ABF">
      <w:pPr>
        <w:widowControl w:val="0"/>
        <w:adjustRightInd w:val="0"/>
        <w:snapToGrid w:val="0"/>
        <w:rPr>
          <w:color w:val="auto"/>
          <w:highlight w:val="none"/>
        </w:rPr>
      </w:pPr>
    </w:p>
    <w:p w14:paraId="6AA50D0E">
      <w:pPr>
        <w:widowControl w:val="0"/>
        <w:adjustRightInd w:val="0"/>
        <w:snapToGrid w:val="0"/>
        <w:rPr>
          <w:color w:val="auto"/>
          <w:highlight w:val="none"/>
        </w:rPr>
      </w:pPr>
    </w:p>
    <w:p w14:paraId="58F2D309">
      <w:pPr>
        <w:widowControl w:val="0"/>
        <w:adjustRightInd w:val="0"/>
        <w:snapToGrid w:val="0"/>
        <w:rPr>
          <w:color w:val="auto"/>
          <w:highlight w:val="none"/>
        </w:rPr>
      </w:pPr>
    </w:p>
    <w:p w14:paraId="7696F142">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（1）符合参加政府采购活动应当具备的一般条件的承诺函……………（页码）</w:t>
      </w:r>
    </w:p>
    <w:p w14:paraId="17B26DE3">
      <w:pPr>
        <w:widowControl w:val="0"/>
        <w:adjustRightInd w:val="0"/>
        <w:spacing w:line="300" w:lineRule="auto"/>
        <w:ind w:firstLine="480" w:firstLineChars="200"/>
        <w:rPr>
          <w:rFonts w:cs="宋体"/>
          <w:color w:val="auto"/>
          <w:sz w:val="24"/>
          <w:highlight w:val="none"/>
        </w:rPr>
      </w:pPr>
      <w:r>
        <w:rPr>
          <w:rFonts w:hint="eastAsia" w:cs="宋体"/>
          <w:snapToGrid w:val="0"/>
          <w:color w:val="auto"/>
          <w:kern w:val="28"/>
          <w:sz w:val="24"/>
          <w:szCs w:val="20"/>
          <w:highlight w:val="none"/>
        </w:rPr>
        <w:t>（2）联合协议</w:t>
      </w:r>
      <w:r>
        <w:rPr>
          <w:rFonts w:hint="eastAsia" w:cs="宋体"/>
          <w:color w:val="auto"/>
          <w:sz w:val="24"/>
          <w:highlight w:val="none"/>
        </w:rPr>
        <w:t>………………………………………………………………（页码）</w:t>
      </w:r>
    </w:p>
    <w:p w14:paraId="332E4926">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）落实政府采购政策需满足的资格要求………………………………（页码）</w:t>
      </w:r>
    </w:p>
    <w:p w14:paraId="11B90CAD">
      <w:pPr>
        <w:widowControl w:val="0"/>
        <w:adjustRightIn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）本项目的特定资格要求………………………………………………（页码）</w:t>
      </w:r>
    </w:p>
    <w:p w14:paraId="03280279">
      <w:pPr>
        <w:widowControl w:val="0"/>
        <w:adjustRightInd w:val="0"/>
        <w:snapToGrid w:val="0"/>
        <w:rPr>
          <w:color w:val="auto"/>
          <w:highlight w:val="none"/>
        </w:rPr>
      </w:pPr>
    </w:p>
    <w:p w14:paraId="30F38339">
      <w:pPr>
        <w:widowControl w:val="0"/>
        <w:adjustRightInd w:val="0"/>
        <w:snapToGrid w:val="0"/>
        <w:rPr>
          <w:color w:val="auto"/>
          <w:highlight w:val="none"/>
        </w:rPr>
      </w:pPr>
    </w:p>
    <w:p w14:paraId="08FDDC15">
      <w:pPr>
        <w:widowControl w:val="0"/>
        <w:adjustRightInd w:val="0"/>
        <w:snapToGrid w:val="0"/>
        <w:rPr>
          <w:color w:val="auto"/>
          <w:highlight w:val="none"/>
        </w:rPr>
      </w:pPr>
    </w:p>
    <w:p w14:paraId="0DF0C8DB">
      <w:pPr>
        <w:widowControl w:val="0"/>
        <w:adjustRightInd w:val="0"/>
        <w:snapToGrid w:val="0"/>
        <w:rPr>
          <w:color w:val="auto"/>
          <w:highlight w:val="none"/>
        </w:rPr>
      </w:pPr>
    </w:p>
    <w:p w14:paraId="69562803">
      <w:pPr>
        <w:widowControl w:val="0"/>
        <w:adjustRightInd w:val="0"/>
        <w:snapToGrid w:val="0"/>
        <w:rPr>
          <w:color w:val="auto"/>
          <w:highlight w:val="none"/>
        </w:rPr>
      </w:pPr>
    </w:p>
    <w:p w14:paraId="2949EC9C">
      <w:pPr>
        <w:widowControl w:val="0"/>
        <w:adjustRightInd w:val="0"/>
        <w:snapToGrid w:val="0"/>
        <w:rPr>
          <w:color w:val="auto"/>
          <w:highlight w:val="none"/>
        </w:rPr>
      </w:pPr>
    </w:p>
    <w:p w14:paraId="1406D745">
      <w:pPr>
        <w:widowControl w:val="0"/>
        <w:adjustRightInd w:val="0"/>
        <w:snapToGrid w:val="0"/>
        <w:rPr>
          <w:color w:val="auto"/>
          <w:highlight w:val="none"/>
        </w:rPr>
      </w:pPr>
    </w:p>
    <w:p w14:paraId="657D2730">
      <w:pPr>
        <w:widowControl w:val="0"/>
        <w:adjustRightInd w:val="0"/>
        <w:snapToGrid w:val="0"/>
        <w:rPr>
          <w:color w:val="auto"/>
          <w:highlight w:val="none"/>
        </w:rPr>
      </w:pPr>
    </w:p>
    <w:p w14:paraId="0D555454">
      <w:pPr>
        <w:widowControl w:val="0"/>
        <w:adjustRightInd w:val="0"/>
        <w:snapToGrid w:val="0"/>
        <w:rPr>
          <w:color w:val="auto"/>
          <w:highlight w:val="none"/>
        </w:rPr>
      </w:pPr>
    </w:p>
    <w:p w14:paraId="1D90BF9C">
      <w:pPr>
        <w:widowControl w:val="0"/>
        <w:adjustRightInd w:val="0"/>
        <w:snapToGrid w:val="0"/>
        <w:rPr>
          <w:color w:val="auto"/>
          <w:highlight w:val="none"/>
        </w:rPr>
      </w:pPr>
    </w:p>
    <w:p w14:paraId="551373C6">
      <w:pPr>
        <w:widowControl w:val="0"/>
        <w:adjustRightInd w:val="0"/>
        <w:snapToGrid w:val="0"/>
        <w:rPr>
          <w:color w:val="auto"/>
          <w:highlight w:val="none"/>
        </w:rPr>
      </w:pPr>
    </w:p>
    <w:p w14:paraId="664D644B">
      <w:pPr>
        <w:widowControl w:val="0"/>
        <w:adjustRightInd w:val="0"/>
        <w:snapToGrid w:val="0"/>
        <w:rPr>
          <w:color w:val="auto"/>
          <w:highlight w:val="none"/>
        </w:rPr>
      </w:pPr>
    </w:p>
    <w:p w14:paraId="420D8AA1">
      <w:pPr>
        <w:widowControl w:val="0"/>
        <w:adjustRightInd w:val="0"/>
        <w:snapToGrid w:val="0"/>
        <w:rPr>
          <w:color w:val="auto"/>
          <w:highlight w:val="none"/>
        </w:rPr>
      </w:pPr>
    </w:p>
    <w:p w14:paraId="1C8C2638">
      <w:pPr>
        <w:widowControl w:val="0"/>
        <w:adjustRightInd w:val="0"/>
        <w:snapToGrid w:val="0"/>
        <w:rPr>
          <w:color w:val="auto"/>
          <w:highlight w:val="none"/>
        </w:rPr>
      </w:pPr>
    </w:p>
    <w:p w14:paraId="47A3031E">
      <w:pPr>
        <w:widowControl w:val="0"/>
        <w:adjustRightInd w:val="0"/>
        <w:snapToGrid w:val="0"/>
        <w:rPr>
          <w:color w:val="auto"/>
          <w:highlight w:val="none"/>
        </w:rPr>
      </w:pPr>
    </w:p>
    <w:p w14:paraId="53BB6865">
      <w:pPr>
        <w:widowControl w:val="0"/>
        <w:adjustRightInd w:val="0"/>
        <w:snapToGrid w:val="0"/>
        <w:rPr>
          <w:color w:val="auto"/>
          <w:highlight w:val="none"/>
        </w:rPr>
      </w:pPr>
    </w:p>
    <w:p w14:paraId="57A0C401">
      <w:pPr>
        <w:widowControl w:val="0"/>
        <w:adjustRightInd w:val="0"/>
        <w:snapToGrid w:val="0"/>
        <w:rPr>
          <w:color w:val="auto"/>
          <w:highlight w:val="none"/>
        </w:rPr>
      </w:pPr>
    </w:p>
    <w:p w14:paraId="4D8C47FC">
      <w:pPr>
        <w:widowControl w:val="0"/>
        <w:adjustRightInd w:val="0"/>
        <w:snapToGrid w:val="0"/>
        <w:rPr>
          <w:color w:val="auto"/>
          <w:highlight w:val="none"/>
        </w:rPr>
      </w:pPr>
    </w:p>
    <w:p w14:paraId="19B25E6C">
      <w:pPr>
        <w:widowControl w:val="0"/>
        <w:adjustRightInd w:val="0"/>
        <w:snapToGrid w:val="0"/>
        <w:rPr>
          <w:color w:val="auto"/>
          <w:highlight w:val="none"/>
        </w:rPr>
      </w:pPr>
    </w:p>
    <w:p w14:paraId="6ADD20D6">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一、符合参加政府采购活动应当具备的一般条件的承诺函</w:t>
      </w:r>
    </w:p>
    <w:p w14:paraId="40419625">
      <w:pPr>
        <w:widowControl w:val="0"/>
        <w:adjustRightInd w:val="0"/>
        <w:snapToGrid w:val="0"/>
        <w:rPr>
          <w:color w:val="auto"/>
          <w:highlight w:val="none"/>
        </w:rPr>
      </w:pPr>
    </w:p>
    <w:p w14:paraId="2F29F291">
      <w:pPr>
        <w:widowControl w:val="0"/>
        <w:adjustRightInd w:val="0"/>
        <w:snapToGrid w:val="0"/>
        <w:rPr>
          <w:color w:val="auto"/>
          <w:highlight w:val="none"/>
        </w:rPr>
      </w:pPr>
    </w:p>
    <w:p w14:paraId="774B7871">
      <w:pPr>
        <w:widowControl w:val="0"/>
        <w:adjustRightInd w:val="0"/>
        <w:snapToGrid w:val="0"/>
        <w:rPr>
          <w:color w:val="auto"/>
          <w:highlight w:val="none"/>
        </w:rPr>
      </w:pPr>
    </w:p>
    <w:p w14:paraId="25588A1A">
      <w:pPr>
        <w:widowControl w:val="0"/>
        <w:adjustRightInd w:val="0"/>
        <w:snapToGrid w:val="0"/>
        <w:spacing w:line="300" w:lineRule="auto"/>
        <w:rPr>
          <w:rFonts w:cs="宋体"/>
          <w:color w:val="auto"/>
          <w:sz w:val="24"/>
          <w:highlight w:val="none"/>
        </w:rPr>
      </w:pPr>
      <w:r>
        <w:rPr>
          <w:rFonts w:hint="eastAsia" w:cs="宋体"/>
          <w:color w:val="auto"/>
          <w:sz w:val="24"/>
          <w:highlight w:val="none"/>
        </w:rPr>
        <w:t>（采购人）</w:t>
      </w:r>
      <w:r>
        <w:rPr>
          <w:rFonts w:hint="eastAsia" w:cs="宋体"/>
          <w:color w:val="auto"/>
          <w:sz w:val="24"/>
          <w:highlight w:val="none"/>
        </w:rPr>
        <w:t>、（采购代理机构）：</w:t>
      </w:r>
    </w:p>
    <w:p w14:paraId="50B6D572">
      <w:pPr>
        <w:widowControl w:val="0"/>
        <w:adjustRightInd w:val="0"/>
        <w:snapToGrid w:val="0"/>
        <w:rPr>
          <w:color w:val="auto"/>
          <w:highlight w:val="none"/>
        </w:rPr>
      </w:pPr>
    </w:p>
    <w:p w14:paraId="112753A1">
      <w:pPr>
        <w:widowControl w:val="0"/>
        <w:adjustRightInd w:val="0"/>
        <w:snapToGrid w:val="0"/>
        <w:rPr>
          <w:color w:val="auto"/>
          <w:highlight w:val="none"/>
        </w:rPr>
      </w:pPr>
    </w:p>
    <w:p w14:paraId="2CBFF978">
      <w:pPr>
        <w:widowControl w:val="0"/>
        <w:adjustRightInd w:val="0"/>
        <w:snapToGrid w:val="0"/>
        <w:rPr>
          <w:color w:val="auto"/>
          <w:highlight w:val="none"/>
        </w:rPr>
      </w:pPr>
    </w:p>
    <w:p w14:paraId="5BD229FD">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我方参与</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sz w:val="24"/>
          <w:highlight w:val="none"/>
        </w:rPr>
        <w:t>【项目编号：</w:t>
      </w:r>
      <w:r>
        <w:rPr>
          <w:rFonts w:hint="eastAsia" w:cs="宋体"/>
          <w:color w:val="auto"/>
          <w:sz w:val="24"/>
          <w:highlight w:val="none"/>
        </w:rPr>
        <w:t>2024-CGDL-05-001C</w:t>
      </w:r>
      <w:r>
        <w:rPr>
          <w:rFonts w:hint="eastAsia" w:cs="宋体"/>
          <w:color w:val="auto"/>
          <w:sz w:val="24"/>
          <w:highlight w:val="none"/>
        </w:rPr>
        <w:t>】政府采购活动，郑重承诺：</w:t>
      </w:r>
    </w:p>
    <w:p w14:paraId="28A1ADFF">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（一）具备《中华人民共和国政府采购法》第二十二条第一款规定的条件：</w:t>
      </w:r>
    </w:p>
    <w:p w14:paraId="5D9CD65E">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1、具有独立承担民事责任的能力；</w:t>
      </w:r>
    </w:p>
    <w:p w14:paraId="64D8BFF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2、具有良好的商业信誉和健全的财务会计制度；</w:t>
      </w:r>
    </w:p>
    <w:p w14:paraId="6A49758B">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3、具有履行合同所必需的设备和专业技术能力；</w:t>
      </w:r>
    </w:p>
    <w:p w14:paraId="1F2F374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4、有依法缴纳税收和社会保障资金的良好记录；</w:t>
      </w:r>
    </w:p>
    <w:p w14:paraId="71687A3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5、参加政府采购活动前三年内，在经营活动中没有重大违法记录；</w:t>
      </w:r>
    </w:p>
    <w:p w14:paraId="50250DCF">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6、具有法律、行政法规规定的其他条件。</w:t>
      </w:r>
    </w:p>
    <w:p w14:paraId="388F8DD9">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（二）未被信用中国（www.creditchina.gov.cn）、中国政府采购网（www.ccgp.gov.cn）列入失信被执行人、重大税收违法案件当事人名单、政府采购严重违法失信行为记录名单。</w:t>
      </w:r>
    </w:p>
    <w:p w14:paraId="76419AE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（三）不存在以下情况：</w:t>
      </w:r>
    </w:p>
    <w:p w14:paraId="4DE00D9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1、单位负责人为同一人或者存在直接控股、管理关系的不同供应商参加同一合同项下的政府采购活动的；</w:t>
      </w:r>
    </w:p>
    <w:p w14:paraId="2776684C">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2、为采购项目提供整体设计、规范编制或者项目管理、监理、检测等服务后再参加该采购项目的其他采购活动的。</w:t>
      </w:r>
    </w:p>
    <w:p w14:paraId="048BEA8E">
      <w:pPr>
        <w:widowControl w:val="0"/>
        <w:adjustRightInd w:val="0"/>
        <w:snapToGrid w:val="0"/>
        <w:rPr>
          <w:color w:val="auto"/>
          <w:highlight w:val="none"/>
        </w:rPr>
      </w:pPr>
    </w:p>
    <w:p w14:paraId="06B1ECE2">
      <w:pPr>
        <w:widowControl w:val="0"/>
        <w:adjustRightInd w:val="0"/>
        <w:snapToGrid w:val="0"/>
        <w:rPr>
          <w:color w:val="auto"/>
          <w:highlight w:val="none"/>
        </w:rPr>
      </w:pPr>
    </w:p>
    <w:p w14:paraId="72D93C6A">
      <w:pPr>
        <w:widowControl w:val="0"/>
        <w:adjustRightInd w:val="0"/>
        <w:snapToGrid w:val="0"/>
        <w:rPr>
          <w:color w:val="auto"/>
          <w:highlight w:val="none"/>
        </w:rPr>
      </w:pPr>
    </w:p>
    <w:p w14:paraId="12EFB60E">
      <w:pPr>
        <w:widowControl w:val="0"/>
        <w:adjustRightInd w:val="0"/>
        <w:snapToGrid w:val="0"/>
        <w:rPr>
          <w:color w:val="auto"/>
          <w:highlight w:val="none"/>
        </w:rPr>
      </w:pPr>
    </w:p>
    <w:p w14:paraId="11280131">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6C280EE">
      <w:pPr>
        <w:widowControl w:val="0"/>
        <w:adjustRightInd w:val="0"/>
        <w:snapToGrid w:val="0"/>
        <w:rPr>
          <w:color w:val="auto"/>
          <w:highlight w:val="none"/>
        </w:rPr>
      </w:pPr>
    </w:p>
    <w:p w14:paraId="2ED8F2EB">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53EBEDA6">
      <w:pPr>
        <w:widowControl w:val="0"/>
        <w:adjustRightInd w:val="0"/>
        <w:snapToGrid w:val="0"/>
        <w:rPr>
          <w:color w:val="auto"/>
          <w:highlight w:val="none"/>
        </w:rPr>
      </w:pPr>
    </w:p>
    <w:p w14:paraId="1D08CFB3">
      <w:pPr>
        <w:widowControl w:val="0"/>
        <w:adjustRightInd w:val="0"/>
        <w:snapToGrid w:val="0"/>
        <w:rPr>
          <w:color w:val="auto"/>
          <w:highlight w:val="none"/>
        </w:rPr>
      </w:pPr>
    </w:p>
    <w:p w14:paraId="7614CA0F">
      <w:pPr>
        <w:widowControl w:val="0"/>
        <w:adjustRightInd w:val="0"/>
        <w:snapToGrid w:val="0"/>
        <w:rPr>
          <w:color w:val="auto"/>
          <w:highlight w:val="none"/>
        </w:rPr>
      </w:pPr>
    </w:p>
    <w:p w14:paraId="16989EF5">
      <w:pPr>
        <w:widowControl w:val="0"/>
        <w:adjustRightInd w:val="0"/>
        <w:snapToGrid w:val="0"/>
        <w:rPr>
          <w:color w:val="auto"/>
          <w:highlight w:val="none"/>
        </w:rPr>
      </w:pPr>
    </w:p>
    <w:p w14:paraId="7816DA11">
      <w:pPr>
        <w:widowControl w:val="0"/>
        <w:adjustRightInd w:val="0"/>
        <w:snapToGrid w:val="0"/>
        <w:rPr>
          <w:color w:val="auto"/>
          <w:highlight w:val="none"/>
        </w:rPr>
      </w:pPr>
    </w:p>
    <w:p w14:paraId="1FB8BFCE">
      <w:pPr>
        <w:widowControl w:val="0"/>
        <w:adjustRightInd w:val="0"/>
        <w:snapToGrid w:val="0"/>
        <w:rPr>
          <w:color w:val="auto"/>
          <w:highlight w:val="none"/>
        </w:rPr>
      </w:pPr>
    </w:p>
    <w:p w14:paraId="0DA2FE9B">
      <w:pPr>
        <w:widowControl w:val="0"/>
        <w:adjustRightInd w:val="0"/>
        <w:snapToGrid w:val="0"/>
        <w:rPr>
          <w:color w:val="auto"/>
          <w:highlight w:val="none"/>
        </w:rPr>
      </w:pPr>
    </w:p>
    <w:p w14:paraId="410E3FB3">
      <w:pPr>
        <w:widowControl w:val="0"/>
        <w:adjustRightInd w:val="0"/>
        <w:snapToGrid w:val="0"/>
        <w:rPr>
          <w:color w:val="auto"/>
          <w:highlight w:val="none"/>
        </w:rPr>
      </w:pPr>
    </w:p>
    <w:p w14:paraId="5AAE8321">
      <w:pPr>
        <w:widowControl w:val="0"/>
        <w:adjustRightInd w:val="0"/>
        <w:snapToGrid w:val="0"/>
        <w:rPr>
          <w:color w:val="auto"/>
          <w:highlight w:val="none"/>
        </w:rPr>
      </w:pPr>
    </w:p>
    <w:p w14:paraId="73E95F4E">
      <w:pPr>
        <w:widowControl w:val="0"/>
        <w:adjustRightInd w:val="0"/>
        <w:snapToGrid w:val="0"/>
        <w:rPr>
          <w:color w:val="auto"/>
          <w:highlight w:val="none"/>
        </w:rPr>
      </w:pPr>
    </w:p>
    <w:p w14:paraId="5AFA16C4">
      <w:pPr>
        <w:widowControl w:val="0"/>
        <w:adjustRightInd w:val="0"/>
        <w:snapToGrid w:val="0"/>
        <w:rPr>
          <w:color w:val="auto"/>
          <w:highlight w:val="none"/>
        </w:rPr>
      </w:pPr>
    </w:p>
    <w:p w14:paraId="499E2ADF">
      <w:pPr>
        <w:widowControl w:val="0"/>
        <w:adjustRightInd w:val="0"/>
        <w:snapToGrid w:val="0"/>
        <w:rPr>
          <w:color w:val="auto"/>
          <w:highlight w:val="none"/>
        </w:rPr>
      </w:pPr>
    </w:p>
    <w:p w14:paraId="53DF7F0F">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二、联合协议</w:t>
      </w:r>
      <w:r>
        <w:rPr>
          <w:rFonts w:hint="eastAsia" w:cs="宋体"/>
          <w:b/>
          <w:bCs/>
          <w:color w:val="auto"/>
          <w:kern w:val="0"/>
          <w:sz w:val="28"/>
          <w:szCs w:val="28"/>
          <w:highlight w:val="none"/>
        </w:rPr>
        <w:t>（如果有）</w:t>
      </w:r>
    </w:p>
    <w:p w14:paraId="401A3851">
      <w:pPr>
        <w:widowControl w:val="0"/>
        <w:adjustRightInd w:val="0"/>
        <w:snapToGrid w:val="0"/>
        <w:rPr>
          <w:color w:val="auto"/>
          <w:highlight w:val="none"/>
        </w:rPr>
      </w:pPr>
    </w:p>
    <w:p w14:paraId="48EF5B69">
      <w:pPr>
        <w:widowControl w:val="0"/>
        <w:adjustRightInd w:val="0"/>
        <w:snapToGrid w:val="0"/>
        <w:rPr>
          <w:color w:val="auto"/>
          <w:highlight w:val="none"/>
        </w:rPr>
      </w:pPr>
    </w:p>
    <w:p w14:paraId="219298C6">
      <w:pPr>
        <w:widowControl w:val="0"/>
        <w:adjustRightInd w:val="0"/>
        <w:snapToGrid w:val="0"/>
        <w:rPr>
          <w:color w:val="auto"/>
          <w:highlight w:val="none"/>
        </w:rPr>
      </w:pPr>
    </w:p>
    <w:p w14:paraId="0FFB9E4D">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[以联合体形式投标的，提供联合协议（附件5）；本项目不接受联合体投标或者投标人不以联合体形式投标的，则不需要提供]</w:t>
      </w:r>
    </w:p>
    <w:p w14:paraId="42F4B68E">
      <w:pPr>
        <w:widowControl w:val="0"/>
        <w:adjustRightInd w:val="0"/>
        <w:snapToGrid w:val="0"/>
        <w:rPr>
          <w:color w:val="auto"/>
          <w:highlight w:val="none"/>
        </w:rPr>
      </w:pPr>
    </w:p>
    <w:p w14:paraId="410C4379">
      <w:pPr>
        <w:widowControl w:val="0"/>
        <w:adjustRightInd w:val="0"/>
        <w:snapToGrid w:val="0"/>
        <w:rPr>
          <w:color w:val="auto"/>
          <w:highlight w:val="none"/>
        </w:rPr>
      </w:pPr>
    </w:p>
    <w:p w14:paraId="0E85434A">
      <w:pPr>
        <w:widowControl w:val="0"/>
        <w:adjustRightInd w:val="0"/>
        <w:snapToGrid w:val="0"/>
        <w:rPr>
          <w:color w:val="auto"/>
          <w:highlight w:val="none"/>
        </w:rPr>
      </w:pPr>
    </w:p>
    <w:p w14:paraId="2973288E">
      <w:pPr>
        <w:widowControl w:val="0"/>
        <w:adjustRightInd w:val="0"/>
        <w:snapToGrid w:val="0"/>
        <w:rPr>
          <w:color w:val="auto"/>
          <w:highlight w:val="none"/>
        </w:rPr>
      </w:pPr>
    </w:p>
    <w:p w14:paraId="41E78BAE">
      <w:pPr>
        <w:widowControl w:val="0"/>
        <w:adjustRightInd w:val="0"/>
        <w:snapToGrid w:val="0"/>
        <w:rPr>
          <w:color w:val="auto"/>
          <w:highlight w:val="none"/>
        </w:rPr>
      </w:pPr>
    </w:p>
    <w:p w14:paraId="6AE65F9C">
      <w:pPr>
        <w:widowControl w:val="0"/>
        <w:adjustRightInd w:val="0"/>
        <w:snapToGrid w:val="0"/>
        <w:rPr>
          <w:color w:val="auto"/>
          <w:highlight w:val="none"/>
        </w:rPr>
      </w:pPr>
    </w:p>
    <w:p w14:paraId="22EED5DD">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三、落实政府采购政策需满足的资格要求</w:t>
      </w:r>
    </w:p>
    <w:p w14:paraId="3F8F523B">
      <w:pPr>
        <w:widowControl w:val="0"/>
        <w:adjustRightInd w:val="0"/>
        <w:snapToGrid w:val="0"/>
        <w:rPr>
          <w:color w:val="auto"/>
          <w:highlight w:val="none"/>
        </w:rPr>
      </w:pPr>
    </w:p>
    <w:p w14:paraId="78527E31">
      <w:pPr>
        <w:widowControl w:val="0"/>
        <w:adjustRightInd w:val="0"/>
        <w:snapToGrid w:val="0"/>
        <w:rPr>
          <w:color w:val="auto"/>
          <w:highlight w:val="none"/>
        </w:rPr>
      </w:pPr>
    </w:p>
    <w:p w14:paraId="0FC01910">
      <w:pPr>
        <w:widowControl w:val="0"/>
        <w:adjustRightInd w:val="0"/>
        <w:snapToGrid w:val="0"/>
        <w:rPr>
          <w:color w:val="auto"/>
          <w:highlight w:val="none"/>
        </w:rPr>
      </w:pPr>
    </w:p>
    <w:p w14:paraId="578E26A5">
      <w:pPr>
        <w:pStyle w:val="79"/>
        <w:rPr>
          <w:color w:val="auto"/>
          <w:highlight w:val="none"/>
        </w:rPr>
      </w:pPr>
      <w:r>
        <w:rPr>
          <w:rFonts w:hint="eastAsia"/>
          <w:color w:val="auto"/>
          <w:highlight w:val="none"/>
        </w:rPr>
        <w:t>（根据招标公告落实政府采购政策需满足的资格要求选择提供相应的材料；未要求的，无需提供）</w:t>
      </w:r>
    </w:p>
    <w:p w14:paraId="036D6BC0">
      <w:pPr>
        <w:widowControl w:val="0"/>
        <w:adjustRightInd w:val="0"/>
        <w:snapToGrid w:val="0"/>
        <w:rPr>
          <w:color w:val="auto"/>
          <w:highlight w:val="none"/>
        </w:rPr>
      </w:pPr>
    </w:p>
    <w:p w14:paraId="17CB5621">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A.专门面向中小企业，服务全部由符合政策要求的中小企业（或小微企业）承接的，提供相应的中小企业声明函（附件7）。</w:t>
      </w:r>
    </w:p>
    <w:p w14:paraId="6EB3FE5C">
      <w:pPr>
        <w:widowControl w:val="0"/>
        <w:adjustRightInd w:val="0"/>
        <w:snapToGrid w:val="0"/>
        <w:rPr>
          <w:color w:val="auto"/>
          <w:highlight w:val="none"/>
        </w:rPr>
      </w:pPr>
    </w:p>
    <w:p w14:paraId="0A320F7A">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B.要求以联合体形式参加的，提供联合协议（附件5）和中小企业声明函（附件7），联合协议中中小企业合同金额应当达到招标公告载明的比例；如果供应商本身提供所有标的均由中小企业承接的，</w:t>
      </w:r>
      <w:r>
        <w:rPr>
          <w:rFonts w:hint="eastAsia" w:cs="宋体"/>
          <w:color w:val="auto"/>
          <w:sz w:val="24"/>
          <w:highlight w:val="none"/>
        </w:rPr>
        <w:t>并相应达到了前述比例要求</w:t>
      </w:r>
      <w:r>
        <w:rPr>
          <w:rFonts w:hint="eastAsia" w:cs="宋体"/>
          <w:color w:val="auto"/>
          <w:sz w:val="24"/>
          <w:highlight w:val="none"/>
        </w:rPr>
        <w:t>，视同符合了资格条件，无需再与其他中小企业组成联合体参加政府采购活动，无需提供联合协议。</w:t>
      </w:r>
    </w:p>
    <w:p w14:paraId="3D887F22">
      <w:pPr>
        <w:widowControl w:val="0"/>
        <w:adjustRightInd w:val="0"/>
        <w:snapToGrid w:val="0"/>
        <w:rPr>
          <w:color w:val="auto"/>
          <w:highlight w:val="none"/>
        </w:rPr>
      </w:pPr>
    </w:p>
    <w:p w14:paraId="3881FD97">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C.要求合同分包的，提供分包意向协议（附件6）和中小企业声明函（附件7），分包意向协议中中小企业合同金额应当达到招标公告载明的比例；如果供应商本身提供所有标的均由中小企业承接的，</w:t>
      </w:r>
      <w:r>
        <w:rPr>
          <w:rFonts w:hint="eastAsia" w:cs="宋体"/>
          <w:color w:val="auto"/>
          <w:sz w:val="24"/>
          <w:highlight w:val="none"/>
        </w:rPr>
        <w:t>并相应达到了前述比例要求</w:t>
      </w:r>
      <w:r>
        <w:rPr>
          <w:rFonts w:hint="eastAsia" w:cs="宋体"/>
          <w:color w:val="auto"/>
          <w:sz w:val="24"/>
          <w:highlight w:val="none"/>
        </w:rPr>
        <w:t>，视同符合了资格条件，无需再向中小企业分包，无需提供分包意向协议。</w:t>
      </w:r>
    </w:p>
    <w:p w14:paraId="6DEA5335">
      <w:pPr>
        <w:widowControl w:val="0"/>
        <w:adjustRightInd w:val="0"/>
        <w:snapToGrid w:val="0"/>
        <w:rPr>
          <w:color w:val="auto"/>
          <w:highlight w:val="none"/>
        </w:rPr>
      </w:pPr>
    </w:p>
    <w:p w14:paraId="518711C9">
      <w:pPr>
        <w:widowControl w:val="0"/>
        <w:adjustRightInd w:val="0"/>
        <w:snapToGrid w:val="0"/>
        <w:rPr>
          <w:color w:val="auto"/>
          <w:highlight w:val="none"/>
        </w:rPr>
      </w:pPr>
    </w:p>
    <w:p w14:paraId="45C23DD6">
      <w:pPr>
        <w:widowControl w:val="0"/>
        <w:adjustRightInd w:val="0"/>
        <w:snapToGrid w:val="0"/>
        <w:rPr>
          <w:color w:val="auto"/>
          <w:highlight w:val="none"/>
        </w:rPr>
      </w:pPr>
    </w:p>
    <w:p w14:paraId="47CB1136">
      <w:pPr>
        <w:widowControl w:val="0"/>
        <w:adjustRightInd w:val="0"/>
        <w:snapToGrid w:val="0"/>
        <w:rPr>
          <w:color w:val="auto"/>
          <w:highlight w:val="none"/>
        </w:rPr>
      </w:pPr>
    </w:p>
    <w:p w14:paraId="54600F9F">
      <w:pPr>
        <w:widowControl w:val="0"/>
        <w:adjustRightInd w:val="0"/>
        <w:snapToGrid w:val="0"/>
        <w:rPr>
          <w:color w:val="auto"/>
          <w:highlight w:val="none"/>
        </w:rPr>
      </w:pPr>
    </w:p>
    <w:p w14:paraId="044419C9">
      <w:pPr>
        <w:widowControl w:val="0"/>
        <w:adjustRightInd w:val="0"/>
        <w:snapToGrid w:val="0"/>
        <w:rPr>
          <w:color w:val="auto"/>
          <w:highlight w:val="none"/>
        </w:rPr>
      </w:pPr>
    </w:p>
    <w:p w14:paraId="439DF163">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四、本项目的特定资格要求</w:t>
      </w:r>
    </w:p>
    <w:p w14:paraId="1D4233BD">
      <w:pPr>
        <w:widowControl w:val="0"/>
        <w:adjustRightInd w:val="0"/>
        <w:snapToGrid w:val="0"/>
        <w:rPr>
          <w:color w:val="auto"/>
          <w:highlight w:val="none"/>
        </w:rPr>
      </w:pPr>
    </w:p>
    <w:p w14:paraId="0FC7AC29">
      <w:pPr>
        <w:widowControl w:val="0"/>
        <w:adjustRightInd w:val="0"/>
        <w:snapToGrid w:val="0"/>
        <w:rPr>
          <w:color w:val="auto"/>
          <w:highlight w:val="none"/>
        </w:rPr>
      </w:pPr>
    </w:p>
    <w:p w14:paraId="7A2453D8">
      <w:pPr>
        <w:widowControl w:val="0"/>
        <w:adjustRightInd w:val="0"/>
        <w:snapToGrid w:val="0"/>
        <w:rPr>
          <w:color w:val="auto"/>
          <w:highlight w:val="none"/>
        </w:rPr>
      </w:pPr>
    </w:p>
    <w:p w14:paraId="5EB17316">
      <w:pPr>
        <w:pStyle w:val="79"/>
        <w:rPr>
          <w:color w:val="auto"/>
          <w:highlight w:val="none"/>
        </w:rPr>
      </w:pPr>
      <w:r>
        <w:rPr>
          <w:rFonts w:hint="eastAsia"/>
          <w:color w:val="auto"/>
          <w:highlight w:val="none"/>
        </w:rPr>
        <w:t>（根据招标公告本项目的特定资格要求提供相应的材料；未要求的，无需提供）</w:t>
      </w:r>
    </w:p>
    <w:p w14:paraId="5899094E">
      <w:pPr>
        <w:widowControl w:val="0"/>
        <w:adjustRightInd w:val="0"/>
        <w:snapToGrid w:val="0"/>
        <w:rPr>
          <w:color w:val="auto"/>
          <w:highlight w:val="none"/>
        </w:rPr>
      </w:pPr>
    </w:p>
    <w:p w14:paraId="0206C7E9">
      <w:pPr>
        <w:widowControl w:val="0"/>
        <w:adjustRightInd w:val="0"/>
        <w:snapToGrid w:val="0"/>
        <w:rPr>
          <w:color w:val="auto"/>
          <w:highlight w:val="none"/>
        </w:rPr>
      </w:pPr>
    </w:p>
    <w:p w14:paraId="592FEF90">
      <w:pPr>
        <w:widowControl w:val="0"/>
        <w:adjustRightInd w:val="0"/>
        <w:snapToGrid w:val="0"/>
        <w:rPr>
          <w:color w:val="auto"/>
          <w:highlight w:val="none"/>
        </w:rPr>
      </w:pPr>
    </w:p>
    <w:p w14:paraId="1F0650D1">
      <w:pPr>
        <w:widowControl w:val="0"/>
        <w:adjustRightInd w:val="0"/>
        <w:snapToGrid w:val="0"/>
        <w:rPr>
          <w:color w:val="auto"/>
          <w:highlight w:val="none"/>
        </w:rPr>
      </w:pPr>
    </w:p>
    <w:p w14:paraId="505722D0">
      <w:pPr>
        <w:widowControl w:val="0"/>
        <w:adjustRightInd w:val="0"/>
        <w:snapToGrid w:val="0"/>
        <w:rPr>
          <w:color w:val="auto"/>
          <w:highlight w:val="none"/>
        </w:rPr>
      </w:pPr>
    </w:p>
    <w:p w14:paraId="39DF6AF1">
      <w:pPr>
        <w:widowControl w:val="0"/>
        <w:adjustRightInd w:val="0"/>
        <w:snapToGrid w:val="0"/>
        <w:rPr>
          <w:color w:val="auto"/>
          <w:highlight w:val="none"/>
        </w:rPr>
      </w:pPr>
    </w:p>
    <w:p w14:paraId="4B16702C">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商务技术文件部分</w:t>
      </w:r>
    </w:p>
    <w:p w14:paraId="36DA32E8">
      <w:pPr>
        <w:widowControl w:val="0"/>
        <w:adjustRightInd w:val="0"/>
        <w:snapToGrid w:val="0"/>
        <w:rPr>
          <w:color w:val="auto"/>
          <w:highlight w:val="none"/>
        </w:rPr>
      </w:pPr>
    </w:p>
    <w:p w14:paraId="6BDFCFD6">
      <w:pPr>
        <w:widowControl w:val="0"/>
        <w:adjustRightInd w:val="0"/>
        <w:snapToGrid w:val="0"/>
        <w:rPr>
          <w:color w:val="auto"/>
          <w:highlight w:val="none"/>
        </w:rPr>
      </w:pPr>
    </w:p>
    <w:p w14:paraId="0435319E">
      <w:pPr>
        <w:widowControl w:val="0"/>
        <w:adjustRightInd w:val="0"/>
        <w:snapToGrid w:val="0"/>
        <w:rPr>
          <w:color w:val="auto"/>
          <w:highlight w:val="none"/>
        </w:rPr>
      </w:pPr>
    </w:p>
    <w:p w14:paraId="07BD2B08">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7F2880F5">
      <w:pPr>
        <w:widowControl w:val="0"/>
        <w:adjustRightInd w:val="0"/>
        <w:snapToGrid w:val="0"/>
        <w:rPr>
          <w:color w:val="auto"/>
          <w:highlight w:val="none"/>
        </w:rPr>
      </w:pPr>
    </w:p>
    <w:p w14:paraId="4FE839E7">
      <w:pPr>
        <w:widowControl w:val="0"/>
        <w:adjustRightInd w:val="0"/>
        <w:snapToGrid w:val="0"/>
        <w:rPr>
          <w:color w:val="auto"/>
          <w:highlight w:val="none"/>
        </w:rPr>
      </w:pPr>
    </w:p>
    <w:p w14:paraId="1B023959">
      <w:pPr>
        <w:widowControl w:val="0"/>
        <w:adjustRightInd w:val="0"/>
        <w:snapToGrid w:val="0"/>
        <w:rPr>
          <w:color w:val="auto"/>
          <w:highlight w:val="none"/>
        </w:rPr>
      </w:pPr>
    </w:p>
    <w:p w14:paraId="3F5ECA6C">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（1）投标函……………………………………………………………………（页码）</w:t>
      </w:r>
    </w:p>
    <w:p w14:paraId="328868D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（2）授权委托书或法定代表人（单位负责人、自然人本人）身份证明…（页码）</w:t>
      </w:r>
    </w:p>
    <w:p w14:paraId="362A4D7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3</w:t>
      </w:r>
      <w:r>
        <w:rPr>
          <w:rFonts w:hint="eastAsia" w:cs="宋体"/>
          <w:color w:val="auto"/>
          <w:sz w:val="24"/>
          <w:highlight w:val="none"/>
        </w:rPr>
        <w:t>）分包意向协议……………………………………………………………（页码）</w:t>
      </w:r>
    </w:p>
    <w:p w14:paraId="0FEA3D13">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4</w:t>
      </w:r>
      <w:r>
        <w:rPr>
          <w:rFonts w:hint="eastAsia" w:cs="宋体"/>
          <w:color w:val="auto"/>
          <w:sz w:val="24"/>
          <w:highlight w:val="none"/>
        </w:rPr>
        <w:t>）符合性审查资料…………………………………………………………（页码）</w:t>
      </w:r>
    </w:p>
    <w:p w14:paraId="2835C4E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5</w:t>
      </w:r>
      <w:r>
        <w:rPr>
          <w:rFonts w:hint="eastAsia" w:cs="宋体"/>
          <w:color w:val="auto"/>
          <w:sz w:val="24"/>
          <w:highlight w:val="none"/>
        </w:rPr>
        <w:t>）评标标准相应的商务技术资料…………………………………………（页码）</w:t>
      </w:r>
    </w:p>
    <w:p w14:paraId="31CF212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6</w:t>
      </w:r>
      <w:r>
        <w:rPr>
          <w:rFonts w:hint="eastAsia" w:cs="宋体"/>
          <w:color w:val="auto"/>
          <w:sz w:val="24"/>
          <w:highlight w:val="none"/>
        </w:rPr>
        <w:t>）投标标的清单……………………………………………………………（页码）</w:t>
      </w:r>
    </w:p>
    <w:p w14:paraId="72373266">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7</w:t>
      </w:r>
      <w:r>
        <w:rPr>
          <w:rFonts w:hint="eastAsia" w:cs="宋体"/>
          <w:color w:val="auto"/>
          <w:sz w:val="24"/>
          <w:highlight w:val="none"/>
        </w:rPr>
        <w:t>）商务技术偏离表…………………………………………………………（页码）</w:t>
      </w:r>
    </w:p>
    <w:p w14:paraId="4A956878">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w:t>
      </w:r>
      <w:r>
        <w:rPr>
          <w:rFonts w:cs="宋体"/>
          <w:color w:val="auto"/>
          <w:sz w:val="24"/>
          <w:highlight w:val="none"/>
        </w:rPr>
        <w:t>8</w:t>
      </w:r>
      <w:r>
        <w:rPr>
          <w:rFonts w:hint="eastAsia" w:cs="宋体"/>
          <w:color w:val="auto"/>
          <w:sz w:val="24"/>
          <w:highlight w:val="none"/>
        </w:rPr>
        <w:t>）政府采购供应商廉洁自律承诺书………………………………………（页码）</w:t>
      </w:r>
    </w:p>
    <w:p w14:paraId="60D58F58">
      <w:pPr>
        <w:widowControl w:val="0"/>
        <w:adjustRightInd w:val="0"/>
        <w:snapToGrid w:val="0"/>
        <w:rPr>
          <w:color w:val="auto"/>
          <w:highlight w:val="none"/>
        </w:rPr>
      </w:pPr>
    </w:p>
    <w:p w14:paraId="7BE9154E">
      <w:pPr>
        <w:widowControl w:val="0"/>
        <w:adjustRightInd w:val="0"/>
        <w:snapToGrid w:val="0"/>
        <w:rPr>
          <w:color w:val="auto"/>
          <w:highlight w:val="none"/>
        </w:rPr>
      </w:pPr>
    </w:p>
    <w:p w14:paraId="37E35895">
      <w:pPr>
        <w:widowControl w:val="0"/>
        <w:adjustRightInd w:val="0"/>
        <w:snapToGrid w:val="0"/>
        <w:rPr>
          <w:color w:val="auto"/>
          <w:highlight w:val="none"/>
        </w:rPr>
      </w:pPr>
    </w:p>
    <w:p w14:paraId="27CA20BA">
      <w:pPr>
        <w:widowControl w:val="0"/>
        <w:adjustRightInd w:val="0"/>
        <w:snapToGrid w:val="0"/>
        <w:rPr>
          <w:color w:val="auto"/>
          <w:highlight w:val="none"/>
        </w:rPr>
      </w:pPr>
    </w:p>
    <w:p w14:paraId="105635D2">
      <w:pPr>
        <w:widowControl w:val="0"/>
        <w:adjustRightInd w:val="0"/>
        <w:snapToGrid w:val="0"/>
        <w:rPr>
          <w:color w:val="auto"/>
          <w:highlight w:val="none"/>
        </w:rPr>
      </w:pPr>
    </w:p>
    <w:p w14:paraId="565B803F">
      <w:pPr>
        <w:widowControl w:val="0"/>
        <w:adjustRightInd w:val="0"/>
        <w:snapToGrid w:val="0"/>
        <w:rPr>
          <w:color w:val="auto"/>
          <w:highlight w:val="none"/>
        </w:rPr>
      </w:pPr>
    </w:p>
    <w:p w14:paraId="0F53CB41">
      <w:pPr>
        <w:widowControl w:val="0"/>
        <w:adjustRightInd w:val="0"/>
        <w:snapToGrid w:val="0"/>
        <w:rPr>
          <w:color w:val="auto"/>
          <w:highlight w:val="none"/>
        </w:rPr>
      </w:pPr>
    </w:p>
    <w:p w14:paraId="1CA93257">
      <w:pPr>
        <w:widowControl w:val="0"/>
        <w:adjustRightInd w:val="0"/>
        <w:snapToGrid w:val="0"/>
        <w:rPr>
          <w:color w:val="auto"/>
          <w:highlight w:val="none"/>
        </w:rPr>
      </w:pPr>
    </w:p>
    <w:p w14:paraId="21FCF026">
      <w:pPr>
        <w:widowControl w:val="0"/>
        <w:adjustRightInd w:val="0"/>
        <w:snapToGrid w:val="0"/>
        <w:rPr>
          <w:color w:val="auto"/>
          <w:highlight w:val="none"/>
        </w:rPr>
      </w:pPr>
    </w:p>
    <w:p w14:paraId="7F95B2A6">
      <w:pPr>
        <w:widowControl w:val="0"/>
        <w:adjustRightInd w:val="0"/>
        <w:snapToGrid w:val="0"/>
        <w:rPr>
          <w:color w:val="auto"/>
          <w:highlight w:val="none"/>
        </w:rPr>
      </w:pPr>
    </w:p>
    <w:p w14:paraId="2CF38A22">
      <w:pPr>
        <w:widowControl w:val="0"/>
        <w:adjustRightInd w:val="0"/>
        <w:snapToGrid w:val="0"/>
        <w:rPr>
          <w:color w:val="auto"/>
          <w:highlight w:val="none"/>
        </w:rPr>
      </w:pPr>
    </w:p>
    <w:p w14:paraId="16070FB3">
      <w:pPr>
        <w:widowControl w:val="0"/>
        <w:adjustRightInd w:val="0"/>
        <w:snapToGrid w:val="0"/>
        <w:rPr>
          <w:color w:val="auto"/>
          <w:highlight w:val="none"/>
        </w:rPr>
      </w:pPr>
    </w:p>
    <w:p w14:paraId="27F1F53C">
      <w:pPr>
        <w:widowControl w:val="0"/>
        <w:adjustRightInd w:val="0"/>
        <w:snapToGrid w:val="0"/>
        <w:rPr>
          <w:color w:val="auto"/>
          <w:highlight w:val="none"/>
        </w:rPr>
      </w:pPr>
    </w:p>
    <w:p w14:paraId="0859C2E9">
      <w:pPr>
        <w:widowControl w:val="0"/>
        <w:adjustRightInd w:val="0"/>
        <w:snapToGrid w:val="0"/>
        <w:rPr>
          <w:color w:val="auto"/>
          <w:highlight w:val="none"/>
        </w:rPr>
      </w:pPr>
    </w:p>
    <w:p w14:paraId="76971C63">
      <w:pPr>
        <w:widowControl w:val="0"/>
        <w:adjustRightInd w:val="0"/>
        <w:snapToGrid w:val="0"/>
        <w:rPr>
          <w:color w:val="auto"/>
          <w:highlight w:val="none"/>
        </w:rPr>
      </w:pPr>
    </w:p>
    <w:p w14:paraId="1E290790">
      <w:pPr>
        <w:widowControl w:val="0"/>
        <w:adjustRightInd w:val="0"/>
        <w:snapToGrid w:val="0"/>
        <w:rPr>
          <w:color w:val="auto"/>
          <w:highlight w:val="none"/>
        </w:rPr>
      </w:pPr>
    </w:p>
    <w:p w14:paraId="2713F40F">
      <w:pPr>
        <w:widowControl w:val="0"/>
        <w:adjustRightInd w:val="0"/>
        <w:snapToGrid w:val="0"/>
        <w:rPr>
          <w:color w:val="auto"/>
          <w:highlight w:val="none"/>
        </w:rPr>
      </w:pPr>
    </w:p>
    <w:p w14:paraId="4386A7A2">
      <w:pPr>
        <w:widowControl w:val="0"/>
        <w:adjustRightInd w:val="0"/>
        <w:snapToGrid w:val="0"/>
        <w:rPr>
          <w:color w:val="auto"/>
          <w:highlight w:val="none"/>
        </w:rPr>
      </w:pPr>
    </w:p>
    <w:p w14:paraId="1FD9D6EF">
      <w:pPr>
        <w:widowControl w:val="0"/>
        <w:adjustRightInd w:val="0"/>
        <w:snapToGrid w:val="0"/>
        <w:rPr>
          <w:color w:val="auto"/>
          <w:highlight w:val="none"/>
        </w:rPr>
      </w:pPr>
    </w:p>
    <w:p w14:paraId="03174394">
      <w:pPr>
        <w:widowControl w:val="0"/>
        <w:adjustRightInd w:val="0"/>
        <w:snapToGrid w:val="0"/>
        <w:rPr>
          <w:color w:val="auto"/>
          <w:highlight w:val="none"/>
        </w:rPr>
      </w:pPr>
    </w:p>
    <w:p w14:paraId="2E883373">
      <w:pPr>
        <w:widowControl w:val="0"/>
        <w:adjustRightInd w:val="0"/>
        <w:snapToGrid w:val="0"/>
        <w:rPr>
          <w:color w:val="auto"/>
          <w:highlight w:val="none"/>
        </w:rPr>
      </w:pPr>
    </w:p>
    <w:p w14:paraId="3A2A7C7A">
      <w:pPr>
        <w:widowControl w:val="0"/>
        <w:adjustRightInd w:val="0"/>
        <w:snapToGrid w:val="0"/>
        <w:rPr>
          <w:color w:val="auto"/>
          <w:highlight w:val="none"/>
        </w:rPr>
      </w:pPr>
    </w:p>
    <w:p w14:paraId="0AF6198F">
      <w:pPr>
        <w:widowControl w:val="0"/>
        <w:adjustRightInd w:val="0"/>
        <w:snapToGrid w:val="0"/>
        <w:rPr>
          <w:color w:val="auto"/>
          <w:highlight w:val="none"/>
        </w:rPr>
      </w:pPr>
    </w:p>
    <w:p w14:paraId="1E3F3022">
      <w:pPr>
        <w:widowControl w:val="0"/>
        <w:adjustRightInd w:val="0"/>
        <w:snapToGrid w:val="0"/>
        <w:rPr>
          <w:color w:val="auto"/>
          <w:highlight w:val="none"/>
        </w:rPr>
      </w:pPr>
    </w:p>
    <w:p w14:paraId="79265021">
      <w:pPr>
        <w:widowControl w:val="0"/>
        <w:adjustRightInd w:val="0"/>
        <w:snapToGrid w:val="0"/>
        <w:rPr>
          <w:color w:val="auto"/>
          <w:highlight w:val="none"/>
        </w:rPr>
      </w:pPr>
    </w:p>
    <w:p w14:paraId="4DDD02A4">
      <w:pPr>
        <w:widowControl w:val="0"/>
        <w:adjustRightInd w:val="0"/>
        <w:snapToGrid w:val="0"/>
        <w:rPr>
          <w:color w:val="auto"/>
          <w:highlight w:val="none"/>
        </w:rPr>
      </w:pPr>
    </w:p>
    <w:p w14:paraId="32BB22C6">
      <w:pPr>
        <w:widowControl w:val="0"/>
        <w:adjustRightInd w:val="0"/>
        <w:snapToGrid w:val="0"/>
        <w:rPr>
          <w:color w:val="auto"/>
          <w:highlight w:val="none"/>
        </w:rPr>
      </w:pPr>
    </w:p>
    <w:p w14:paraId="3F562C1E">
      <w:pPr>
        <w:widowControl w:val="0"/>
        <w:adjustRightInd w:val="0"/>
        <w:snapToGrid w:val="0"/>
        <w:rPr>
          <w:color w:val="auto"/>
          <w:highlight w:val="none"/>
        </w:rPr>
      </w:pPr>
    </w:p>
    <w:p w14:paraId="67E7612C">
      <w:pPr>
        <w:widowControl w:val="0"/>
        <w:adjustRightInd w:val="0"/>
        <w:snapToGrid w:val="0"/>
        <w:rPr>
          <w:color w:val="auto"/>
          <w:highlight w:val="none"/>
        </w:rPr>
      </w:pPr>
    </w:p>
    <w:p w14:paraId="1FB1481F">
      <w:pPr>
        <w:widowControl w:val="0"/>
        <w:adjustRightInd w:val="0"/>
        <w:snapToGrid w:val="0"/>
        <w:rPr>
          <w:color w:val="auto"/>
          <w:highlight w:val="none"/>
        </w:rPr>
      </w:pPr>
    </w:p>
    <w:p w14:paraId="6F288CF3">
      <w:pPr>
        <w:widowControl w:val="0"/>
        <w:adjustRightInd w:val="0"/>
        <w:snapToGrid w:val="0"/>
        <w:rPr>
          <w:color w:val="auto"/>
          <w:highlight w:val="none"/>
        </w:rPr>
      </w:pPr>
    </w:p>
    <w:p w14:paraId="01B42F42">
      <w:pPr>
        <w:widowControl w:val="0"/>
        <w:adjustRightInd w:val="0"/>
        <w:snapToGrid w:val="0"/>
        <w:rPr>
          <w:color w:val="auto"/>
          <w:highlight w:val="none"/>
        </w:rPr>
      </w:pPr>
    </w:p>
    <w:p w14:paraId="7885968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一、投标函</w:t>
      </w:r>
    </w:p>
    <w:p w14:paraId="06BFE1F3">
      <w:pPr>
        <w:widowControl w:val="0"/>
        <w:adjustRightInd w:val="0"/>
        <w:snapToGrid w:val="0"/>
        <w:rPr>
          <w:color w:val="auto"/>
          <w:highlight w:val="none"/>
        </w:rPr>
      </w:pPr>
    </w:p>
    <w:p w14:paraId="1992C11E">
      <w:pPr>
        <w:widowControl w:val="0"/>
        <w:adjustRightInd w:val="0"/>
        <w:snapToGrid w:val="0"/>
        <w:rPr>
          <w:color w:val="auto"/>
          <w:highlight w:val="none"/>
        </w:rPr>
      </w:pPr>
    </w:p>
    <w:p w14:paraId="1F839E00">
      <w:pPr>
        <w:widowControl w:val="0"/>
        <w:adjustRightInd w:val="0"/>
        <w:snapToGrid w:val="0"/>
        <w:spacing w:line="300" w:lineRule="auto"/>
        <w:rPr>
          <w:rFonts w:cs="宋体"/>
          <w:color w:val="auto"/>
          <w:szCs w:val="21"/>
          <w:highlight w:val="none"/>
        </w:rPr>
      </w:pPr>
      <w:r>
        <w:rPr>
          <w:rFonts w:hint="eastAsia" w:cs="宋体"/>
          <w:color w:val="auto"/>
          <w:szCs w:val="21"/>
          <w:highlight w:val="none"/>
        </w:rPr>
        <w:t>（采购人）</w:t>
      </w:r>
      <w:r>
        <w:rPr>
          <w:rFonts w:hint="eastAsia" w:cs="宋体"/>
          <w:color w:val="auto"/>
          <w:szCs w:val="21"/>
          <w:highlight w:val="none"/>
        </w:rPr>
        <w:t>、（采购代理机构）：</w:t>
      </w:r>
    </w:p>
    <w:p w14:paraId="17512C5C">
      <w:pPr>
        <w:widowControl w:val="0"/>
        <w:adjustRightInd w:val="0"/>
        <w:snapToGrid w:val="0"/>
        <w:rPr>
          <w:color w:val="auto"/>
          <w:highlight w:val="none"/>
        </w:rPr>
      </w:pPr>
    </w:p>
    <w:p w14:paraId="0101161E">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我方参加你方组织的</w:t>
      </w:r>
      <w:r>
        <w:rPr>
          <w:rFonts w:hint="eastAsia" w:cs="宋体"/>
          <w:color w:val="auto"/>
          <w:szCs w:val="21"/>
          <w:highlight w:val="none"/>
        </w:rPr>
        <w:t>象山县爵溪街道小微企业集聚区建筑用石料（凝灰岩）矿开采加工、配套设施建设及矿产品销售代理一体化服务项目</w:t>
      </w:r>
      <w:r>
        <w:rPr>
          <w:rFonts w:hint="eastAsia" w:cs="宋体"/>
          <w:color w:val="auto"/>
          <w:szCs w:val="21"/>
          <w:highlight w:val="none"/>
        </w:rPr>
        <w:t>【项目编号：</w:t>
      </w:r>
      <w:r>
        <w:rPr>
          <w:rFonts w:hint="eastAsia" w:cs="宋体"/>
          <w:color w:val="auto"/>
          <w:szCs w:val="21"/>
          <w:highlight w:val="none"/>
        </w:rPr>
        <w:t>2024-CGDL-05-001C</w:t>
      </w:r>
      <w:r>
        <w:rPr>
          <w:rFonts w:hint="eastAsia" w:cs="宋体"/>
          <w:color w:val="auto"/>
          <w:szCs w:val="21"/>
          <w:highlight w:val="none"/>
        </w:rPr>
        <w:t>】招标的有关活动，并对此项目进行投标。为此：</w:t>
      </w:r>
    </w:p>
    <w:p w14:paraId="21BA321A">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1、我方承诺投标有效期从提交投标文件的截止之日起</w:t>
      </w:r>
      <w:r>
        <w:rPr>
          <w:rFonts w:hint="eastAsia" w:cs="宋体"/>
          <w:color w:val="auto"/>
          <w:szCs w:val="21"/>
          <w:highlight w:val="none"/>
          <w:u w:val="single"/>
        </w:rPr>
        <w:t xml:space="preserve">     </w:t>
      </w:r>
      <w:r>
        <w:rPr>
          <w:rFonts w:hint="eastAsia" w:cs="宋体"/>
          <w:color w:val="auto"/>
          <w:szCs w:val="21"/>
          <w:highlight w:val="none"/>
        </w:rPr>
        <w:t>天（不少于90天），本投标文件在投标有效期满之前均具有约束力。</w:t>
      </w:r>
    </w:p>
    <w:p w14:paraId="7F20C192">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2、我方的投标文件包括以下内容：</w:t>
      </w:r>
    </w:p>
    <w:p w14:paraId="26AEF73D">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2.1资格文件：</w:t>
      </w:r>
    </w:p>
    <w:p w14:paraId="214F9E54">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2.1.1承诺函；</w:t>
      </w:r>
    </w:p>
    <w:p w14:paraId="0679B4B7">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2.1.2</w:t>
      </w:r>
      <w:r>
        <w:rPr>
          <w:rFonts w:hint="eastAsia" w:cs="宋体"/>
          <w:snapToGrid w:val="0"/>
          <w:color w:val="auto"/>
          <w:kern w:val="28"/>
          <w:szCs w:val="21"/>
          <w:highlight w:val="none"/>
        </w:rPr>
        <w:t>联合协议</w:t>
      </w:r>
      <w:r>
        <w:rPr>
          <w:rFonts w:hint="eastAsia" w:cs="宋体"/>
          <w:snapToGrid w:val="0"/>
          <w:color w:val="auto"/>
          <w:kern w:val="28"/>
          <w:szCs w:val="21"/>
          <w:highlight w:val="none"/>
        </w:rPr>
        <w:t>（如果有）</w:t>
      </w:r>
      <w:r>
        <w:rPr>
          <w:rFonts w:hint="eastAsia" w:cs="宋体"/>
          <w:snapToGrid w:val="0"/>
          <w:color w:val="auto"/>
          <w:kern w:val="28"/>
          <w:szCs w:val="21"/>
          <w:highlight w:val="none"/>
        </w:rPr>
        <w:t>；</w:t>
      </w:r>
    </w:p>
    <w:p w14:paraId="06168CCD">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w:t>
      </w:r>
      <w:r>
        <w:rPr>
          <w:rFonts w:cs="宋体"/>
          <w:color w:val="auto"/>
          <w:szCs w:val="21"/>
          <w:highlight w:val="none"/>
        </w:rPr>
        <w:t>.1.3</w:t>
      </w:r>
      <w:r>
        <w:rPr>
          <w:rFonts w:hint="eastAsia" w:cs="宋体"/>
          <w:color w:val="auto"/>
          <w:szCs w:val="21"/>
          <w:highlight w:val="none"/>
        </w:rPr>
        <w:t>落实政府采购政策需满足的资格要求</w:t>
      </w:r>
      <w:r>
        <w:rPr>
          <w:rFonts w:hint="eastAsia" w:cs="宋体"/>
          <w:snapToGrid w:val="0"/>
          <w:color w:val="auto"/>
          <w:kern w:val="28"/>
          <w:szCs w:val="21"/>
          <w:highlight w:val="none"/>
        </w:rPr>
        <w:t>（如果有）</w:t>
      </w:r>
      <w:r>
        <w:rPr>
          <w:rFonts w:hint="eastAsia" w:cs="宋体"/>
          <w:color w:val="auto"/>
          <w:szCs w:val="21"/>
          <w:highlight w:val="none"/>
        </w:rPr>
        <w:t>；</w:t>
      </w:r>
    </w:p>
    <w:p w14:paraId="2A24506B">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2.1.</w:t>
      </w:r>
      <w:r>
        <w:rPr>
          <w:rFonts w:cs="宋体"/>
          <w:color w:val="auto"/>
          <w:szCs w:val="21"/>
          <w:highlight w:val="none"/>
        </w:rPr>
        <w:t>4</w:t>
      </w:r>
      <w:r>
        <w:rPr>
          <w:rFonts w:hint="eastAsia" w:cs="宋体"/>
          <w:color w:val="auto"/>
          <w:szCs w:val="21"/>
          <w:highlight w:val="none"/>
        </w:rPr>
        <w:t>本项目的特定资格要求</w:t>
      </w:r>
      <w:r>
        <w:rPr>
          <w:rFonts w:hint="eastAsia" w:cs="宋体"/>
          <w:snapToGrid w:val="0"/>
          <w:color w:val="auto"/>
          <w:kern w:val="28"/>
          <w:szCs w:val="21"/>
          <w:highlight w:val="none"/>
        </w:rPr>
        <w:t>（如果有）</w:t>
      </w:r>
      <w:r>
        <w:rPr>
          <w:rFonts w:hint="eastAsia" w:cs="宋体"/>
          <w:color w:val="auto"/>
          <w:szCs w:val="21"/>
          <w:highlight w:val="none"/>
        </w:rPr>
        <w:t>。</w:t>
      </w:r>
    </w:p>
    <w:p w14:paraId="4E2DD856">
      <w:pPr>
        <w:widowControl w:val="0"/>
        <w:adjustRightInd w:val="0"/>
        <w:snapToGrid w:val="0"/>
        <w:spacing w:line="300" w:lineRule="auto"/>
        <w:ind w:firstLine="630" w:firstLineChars="3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2商务技术</w:t>
      </w:r>
      <w:r>
        <w:rPr>
          <w:rFonts w:hint="eastAsia" w:cs="宋体"/>
          <w:color w:val="auto"/>
          <w:szCs w:val="21"/>
          <w:highlight w:val="none"/>
          <w:lang w:val="zh-CN"/>
        </w:rPr>
        <w:t>文件：</w:t>
      </w:r>
    </w:p>
    <w:p w14:paraId="4FD12F50">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2.2.1投标函；</w:t>
      </w:r>
    </w:p>
    <w:p w14:paraId="2710E243">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2.2.2授权委托书或法定代表人（单位负责人）身份证明；</w:t>
      </w:r>
    </w:p>
    <w:p w14:paraId="4DC4E1C8">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3</w:t>
      </w:r>
      <w:r>
        <w:rPr>
          <w:rFonts w:hint="eastAsia" w:cs="宋体"/>
          <w:color w:val="auto"/>
          <w:szCs w:val="21"/>
          <w:highlight w:val="none"/>
        </w:rPr>
        <w:t>分包意向协议</w:t>
      </w:r>
      <w:r>
        <w:rPr>
          <w:rFonts w:hint="eastAsia" w:cs="宋体"/>
          <w:snapToGrid w:val="0"/>
          <w:color w:val="auto"/>
          <w:kern w:val="28"/>
          <w:szCs w:val="21"/>
          <w:highlight w:val="none"/>
        </w:rPr>
        <w:t>（如果有）</w:t>
      </w:r>
      <w:r>
        <w:rPr>
          <w:rFonts w:hint="eastAsia" w:cs="宋体"/>
          <w:color w:val="auto"/>
          <w:szCs w:val="21"/>
          <w:highlight w:val="none"/>
        </w:rPr>
        <w:t>；</w:t>
      </w:r>
    </w:p>
    <w:p w14:paraId="15168D66">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4</w:t>
      </w:r>
      <w:r>
        <w:rPr>
          <w:rFonts w:hint="eastAsia" w:cs="宋体"/>
          <w:color w:val="auto"/>
          <w:szCs w:val="21"/>
          <w:highlight w:val="none"/>
        </w:rPr>
        <w:t>符合性审查资料；</w:t>
      </w:r>
    </w:p>
    <w:p w14:paraId="1D3B506F">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5</w:t>
      </w:r>
      <w:r>
        <w:rPr>
          <w:rFonts w:hint="eastAsia" w:cs="宋体"/>
          <w:color w:val="auto"/>
          <w:szCs w:val="21"/>
          <w:highlight w:val="none"/>
        </w:rPr>
        <w:t>评标标准相应的商务技术资料；</w:t>
      </w:r>
    </w:p>
    <w:p w14:paraId="078965A7">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6</w:t>
      </w:r>
      <w:r>
        <w:rPr>
          <w:rFonts w:hint="eastAsia" w:cs="宋体"/>
          <w:color w:val="auto"/>
          <w:szCs w:val="21"/>
          <w:highlight w:val="none"/>
        </w:rPr>
        <w:t>投标标的清单；</w:t>
      </w:r>
    </w:p>
    <w:p w14:paraId="3D0D7B67">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2.2.</w:t>
      </w:r>
      <w:r>
        <w:rPr>
          <w:rFonts w:cs="宋体"/>
          <w:color w:val="auto"/>
          <w:szCs w:val="21"/>
          <w:highlight w:val="none"/>
        </w:rPr>
        <w:t>7</w:t>
      </w:r>
      <w:r>
        <w:rPr>
          <w:rFonts w:hint="eastAsia" w:cs="宋体"/>
          <w:color w:val="auto"/>
          <w:szCs w:val="21"/>
          <w:highlight w:val="none"/>
        </w:rPr>
        <w:t>商务技术偏离表；</w:t>
      </w:r>
    </w:p>
    <w:p w14:paraId="4944000D">
      <w:pPr>
        <w:widowControl w:val="0"/>
        <w:adjustRightInd w:val="0"/>
        <w:snapToGrid w:val="0"/>
        <w:spacing w:line="300" w:lineRule="auto"/>
        <w:ind w:firstLine="840" w:firstLineChars="400"/>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2</w:t>
      </w:r>
      <w:r>
        <w:rPr>
          <w:rFonts w:hint="eastAsia" w:cs="宋体"/>
          <w:color w:val="auto"/>
          <w:szCs w:val="21"/>
          <w:highlight w:val="none"/>
          <w:lang w:val="zh-CN"/>
        </w:rPr>
        <w:t>.</w:t>
      </w:r>
      <w:r>
        <w:rPr>
          <w:rFonts w:cs="宋体"/>
          <w:color w:val="auto"/>
          <w:szCs w:val="21"/>
          <w:highlight w:val="none"/>
        </w:rPr>
        <w:t>8</w:t>
      </w:r>
      <w:r>
        <w:rPr>
          <w:rFonts w:hint="eastAsia" w:cs="宋体"/>
          <w:color w:val="auto"/>
          <w:szCs w:val="21"/>
          <w:highlight w:val="none"/>
          <w:lang w:val="zh-CN"/>
        </w:rPr>
        <w:t>政府</w:t>
      </w:r>
      <w:r>
        <w:rPr>
          <w:rFonts w:hint="eastAsia" w:cs="宋体"/>
          <w:color w:val="auto"/>
          <w:szCs w:val="21"/>
          <w:highlight w:val="none"/>
        </w:rPr>
        <w:t>采购</w:t>
      </w:r>
      <w:r>
        <w:rPr>
          <w:rFonts w:hint="eastAsia" w:cs="宋体"/>
          <w:color w:val="auto"/>
          <w:szCs w:val="21"/>
          <w:highlight w:val="none"/>
          <w:lang w:val="zh-CN"/>
        </w:rPr>
        <w:t>供应商廉洁自律承诺书。</w:t>
      </w:r>
    </w:p>
    <w:p w14:paraId="50C2C033">
      <w:pPr>
        <w:widowControl w:val="0"/>
        <w:adjustRightInd w:val="0"/>
        <w:snapToGrid w:val="0"/>
        <w:spacing w:line="300" w:lineRule="auto"/>
        <w:ind w:firstLine="630" w:firstLineChars="300"/>
        <w:rPr>
          <w:rFonts w:cs="宋体"/>
          <w:color w:val="auto"/>
          <w:szCs w:val="21"/>
          <w:highlight w:val="none"/>
        </w:rPr>
      </w:pPr>
      <w:r>
        <w:rPr>
          <w:rFonts w:hint="eastAsia" w:cs="宋体"/>
          <w:color w:val="auto"/>
          <w:szCs w:val="21"/>
          <w:highlight w:val="none"/>
        </w:rPr>
        <w:t>2</w:t>
      </w:r>
      <w:r>
        <w:rPr>
          <w:rFonts w:hint="eastAsia" w:cs="宋体"/>
          <w:color w:val="auto"/>
          <w:szCs w:val="21"/>
          <w:highlight w:val="none"/>
          <w:lang w:val="zh-CN"/>
        </w:rPr>
        <w:t>.</w:t>
      </w:r>
      <w:r>
        <w:rPr>
          <w:rFonts w:hint="eastAsia" w:cs="宋体"/>
          <w:color w:val="auto"/>
          <w:szCs w:val="21"/>
          <w:highlight w:val="none"/>
        </w:rPr>
        <w:t>3报价文件</w:t>
      </w:r>
    </w:p>
    <w:p w14:paraId="5A543752">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2.3.1开标一览表（报价表）；</w:t>
      </w:r>
    </w:p>
    <w:p w14:paraId="6BDB39F9">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2.3.2报价情况说明（如果有）；</w:t>
      </w:r>
    </w:p>
    <w:p w14:paraId="544C08F5">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2.3.3中小企业声明函（如果有）。</w:t>
      </w:r>
    </w:p>
    <w:p w14:paraId="04007074">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3、我方承诺除商务技术偏离表列出的偏离外，我方响应招标文件的全部要求。</w:t>
      </w:r>
      <w:r>
        <w:rPr>
          <w:rFonts w:hint="eastAsia" w:cs="宋体"/>
          <w:color w:val="auto"/>
          <w:szCs w:val="21"/>
          <w:highlight w:val="none"/>
        </w:rPr>
        <w:t>对投标文件中材料的真实性、合法性负责。</w:t>
      </w:r>
    </w:p>
    <w:p w14:paraId="1FE6D6A1">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4、如我方中标，我方承诺：</w:t>
      </w:r>
    </w:p>
    <w:p w14:paraId="75C492B6">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4.1在收到中标通知书后，在中标通知书规定的期限内与你方签订合同；</w:t>
      </w:r>
    </w:p>
    <w:p w14:paraId="113D411D">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4.2在签订合同时不向你方提出附加条件；</w:t>
      </w:r>
    </w:p>
    <w:p w14:paraId="75F7A5B6">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4.3按照招标文件要求提交履约保证金；</w:t>
      </w:r>
    </w:p>
    <w:p w14:paraId="389D2F74">
      <w:pPr>
        <w:widowControl w:val="0"/>
        <w:adjustRightInd w:val="0"/>
        <w:snapToGrid w:val="0"/>
        <w:spacing w:line="300" w:lineRule="auto"/>
        <w:ind w:firstLine="840" w:firstLineChars="400"/>
        <w:rPr>
          <w:rFonts w:cs="宋体"/>
          <w:color w:val="auto"/>
          <w:szCs w:val="21"/>
          <w:highlight w:val="none"/>
        </w:rPr>
      </w:pPr>
      <w:r>
        <w:rPr>
          <w:rFonts w:hint="eastAsia" w:cs="宋体"/>
          <w:color w:val="auto"/>
          <w:szCs w:val="21"/>
          <w:highlight w:val="none"/>
        </w:rPr>
        <w:t>4.4在合同约定的期限内完成合同规定的全部义务。</w:t>
      </w:r>
    </w:p>
    <w:p w14:paraId="01324432">
      <w:pPr>
        <w:widowControl w:val="0"/>
        <w:adjustRightInd w:val="0"/>
        <w:snapToGrid w:val="0"/>
        <w:spacing w:line="300" w:lineRule="auto"/>
        <w:ind w:firstLine="420" w:firstLineChars="200"/>
        <w:rPr>
          <w:rFonts w:cs="宋体"/>
          <w:color w:val="auto"/>
          <w:szCs w:val="21"/>
          <w:highlight w:val="none"/>
        </w:rPr>
      </w:pPr>
      <w:r>
        <w:rPr>
          <w:rFonts w:hint="eastAsia" w:cs="宋体"/>
          <w:color w:val="auto"/>
          <w:szCs w:val="21"/>
          <w:highlight w:val="none"/>
        </w:rPr>
        <w:t>5、其他补充说明：</w:t>
      </w:r>
      <w:r>
        <w:rPr>
          <w:rFonts w:hint="eastAsia" w:cs="宋体"/>
          <w:color w:val="auto"/>
          <w:szCs w:val="21"/>
          <w:highlight w:val="none"/>
          <w:u w:val="single"/>
        </w:rPr>
        <w:t xml:space="preserve">                              </w:t>
      </w:r>
      <w:r>
        <w:rPr>
          <w:rFonts w:hint="eastAsia" w:cs="宋体"/>
          <w:color w:val="auto"/>
          <w:szCs w:val="21"/>
          <w:highlight w:val="none"/>
        </w:rPr>
        <w:t>。</w:t>
      </w:r>
    </w:p>
    <w:p w14:paraId="37BCF7DF">
      <w:pPr>
        <w:widowControl w:val="0"/>
        <w:adjustRightInd w:val="0"/>
        <w:snapToGrid w:val="0"/>
        <w:rPr>
          <w:color w:val="auto"/>
          <w:highlight w:val="none"/>
        </w:rPr>
      </w:pPr>
    </w:p>
    <w:p w14:paraId="63D0ADC7">
      <w:pPr>
        <w:widowControl w:val="0"/>
        <w:adjustRightInd w:val="0"/>
        <w:snapToGrid w:val="0"/>
        <w:rPr>
          <w:color w:val="auto"/>
          <w:highlight w:val="none"/>
        </w:rPr>
      </w:pPr>
    </w:p>
    <w:p w14:paraId="006ED77C">
      <w:pPr>
        <w:widowControl w:val="0"/>
        <w:adjustRightInd w:val="0"/>
        <w:snapToGrid w:val="0"/>
        <w:spacing w:line="300" w:lineRule="auto"/>
        <w:ind w:firstLine="4200" w:firstLineChars="20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374D4EB2">
      <w:pPr>
        <w:widowControl w:val="0"/>
        <w:adjustRightInd w:val="0"/>
        <w:snapToGrid w:val="0"/>
        <w:spacing w:line="30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日</w:t>
      </w:r>
    </w:p>
    <w:p w14:paraId="2BD0CCCE">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044DC6AB">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二、授权委托书或法定代表人（单位负责人、自然人本人）身份证明</w:t>
      </w:r>
    </w:p>
    <w:p w14:paraId="36CB3AB4">
      <w:pPr>
        <w:widowControl w:val="0"/>
        <w:adjustRightInd w:val="0"/>
        <w:snapToGrid w:val="0"/>
        <w:rPr>
          <w:color w:val="auto"/>
          <w:highlight w:val="none"/>
        </w:rPr>
      </w:pPr>
    </w:p>
    <w:p w14:paraId="2D97E827">
      <w:pPr>
        <w:widowControl w:val="0"/>
        <w:adjustRightInd w:val="0"/>
        <w:snapToGrid w:val="0"/>
        <w:rPr>
          <w:color w:val="auto"/>
          <w:highlight w:val="none"/>
        </w:rPr>
      </w:pPr>
    </w:p>
    <w:p w14:paraId="37B1F510">
      <w:pPr>
        <w:widowControl w:val="0"/>
        <w:adjustRightInd w:val="0"/>
        <w:snapToGrid w:val="0"/>
        <w:rPr>
          <w:color w:val="auto"/>
          <w:highlight w:val="none"/>
        </w:rPr>
      </w:pPr>
    </w:p>
    <w:p w14:paraId="411338EF">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授权委托书（适用于非联合体投标）</w:t>
      </w:r>
    </w:p>
    <w:p w14:paraId="197C05AA">
      <w:pPr>
        <w:widowControl w:val="0"/>
        <w:adjustRightInd w:val="0"/>
        <w:snapToGrid w:val="0"/>
        <w:rPr>
          <w:color w:val="auto"/>
          <w:highlight w:val="none"/>
        </w:rPr>
      </w:pPr>
    </w:p>
    <w:p w14:paraId="45F20042">
      <w:pPr>
        <w:widowControl w:val="0"/>
        <w:adjustRightInd w:val="0"/>
        <w:snapToGrid w:val="0"/>
        <w:rPr>
          <w:color w:val="auto"/>
          <w:highlight w:val="none"/>
        </w:rPr>
      </w:pPr>
    </w:p>
    <w:p w14:paraId="7000B1F9">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w:t>
      </w:r>
      <w:r>
        <w:rPr>
          <w:rFonts w:hint="eastAsia" w:cs="宋体"/>
          <w:color w:val="auto"/>
          <w:sz w:val="24"/>
          <w:highlight w:val="none"/>
        </w:rPr>
        <w:t>、（采购代理机构）</w:t>
      </w:r>
      <w:r>
        <w:rPr>
          <w:rFonts w:hint="eastAsia" w:cs="宋体"/>
          <w:color w:val="auto"/>
          <w:kern w:val="0"/>
          <w:sz w:val="24"/>
          <w:highlight w:val="none"/>
          <w:lang w:val="zh-CN"/>
        </w:rPr>
        <w:t>：</w:t>
      </w:r>
    </w:p>
    <w:p w14:paraId="65B8A107">
      <w:pPr>
        <w:widowControl w:val="0"/>
        <w:adjustRightInd w:val="0"/>
        <w:snapToGrid w:val="0"/>
        <w:rPr>
          <w:color w:val="auto"/>
          <w:highlight w:val="none"/>
        </w:rPr>
      </w:pPr>
    </w:p>
    <w:p w14:paraId="7706883E">
      <w:pPr>
        <w:widowControl w:val="0"/>
        <w:adjustRightInd w:val="0"/>
        <w:snapToGrid w:val="0"/>
        <w:rPr>
          <w:color w:val="auto"/>
          <w:highlight w:val="none"/>
        </w:rPr>
      </w:pPr>
    </w:p>
    <w:p w14:paraId="50A5B8A5">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sz w:val="24"/>
          <w:highlight w:val="none"/>
        </w:rPr>
        <w:t>【项目编号：</w:t>
      </w:r>
      <w:r>
        <w:rPr>
          <w:rFonts w:hint="eastAsia" w:cs="宋体"/>
          <w:color w:val="auto"/>
          <w:sz w:val="24"/>
          <w:highlight w:val="none"/>
        </w:rPr>
        <w:t>2024-CGDL-05-001C</w:t>
      </w:r>
      <w:r>
        <w:rPr>
          <w:rFonts w:hint="eastAsia" w:cs="宋体"/>
          <w:color w:val="auto"/>
          <w:sz w:val="24"/>
          <w:highlight w:val="none"/>
        </w:rPr>
        <w:t>】</w:t>
      </w:r>
      <w:r>
        <w:rPr>
          <w:rFonts w:hint="eastAsia" w:cs="宋体"/>
          <w:color w:val="auto"/>
          <w:kern w:val="0"/>
          <w:sz w:val="24"/>
          <w:highlight w:val="none"/>
          <w:lang w:val="zh-CN"/>
        </w:rPr>
        <w:t>政府采购投标的一切事项，其法律后果由我方承担。</w:t>
      </w:r>
    </w:p>
    <w:p w14:paraId="00A9712E">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14:paraId="7F67A003">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14:paraId="58FF30B8">
      <w:pPr>
        <w:widowControl w:val="0"/>
        <w:adjustRightInd w:val="0"/>
        <w:snapToGrid w:val="0"/>
        <w:rPr>
          <w:color w:val="auto"/>
          <w:highlight w:val="none"/>
        </w:rPr>
      </w:pPr>
    </w:p>
    <w:p w14:paraId="50FCE380">
      <w:pPr>
        <w:widowControl w:val="0"/>
        <w:adjustRightInd w:val="0"/>
        <w:snapToGrid w:val="0"/>
        <w:rPr>
          <w:color w:val="auto"/>
          <w:highlight w:val="none"/>
        </w:rPr>
      </w:pPr>
    </w:p>
    <w:p w14:paraId="10B08B7B">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FE3A953">
      <w:pPr>
        <w:widowControl w:val="0"/>
        <w:adjustRightInd w:val="0"/>
        <w:snapToGrid w:val="0"/>
        <w:rPr>
          <w:color w:val="auto"/>
          <w:highlight w:val="none"/>
        </w:rPr>
      </w:pPr>
    </w:p>
    <w:p w14:paraId="3BE3C578">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2C1B7126">
      <w:pPr>
        <w:widowControl w:val="0"/>
        <w:adjustRightInd w:val="0"/>
        <w:snapToGrid w:val="0"/>
        <w:rPr>
          <w:color w:val="auto"/>
          <w:highlight w:val="none"/>
        </w:rPr>
      </w:pPr>
    </w:p>
    <w:p w14:paraId="33D08F81">
      <w:pPr>
        <w:widowControl w:val="0"/>
        <w:adjustRightInd w:val="0"/>
        <w:snapToGrid w:val="0"/>
        <w:rPr>
          <w:color w:val="auto"/>
          <w:highlight w:val="none"/>
        </w:rPr>
      </w:pPr>
    </w:p>
    <w:p w14:paraId="13DAC0C4">
      <w:pPr>
        <w:widowControl w:val="0"/>
        <w:adjustRightInd w:val="0"/>
        <w:snapToGrid w:val="0"/>
        <w:rPr>
          <w:color w:val="auto"/>
          <w:highlight w:val="none"/>
        </w:rPr>
      </w:pPr>
    </w:p>
    <w:p w14:paraId="4A21E616">
      <w:pPr>
        <w:widowControl w:val="0"/>
        <w:adjustRightInd w:val="0"/>
        <w:snapToGrid w:val="0"/>
        <w:spacing w:line="300" w:lineRule="auto"/>
        <w:jc w:val="center"/>
        <w:rPr>
          <w:rFonts w:cs="宋体"/>
          <w:b/>
          <w:bCs/>
          <w:color w:val="auto"/>
          <w:kern w:val="0"/>
          <w:sz w:val="24"/>
          <w:szCs w:val="24"/>
          <w:highlight w:val="none"/>
        </w:rPr>
      </w:pPr>
      <w:r>
        <w:rPr>
          <w:rFonts w:hint="eastAsia" w:cs="宋体"/>
          <w:b/>
          <w:bCs/>
          <w:color w:val="auto"/>
          <w:kern w:val="0"/>
          <w:sz w:val="24"/>
          <w:szCs w:val="24"/>
          <w:highlight w:val="none"/>
        </w:rPr>
        <w:t>授权委托书（适用于联合体投标）</w:t>
      </w:r>
    </w:p>
    <w:p w14:paraId="1184AD64">
      <w:pPr>
        <w:widowControl w:val="0"/>
        <w:adjustRightInd w:val="0"/>
        <w:snapToGrid w:val="0"/>
        <w:rPr>
          <w:color w:val="auto"/>
          <w:highlight w:val="none"/>
        </w:rPr>
      </w:pPr>
    </w:p>
    <w:p w14:paraId="29FC8F2D">
      <w:pPr>
        <w:widowControl w:val="0"/>
        <w:adjustRightInd w:val="0"/>
        <w:snapToGrid w:val="0"/>
        <w:rPr>
          <w:color w:val="auto"/>
          <w:highlight w:val="none"/>
        </w:rPr>
      </w:pPr>
    </w:p>
    <w:p w14:paraId="590D6D84">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w:t>
      </w:r>
      <w:r>
        <w:rPr>
          <w:rFonts w:hint="eastAsia" w:cs="宋体"/>
          <w:color w:val="auto"/>
          <w:sz w:val="24"/>
          <w:highlight w:val="none"/>
        </w:rPr>
        <w:t>、（采购代理机构）</w:t>
      </w:r>
      <w:r>
        <w:rPr>
          <w:rFonts w:hint="eastAsia" w:cs="宋体"/>
          <w:color w:val="auto"/>
          <w:kern w:val="0"/>
          <w:sz w:val="24"/>
          <w:highlight w:val="none"/>
          <w:lang w:val="zh-CN"/>
        </w:rPr>
        <w:t>：</w:t>
      </w:r>
    </w:p>
    <w:p w14:paraId="732F3552">
      <w:pPr>
        <w:widowControl w:val="0"/>
        <w:adjustRightInd w:val="0"/>
        <w:snapToGrid w:val="0"/>
        <w:rPr>
          <w:color w:val="auto"/>
          <w:highlight w:val="none"/>
        </w:rPr>
      </w:pPr>
    </w:p>
    <w:p w14:paraId="751D78DB">
      <w:pPr>
        <w:widowControl w:val="0"/>
        <w:adjustRightInd w:val="0"/>
        <w:snapToGrid w:val="0"/>
        <w:rPr>
          <w:color w:val="auto"/>
          <w:highlight w:val="none"/>
        </w:rPr>
      </w:pPr>
    </w:p>
    <w:p w14:paraId="06B26352">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rPr>
        <w:t>现</w:t>
      </w:r>
      <w:r>
        <w:rPr>
          <w:rFonts w:hint="eastAsia" w:cs="宋体"/>
          <w:color w:val="auto"/>
          <w:kern w:val="0"/>
          <w:sz w:val="24"/>
          <w:highlight w:val="none"/>
          <w:lang w:val="zh-CN"/>
        </w:rPr>
        <w:t>委托</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（姓名）为我方代理人（身份证号码：</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，手机：</w:t>
      </w:r>
      <w:r>
        <w:rPr>
          <w:rFonts w:hint="eastAsia" w:cs="宋体"/>
          <w:color w:val="auto"/>
          <w:kern w:val="0"/>
          <w:sz w:val="24"/>
          <w:highlight w:val="none"/>
          <w:u w:val="single"/>
          <w:lang w:val="zh-CN"/>
        </w:rPr>
        <w:t xml:space="preserve">          </w:t>
      </w:r>
      <w:r>
        <w:rPr>
          <w:rFonts w:hint="eastAsia" w:cs="宋体"/>
          <w:color w:val="auto"/>
          <w:kern w:val="0"/>
          <w:sz w:val="24"/>
          <w:highlight w:val="none"/>
          <w:lang w:val="zh-CN"/>
        </w:rPr>
        <w:t>，所在单位：</w:t>
      </w:r>
      <w:r>
        <w:rPr>
          <w:rFonts w:hint="eastAsia" w:cs="宋体"/>
          <w:color w:val="auto"/>
          <w:kern w:val="0"/>
          <w:sz w:val="24"/>
          <w:highlight w:val="none"/>
          <w:u w:val="single"/>
          <w:lang w:val="zh-CN"/>
        </w:rPr>
        <w:t xml:space="preserve"> </w:t>
      </w:r>
      <w:r>
        <w:rPr>
          <w:rFonts w:cs="宋体"/>
          <w:color w:val="auto"/>
          <w:kern w:val="0"/>
          <w:sz w:val="24"/>
          <w:highlight w:val="none"/>
          <w:u w:val="single"/>
          <w:lang w:val="zh-CN"/>
        </w:rPr>
        <w:t xml:space="preserve">            </w:t>
      </w:r>
      <w:r>
        <w:rPr>
          <w:rFonts w:hint="eastAsia" w:cs="宋体"/>
          <w:color w:val="auto"/>
          <w:kern w:val="0"/>
          <w:sz w:val="24"/>
          <w:highlight w:val="none"/>
          <w:lang w:val="zh-CN"/>
        </w:rPr>
        <w:t>），以我方名义处理</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sz w:val="24"/>
          <w:highlight w:val="none"/>
        </w:rPr>
        <w:t>【项目编号：</w:t>
      </w:r>
      <w:r>
        <w:rPr>
          <w:rFonts w:hint="eastAsia" w:cs="宋体"/>
          <w:color w:val="auto"/>
          <w:sz w:val="24"/>
          <w:highlight w:val="none"/>
        </w:rPr>
        <w:t>2024-CGDL-05-001C</w:t>
      </w:r>
      <w:r>
        <w:rPr>
          <w:rFonts w:hint="eastAsia" w:cs="宋体"/>
          <w:color w:val="auto"/>
          <w:sz w:val="24"/>
          <w:highlight w:val="none"/>
        </w:rPr>
        <w:t>】</w:t>
      </w:r>
      <w:r>
        <w:rPr>
          <w:rFonts w:hint="eastAsia" w:cs="宋体"/>
          <w:color w:val="auto"/>
          <w:kern w:val="0"/>
          <w:sz w:val="24"/>
          <w:highlight w:val="none"/>
          <w:lang w:val="zh-CN"/>
        </w:rPr>
        <w:t>政府采购投标的一切事项，其法律后果由我方承担。</w:t>
      </w:r>
    </w:p>
    <w:p w14:paraId="0498FAB6">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委托期限</w:t>
      </w:r>
      <w:r>
        <w:rPr>
          <w:rFonts w:hint="eastAsia" w:cs="宋体"/>
          <w:color w:val="auto"/>
          <w:kern w:val="0"/>
          <w:sz w:val="24"/>
          <w:highlight w:val="none"/>
        </w:rPr>
        <w:t>：</w:t>
      </w:r>
      <w:r>
        <w:rPr>
          <w:rFonts w:hint="eastAsia" w:cs="宋体"/>
          <w:color w:val="auto"/>
          <w:kern w:val="0"/>
          <w:sz w:val="24"/>
          <w:highlight w:val="none"/>
          <w:lang w:val="zh-CN"/>
        </w:rPr>
        <w:t>自</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日起至</w:t>
      </w:r>
      <w:r>
        <w:rPr>
          <w:rFonts w:hint="eastAsia" w:cs="宋体"/>
          <w:color w:val="auto"/>
          <w:kern w:val="0"/>
          <w:sz w:val="24"/>
          <w:highlight w:val="none"/>
          <w:u w:val="single"/>
        </w:rPr>
        <w:t xml:space="preserve"> </w:t>
      </w:r>
      <w:r>
        <w:rPr>
          <w:rFonts w:cs="宋体"/>
          <w:color w:val="auto"/>
          <w:kern w:val="0"/>
          <w:sz w:val="24"/>
          <w:highlight w:val="none"/>
          <w:u w:val="single"/>
        </w:rPr>
        <w:t xml:space="preserve">  </w:t>
      </w:r>
      <w:r>
        <w:rPr>
          <w:rFonts w:hint="eastAsia" w:cs="宋体"/>
          <w:color w:val="auto"/>
          <w:kern w:val="0"/>
          <w:sz w:val="24"/>
          <w:highlight w:val="none"/>
          <w:u w:val="single"/>
        </w:rPr>
        <w:t xml:space="preserve"> </w:t>
      </w:r>
      <w:r>
        <w:rPr>
          <w:rFonts w:hint="eastAsia" w:cs="宋体"/>
          <w:color w:val="auto"/>
          <w:kern w:val="0"/>
          <w:sz w:val="24"/>
          <w:highlight w:val="none"/>
          <w:lang w:val="zh-CN"/>
        </w:rPr>
        <w:t>年</w:t>
      </w:r>
      <w:r>
        <w:rPr>
          <w:rFonts w:hint="eastAsia" w:cs="宋体"/>
          <w:color w:val="auto"/>
          <w:kern w:val="0"/>
          <w:sz w:val="24"/>
          <w:highlight w:val="none"/>
          <w:u w:val="single"/>
        </w:rPr>
        <w:t xml:space="preserve">  </w:t>
      </w:r>
      <w:r>
        <w:rPr>
          <w:rFonts w:hint="eastAsia" w:cs="宋体"/>
          <w:color w:val="auto"/>
          <w:kern w:val="0"/>
          <w:sz w:val="24"/>
          <w:highlight w:val="none"/>
          <w:lang w:val="zh-CN"/>
        </w:rPr>
        <w:t>月</w:t>
      </w:r>
      <w:r>
        <w:rPr>
          <w:rFonts w:hint="eastAsia" w:cs="宋体"/>
          <w:color w:val="auto"/>
          <w:kern w:val="0"/>
          <w:sz w:val="24"/>
          <w:highlight w:val="none"/>
          <w:u w:val="single"/>
        </w:rPr>
        <w:t xml:space="preserve">  </w:t>
      </w:r>
      <w:r>
        <w:rPr>
          <w:rFonts w:hint="eastAsia" w:cs="宋体"/>
          <w:color w:val="auto"/>
          <w:kern w:val="0"/>
          <w:sz w:val="24"/>
          <w:highlight w:val="none"/>
          <w:lang w:val="zh-CN"/>
        </w:rPr>
        <w:t>日止。</w:t>
      </w:r>
    </w:p>
    <w:p w14:paraId="7BD6DB40">
      <w:pPr>
        <w:widowControl w:val="0"/>
        <w:adjustRightInd w:val="0"/>
        <w:snapToGrid w:val="0"/>
        <w:spacing w:line="300" w:lineRule="auto"/>
        <w:ind w:firstLine="480" w:firstLineChars="200"/>
        <w:rPr>
          <w:rFonts w:cs="宋体"/>
          <w:color w:val="auto"/>
          <w:kern w:val="0"/>
          <w:sz w:val="24"/>
          <w:highlight w:val="none"/>
        </w:rPr>
      </w:pPr>
      <w:r>
        <w:rPr>
          <w:rFonts w:hint="eastAsia" w:cs="宋体"/>
          <w:color w:val="auto"/>
          <w:kern w:val="0"/>
          <w:sz w:val="24"/>
          <w:highlight w:val="none"/>
          <w:lang w:val="zh-CN"/>
        </w:rPr>
        <w:t>特此告知。</w:t>
      </w:r>
    </w:p>
    <w:p w14:paraId="0BAE1272">
      <w:pPr>
        <w:widowControl w:val="0"/>
        <w:adjustRightInd w:val="0"/>
        <w:snapToGrid w:val="0"/>
        <w:rPr>
          <w:color w:val="auto"/>
          <w:highlight w:val="none"/>
        </w:rPr>
      </w:pPr>
    </w:p>
    <w:p w14:paraId="30064FE5">
      <w:pPr>
        <w:widowControl w:val="0"/>
        <w:adjustRightInd w:val="0"/>
        <w:snapToGrid w:val="0"/>
        <w:rPr>
          <w:color w:val="auto"/>
          <w:highlight w:val="none"/>
        </w:rPr>
      </w:pPr>
    </w:p>
    <w:p w14:paraId="7D33CBAB">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14:paraId="47196A43">
      <w:pPr>
        <w:widowControl w:val="0"/>
        <w:adjustRightInd w:val="0"/>
        <w:snapToGrid w:val="0"/>
        <w:spacing w:line="300" w:lineRule="auto"/>
        <w:ind w:firstLine="3600" w:firstLineChars="1500"/>
        <w:rPr>
          <w:rFonts w:cs="宋体"/>
          <w:color w:val="auto"/>
          <w:kern w:val="0"/>
          <w:sz w:val="24"/>
          <w:highlight w:val="none"/>
          <w:lang w:val="zh-CN"/>
        </w:rPr>
      </w:pPr>
      <w:r>
        <w:rPr>
          <w:rFonts w:hint="eastAsia" w:cs="宋体"/>
          <w:color w:val="auto"/>
          <w:kern w:val="0"/>
          <w:sz w:val="24"/>
          <w:highlight w:val="none"/>
          <w:lang w:val="zh-CN"/>
        </w:rPr>
        <w:t>联合体成员名称（电子签名/公章）：</w:t>
      </w:r>
    </w:p>
    <w:p w14:paraId="350E7205">
      <w:pPr>
        <w:widowControl w:val="0"/>
        <w:adjustRightInd w:val="0"/>
        <w:snapToGrid w:val="0"/>
        <w:spacing w:line="300" w:lineRule="auto"/>
        <w:ind w:firstLine="3600" w:firstLineChars="1500"/>
        <w:rPr>
          <w:rFonts w:cs="宋体"/>
          <w:color w:val="auto"/>
          <w:highlight w:val="none"/>
        </w:rPr>
      </w:pPr>
      <w:r>
        <w:rPr>
          <w:rFonts w:hint="eastAsia" w:cs="宋体"/>
          <w:color w:val="auto"/>
          <w:kern w:val="0"/>
          <w:sz w:val="24"/>
          <w:highlight w:val="none"/>
          <w:lang w:val="zh-CN"/>
        </w:rPr>
        <w:t>……</w:t>
      </w:r>
    </w:p>
    <w:p w14:paraId="0638EFF4">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515A17B7">
      <w:pPr>
        <w:widowControl w:val="0"/>
        <w:adjustRightInd w:val="0"/>
        <w:snapToGrid w:val="0"/>
        <w:rPr>
          <w:color w:val="auto"/>
          <w:highlight w:val="none"/>
        </w:rPr>
      </w:pPr>
    </w:p>
    <w:p w14:paraId="084CAA8A">
      <w:pPr>
        <w:widowControl w:val="0"/>
        <w:adjustRightInd w:val="0"/>
        <w:snapToGrid w:val="0"/>
        <w:spacing w:line="300" w:lineRule="auto"/>
        <w:jc w:val="center"/>
        <w:rPr>
          <w:rFonts w:cs="宋体"/>
          <w:color w:val="auto"/>
          <w:kern w:val="0"/>
          <w:sz w:val="24"/>
          <w:szCs w:val="24"/>
          <w:highlight w:val="none"/>
        </w:rPr>
      </w:pPr>
      <w:r>
        <w:rPr>
          <w:rFonts w:hint="eastAsia" w:cs="宋体"/>
          <w:b/>
          <w:bCs/>
          <w:color w:val="auto"/>
          <w:kern w:val="0"/>
          <w:sz w:val="24"/>
          <w:szCs w:val="24"/>
          <w:highlight w:val="none"/>
        </w:rPr>
        <w:t>法定代表人、单位负责人或自然人本人的身份证明</w:t>
      </w:r>
      <w:r>
        <w:rPr>
          <w:rFonts w:hint="eastAsia" w:cs="宋体"/>
          <w:color w:val="auto"/>
          <w:kern w:val="0"/>
          <w:sz w:val="24"/>
          <w:szCs w:val="24"/>
          <w:highlight w:val="none"/>
        </w:rPr>
        <w:t>（适用于法定代表人、单位负责人或者自然人本人代表投标人参加投标）</w:t>
      </w:r>
    </w:p>
    <w:p w14:paraId="0037288F">
      <w:pPr>
        <w:widowControl w:val="0"/>
        <w:adjustRightInd w:val="0"/>
        <w:snapToGrid w:val="0"/>
        <w:rPr>
          <w:color w:val="auto"/>
          <w:highlight w:val="none"/>
        </w:rPr>
      </w:pPr>
    </w:p>
    <w:p w14:paraId="5F1BA0CE">
      <w:pPr>
        <w:widowControl w:val="0"/>
        <w:adjustRightInd w:val="0"/>
        <w:snapToGrid w:val="0"/>
        <w:rPr>
          <w:color w:val="auto"/>
          <w:highlight w:val="none"/>
        </w:rPr>
      </w:pPr>
    </w:p>
    <w:p w14:paraId="41F4FB25">
      <w:pPr>
        <w:widowControl w:val="0"/>
        <w:adjustRightInd w:val="0"/>
        <w:snapToGrid w:val="0"/>
        <w:rPr>
          <w:color w:val="auto"/>
          <w:highlight w:val="none"/>
        </w:rPr>
      </w:pPr>
    </w:p>
    <w:p w14:paraId="6E53896A">
      <w:pPr>
        <w:widowControl w:val="0"/>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身份证件扫描件：</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02C8D37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15CB9295">
            <w:pPr>
              <w:pStyle w:val="79"/>
              <w:spacing w:line="240" w:lineRule="atLeast"/>
              <w:ind w:firstLine="0" w:firstLineChars="0"/>
              <w:rPr>
                <w:color w:val="auto"/>
                <w:sz w:val="21"/>
                <w:szCs w:val="21"/>
                <w:highlight w:val="none"/>
              </w:rPr>
            </w:pPr>
            <w:bookmarkStart w:id="417" w:name="_Hlk139410817"/>
            <w:r>
              <w:rPr>
                <w:rFonts w:hint="eastAsia"/>
                <w:color w:val="auto"/>
                <w:sz w:val="21"/>
                <w:szCs w:val="21"/>
                <w:highlight w:val="none"/>
              </w:rPr>
              <w:t>正面：</w:t>
            </w:r>
          </w:p>
        </w:tc>
        <w:tc>
          <w:tcPr>
            <w:tcW w:w="4320" w:type="dxa"/>
          </w:tcPr>
          <w:p w14:paraId="3DC32756">
            <w:pPr>
              <w:pStyle w:val="79"/>
              <w:spacing w:line="240" w:lineRule="atLeast"/>
              <w:ind w:firstLine="0" w:firstLineChars="0"/>
              <w:rPr>
                <w:color w:val="auto"/>
                <w:sz w:val="21"/>
                <w:szCs w:val="21"/>
                <w:highlight w:val="none"/>
              </w:rPr>
            </w:pPr>
            <w:r>
              <w:rPr>
                <w:rFonts w:hint="eastAsia"/>
                <w:color w:val="auto"/>
                <w:sz w:val="21"/>
                <w:szCs w:val="21"/>
                <w:highlight w:val="none"/>
              </w:rPr>
              <w:t>反面：</w:t>
            </w:r>
          </w:p>
        </w:tc>
      </w:tr>
      <w:bookmarkEnd w:id="417"/>
    </w:tbl>
    <w:p w14:paraId="6D65C2DD">
      <w:pPr>
        <w:widowControl w:val="0"/>
        <w:adjustRightInd w:val="0"/>
        <w:snapToGrid w:val="0"/>
        <w:rPr>
          <w:color w:val="auto"/>
          <w:highlight w:val="none"/>
        </w:rPr>
      </w:pPr>
    </w:p>
    <w:p w14:paraId="73F1866E">
      <w:pPr>
        <w:widowControl w:val="0"/>
        <w:adjustRightInd w:val="0"/>
        <w:snapToGrid w:val="0"/>
        <w:rPr>
          <w:color w:val="auto"/>
          <w:highlight w:val="none"/>
        </w:rPr>
      </w:pPr>
    </w:p>
    <w:p w14:paraId="13BF1B55">
      <w:pPr>
        <w:widowControl w:val="0"/>
        <w:adjustRightInd w:val="0"/>
        <w:snapToGrid w:val="0"/>
        <w:rPr>
          <w:color w:val="auto"/>
          <w:highlight w:val="none"/>
        </w:rPr>
      </w:pPr>
    </w:p>
    <w:p w14:paraId="2588389D">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5F0A35E">
      <w:pPr>
        <w:widowControl w:val="0"/>
        <w:adjustRightInd w:val="0"/>
        <w:snapToGrid w:val="0"/>
        <w:rPr>
          <w:color w:val="auto"/>
          <w:highlight w:val="none"/>
        </w:rPr>
      </w:pPr>
    </w:p>
    <w:p w14:paraId="2BB8402A">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56825E34">
      <w:pPr>
        <w:widowControl w:val="0"/>
        <w:adjustRightInd w:val="0"/>
        <w:snapToGrid w:val="0"/>
        <w:rPr>
          <w:color w:val="auto"/>
          <w:highlight w:val="none"/>
        </w:rPr>
      </w:pPr>
    </w:p>
    <w:p w14:paraId="6264CDA6">
      <w:pPr>
        <w:widowControl w:val="0"/>
        <w:adjustRightInd w:val="0"/>
        <w:snapToGrid w:val="0"/>
        <w:rPr>
          <w:color w:val="auto"/>
          <w:highlight w:val="none"/>
        </w:rPr>
      </w:pPr>
    </w:p>
    <w:p w14:paraId="50325490">
      <w:pPr>
        <w:widowControl w:val="0"/>
        <w:adjustRightInd w:val="0"/>
        <w:snapToGrid w:val="0"/>
        <w:rPr>
          <w:color w:val="auto"/>
          <w:highlight w:val="none"/>
        </w:rPr>
      </w:pPr>
    </w:p>
    <w:p w14:paraId="35E2EA6F">
      <w:pPr>
        <w:widowControl w:val="0"/>
        <w:adjustRightInd w:val="0"/>
        <w:snapToGrid w:val="0"/>
        <w:rPr>
          <w:color w:val="auto"/>
          <w:highlight w:val="none"/>
        </w:rPr>
      </w:pPr>
    </w:p>
    <w:p w14:paraId="5D488129">
      <w:pPr>
        <w:widowControl w:val="0"/>
        <w:adjustRightInd w:val="0"/>
        <w:snapToGrid w:val="0"/>
        <w:rPr>
          <w:color w:val="auto"/>
          <w:highlight w:val="none"/>
        </w:rPr>
      </w:pPr>
    </w:p>
    <w:p w14:paraId="418FDDC2">
      <w:pPr>
        <w:widowControl w:val="0"/>
        <w:adjustRightInd w:val="0"/>
        <w:snapToGrid w:val="0"/>
        <w:rPr>
          <w:color w:val="auto"/>
          <w:highlight w:val="none"/>
        </w:rPr>
      </w:pPr>
    </w:p>
    <w:p w14:paraId="473B297A">
      <w:pPr>
        <w:widowControl w:val="0"/>
        <w:adjustRightInd w:val="0"/>
        <w:snapToGrid w:val="0"/>
        <w:rPr>
          <w:color w:val="auto"/>
          <w:highlight w:val="none"/>
        </w:rPr>
      </w:pPr>
    </w:p>
    <w:p w14:paraId="43B30A88">
      <w:pPr>
        <w:widowControl w:val="0"/>
        <w:adjustRightInd w:val="0"/>
        <w:snapToGrid w:val="0"/>
        <w:rPr>
          <w:color w:val="auto"/>
          <w:highlight w:val="none"/>
        </w:rPr>
      </w:pPr>
    </w:p>
    <w:p w14:paraId="46A7DBBF">
      <w:pPr>
        <w:widowControl w:val="0"/>
        <w:adjustRightInd w:val="0"/>
        <w:snapToGrid w:val="0"/>
        <w:rPr>
          <w:color w:val="auto"/>
          <w:highlight w:val="none"/>
        </w:rPr>
      </w:pPr>
    </w:p>
    <w:p w14:paraId="30A60E25">
      <w:pPr>
        <w:widowControl w:val="0"/>
        <w:adjustRightInd w:val="0"/>
        <w:snapToGrid w:val="0"/>
        <w:rPr>
          <w:color w:val="auto"/>
          <w:highlight w:val="none"/>
        </w:rPr>
      </w:pPr>
    </w:p>
    <w:p w14:paraId="6D798086">
      <w:pPr>
        <w:widowControl w:val="0"/>
        <w:adjustRightInd w:val="0"/>
        <w:snapToGrid w:val="0"/>
        <w:rPr>
          <w:color w:val="auto"/>
          <w:highlight w:val="none"/>
        </w:rPr>
      </w:pPr>
    </w:p>
    <w:p w14:paraId="694481C6">
      <w:pPr>
        <w:widowControl w:val="0"/>
        <w:adjustRightInd w:val="0"/>
        <w:snapToGrid w:val="0"/>
        <w:rPr>
          <w:color w:val="auto"/>
          <w:highlight w:val="none"/>
        </w:rPr>
      </w:pPr>
    </w:p>
    <w:p w14:paraId="043374C1">
      <w:pPr>
        <w:widowControl w:val="0"/>
        <w:adjustRightInd w:val="0"/>
        <w:snapToGrid w:val="0"/>
        <w:rPr>
          <w:color w:val="auto"/>
          <w:highlight w:val="none"/>
        </w:rPr>
      </w:pPr>
    </w:p>
    <w:p w14:paraId="4512D233">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三、分包意向协议</w:t>
      </w:r>
      <w:r>
        <w:rPr>
          <w:rFonts w:hint="eastAsia" w:cs="宋体"/>
          <w:b/>
          <w:bCs/>
          <w:color w:val="auto"/>
          <w:kern w:val="0"/>
          <w:sz w:val="28"/>
          <w:szCs w:val="28"/>
          <w:highlight w:val="none"/>
        </w:rPr>
        <w:t>（如果有）</w:t>
      </w:r>
    </w:p>
    <w:p w14:paraId="7E16D04E">
      <w:pPr>
        <w:widowControl w:val="0"/>
        <w:adjustRightInd w:val="0"/>
        <w:snapToGrid w:val="0"/>
        <w:rPr>
          <w:color w:val="auto"/>
          <w:highlight w:val="none"/>
        </w:rPr>
      </w:pPr>
      <w:bookmarkStart w:id="418" w:name="_Hlk101169080"/>
    </w:p>
    <w:p w14:paraId="4C42421C">
      <w:pPr>
        <w:widowControl w:val="0"/>
        <w:adjustRightInd w:val="0"/>
        <w:snapToGrid w:val="0"/>
        <w:rPr>
          <w:color w:val="auto"/>
          <w:highlight w:val="none"/>
        </w:rPr>
      </w:pPr>
    </w:p>
    <w:p w14:paraId="24EF1D17">
      <w:pPr>
        <w:widowControl w:val="0"/>
        <w:adjustRightInd w:val="0"/>
        <w:snapToGrid w:val="0"/>
        <w:rPr>
          <w:color w:val="auto"/>
          <w:highlight w:val="none"/>
        </w:rPr>
      </w:pPr>
    </w:p>
    <w:p w14:paraId="043BCAEF">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[中标后以分包方式履行合同的，提供分包意向协议（附件6）；采购人不同意分包或者投标人中标后不以分包方式履行合同的，则不需要提供。]</w:t>
      </w:r>
    </w:p>
    <w:bookmarkEnd w:id="418"/>
    <w:p w14:paraId="04E4E28F">
      <w:pPr>
        <w:widowControl w:val="0"/>
        <w:adjustRightInd w:val="0"/>
        <w:snapToGrid w:val="0"/>
        <w:rPr>
          <w:color w:val="auto"/>
          <w:highlight w:val="none"/>
        </w:rPr>
      </w:pPr>
    </w:p>
    <w:p w14:paraId="5BD4301C">
      <w:pPr>
        <w:widowControl w:val="0"/>
        <w:adjustRightInd w:val="0"/>
        <w:snapToGrid w:val="0"/>
        <w:rPr>
          <w:color w:val="auto"/>
          <w:highlight w:val="none"/>
        </w:rPr>
      </w:pPr>
    </w:p>
    <w:p w14:paraId="764689CB">
      <w:pPr>
        <w:widowControl w:val="0"/>
        <w:adjustRightInd w:val="0"/>
        <w:snapToGrid w:val="0"/>
        <w:rPr>
          <w:color w:val="auto"/>
          <w:highlight w:val="none"/>
        </w:rPr>
      </w:pPr>
    </w:p>
    <w:p w14:paraId="0B2138F8">
      <w:pPr>
        <w:widowControl w:val="0"/>
        <w:adjustRightInd w:val="0"/>
        <w:snapToGrid w:val="0"/>
        <w:rPr>
          <w:color w:val="auto"/>
          <w:highlight w:val="none"/>
        </w:rPr>
      </w:pPr>
    </w:p>
    <w:p w14:paraId="14933E44">
      <w:pPr>
        <w:widowControl w:val="0"/>
        <w:adjustRightInd w:val="0"/>
        <w:snapToGrid w:val="0"/>
        <w:rPr>
          <w:color w:val="auto"/>
          <w:highlight w:val="none"/>
        </w:rPr>
      </w:pPr>
    </w:p>
    <w:p w14:paraId="6FC864B5">
      <w:pPr>
        <w:widowControl w:val="0"/>
        <w:adjustRightInd w:val="0"/>
        <w:snapToGrid w:val="0"/>
        <w:rPr>
          <w:color w:val="auto"/>
          <w:highlight w:val="none"/>
        </w:rPr>
      </w:pPr>
    </w:p>
    <w:p w14:paraId="75CC61D2">
      <w:pPr>
        <w:widowControl w:val="0"/>
        <w:adjustRightInd w:val="0"/>
        <w:snapToGrid w:val="0"/>
        <w:rPr>
          <w:color w:val="auto"/>
          <w:highlight w:val="none"/>
        </w:rPr>
      </w:pPr>
    </w:p>
    <w:p w14:paraId="3CD1AF0C">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四、符合性审查资料</w:t>
      </w:r>
    </w:p>
    <w:p w14:paraId="53353FA4">
      <w:pPr>
        <w:widowControl w:val="0"/>
        <w:adjustRightInd w:val="0"/>
        <w:snapToGrid w:val="0"/>
        <w:rPr>
          <w:color w:val="auto"/>
          <w:highlight w:val="none"/>
        </w:rPr>
      </w:pPr>
    </w:p>
    <w:p w14:paraId="3CD76014">
      <w:pPr>
        <w:widowControl w:val="0"/>
        <w:adjustRightInd w:val="0"/>
        <w:snapToGrid w:val="0"/>
        <w:rPr>
          <w:color w:val="auto"/>
          <w:highlight w:val="none"/>
        </w:rPr>
      </w:pPr>
    </w:p>
    <w:p w14:paraId="2D8DAF84">
      <w:pPr>
        <w:widowControl w:val="0"/>
        <w:adjustRightInd w:val="0"/>
        <w:snapToGrid w:val="0"/>
        <w:rPr>
          <w:color w:val="auto"/>
          <w:highlight w:val="none"/>
        </w:rPr>
      </w:pPr>
    </w:p>
    <w:tbl>
      <w:tblPr>
        <w:tblStyle w:val="60"/>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15B8B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F932309">
            <w:pPr>
              <w:widowControl w:val="0"/>
              <w:adjustRightInd w:val="0"/>
              <w:snapToGrid w:val="0"/>
              <w:jc w:val="center"/>
              <w:rPr>
                <w:b/>
                <w:bCs/>
                <w:color w:val="auto"/>
                <w:highlight w:val="none"/>
              </w:rPr>
            </w:pPr>
            <w:r>
              <w:rPr>
                <w:rFonts w:hint="eastAsia"/>
                <w:b/>
                <w:bCs/>
                <w:color w:val="auto"/>
                <w:highlight w:val="none"/>
              </w:rPr>
              <w:t>序号</w:t>
            </w:r>
          </w:p>
        </w:tc>
        <w:tc>
          <w:tcPr>
            <w:tcW w:w="4024" w:type="dxa"/>
            <w:vAlign w:val="center"/>
          </w:tcPr>
          <w:p w14:paraId="3AB3E012">
            <w:pPr>
              <w:widowControl w:val="0"/>
              <w:adjustRightInd w:val="0"/>
              <w:snapToGrid w:val="0"/>
              <w:jc w:val="center"/>
              <w:rPr>
                <w:b/>
                <w:bCs/>
                <w:color w:val="auto"/>
                <w:highlight w:val="none"/>
              </w:rPr>
            </w:pPr>
            <w:r>
              <w:rPr>
                <w:rFonts w:hint="eastAsia"/>
                <w:b/>
                <w:bCs/>
                <w:color w:val="auto"/>
                <w:highlight w:val="none"/>
              </w:rPr>
              <w:t>实质性要求</w:t>
            </w:r>
          </w:p>
        </w:tc>
        <w:tc>
          <w:tcPr>
            <w:tcW w:w="3518" w:type="dxa"/>
            <w:vAlign w:val="center"/>
          </w:tcPr>
          <w:p w14:paraId="21A7D72D">
            <w:pPr>
              <w:widowControl w:val="0"/>
              <w:adjustRightInd w:val="0"/>
              <w:snapToGrid w:val="0"/>
              <w:jc w:val="center"/>
              <w:rPr>
                <w:b/>
                <w:bCs/>
                <w:color w:val="auto"/>
                <w:highlight w:val="none"/>
              </w:rPr>
            </w:pPr>
            <w:r>
              <w:rPr>
                <w:rFonts w:hint="eastAsia"/>
                <w:b/>
                <w:bCs/>
                <w:color w:val="auto"/>
                <w:highlight w:val="none"/>
              </w:rPr>
              <w:t>需要提供的符合性审查资料</w:t>
            </w:r>
          </w:p>
        </w:tc>
        <w:tc>
          <w:tcPr>
            <w:tcW w:w="1418" w:type="dxa"/>
            <w:vAlign w:val="center"/>
          </w:tcPr>
          <w:p w14:paraId="3EF69B82">
            <w:pPr>
              <w:widowControl w:val="0"/>
              <w:adjustRightInd w:val="0"/>
              <w:snapToGrid w:val="0"/>
              <w:jc w:val="center"/>
              <w:rPr>
                <w:b/>
                <w:bCs/>
                <w:color w:val="auto"/>
                <w:highlight w:val="none"/>
              </w:rPr>
            </w:pPr>
            <w:r>
              <w:rPr>
                <w:rFonts w:hint="eastAsia"/>
                <w:b/>
                <w:bCs/>
                <w:color w:val="auto"/>
                <w:highlight w:val="none"/>
              </w:rPr>
              <w:t>投标文件中的页码位置</w:t>
            </w:r>
          </w:p>
        </w:tc>
      </w:tr>
      <w:tr w14:paraId="461F3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69B6F81C">
            <w:pPr>
              <w:widowControl w:val="0"/>
              <w:adjustRightInd w:val="0"/>
              <w:snapToGrid w:val="0"/>
              <w:jc w:val="center"/>
              <w:rPr>
                <w:color w:val="auto"/>
                <w:highlight w:val="none"/>
              </w:rPr>
            </w:pPr>
            <w:r>
              <w:rPr>
                <w:rFonts w:hint="eastAsia"/>
                <w:color w:val="auto"/>
                <w:highlight w:val="none"/>
              </w:rPr>
              <w:t>1</w:t>
            </w:r>
          </w:p>
        </w:tc>
        <w:tc>
          <w:tcPr>
            <w:tcW w:w="4024" w:type="dxa"/>
            <w:vAlign w:val="center"/>
          </w:tcPr>
          <w:p w14:paraId="2B593B77">
            <w:pPr>
              <w:widowControl w:val="0"/>
              <w:adjustRightInd w:val="0"/>
              <w:snapToGrid w:val="0"/>
              <w:rPr>
                <w:color w:val="auto"/>
                <w:highlight w:val="none"/>
              </w:rPr>
            </w:pPr>
            <w:r>
              <w:rPr>
                <w:rFonts w:hint="eastAsia"/>
                <w:color w:val="auto"/>
                <w:highlight w:val="none"/>
              </w:rPr>
              <w:t>投标文件按照招标文件要求签署、盖章。</w:t>
            </w:r>
          </w:p>
        </w:tc>
        <w:tc>
          <w:tcPr>
            <w:tcW w:w="3518" w:type="dxa"/>
            <w:vAlign w:val="center"/>
          </w:tcPr>
          <w:p w14:paraId="194B1049">
            <w:pPr>
              <w:widowControl w:val="0"/>
              <w:adjustRightInd w:val="0"/>
              <w:snapToGrid w:val="0"/>
              <w:rPr>
                <w:color w:val="auto"/>
                <w:highlight w:val="none"/>
              </w:rPr>
            </w:pPr>
            <w:r>
              <w:rPr>
                <w:rFonts w:hint="eastAsia"/>
                <w:color w:val="auto"/>
                <w:highlight w:val="none"/>
              </w:rPr>
              <w:t>需要使用电子签名或者签字盖章的投标文件的组成部分</w:t>
            </w:r>
          </w:p>
        </w:tc>
        <w:tc>
          <w:tcPr>
            <w:tcW w:w="1418" w:type="dxa"/>
            <w:vAlign w:val="center"/>
          </w:tcPr>
          <w:p w14:paraId="6FBC8201">
            <w:pPr>
              <w:widowControl w:val="0"/>
              <w:adjustRightInd w:val="0"/>
              <w:snapToGrid w:val="0"/>
              <w:rPr>
                <w:color w:val="auto"/>
                <w:highlight w:val="none"/>
              </w:rPr>
            </w:pPr>
            <w:r>
              <w:rPr>
                <w:rFonts w:hint="eastAsia"/>
                <w:color w:val="auto"/>
                <w:highlight w:val="none"/>
              </w:rPr>
              <w:t>见投标文件</w:t>
            </w:r>
          </w:p>
          <w:p w14:paraId="2DD45720">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页</w:t>
            </w:r>
          </w:p>
        </w:tc>
      </w:tr>
      <w:tr w14:paraId="3106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7692D5F">
            <w:pPr>
              <w:widowControl w:val="0"/>
              <w:adjustRightInd w:val="0"/>
              <w:snapToGrid w:val="0"/>
              <w:jc w:val="center"/>
              <w:rPr>
                <w:color w:val="auto"/>
                <w:highlight w:val="none"/>
              </w:rPr>
            </w:pPr>
            <w:r>
              <w:rPr>
                <w:rFonts w:hint="eastAsia"/>
                <w:color w:val="auto"/>
                <w:highlight w:val="none"/>
              </w:rPr>
              <w:t>2</w:t>
            </w:r>
          </w:p>
        </w:tc>
        <w:tc>
          <w:tcPr>
            <w:tcW w:w="4024" w:type="dxa"/>
            <w:vAlign w:val="center"/>
          </w:tcPr>
          <w:p w14:paraId="58FE56C6">
            <w:pPr>
              <w:widowControl w:val="0"/>
              <w:adjustRightInd w:val="0"/>
              <w:snapToGrid w:val="0"/>
              <w:rPr>
                <w:color w:val="auto"/>
                <w:highlight w:val="none"/>
              </w:rPr>
            </w:pPr>
            <w:r>
              <w:rPr>
                <w:rFonts w:hint="eastAsia"/>
                <w:color w:val="auto"/>
                <w:highlight w:val="none"/>
              </w:rPr>
              <w:t>投标文件中承诺的投标有效期不少于招标文件中载明的投标有效期。</w:t>
            </w:r>
          </w:p>
        </w:tc>
        <w:tc>
          <w:tcPr>
            <w:tcW w:w="3518" w:type="dxa"/>
            <w:vAlign w:val="center"/>
          </w:tcPr>
          <w:p w14:paraId="3053CBCA">
            <w:pPr>
              <w:widowControl w:val="0"/>
              <w:adjustRightInd w:val="0"/>
              <w:snapToGrid w:val="0"/>
              <w:rPr>
                <w:color w:val="auto"/>
                <w:highlight w:val="none"/>
              </w:rPr>
            </w:pPr>
            <w:r>
              <w:rPr>
                <w:rFonts w:hint="eastAsia"/>
                <w:color w:val="auto"/>
                <w:highlight w:val="none"/>
              </w:rPr>
              <w:t>投标函</w:t>
            </w:r>
          </w:p>
        </w:tc>
        <w:tc>
          <w:tcPr>
            <w:tcW w:w="1418" w:type="dxa"/>
            <w:vAlign w:val="center"/>
          </w:tcPr>
          <w:p w14:paraId="19BDC067">
            <w:pPr>
              <w:widowControl w:val="0"/>
              <w:adjustRightInd w:val="0"/>
              <w:snapToGrid w:val="0"/>
              <w:rPr>
                <w:color w:val="auto"/>
                <w:highlight w:val="none"/>
              </w:rPr>
            </w:pPr>
            <w:r>
              <w:rPr>
                <w:rFonts w:hint="eastAsia"/>
                <w:color w:val="auto"/>
                <w:highlight w:val="none"/>
              </w:rPr>
              <w:t>见投标文件</w:t>
            </w:r>
          </w:p>
          <w:p w14:paraId="1F8AF5DA">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r w14:paraId="1A575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60D56A03">
            <w:pPr>
              <w:widowControl w:val="0"/>
              <w:adjustRightInd w:val="0"/>
              <w:snapToGrid w:val="0"/>
              <w:jc w:val="center"/>
              <w:rPr>
                <w:color w:val="auto"/>
                <w:highlight w:val="none"/>
              </w:rPr>
            </w:pPr>
            <w:r>
              <w:rPr>
                <w:rFonts w:hint="eastAsia"/>
                <w:color w:val="auto"/>
                <w:highlight w:val="none"/>
              </w:rPr>
              <w:t>3</w:t>
            </w:r>
          </w:p>
        </w:tc>
        <w:tc>
          <w:tcPr>
            <w:tcW w:w="4024" w:type="dxa"/>
            <w:vAlign w:val="center"/>
          </w:tcPr>
          <w:p w14:paraId="7650D55F">
            <w:pPr>
              <w:widowControl w:val="0"/>
              <w:adjustRightInd w:val="0"/>
              <w:snapToGrid w:val="0"/>
              <w:rPr>
                <w:color w:val="auto"/>
                <w:highlight w:val="none"/>
              </w:rPr>
            </w:pPr>
            <w:r>
              <w:rPr>
                <w:rFonts w:hint="eastAsia"/>
                <w:color w:val="auto"/>
                <w:highlight w:val="none"/>
              </w:rPr>
              <w:t>投标文件满足招标文件的其它实质性要求。</w:t>
            </w:r>
          </w:p>
        </w:tc>
        <w:tc>
          <w:tcPr>
            <w:tcW w:w="3518" w:type="dxa"/>
            <w:vAlign w:val="center"/>
          </w:tcPr>
          <w:p w14:paraId="16168703">
            <w:pPr>
              <w:widowControl w:val="0"/>
              <w:adjustRightInd w:val="0"/>
              <w:snapToGrid w:val="0"/>
              <w:rPr>
                <w:color w:val="auto"/>
                <w:highlight w:val="none"/>
              </w:rPr>
            </w:pPr>
            <w:r>
              <w:rPr>
                <w:rFonts w:hint="eastAsia"/>
                <w:color w:val="auto"/>
                <w:highlight w:val="none"/>
              </w:rPr>
              <w:t>招标文件其它实质性要求相应的材料（“▲”系指实质性要求条款，招标文件无其它实质性要求的，无需提供）</w:t>
            </w:r>
          </w:p>
        </w:tc>
        <w:tc>
          <w:tcPr>
            <w:tcW w:w="1418" w:type="dxa"/>
            <w:vAlign w:val="center"/>
          </w:tcPr>
          <w:p w14:paraId="79464E56">
            <w:pPr>
              <w:widowControl w:val="0"/>
              <w:adjustRightInd w:val="0"/>
              <w:snapToGrid w:val="0"/>
              <w:rPr>
                <w:color w:val="auto"/>
                <w:highlight w:val="none"/>
              </w:rPr>
            </w:pPr>
            <w:r>
              <w:rPr>
                <w:rFonts w:hint="eastAsia"/>
                <w:color w:val="auto"/>
                <w:highlight w:val="none"/>
              </w:rPr>
              <w:t>见投标文件</w:t>
            </w:r>
          </w:p>
          <w:p w14:paraId="193827B0">
            <w:pPr>
              <w:widowControl w:val="0"/>
              <w:adjustRightInd w:val="0"/>
              <w:snapToGrid w:val="0"/>
              <w:rPr>
                <w:color w:val="auto"/>
                <w:highlight w:val="none"/>
              </w:rPr>
            </w:pPr>
            <w:r>
              <w:rPr>
                <w:rFonts w:hint="eastAsia"/>
                <w:color w:val="auto"/>
                <w:highlight w:val="none"/>
              </w:rPr>
              <w:t>第</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页</w:t>
            </w:r>
          </w:p>
        </w:tc>
      </w:tr>
    </w:tbl>
    <w:p w14:paraId="2446890A">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4103FE8D">
      <w:pPr>
        <w:widowControl w:val="0"/>
        <w:adjustRightInd w:val="0"/>
        <w:snapToGrid w:val="0"/>
        <w:rPr>
          <w:color w:val="auto"/>
          <w:highlight w:val="none"/>
        </w:rPr>
      </w:pPr>
    </w:p>
    <w:p w14:paraId="514950B9">
      <w:pPr>
        <w:widowControl w:val="0"/>
        <w:adjustRightInd w:val="0"/>
        <w:snapToGrid w:val="0"/>
        <w:rPr>
          <w:color w:val="auto"/>
          <w:highlight w:val="none"/>
        </w:rPr>
      </w:pPr>
    </w:p>
    <w:p w14:paraId="04AA9976">
      <w:pPr>
        <w:widowControl w:val="0"/>
        <w:adjustRightInd w:val="0"/>
        <w:snapToGrid w:val="0"/>
        <w:rPr>
          <w:color w:val="auto"/>
          <w:highlight w:val="none"/>
        </w:rPr>
      </w:pPr>
    </w:p>
    <w:p w14:paraId="1FCDE596">
      <w:pPr>
        <w:widowControl w:val="0"/>
        <w:adjustRightInd w:val="0"/>
        <w:snapToGrid w:val="0"/>
        <w:rPr>
          <w:color w:val="auto"/>
          <w:highlight w:val="none"/>
        </w:rPr>
      </w:pPr>
    </w:p>
    <w:p w14:paraId="38ED7B4B">
      <w:pPr>
        <w:widowControl w:val="0"/>
        <w:adjustRightInd w:val="0"/>
        <w:snapToGrid w:val="0"/>
        <w:rPr>
          <w:color w:val="auto"/>
          <w:highlight w:val="none"/>
        </w:rPr>
      </w:pPr>
    </w:p>
    <w:p w14:paraId="099FB0E2">
      <w:pPr>
        <w:widowControl w:val="0"/>
        <w:adjustRightInd w:val="0"/>
        <w:snapToGrid w:val="0"/>
        <w:rPr>
          <w:color w:val="auto"/>
          <w:highlight w:val="none"/>
        </w:rPr>
      </w:pPr>
    </w:p>
    <w:p w14:paraId="4E519043">
      <w:pPr>
        <w:widowControl w:val="0"/>
        <w:adjustRightInd w:val="0"/>
        <w:snapToGrid w:val="0"/>
        <w:rPr>
          <w:color w:val="auto"/>
          <w:highlight w:val="none"/>
        </w:rPr>
      </w:pPr>
    </w:p>
    <w:p w14:paraId="2A184317">
      <w:pPr>
        <w:widowControl w:val="0"/>
        <w:adjustRightInd w:val="0"/>
        <w:snapToGrid w:val="0"/>
        <w:rPr>
          <w:color w:val="auto"/>
          <w:highlight w:val="none"/>
        </w:rPr>
      </w:pPr>
    </w:p>
    <w:p w14:paraId="7FD2A0A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五、评标标准相应的商务技术资料</w:t>
      </w:r>
    </w:p>
    <w:p w14:paraId="4E69CB3C">
      <w:pPr>
        <w:widowControl w:val="0"/>
        <w:adjustRightInd w:val="0"/>
        <w:snapToGrid w:val="0"/>
        <w:rPr>
          <w:color w:val="auto"/>
          <w:highlight w:val="none"/>
        </w:rPr>
      </w:pPr>
    </w:p>
    <w:p w14:paraId="4BA688D9">
      <w:pPr>
        <w:widowControl w:val="0"/>
        <w:adjustRightInd w:val="0"/>
        <w:snapToGrid w:val="0"/>
        <w:rPr>
          <w:color w:val="auto"/>
          <w:highlight w:val="none"/>
        </w:rPr>
      </w:pPr>
    </w:p>
    <w:p w14:paraId="4EDCD4AF">
      <w:pPr>
        <w:widowControl w:val="0"/>
        <w:adjustRightInd w:val="0"/>
        <w:snapToGrid w:val="0"/>
        <w:rPr>
          <w:color w:val="auto"/>
          <w:highlight w:val="none"/>
        </w:rPr>
      </w:pPr>
    </w:p>
    <w:p w14:paraId="08D80DFA">
      <w:pPr>
        <w:widowControl w:val="0"/>
        <w:adjustRightInd w:val="0"/>
        <w:snapToGrid w:val="0"/>
        <w:spacing w:line="300" w:lineRule="auto"/>
        <w:ind w:firstLine="482" w:firstLineChars="200"/>
        <w:rPr>
          <w:rFonts w:cs="宋体"/>
          <w:b/>
          <w:bCs/>
          <w:color w:val="auto"/>
          <w:sz w:val="24"/>
          <w:highlight w:val="none"/>
        </w:rPr>
      </w:pPr>
      <w:r>
        <w:rPr>
          <w:rFonts w:hint="eastAsia" w:cs="宋体"/>
          <w:b/>
          <w:bCs/>
          <w:color w:val="auto"/>
          <w:sz w:val="24"/>
          <w:highlight w:val="none"/>
        </w:rPr>
        <w:t>（按招标文件第四部分评标办法前附表中“投标文件中评标标准相应的商务技术资料目录”提供资料。）</w:t>
      </w:r>
    </w:p>
    <w:p w14:paraId="639CDF79">
      <w:pPr>
        <w:widowControl w:val="0"/>
        <w:adjustRightInd w:val="0"/>
        <w:snapToGrid w:val="0"/>
        <w:rPr>
          <w:color w:val="auto"/>
          <w:highlight w:val="none"/>
        </w:rPr>
      </w:pPr>
    </w:p>
    <w:p w14:paraId="143612E1">
      <w:pPr>
        <w:widowControl w:val="0"/>
        <w:adjustRightInd w:val="0"/>
        <w:snapToGrid w:val="0"/>
        <w:rPr>
          <w:color w:val="auto"/>
          <w:highlight w:val="none"/>
        </w:rPr>
      </w:pPr>
    </w:p>
    <w:p w14:paraId="797F071E">
      <w:pPr>
        <w:widowControl w:val="0"/>
        <w:adjustRightInd w:val="0"/>
        <w:snapToGrid w:val="0"/>
        <w:rPr>
          <w:color w:val="auto"/>
          <w:highlight w:val="none"/>
        </w:rPr>
      </w:pPr>
    </w:p>
    <w:p w14:paraId="194111BF">
      <w:pPr>
        <w:widowControl w:val="0"/>
        <w:adjustRightInd w:val="0"/>
        <w:snapToGrid w:val="0"/>
        <w:rPr>
          <w:color w:val="auto"/>
          <w:highlight w:val="none"/>
        </w:rPr>
      </w:pPr>
    </w:p>
    <w:p w14:paraId="70528C00">
      <w:pPr>
        <w:widowControl w:val="0"/>
        <w:adjustRightInd w:val="0"/>
        <w:snapToGrid w:val="0"/>
        <w:rPr>
          <w:color w:val="auto"/>
          <w:highlight w:val="none"/>
        </w:rPr>
      </w:pPr>
    </w:p>
    <w:p w14:paraId="29D1BE02">
      <w:pPr>
        <w:widowControl w:val="0"/>
        <w:adjustRightInd w:val="0"/>
        <w:snapToGrid w:val="0"/>
        <w:rPr>
          <w:color w:val="auto"/>
          <w:highlight w:val="none"/>
        </w:rPr>
      </w:pPr>
    </w:p>
    <w:p w14:paraId="6E731CAE">
      <w:pPr>
        <w:widowControl w:val="0"/>
        <w:adjustRightInd w:val="0"/>
        <w:snapToGrid w:val="0"/>
        <w:rPr>
          <w:color w:val="auto"/>
          <w:highlight w:val="none"/>
        </w:rPr>
      </w:pPr>
    </w:p>
    <w:p w14:paraId="512023C4">
      <w:pPr>
        <w:widowControl w:val="0"/>
        <w:adjustRightInd w:val="0"/>
        <w:snapToGrid w:val="0"/>
        <w:rPr>
          <w:color w:val="auto"/>
          <w:highlight w:val="none"/>
        </w:rPr>
      </w:pPr>
    </w:p>
    <w:p w14:paraId="5908E70D">
      <w:pPr>
        <w:widowControl w:val="0"/>
        <w:adjustRightInd w:val="0"/>
        <w:snapToGrid w:val="0"/>
        <w:rPr>
          <w:color w:val="auto"/>
          <w:highlight w:val="none"/>
        </w:rPr>
      </w:pPr>
    </w:p>
    <w:p w14:paraId="4594B730">
      <w:pPr>
        <w:widowControl w:val="0"/>
        <w:adjustRightInd w:val="0"/>
        <w:snapToGrid w:val="0"/>
        <w:rPr>
          <w:color w:val="auto"/>
          <w:highlight w:val="none"/>
        </w:rPr>
      </w:pPr>
    </w:p>
    <w:p w14:paraId="754481A1">
      <w:pPr>
        <w:widowControl w:val="0"/>
        <w:adjustRightInd w:val="0"/>
        <w:snapToGrid w:val="0"/>
        <w:rPr>
          <w:color w:val="auto"/>
          <w:highlight w:val="none"/>
        </w:rPr>
      </w:pPr>
    </w:p>
    <w:p w14:paraId="602DEB7B">
      <w:pPr>
        <w:widowControl w:val="0"/>
        <w:adjustRightInd w:val="0"/>
        <w:snapToGrid w:val="0"/>
        <w:rPr>
          <w:color w:val="auto"/>
          <w:highlight w:val="none"/>
        </w:rPr>
      </w:pPr>
    </w:p>
    <w:p w14:paraId="5CAFC066">
      <w:pPr>
        <w:widowControl w:val="0"/>
        <w:adjustRightInd w:val="0"/>
        <w:snapToGrid w:val="0"/>
        <w:rPr>
          <w:color w:val="auto"/>
          <w:highlight w:val="none"/>
        </w:rPr>
      </w:pPr>
    </w:p>
    <w:p w14:paraId="5D74E66A">
      <w:pPr>
        <w:widowControl w:val="0"/>
        <w:adjustRightInd w:val="0"/>
        <w:snapToGrid w:val="0"/>
        <w:rPr>
          <w:color w:val="auto"/>
          <w:highlight w:val="none"/>
        </w:rPr>
      </w:pPr>
    </w:p>
    <w:p w14:paraId="68B856C8">
      <w:pPr>
        <w:widowControl w:val="0"/>
        <w:adjustRightInd w:val="0"/>
        <w:snapToGrid w:val="0"/>
        <w:rPr>
          <w:color w:val="auto"/>
          <w:highlight w:val="none"/>
        </w:rPr>
      </w:pPr>
    </w:p>
    <w:p w14:paraId="02E6348A">
      <w:pPr>
        <w:widowControl w:val="0"/>
        <w:adjustRightInd w:val="0"/>
        <w:snapToGrid w:val="0"/>
        <w:rPr>
          <w:color w:val="auto"/>
          <w:highlight w:val="none"/>
        </w:rPr>
      </w:pPr>
    </w:p>
    <w:p w14:paraId="547A4B9A">
      <w:pPr>
        <w:widowControl w:val="0"/>
        <w:adjustRightInd w:val="0"/>
        <w:snapToGrid w:val="0"/>
        <w:rPr>
          <w:color w:val="auto"/>
          <w:highlight w:val="none"/>
        </w:rPr>
      </w:pPr>
    </w:p>
    <w:p w14:paraId="72B338FF">
      <w:pPr>
        <w:widowControl w:val="0"/>
        <w:adjustRightInd w:val="0"/>
        <w:snapToGrid w:val="0"/>
        <w:rPr>
          <w:color w:val="auto"/>
          <w:highlight w:val="none"/>
        </w:rPr>
      </w:pPr>
    </w:p>
    <w:p w14:paraId="609E8E9D">
      <w:pPr>
        <w:widowControl w:val="0"/>
        <w:adjustRightInd w:val="0"/>
        <w:snapToGrid w:val="0"/>
        <w:rPr>
          <w:color w:val="auto"/>
          <w:highlight w:val="none"/>
        </w:rPr>
      </w:pPr>
    </w:p>
    <w:p w14:paraId="3DD2002A">
      <w:pPr>
        <w:widowControl w:val="0"/>
        <w:adjustRightInd w:val="0"/>
        <w:snapToGrid w:val="0"/>
        <w:rPr>
          <w:color w:val="auto"/>
          <w:highlight w:val="none"/>
        </w:rPr>
      </w:pPr>
    </w:p>
    <w:p w14:paraId="3C5D3103">
      <w:pPr>
        <w:widowControl w:val="0"/>
        <w:adjustRightInd w:val="0"/>
        <w:snapToGrid w:val="0"/>
        <w:rPr>
          <w:color w:val="auto"/>
          <w:highlight w:val="none"/>
        </w:rPr>
      </w:pPr>
    </w:p>
    <w:p w14:paraId="5E2E0D31">
      <w:pPr>
        <w:widowControl w:val="0"/>
        <w:adjustRightInd w:val="0"/>
        <w:snapToGrid w:val="0"/>
        <w:rPr>
          <w:color w:val="auto"/>
          <w:highlight w:val="none"/>
        </w:rPr>
      </w:pPr>
    </w:p>
    <w:p w14:paraId="27BCE71F">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六、投标标的清单</w:t>
      </w:r>
    </w:p>
    <w:p w14:paraId="14FB4D55">
      <w:pPr>
        <w:widowControl w:val="0"/>
        <w:adjustRightInd w:val="0"/>
        <w:snapToGrid w:val="0"/>
        <w:rPr>
          <w:color w:val="auto"/>
          <w:highlight w:val="none"/>
        </w:rPr>
      </w:pPr>
    </w:p>
    <w:tbl>
      <w:tblPr>
        <w:tblStyle w:val="60"/>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3F5F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07D26AC8">
            <w:pPr>
              <w:widowControl w:val="0"/>
              <w:adjustRightInd w:val="0"/>
              <w:snapToGrid w:val="0"/>
              <w:jc w:val="center"/>
              <w:rPr>
                <w:rFonts w:cs="宋体"/>
                <w:b/>
                <w:color w:val="auto"/>
                <w:highlight w:val="none"/>
              </w:rPr>
            </w:pPr>
            <w:r>
              <w:rPr>
                <w:rFonts w:hint="eastAsia" w:cs="宋体"/>
                <w:b/>
                <w:color w:val="auto"/>
                <w:highlight w:val="none"/>
              </w:rPr>
              <w:t>序号</w:t>
            </w:r>
          </w:p>
        </w:tc>
        <w:tc>
          <w:tcPr>
            <w:tcW w:w="1807" w:type="dxa"/>
            <w:vAlign w:val="center"/>
          </w:tcPr>
          <w:p w14:paraId="2E573746">
            <w:pPr>
              <w:widowControl w:val="0"/>
              <w:adjustRightInd w:val="0"/>
              <w:snapToGrid w:val="0"/>
              <w:jc w:val="center"/>
              <w:rPr>
                <w:rFonts w:cs="宋体"/>
                <w:b/>
                <w:color w:val="auto"/>
                <w:highlight w:val="none"/>
              </w:rPr>
            </w:pPr>
            <w:r>
              <w:rPr>
                <w:rFonts w:hint="eastAsia" w:cs="宋体"/>
                <w:b/>
                <w:color w:val="auto"/>
                <w:highlight w:val="none"/>
              </w:rPr>
              <w:t>名称</w:t>
            </w:r>
          </w:p>
        </w:tc>
        <w:tc>
          <w:tcPr>
            <w:tcW w:w="1559" w:type="dxa"/>
            <w:vAlign w:val="center"/>
          </w:tcPr>
          <w:p w14:paraId="62F0503E">
            <w:pPr>
              <w:widowControl w:val="0"/>
              <w:adjustRightInd w:val="0"/>
              <w:snapToGrid w:val="0"/>
              <w:jc w:val="center"/>
              <w:rPr>
                <w:rFonts w:cs="宋体"/>
                <w:b/>
                <w:color w:val="auto"/>
                <w:highlight w:val="none"/>
              </w:rPr>
            </w:pPr>
            <w:r>
              <w:rPr>
                <w:rFonts w:hint="eastAsia" w:cs="宋体"/>
                <w:b/>
                <w:color w:val="auto"/>
                <w:highlight w:val="none"/>
              </w:rPr>
              <w:t>服务范围</w:t>
            </w:r>
          </w:p>
        </w:tc>
        <w:tc>
          <w:tcPr>
            <w:tcW w:w="1701" w:type="dxa"/>
            <w:vAlign w:val="center"/>
          </w:tcPr>
          <w:p w14:paraId="3843563B">
            <w:pPr>
              <w:widowControl w:val="0"/>
              <w:adjustRightInd w:val="0"/>
              <w:snapToGrid w:val="0"/>
              <w:jc w:val="center"/>
              <w:rPr>
                <w:rFonts w:cs="宋体"/>
                <w:b/>
                <w:color w:val="auto"/>
                <w:highlight w:val="none"/>
              </w:rPr>
            </w:pPr>
            <w:r>
              <w:rPr>
                <w:rFonts w:hint="eastAsia" w:cs="宋体"/>
                <w:b/>
                <w:color w:val="auto"/>
                <w:highlight w:val="none"/>
              </w:rPr>
              <w:t>服务要求</w:t>
            </w:r>
          </w:p>
        </w:tc>
        <w:tc>
          <w:tcPr>
            <w:tcW w:w="1134" w:type="dxa"/>
            <w:vAlign w:val="center"/>
          </w:tcPr>
          <w:p w14:paraId="0A4FEB01">
            <w:pPr>
              <w:widowControl w:val="0"/>
              <w:adjustRightInd w:val="0"/>
              <w:snapToGrid w:val="0"/>
              <w:jc w:val="center"/>
              <w:rPr>
                <w:rFonts w:cs="宋体"/>
                <w:b/>
                <w:color w:val="auto"/>
                <w:highlight w:val="none"/>
              </w:rPr>
            </w:pPr>
            <w:r>
              <w:rPr>
                <w:rFonts w:hint="eastAsia" w:cs="宋体"/>
                <w:b/>
                <w:color w:val="auto"/>
                <w:highlight w:val="none"/>
              </w:rPr>
              <w:t>服务时间</w:t>
            </w:r>
          </w:p>
        </w:tc>
        <w:tc>
          <w:tcPr>
            <w:tcW w:w="1276" w:type="dxa"/>
            <w:vAlign w:val="center"/>
          </w:tcPr>
          <w:p w14:paraId="36F74979">
            <w:pPr>
              <w:widowControl w:val="0"/>
              <w:adjustRightInd w:val="0"/>
              <w:snapToGrid w:val="0"/>
              <w:jc w:val="center"/>
              <w:rPr>
                <w:rFonts w:cs="宋体"/>
                <w:b/>
                <w:color w:val="auto"/>
                <w:highlight w:val="none"/>
              </w:rPr>
            </w:pPr>
            <w:r>
              <w:rPr>
                <w:rFonts w:hint="eastAsia" w:cs="宋体"/>
                <w:b/>
                <w:color w:val="auto"/>
                <w:highlight w:val="none"/>
              </w:rPr>
              <w:t>服务标准</w:t>
            </w:r>
          </w:p>
        </w:tc>
        <w:tc>
          <w:tcPr>
            <w:tcW w:w="1279" w:type="dxa"/>
            <w:vAlign w:val="center"/>
          </w:tcPr>
          <w:p w14:paraId="47CA8511">
            <w:pPr>
              <w:widowControl w:val="0"/>
              <w:adjustRightInd w:val="0"/>
              <w:snapToGrid w:val="0"/>
              <w:jc w:val="center"/>
              <w:rPr>
                <w:rFonts w:cs="宋体"/>
                <w:b/>
                <w:color w:val="auto"/>
                <w:highlight w:val="none"/>
              </w:rPr>
            </w:pPr>
            <w:r>
              <w:rPr>
                <w:rFonts w:hint="eastAsia" w:cs="宋体"/>
                <w:b/>
                <w:color w:val="auto"/>
                <w:highlight w:val="none"/>
              </w:rPr>
              <w:t>备注（如果有）</w:t>
            </w:r>
          </w:p>
        </w:tc>
      </w:tr>
      <w:tr w14:paraId="5EB9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56CBDCD0">
            <w:pPr>
              <w:widowControl w:val="0"/>
              <w:adjustRightInd w:val="0"/>
              <w:snapToGrid w:val="0"/>
              <w:jc w:val="center"/>
              <w:rPr>
                <w:rFonts w:cs="宋体"/>
                <w:color w:val="auto"/>
                <w:highlight w:val="none"/>
              </w:rPr>
            </w:pPr>
            <w:r>
              <w:rPr>
                <w:rFonts w:hint="eastAsia" w:cs="宋体"/>
                <w:color w:val="auto"/>
                <w:highlight w:val="none"/>
              </w:rPr>
              <w:t>1</w:t>
            </w:r>
          </w:p>
        </w:tc>
        <w:tc>
          <w:tcPr>
            <w:tcW w:w="1807" w:type="dxa"/>
            <w:vAlign w:val="center"/>
          </w:tcPr>
          <w:p w14:paraId="65E2FB24">
            <w:pPr>
              <w:widowControl w:val="0"/>
              <w:adjustRightInd w:val="0"/>
              <w:snapToGrid w:val="0"/>
              <w:rPr>
                <w:rFonts w:cs="宋体"/>
                <w:color w:val="auto"/>
                <w:highlight w:val="none"/>
              </w:rPr>
            </w:pPr>
          </w:p>
        </w:tc>
        <w:tc>
          <w:tcPr>
            <w:tcW w:w="1559" w:type="dxa"/>
            <w:vAlign w:val="center"/>
          </w:tcPr>
          <w:p w14:paraId="4FC97D47">
            <w:pPr>
              <w:widowControl w:val="0"/>
              <w:adjustRightInd w:val="0"/>
              <w:snapToGrid w:val="0"/>
              <w:rPr>
                <w:rFonts w:cs="宋体"/>
                <w:color w:val="auto"/>
                <w:highlight w:val="none"/>
              </w:rPr>
            </w:pPr>
          </w:p>
        </w:tc>
        <w:tc>
          <w:tcPr>
            <w:tcW w:w="1701" w:type="dxa"/>
            <w:vAlign w:val="center"/>
          </w:tcPr>
          <w:p w14:paraId="7FD7E787">
            <w:pPr>
              <w:widowControl w:val="0"/>
              <w:adjustRightInd w:val="0"/>
              <w:snapToGrid w:val="0"/>
              <w:rPr>
                <w:rFonts w:cs="宋体"/>
                <w:color w:val="auto"/>
                <w:highlight w:val="none"/>
              </w:rPr>
            </w:pPr>
          </w:p>
        </w:tc>
        <w:tc>
          <w:tcPr>
            <w:tcW w:w="1134" w:type="dxa"/>
            <w:vAlign w:val="center"/>
          </w:tcPr>
          <w:p w14:paraId="18DA24F9">
            <w:pPr>
              <w:widowControl w:val="0"/>
              <w:adjustRightInd w:val="0"/>
              <w:snapToGrid w:val="0"/>
              <w:rPr>
                <w:rFonts w:cs="宋体"/>
                <w:color w:val="auto"/>
                <w:highlight w:val="none"/>
              </w:rPr>
            </w:pPr>
          </w:p>
        </w:tc>
        <w:tc>
          <w:tcPr>
            <w:tcW w:w="1276" w:type="dxa"/>
            <w:vAlign w:val="center"/>
          </w:tcPr>
          <w:p w14:paraId="03C932E9">
            <w:pPr>
              <w:widowControl w:val="0"/>
              <w:adjustRightInd w:val="0"/>
              <w:snapToGrid w:val="0"/>
              <w:rPr>
                <w:rFonts w:cs="宋体"/>
                <w:color w:val="auto"/>
                <w:highlight w:val="none"/>
              </w:rPr>
            </w:pPr>
          </w:p>
        </w:tc>
        <w:tc>
          <w:tcPr>
            <w:tcW w:w="1279" w:type="dxa"/>
            <w:vAlign w:val="center"/>
          </w:tcPr>
          <w:p w14:paraId="58B2CEF0">
            <w:pPr>
              <w:widowControl w:val="0"/>
              <w:adjustRightInd w:val="0"/>
              <w:snapToGrid w:val="0"/>
              <w:rPr>
                <w:rFonts w:cs="宋体"/>
                <w:color w:val="auto"/>
                <w:highlight w:val="none"/>
              </w:rPr>
            </w:pPr>
          </w:p>
        </w:tc>
      </w:tr>
      <w:tr w14:paraId="7AF32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51B3444">
            <w:pPr>
              <w:widowControl w:val="0"/>
              <w:adjustRightInd w:val="0"/>
              <w:snapToGrid w:val="0"/>
              <w:jc w:val="center"/>
              <w:rPr>
                <w:rFonts w:cs="宋体"/>
                <w:color w:val="auto"/>
                <w:highlight w:val="none"/>
              </w:rPr>
            </w:pPr>
            <w:r>
              <w:rPr>
                <w:rFonts w:hint="eastAsia" w:cs="宋体"/>
                <w:color w:val="auto"/>
                <w:highlight w:val="none"/>
              </w:rPr>
              <w:t>2</w:t>
            </w:r>
          </w:p>
        </w:tc>
        <w:tc>
          <w:tcPr>
            <w:tcW w:w="1807" w:type="dxa"/>
            <w:vAlign w:val="center"/>
          </w:tcPr>
          <w:p w14:paraId="4FB0DEA8">
            <w:pPr>
              <w:widowControl w:val="0"/>
              <w:adjustRightInd w:val="0"/>
              <w:snapToGrid w:val="0"/>
              <w:rPr>
                <w:rFonts w:cs="宋体"/>
                <w:color w:val="auto"/>
                <w:highlight w:val="none"/>
              </w:rPr>
            </w:pPr>
          </w:p>
        </w:tc>
        <w:tc>
          <w:tcPr>
            <w:tcW w:w="1559" w:type="dxa"/>
            <w:vAlign w:val="center"/>
          </w:tcPr>
          <w:p w14:paraId="4F5AB796">
            <w:pPr>
              <w:widowControl w:val="0"/>
              <w:adjustRightInd w:val="0"/>
              <w:snapToGrid w:val="0"/>
              <w:rPr>
                <w:rFonts w:cs="宋体"/>
                <w:color w:val="auto"/>
                <w:highlight w:val="none"/>
              </w:rPr>
            </w:pPr>
          </w:p>
        </w:tc>
        <w:tc>
          <w:tcPr>
            <w:tcW w:w="1701" w:type="dxa"/>
            <w:vAlign w:val="center"/>
          </w:tcPr>
          <w:p w14:paraId="6641C630">
            <w:pPr>
              <w:widowControl w:val="0"/>
              <w:adjustRightInd w:val="0"/>
              <w:snapToGrid w:val="0"/>
              <w:rPr>
                <w:rFonts w:cs="宋体"/>
                <w:color w:val="auto"/>
                <w:highlight w:val="none"/>
              </w:rPr>
            </w:pPr>
          </w:p>
        </w:tc>
        <w:tc>
          <w:tcPr>
            <w:tcW w:w="1134" w:type="dxa"/>
            <w:vAlign w:val="center"/>
          </w:tcPr>
          <w:p w14:paraId="045D1155">
            <w:pPr>
              <w:widowControl w:val="0"/>
              <w:adjustRightInd w:val="0"/>
              <w:snapToGrid w:val="0"/>
              <w:rPr>
                <w:rFonts w:cs="宋体"/>
                <w:color w:val="auto"/>
                <w:highlight w:val="none"/>
              </w:rPr>
            </w:pPr>
          </w:p>
        </w:tc>
        <w:tc>
          <w:tcPr>
            <w:tcW w:w="1276" w:type="dxa"/>
            <w:vAlign w:val="center"/>
          </w:tcPr>
          <w:p w14:paraId="016EA0F5">
            <w:pPr>
              <w:widowControl w:val="0"/>
              <w:adjustRightInd w:val="0"/>
              <w:snapToGrid w:val="0"/>
              <w:rPr>
                <w:rFonts w:cs="宋体"/>
                <w:color w:val="auto"/>
                <w:highlight w:val="none"/>
              </w:rPr>
            </w:pPr>
          </w:p>
        </w:tc>
        <w:tc>
          <w:tcPr>
            <w:tcW w:w="1279" w:type="dxa"/>
            <w:vAlign w:val="center"/>
          </w:tcPr>
          <w:p w14:paraId="0C217787">
            <w:pPr>
              <w:widowControl w:val="0"/>
              <w:adjustRightInd w:val="0"/>
              <w:snapToGrid w:val="0"/>
              <w:rPr>
                <w:rFonts w:cs="宋体"/>
                <w:color w:val="auto"/>
                <w:highlight w:val="none"/>
              </w:rPr>
            </w:pPr>
          </w:p>
        </w:tc>
      </w:tr>
      <w:tr w14:paraId="3046F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5C957B9C">
            <w:pPr>
              <w:widowControl w:val="0"/>
              <w:adjustRightInd w:val="0"/>
              <w:snapToGrid w:val="0"/>
              <w:jc w:val="center"/>
              <w:rPr>
                <w:rFonts w:cs="宋体"/>
                <w:color w:val="auto"/>
                <w:highlight w:val="none"/>
              </w:rPr>
            </w:pPr>
            <w:r>
              <w:rPr>
                <w:rFonts w:hint="eastAsia" w:cs="宋体"/>
                <w:color w:val="auto"/>
                <w:highlight w:val="none"/>
              </w:rPr>
              <w:t>……</w:t>
            </w:r>
          </w:p>
        </w:tc>
        <w:tc>
          <w:tcPr>
            <w:tcW w:w="1807" w:type="dxa"/>
            <w:vAlign w:val="center"/>
          </w:tcPr>
          <w:p w14:paraId="6DB400E3">
            <w:pPr>
              <w:widowControl w:val="0"/>
              <w:adjustRightInd w:val="0"/>
              <w:snapToGrid w:val="0"/>
              <w:rPr>
                <w:rFonts w:cs="宋体"/>
                <w:color w:val="auto"/>
                <w:highlight w:val="none"/>
              </w:rPr>
            </w:pPr>
          </w:p>
        </w:tc>
        <w:tc>
          <w:tcPr>
            <w:tcW w:w="1559" w:type="dxa"/>
            <w:vAlign w:val="center"/>
          </w:tcPr>
          <w:p w14:paraId="2D92EFEA">
            <w:pPr>
              <w:widowControl w:val="0"/>
              <w:adjustRightInd w:val="0"/>
              <w:snapToGrid w:val="0"/>
              <w:rPr>
                <w:rFonts w:cs="宋体"/>
                <w:color w:val="auto"/>
                <w:highlight w:val="none"/>
              </w:rPr>
            </w:pPr>
          </w:p>
        </w:tc>
        <w:tc>
          <w:tcPr>
            <w:tcW w:w="1701" w:type="dxa"/>
            <w:vAlign w:val="center"/>
          </w:tcPr>
          <w:p w14:paraId="790AA9C3">
            <w:pPr>
              <w:widowControl w:val="0"/>
              <w:adjustRightInd w:val="0"/>
              <w:snapToGrid w:val="0"/>
              <w:rPr>
                <w:rFonts w:cs="宋体"/>
                <w:color w:val="auto"/>
                <w:highlight w:val="none"/>
              </w:rPr>
            </w:pPr>
          </w:p>
        </w:tc>
        <w:tc>
          <w:tcPr>
            <w:tcW w:w="1134" w:type="dxa"/>
            <w:vAlign w:val="center"/>
          </w:tcPr>
          <w:p w14:paraId="291FA22A">
            <w:pPr>
              <w:widowControl w:val="0"/>
              <w:adjustRightInd w:val="0"/>
              <w:snapToGrid w:val="0"/>
              <w:rPr>
                <w:rFonts w:cs="宋体"/>
                <w:color w:val="auto"/>
                <w:highlight w:val="none"/>
              </w:rPr>
            </w:pPr>
          </w:p>
        </w:tc>
        <w:tc>
          <w:tcPr>
            <w:tcW w:w="1276" w:type="dxa"/>
            <w:vAlign w:val="center"/>
          </w:tcPr>
          <w:p w14:paraId="3D9CF6B5">
            <w:pPr>
              <w:widowControl w:val="0"/>
              <w:adjustRightInd w:val="0"/>
              <w:snapToGrid w:val="0"/>
              <w:rPr>
                <w:rFonts w:cs="宋体"/>
                <w:color w:val="auto"/>
                <w:highlight w:val="none"/>
              </w:rPr>
            </w:pPr>
          </w:p>
        </w:tc>
        <w:tc>
          <w:tcPr>
            <w:tcW w:w="1279" w:type="dxa"/>
            <w:vAlign w:val="center"/>
          </w:tcPr>
          <w:p w14:paraId="49B1423D">
            <w:pPr>
              <w:widowControl w:val="0"/>
              <w:adjustRightInd w:val="0"/>
              <w:snapToGrid w:val="0"/>
              <w:rPr>
                <w:rFonts w:cs="宋体"/>
                <w:color w:val="auto"/>
                <w:highlight w:val="none"/>
              </w:rPr>
            </w:pPr>
          </w:p>
        </w:tc>
      </w:tr>
    </w:tbl>
    <w:p w14:paraId="2DC1A861">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796567C7">
      <w:pPr>
        <w:widowControl w:val="0"/>
        <w:adjustRightInd w:val="0"/>
        <w:snapToGrid w:val="0"/>
        <w:rPr>
          <w:color w:val="auto"/>
          <w:highlight w:val="none"/>
        </w:rPr>
      </w:pPr>
    </w:p>
    <w:p w14:paraId="424B35A1">
      <w:pPr>
        <w:widowControl w:val="0"/>
        <w:adjustRightInd w:val="0"/>
        <w:snapToGrid w:val="0"/>
        <w:rPr>
          <w:color w:val="auto"/>
          <w:highlight w:val="none"/>
        </w:rPr>
      </w:pPr>
    </w:p>
    <w:p w14:paraId="5A553089">
      <w:pPr>
        <w:widowControl w:val="0"/>
        <w:adjustRightInd w:val="0"/>
        <w:snapToGrid w:val="0"/>
        <w:rPr>
          <w:color w:val="auto"/>
          <w:highlight w:val="none"/>
        </w:rPr>
      </w:pPr>
    </w:p>
    <w:p w14:paraId="1133E9D0">
      <w:pPr>
        <w:widowControl w:val="0"/>
        <w:adjustRightInd w:val="0"/>
        <w:snapToGrid w:val="0"/>
        <w:rPr>
          <w:color w:val="auto"/>
          <w:highlight w:val="none"/>
        </w:rPr>
      </w:pPr>
    </w:p>
    <w:p w14:paraId="0F9D9593">
      <w:pPr>
        <w:widowControl w:val="0"/>
        <w:adjustRightInd w:val="0"/>
        <w:snapToGrid w:val="0"/>
        <w:rPr>
          <w:color w:val="auto"/>
          <w:highlight w:val="none"/>
        </w:rPr>
      </w:pPr>
    </w:p>
    <w:p w14:paraId="2B7FE70B">
      <w:pPr>
        <w:widowControl w:val="0"/>
        <w:adjustRightInd w:val="0"/>
        <w:snapToGrid w:val="0"/>
        <w:rPr>
          <w:color w:val="auto"/>
          <w:highlight w:val="none"/>
        </w:rPr>
      </w:pPr>
    </w:p>
    <w:p w14:paraId="64CF6523">
      <w:pPr>
        <w:widowControl w:val="0"/>
        <w:adjustRightInd w:val="0"/>
        <w:snapToGrid w:val="0"/>
        <w:rPr>
          <w:color w:val="auto"/>
          <w:highlight w:val="none"/>
        </w:rPr>
      </w:pPr>
    </w:p>
    <w:p w14:paraId="0367EF3F">
      <w:pPr>
        <w:widowControl w:val="0"/>
        <w:adjustRightInd w:val="0"/>
        <w:snapToGrid w:val="0"/>
        <w:rPr>
          <w:color w:val="auto"/>
          <w:highlight w:val="none"/>
        </w:rPr>
      </w:pPr>
    </w:p>
    <w:p w14:paraId="4551FD3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七、商务技术偏离表</w:t>
      </w:r>
    </w:p>
    <w:p w14:paraId="756BB25E">
      <w:pPr>
        <w:widowControl w:val="0"/>
        <w:adjustRightInd w:val="0"/>
        <w:snapToGrid w:val="0"/>
        <w:rPr>
          <w:color w:val="auto"/>
          <w:highlight w:val="none"/>
        </w:rPr>
      </w:pPr>
    </w:p>
    <w:tbl>
      <w:tblPr>
        <w:tblStyle w:val="61"/>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2CC5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3FA6B15E">
            <w:pPr>
              <w:widowControl w:val="0"/>
              <w:adjustRightInd w:val="0"/>
              <w:snapToGrid w:val="0"/>
              <w:jc w:val="center"/>
              <w:rPr>
                <w:rFonts w:cs="宋体"/>
                <w:b/>
                <w:bCs/>
                <w:color w:val="auto"/>
                <w:highlight w:val="none"/>
              </w:rPr>
            </w:pPr>
            <w:r>
              <w:rPr>
                <w:rFonts w:hint="eastAsia" w:cs="宋体"/>
                <w:b/>
                <w:bCs/>
                <w:color w:val="auto"/>
                <w:highlight w:val="none"/>
              </w:rPr>
              <w:t>序号</w:t>
            </w:r>
          </w:p>
        </w:tc>
        <w:tc>
          <w:tcPr>
            <w:tcW w:w="3683" w:type="dxa"/>
            <w:vAlign w:val="center"/>
          </w:tcPr>
          <w:p w14:paraId="78EF284E">
            <w:pPr>
              <w:widowControl w:val="0"/>
              <w:adjustRightInd w:val="0"/>
              <w:snapToGrid w:val="0"/>
              <w:jc w:val="center"/>
              <w:rPr>
                <w:rFonts w:cs="宋体"/>
                <w:b/>
                <w:bCs/>
                <w:color w:val="auto"/>
                <w:highlight w:val="none"/>
              </w:rPr>
            </w:pPr>
            <w:r>
              <w:rPr>
                <w:rFonts w:hint="eastAsia" w:cs="宋体"/>
                <w:b/>
                <w:bCs/>
                <w:color w:val="auto"/>
                <w:highlight w:val="none"/>
              </w:rPr>
              <w:t>招标文件章节及具体内容</w:t>
            </w:r>
          </w:p>
        </w:tc>
        <w:tc>
          <w:tcPr>
            <w:tcW w:w="3546" w:type="dxa"/>
            <w:vAlign w:val="center"/>
          </w:tcPr>
          <w:p w14:paraId="09EA2B48">
            <w:pPr>
              <w:widowControl w:val="0"/>
              <w:adjustRightInd w:val="0"/>
              <w:snapToGrid w:val="0"/>
              <w:jc w:val="center"/>
              <w:rPr>
                <w:rFonts w:cs="宋体"/>
                <w:b/>
                <w:bCs/>
                <w:color w:val="auto"/>
                <w:highlight w:val="none"/>
              </w:rPr>
            </w:pPr>
            <w:r>
              <w:rPr>
                <w:rFonts w:hint="eastAsia" w:cs="宋体"/>
                <w:b/>
                <w:bCs/>
                <w:color w:val="auto"/>
                <w:highlight w:val="none"/>
              </w:rPr>
              <w:t>投标文件章节及具体内容</w:t>
            </w:r>
          </w:p>
        </w:tc>
        <w:tc>
          <w:tcPr>
            <w:tcW w:w="1276" w:type="dxa"/>
            <w:vAlign w:val="center"/>
          </w:tcPr>
          <w:p w14:paraId="778B0ED8">
            <w:pPr>
              <w:widowControl w:val="0"/>
              <w:adjustRightInd w:val="0"/>
              <w:snapToGrid w:val="0"/>
              <w:jc w:val="center"/>
              <w:rPr>
                <w:rFonts w:cs="宋体"/>
                <w:b/>
                <w:bCs/>
                <w:color w:val="auto"/>
                <w:highlight w:val="none"/>
              </w:rPr>
            </w:pPr>
            <w:r>
              <w:rPr>
                <w:rFonts w:hint="eastAsia" w:cs="宋体"/>
                <w:b/>
                <w:bCs/>
                <w:color w:val="auto"/>
                <w:highlight w:val="none"/>
              </w:rPr>
              <w:t>偏离说明</w:t>
            </w:r>
          </w:p>
        </w:tc>
      </w:tr>
      <w:tr w14:paraId="6E2E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A738657">
            <w:pPr>
              <w:widowControl w:val="0"/>
              <w:adjustRightInd w:val="0"/>
              <w:snapToGrid w:val="0"/>
              <w:jc w:val="center"/>
              <w:rPr>
                <w:rFonts w:cs="宋体"/>
                <w:color w:val="auto"/>
                <w:kern w:val="0"/>
                <w:highlight w:val="none"/>
              </w:rPr>
            </w:pPr>
            <w:r>
              <w:rPr>
                <w:rFonts w:hint="eastAsia" w:cs="宋体"/>
                <w:color w:val="auto"/>
                <w:kern w:val="0"/>
                <w:highlight w:val="none"/>
              </w:rPr>
              <w:t>1</w:t>
            </w:r>
          </w:p>
        </w:tc>
        <w:tc>
          <w:tcPr>
            <w:tcW w:w="3683" w:type="dxa"/>
            <w:vAlign w:val="center"/>
          </w:tcPr>
          <w:p w14:paraId="2CF57533">
            <w:pPr>
              <w:widowControl w:val="0"/>
              <w:adjustRightInd w:val="0"/>
              <w:snapToGrid w:val="0"/>
              <w:rPr>
                <w:rFonts w:cs="宋体"/>
                <w:b/>
                <w:color w:val="auto"/>
                <w:kern w:val="0"/>
                <w:szCs w:val="32"/>
                <w:highlight w:val="none"/>
              </w:rPr>
            </w:pPr>
          </w:p>
        </w:tc>
        <w:tc>
          <w:tcPr>
            <w:tcW w:w="3546" w:type="dxa"/>
            <w:vAlign w:val="center"/>
          </w:tcPr>
          <w:p w14:paraId="5F9DE4D7">
            <w:pPr>
              <w:widowControl w:val="0"/>
              <w:adjustRightInd w:val="0"/>
              <w:snapToGrid w:val="0"/>
              <w:rPr>
                <w:rFonts w:cs="宋体"/>
                <w:b/>
                <w:color w:val="auto"/>
                <w:kern w:val="0"/>
                <w:szCs w:val="32"/>
                <w:highlight w:val="none"/>
              </w:rPr>
            </w:pPr>
          </w:p>
        </w:tc>
        <w:tc>
          <w:tcPr>
            <w:tcW w:w="1276" w:type="dxa"/>
            <w:vAlign w:val="center"/>
          </w:tcPr>
          <w:p w14:paraId="4760F89A">
            <w:pPr>
              <w:widowControl w:val="0"/>
              <w:adjustRightInd w:val="0"/>
              <w:snapToGrid w:val="0"/>
              <w:rPr>
                <w:rFonts w:cs="宋体"/>
                <w:b/>
                <w:color w:val="auto"/>
                <w:kern w:val="0"/>
                <w:szCs w:val="32"/>
                <w:highlight w:val="none"/>
              </w:rPr>
            </w:pPr>
          </w:p>
        </w:tc>
      </w:tr>
      <w:tr w14:paraId="59E62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76B7C0A7">
            <w:pPr>
              <w:widowControl w:val="0"/>
              <w:adjustRightInd w:val="0"/>
              <w:snapToGrid w:val="0"/>
              <w:jc w:val="center"/>
              <w:rPr>
                <w:rFonts w:cs="宋体"/>
                <w:color w:val="auto"/>
                <w:kern w:val="0"/>
                <w:highlight w:val="none"/>
              </w:rPr>
            </w:pPr>
            <w:r>
              <w:rPr>
                <w:rFonts w:hint="eastAsia" w:cs="宋体"/>
                <w:color w:val="auto"/>
                <w:kern w:val="0"/>
                <w:highlight w:val="none"/>
              </w:rPr>
              <w:t>2</w:t>
            </w:r>
          </w:p>
        </w:tc>
        <w:tc>
          <w:tcPr>
            <w:tcW w:w="3683" w:type="dxa"/>
            <w:vAlign w:val="center"/>
          </w:tcPr>
          <w:p w14:paraId="0266CBF8">
            <w:pPr>
              <w:widowControl w:val="0"/>
              <w:adjustRightInd w:val="0"/>
              <w:snapToGrid w:val="0"/>
              <w:rPr>
                <w:rFonts w:cs="宋体"/>
                <w:b/>
                <w:color w:val="auto"/>
                <w:kern w:val="0"/>
                <w:szCs w:val="32"/>
                <w:highlight w:val="none"/>
              </w:rPr>
            </w:pPr>
          </w:p>
        </w:tc>
        <w:tc>
          <w:tcPr>
            <w:tcW w:w="3546" w:type="dxa"/>
            <w:vAlign w:val="center"/>
          </w:tcPr>
          <w:p w14:paraId="3CABA1F7">
            <w:pPr>
              <w:widowControl w:val="0"/>
              <w:adjustRightInd w:val="0"/>
              <w:snapToGrid w:val="0"/>
              <w:rPr>
                <w:rFonts w:cs="宋体"/>
                <w:b/>
                <w:color w:val="auto"/>
                <w:kern w:val="0"/>
                <w:szCs w:val="32"/>
                <w:highlight w:val="none"/>
              </w:rPr>
            </w:pPr>
          </w:p>
        </w:tc>
        <w:tc>
          <w:tcPr>
            <w:tcW w:w="1276" w:type="dxa"/>
            <w:vAlign w:val="center"/>
          </w:tcPr>
          <w:p w14:paraId="1F715567">
            <w:pPr>
              <w:widowControl w:val="0"/>
              <w:adjustRightInd w:val="0"/>
              <w:snapToGrid w:val="0"/>
              <w:rPr>
                <w:rFonts w:cs="宋体"/>
                <w:b/>
                <w:color w:val="auto"/>
                <w:kern w:val="0"/>
                <w:szCs w:val="32"/>
                <w:highlight w:val="none"/>
              </w:rPr>
            </w:pPr>
          </w:p>
        </w:tc>
      </w:tr>
      <w:tr w14:paraId="3FECC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6D186158">
            <w:pPr>
              <w:widowControl w:val="0"/>
              <w:adjustRightInd w:val="0"/>
              <w:snapToGrid w:val="0"/>
              <w:jc w:val="center"/>
              <w:rPr>
                <w:rFonts w:cs="宋体"/>
                <w:color w:val="auto"/>
                <w:kern w:val="0"/>
                <w:highlight w:val="none"/>
              </w:rPr>
            </w:pPr>
            <w:r>
              <w:rPr>
                <w:rFonts w:hint="eastAsia" w:cs="宋体"/>
                <w:color w:val="auto"/>
                <w:kern w:val="0"/>
                <w:highlight w:val="none"/>
              </w:rPr>
              <w:t>……</w:t>
            </w:r>
          </w:p>
        </w:tc>
        <w:tc>
          <w:tcPr>
            <w:tcW w:w="3683" w:type="dxa"/>
            <w:vAlign w:val="center"/>
          </w:tcPr>
          <w:p w14:paraId="5B5B6EE5">
            <w:pPr>
              <w:widowControl w:val="0"/>
              <w:adjustRightInd w:val="0"/>
              <w:snapToGrid w:val="0"/>
              <w:rPr>
                <w:rFonts w:cs="宋体"/>
                <w:b/>
                <w:color w:val="auto"/>
                <w:kern w:val="0"/>
                <w:szCs w:val="32"/>
                <w:highlight w:val="none"/>
              </w:rPr>
            </w:pPr>
          </w:p>
        </w:tc>
        <w:tc>
          <w:tcPr>
            <w:tcW w:w="3546" w:type="dxa"/>
            <w:vAlign w:val="center"/>
          </w:tcPr>
          <w:p w14:paraId="5DBA1FD5">
            <w:pPr>
              <w:widowControl w:val="0"/>
              <w:adjustRightInd w:val="0"/>
              <w:snapToGrid w:val="0"/>
              <w:rPr>
                <w:rFonts w:cs="宋体"/>
                <w:b/>
                <w:color w:val="auto"/>
                <w:kern w:val="0"/>
                <w:szCs w:val="32"/>
                <w:highlight w:val="none"/>
              </w:rPr>
            </w:pPr>
          </w:p>
        </w:tc>
        <w:tc>
          <w:tcPr>
            <w:tcW w:w="1276" w:type="dxa"/>
            <w:vAlign w:val="center"/>
          </w:tcPr>
          <w:p w14:paraId="486403A6">
            <w:pPr>
              <w:widowControl w:val="0"/>
              <w:adjustRightInd w:val="0"/>
              <w:snapToGrid w:val="0"/>
              <w:rPr>
                <w:rFonts w:cs="宋体"/>
                <w:b/>
                <w:color w:val="auto"/>
                <w:kern w:val="0"/>
                <w:szCs w:val="32"/>
                <w:highlight w:val="none"/>
              </w:rPr>
            </w:pPr>
          </w:p>
        </w:tc>
      </w:tr>
    </w:tbl>
    <w:p w14:paraId="79711D82">
      <w:pPr>
        <w:widowControl w:val="0"/>
        <w:adjustRightInd w:val="0"/>
        <w:snapToGrid w:val="0"/>
        <w:rPr>
          <w:color w:val="auto"/>
          <w:highlight w:val="none"/>
        </w:rPr>
      </w:pPr>
      <w:r>
        <w:rPr>
          <w:rFonts w:hint="eastAsia"/>
          <w:color w:val="auto"/>
          <w:highlight w:val="none"/>
        </w:rPr>
        <w:t>投标人保证：除商务技术偏离表列出的偏离外，投标人响应招标文件的全部要求。</w:t>
      </w:r>
    </w:p>
    <w:p w14:paraId="03860854">
      <w:pPr>
        <w:widowControl w:val="0"/>
        <w:adjustRightInd w:val="0"/>
        <w:snapToGrid w:val="0"/>
        <w:rPr>
          <w:color w:val="auto"/>
          <w:highlight w:val="none"/>
        </w:rPr>
      </w:pPr>
    </w:p>
    <w:p w14:paraId="47FA3AFC">
      <w:pPr>
        <w:widowControl w:val="0"/>
        <w:adjustRightInd w:val="0"/>
        <w:snapToGrid w:val="0"/>
        <w:rPr>
          <w:color w:val="auto"/>
          <w:highlight w:val="none"/>
        </w:rPr>
      </w:pPr>
    </w:p>
    <w:p w14:paraId="65B59F6D">
      <w:pPr>
        <w:widowControl w:val="0"/>
        <w:adjustRightInd w:val="0"/>
        <w:snapToGrid w:val="0"/>
        <w:rPr>
          <w:color w:val="auto"/>
          <w:highlight w:val="none"/>
        </w:rPr>
      </w:pPr>
    </w:p>
    <w:p w14:paraId="03B1F630">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73309ADD">
      <w:pPr>
        <w:widowControl w:val="0"/>
        <w:adjustRightInd w:val="0"/>
        <w:snapToGrid w:val="0"/>
        <w:rPr>
          <w:color w:val="auto"/>
          <w:highlight w:val="none"/>
        </w:rPr>
      </w:pPr>
    </w:p>
    <w:p w14:paraId="2AB20134">
      <w:pPr>
        <w:widowControl w:val="0"/>
        <w:adjustRightInd w:val="0"/>
        <w:snapToGrid w:val="0"/>
        <w:rPr>
          <w:color w:val="auto"/>
          <w:highlight w:val="none"/>
        </w:rPr>
      </w:pPr>
    </w:p>
    <w:p w14:paraId="5FDB0234">
      <w:pPr>
        <w:widowControl w:val="0"/>
        <w:adjustRightInd w:val="0"/>
        <w:snapToGrid w:val="0"/>
        <w:rPr>
          <w:color w:val="auto"/>
          <w:highlight w:val="none"/>
        </w:rPr>
      </w:pPr>
    </w:p>
    <w:p w14:paraId="6FF05E21">
      <w:pPr>
        <w:widowControl w:val="0"/>
        <w:adjustRightInd w:val="0"/>
        <w:snapToGrid w:val="0"/>
        <w:rPr>
          <w:color w:val="auto"/>
          <w:highlight w:val="none"/>
        </w:rPr>
      </w:pPr>
    </w:p>
    <w:p w14:paraId="7357FEA3">
      <w:pPr>
        <w:widowControl w:val="0"/>
        <w:adjustRightInd w:val="0"/>
        <w:snapToGrid w:val="0"/>
        <w:rPr>
          <w:color w:val="auto"/>
          <w:highlight w:val="none"/>
        </w:rPr>
      </w:pPr>
    </w:p>
    <w:p w14:paraId="11D0ADBA">
      <w:pPr>
        <w:widowControl w:val="0"/>
        <w:adjustRightInd w:val="0"/>
        <w:snapToGrid w:val="0"/>
        <w:rPr>
          <w:color w:val="auto"/>
          <w:highlight w:val="none"/>
        </w:rPr>
      </w:pPr>
    </w:p>
    <w:p w14:paraId="0DA56B73">
      <w:pPr>
        <w:widowControl w:val="0"/>
        <w:adjustRightInd w:val="0"/>
        <w:snapToGrid w:val="0"/>
        <w:rPr>
          <w:color w:val="auto"/>
          <w:highlight w:val="none"/>
        </w:rPr>
      </w:pPr>
    </w:p>
    <w:p w14:paraId="1E17DB11">
      <w:pPr>
        <w:widowControl w:val="0"/>
        <w:adjustRightInd w:val="0"/>
        <w:snapToGrid w:val="0"/>
        <w:rPr>
          <w:color w:val="auto"/>
          <w:highlight w:val="none"/>
        </w:rPr>
      </w:pPr>
    </w:p>
    <w:p w14:paraId="143BEF2C">
      <w:pPr>
        <w:widowControl w:val="0"/>
        <w:adjustRightInd w:val="0"/>
        <w:snapToGrid w:val="0"/>
        <w:rPr>
          <w:color w:val="auto"/>
          <w:highlight w:val="none"/>
        </w:rPr>
      </w:pPr>
    </w:p>
    <w:p w14:paraId="5A533636">
      <w:pPr>
        <w:widowControl w:val="0"/>
        <w:adjustRightInd w:val="0"/>
        <w:snapToGrid w:val="0"/>
        <w:rPr>
          <w:color w:val="auto"/>
          <w:highlight w:val="none"/>
        </w:rPr>
      </w:pPr>
    </w:p>
    <w:p w14:paraId="45539D8B">
      <w:pPr>
        <w:widowControl w:val="0"/>
        <w:adjustRightInd w:val="0"/>
        <w:snapToGrid w:val="0"/>
        <w:rPr>
          <w:color w:val="auto"/>
          <w:highlight w:val="none"/>
        </w:rPr>
      </w:pPr>
    </w:p>
    <w:p w14:paraId="33CFB4DD">
      <w:pPr>
        <w:widowControl w:val="0"/>
        <w:adjustRightInd w:val="0"/>
        <w:snapToGrid w:val="0"/>
        <w:rPr>
          <w:color w:val="auto"/>
          <w:highlight w:val="none"/>
        </w:rPr>
      </w:pPr>
    </w:p>
    <w:p w14:paraId="09E4F78B">
      <w:pPr>
        <w:widowControl w:val="0"/>
        <w:adjustRightInd w:val="0"/>
        <w:snapToGrid w:val="0"/>
        <w:rPr>
          <w:color w:val="auto"/>
          <w:highlight w:val="none"/>
        </w:rPr>
      </w:pPr>
    </w:p>
    <w:p w14:paraId="2FF94632">
      <w:pPr>
        <w:widowControl w:val="0"/>
        <w:adjustRightInd w:val="0"/>
        <w:snapToGrid w:val="0"/>
        <w:rPr>
          <w:color w:val="auto"/>
          <w:highlight w:val="none"/>
        </w:rPr>
      </w:pPr>
    </w:p>
    <w:p w14:paraId="0906B692">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八、政府采购供应商廉洁自律承诺书</w:t>
      </w:r>
    </w:p>
    <w:p w14:paraId="6196C0AD">
      <w:pPr>
        <w:widowControl w:val="0"/>
        <w:adjustRightInd w:val="0"/>
        <w:snapToGrid w:val="0"/>
        <w:rPr>
          <w:color w:val="auto"/>
          <w:highlight w:val="none"/>
        </w:rPr>
      </w:pPr>
    </w:p>
    <w:p w14:paraId="6F6A8B2E">
      <w:pPr>
        <w:widowControl w:val="0"/>
        <w:adjustRightInd w:val="0"/>
        <w:snapToGrid w:val="0"/>
        <w:rPr>
          <w:color w:val="auto"/>
          <w:highlight w:val="none"/>
        </w:rPr>
      </w:pPr>
    </w:p>
    <w:p w14:paraId="656A57D9">
      <w:pPr>
        <w:widowControl w:val="0"/>
        <w:adjustRightInd w:val="0"/>
        <w:snapToGrid w:val="0"/>
        <w:rPr>
          <w:color w:val="auto"/>
          <w:highlight w:val="none"/>
        </w:rPr>
      </w:pPr>
    </w:p>
    <w:p w14:paraId="3BB90EA7">
      <w:pPr>
        <w:widowControl w:val="0"/>
        <w:adjustRightInd w:val="0"/>
        <w:snapToGrid w:val="0"/>
        <w:spacing w:line="300" w:lineRule="auto"/>
        <w:rPr>
          <w:rFonts w:hint="eastAsia"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573E8F2">
      <w:pPr>
        <w:widowControl w:val="0"/>
        <w:adjustRightInd w:val="0"/>
        <w:snapToGrid w:val="0"/>
        <w:rPr>
          <w:color w:val="auto"/>
          <w:highlight w:val="none"/>
        </w:rPr>
      </w:pPr>
    </w:p>
    <w:p w14:paraId="0ABC624F">
      <w:pPr>
        <w:widowControl w:val="0"/>
        <w:adjustRightInd w:val="0"/>
        <w:snapToGrid w:val="0"/>
        <w:rPr>
          <w:color w:val="auto"/>
          <w:highlight w:val="none"/>
        </w:rPr>
      </w:pPr>
    </w:p>
    <w:p w14:paraId="781434BB">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A37E770">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0DB6971F">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30D0352A">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3E9448E0">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9BC9131">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21ADA25">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14:paraId="4B2F9302">
      <w:pPr>
        <w:widowControl w:val="0"/>
        <w:autoSpaceDE w:val="0"/>
        <w:autoSpaceDN w:val="0"/>
        <w:adjustRightInd w:val="0"/>
        <w:snapToGrid w:val="0"/>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B279E32">
      <w:pPr>
        <w:widowControl w:val="0"/>
        <w:adjustRightInd w:val="0"/>
        <w:snapToGrid w:val="0"/>
        <w:rPr>
          <w:color w:val="auto"/>
          <w:highlight w:val="none"/>
        </w:rPr>
      </w:pPr>
    </w:p>
    <w:p w14:paraId="39ECE8A3">
      <w:pPr>
        <w:widowControl w:val="0"/>
        <w:adjustRightInd w:val="0"/>
        <w:snapToGrid w:val="0"/>
        <w:rPr>
          <w:color w:val="auto"/>
          <w:highlight w:val="none"/>
        </w:rPr>
      </w:pPr>
    </w:p>
    <w:p w14:paraId="50A59473">
      <w:pPr>
        <w:widowControl w:val="0"/>
        <w:adjustRightInd w:val="0"/>
        <w:snapToGrid w:val="0"/>
        <w:rPr>
          <w:color w:val="auto"/>
          <w:highlight w:val="none"/>
        </w:rPr>
      </w:pPr>
    </w:p>
    <w:p w14:paraId="7B3CD471">
      <w:pPr>
        <w:widowControl w:val="0"/>
        <w:adjustRightInd w:val="0"/>
        <w:snapToGrid w:val="0"/>
        <w:rPr>
          <w:color w:val="auto"/>
          <w:highlight w:val="none"/>
        </w:rPr>
      </w:pPr>
    </w:p>
    <w:p w14:paraId="67AEFCFE">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F2C858C">
      <w:pPr>
        <w:widowControl w:val="0"/>
        <w:adjustRightInd w:val="0"/>
        <w:snapToGrid w:val="0"/>
        <w:rPr>
          <w:color w:val="auto"/>
          <w:highlight w:val="none"/>
        </w:rPr>
      </w:pPr>
    </w:p>
    <w:p w14:paraId="2A0C2D91">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303CE81F">
      <w:pPr>
        <w:widowControl w:val="0"/>
        <w:adjustRightInd w:val="0"/>
        <w:snapToGrid w:val="0"/>
        <w:rPr>
          <w:color w:val="auto"/>
          <w:highlight w:val="none"/>
        </w:rPr>
      </w:pPr>
    </w:p>
    <w:p w14:paraId="2BA1BBF0">
      <w:pPr>
        <w:widowControl w:val="0"/>
        <w:adjustRightInd w:val="0"/>
        <w:snapToGrid w:val="0"/>
        <w:rPr>
          <w:color w:val="auto"/>
          <w:highlight w:val="none"/>
        </w:rPr>
      </w:pPr>
    </w:p>
    <w:p w14:paraId="76B3B562">
      <w:pPr>
        <w:widowControl w:val="0"/>
        <w:adjustRightInd w:val="0"/>
        <w:snapToGrid w:val="0"/>
        <w:rPr>
          <w:color w:val="auto"/>
          <w:highlight w:val="none"/>
        </w:rPr>
      </w:pPr>
    </w:p>
    <w:p w14:paraId="67427094">
      <w:pPr>
        <w:widowControl w:val="0"/>
        <w:adjustRightInd w:val="0"/>
        <w:snapToGrid w:val="0"/>
        <w:rPr>
          <w:color w:val="auto"/>
          <w:highlight w:val="none"/>
        </w:rPr>
      </w:pPr>
    </w:p>
    <w:p w14:paraId="7AE5C0E4">
      <w:pPr>
        <w:widowControl w:val="0"/>
        <w:adjustRightInd w:val="0"/>
        <w:snapToGrid w:val="0"/>
        <w:rPr>
          <w:color w:val="auto"/>
          <w:highlight w:val="none"/>
        </w:rPr>
      </w:pPr>
    </w:p>
    <w:p w14:paraId="5B25F6F1">
      <w:pPr>
        <w:widowControl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5A7F6F2A">
      <w:pPr>
        <w:widowControl w:val="0"/>
        <w:adjustRightInd w:val="0"/>
        <w:snapToGrid w:val="0"/>
        <w:rPr>
          <w:color w:val="auto"/>
          <w:highlight w:val="none"/>
        </w:rPr>
      </w:pPr>
    </w:p>
    <w:p w14:paraId="65D88283">
      <w:pPr>
        <w:widowControl w:val="0"/>
        <w:adjustRightInd w:val="0"/>
        <w:snapToGrid w:val="0"/>
        <w:rPr>
          <w:color w:val="auto"/>
          <w:highlight w:val="none"/>
        </w:rPr>
      </w:pPr>
    </w:p>
    <w:p w14:paraId="3E13B6C7">
      <w:pPr>
        <w:widowControl w:val="0"/>
        <w:adjustRightInd w:val="0"/>
        <w:snapToGrid w:val="0"/>
        <w:rPr>
          <w:color w:val="auto"/>
          <w:highlight w:val="none"/>
        </w:rPr>
      </w:pPr>
    </w:p>
    <w:p w14:paraId="1557CC4F">
      <w:pPr>
        <w:widowControl w:val="0"/>
        <w:adjustRightInd w:val="0"/>
        <w:snapToGrid w:val="0"/>
        <w:rPr>
          <w:color w:val="auto"/>
          <w:highlight w:val="none"/>
        </w:rPr>
      </w:pPr>
    </w:p>
    <w:p w14:paraId="6445A845">
      <w:pPr>
        <w:widowControl w:val="0"/>
        <w:adjustRightInd w:val="0"/>
        <w:snapToGrid w:val="0"/>
        <w:rPr>
          <w:color w:val="auto"/>
          <w:highlight w:val="none"/>
        </w:rPr>
      </w:pPr>
    </w:p>
    <w:p w14:paraId="5F555A66">
      <w:pPr>
        <w:widowControl w:val="0"/>
        <w:adjustRightInd w:val="0"/>
        <w:snapToGrid w:val="0"/>
        <w:rPr>
          <w:color w:val="auto"/>
          <w:highlight w:val="none"/>
        </w:rPr>
      </w:pPr>
    </w:p>
    <w:p w14:paraId="6879D424">
      <w:pPr>
        <w:widowControl w:val="0"/>
        <w:adjustRightInd w:val="0"/>
        <w:snapToGrid w:val="0"/>
        <w:rPr>
          <w:color w:val="auto"/>
          <w:highlight w:val="none"/>
        </w:rPr>
      </w:pPr>
    </w:p>
    <w:p w14:paraId="24CC6829">
      <w:pPr>
        <w:widowControl w:val="0"/>
        <w:adjustRightInd w:val="0"/>
        <w:snapToGrid w:val="0"/>
        <w:rPr>
          <w:color w:val="auto"/>
          <w:highlight w:val="none"/>
        </w:rPr>
      </w:pPr>
    </w:p>
    <w:p w14:paraId="50C4A2C4">
      <w:pPr>
        <w:widowControl w:val="0"/>
        <w:adjustRightInd w:val="0"/>
        <w:snapToGrid w:val="0"/>
        <w:rPr>
          <w:color w:val="auto"/>
          <w:highlight w:val="none"/>
        </w:rPr>
      </w:pPr>
    </w:p>
    <w:p w14:paraId="22A52A0C">
      <w:pPr>
        <w:widowControl w:val="0"/>
        <w:adjustRightInd w:val="0"/>
        <w:snapToGrid w:val="0"/>
        <w:rPr>
          <w:color w:val="auto"/>
          <w:highlight w:val="none"/>
        </w:rPr>
      </w:pPr>
    </w:p>
    <w:p w14:paraId="354AD6F7">
      <w:pPr>
        <w:widowControl w:val="0"/>
        <w:adjustRightInd w:val="0"/>
        <w:snapToGrid w:val="0"/>
        <w:rPr>
          <w:color w:val="auto"/>
          <w:highlight w:val="none"/>
        </w:rPr>
      </w:pPr>
    </w:p>
    <w:p w14:paraId="13259BF2">
      <w:pPr>
        <w:widowControl w:val="0"/>
        <w:adjustRightInd w:val="0"/>
        <w:snapToGrid w:val="0"/>
        <w:rPr>
          <w:color w:val="auto"/>
          <w:highlight w:val="none"/>
        </w:rPr>
      </w:pPr>
    </w:p>
    <w:p w14:paraId="24DC6111">
      <w:pPr>
        <w:widowControl w:val="0"/>
        <w:adjustRightInd w:val="0"/>
        <w:snapToGrid w:val="0"/>
        <w:rPr>
          <w:color w:val="auto"/>
          <w:highlight w:val="none"/>
        </w:rPr>
      </w:pPr>
    </w:p>
    <w:p w14:paraId="35848DF6">
      <w:pPr>
        <w:widowControl w:val="0"/>
        <w:adjustRightInd w:val="0"/>
        <w:snapToGrid w:val="0"/>
        <w:rPr>
          <w:color w:val="auto"/>
          <w:highlight w:val="none"/>
        </w:rPr>
      </w:pPr>
    </w:p>
    <w:p w14:paraId="3946E677">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报价文件部分</w:t>
      </w:r>
    </w:p>
    <w:p w14:paraId="700443BC">
      <w:pPr>
        <w:widowControl w:val="0"/>
        <w:adjustRightInd w:val="0"/>
        <w:snapToGrid w:val="0"/>
        <w:rPr>
          <w:color w:val="auto"/>
          <w:highlight w:val="none"/>
        </w:rPr>
      </w:pPr>
    </w:p>
    <w:p w14:paraId="6EA781B3">
      <w:pPr>
        <w:widowControl w:val="0"/>
        <w:adjustRightInd w:val="0"/>
        <w:snapToGrid w:val="0"/>
        <w:rPr>
          <w:color w:val="auto"/>
          <w:highlight w:val="none"/>
        </w:rPr>
      </w:pPr>
    </w:p>
    <w:p w14:paraId="2B279A5A">
      <w:pPr>
        <w:widowControl w:val="0"/>
        <w:adjustRightInd w:val="0"/>
        <w:snapToGrid w:val="0"/>
        <w:rPr>
          <w:color w:val="auto"/>
          <w:highlight w:val="none"/>
        </w:rPr>
      </w:pPr>
    </w:p>
    <w:p w14:paraId="29593EF2">
      <w:pPr>
        <w:widowControl w:val="0"/>
        <w:adjustRightInd w:val="0"/>
        <w:snapToGrid w:val="0"/>
        <w:spacing w:line="300" w:lineRule="auto"/>
        <w:jc w:val="center"/>
        <w:rPr>
          <w:rFonts w:cs="宋体"/>
          <w:b/>
          <w:bCs/>
          <w:color w:val="auto"/>
          <w:sz w:val="28"/>
          <w:szCs w:val="28"/>
          <w:highlight w:val="none"/>
        </w:rPr>
      </w:pPr>
      <w:r>
        <w:rPr>
          <w:rFonts w:hint="eastAsia" w:cs="宋体"/>
          <w:b/>
          <w:bCs/>
          <w:color w:val="auto"/>
          <w:sz w:val="28"/>
          <w:szCs w:val="28"/>
          <w:highlight w:val="none"/>
        </w:rPr>
        <w:t>目录</w:t>
      </w:r>
    </w:p>
    <w:p w14:paraId="5FD091FE">
      <w:pPr>
        <w:widowControl w:val="0"/>
        <w:adjustRightInd w:val="0"/>
        <w:snapToGrid w:val="0"/>
        <w:rPr>
          <w:color w:val="auto"/>
          <w:highlight w:val="none"/>
        </w:rPr>
      </w:pPr>
    </w:p>
    <w:p w14:paraId="5F7DB36F">
      <w:pPr>
        <w:widowControl w:val="0"/>
        <w:adjustRightInd w:val="0"/>
        <w:snapToGrid w:val="0"/>
        <w:rPr>
          <w:color w:val="auto"/>
          <w:highlight w:val="none"/>
        </w:rPr>
      </w:pPr>
    </w:p>
    <w:p w14:paraId="74599452">
      <w:pPr>
        <w:widowControl w:val="0"/>
        <w:adjustRightInd w:val="0"/>
        <w:snapToGrid w:val="0"/>
        <w:rPr>
          <w:color w:val="auto"/>
          <w:highlight w:val="none"/>
        </w:rPr>
      </w:pPr>
    </w:p>
    <w:p w14:paraId="2B9BF651">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（1）开标一览表（报价表）………………………………………………（页码）</w:t>
      </w:r>
    </w:p>
    <w:p w14:paraId="194543E4">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（2）报价情况说明…………………………………………………………（页码）</w:t>
      </w:r>
    </w:p>
    <w:p w14:paraId="114A39BA">
      <w:pPr>
        <w:widowControl w:val="0"/>
        <w:adjustRightInd w:val="0"/>
        <w:snapToGrid w:val="0"/>
        <w:spacing w:line="300" w:lineRule="auto"/>
        <w:ind w:firstLine="480" w:firstLineChars="200"/>
        <w:rPr>
          <w:rFonts w:cs="宋体"/>
          <w:color w:val="auto"/>
          <w:sz w:val="24"/>
          <w:highlight w:val="none"/>
        </w:rPr>
      </w:pPr>
      <w:r>
        <w:rPr>
          <w:rFonts w:hint="eastAsia" w:cs="宋体"/>
          <w:color w:val="auto"/>
          <w:sz w:val="24"/>
          <w:highlight w:val="none"/>
        </w:rPr>
        <w:t>（3）中小企业声明函………………………………………………………（页码）</w:t>
      </w:r>
    </w:p>
    <w:p w14:paraId="67955B60">
      <w:pPr>
        <w:widowControl w:val="0"/>
        <w:adjustRightInd w:val="0"/>
        <w:snapToGrid w:val="0"/>
        <w:rPr>
          <w:color w:val="auto"/>
          <w:highlight w:val="none"/>
        </w:rPr>
      </w:pPr>
    </w:p>
    <w:p w14:paraId="67DF64AA">
      <w:pPr>
        <w:widowControl w:val="0"/>
        <w:adjustRightInd w:val="0"/>
        <w:snapToGrid w:val="0"/>
        <w:rPr>
          <w:color w:val="auto"/>
          <w:highlight w:val="none"/>
        </w:rPr>
      </w:pPr>
    </w:p>
    <w:p w14:paraId="0025B217">
      <w:pPr>
        <w:widowControl w:val="0"/>
        <w:adjustRightInd w:val="0"/>
        <w:snapToGrid w:val="0"/>
        <w:rPr>
          <w:color w:val="auto"/>
          <w:highlight w:val="none"/>
        </w:rPr>
      </w:pPr>
    </w:p>
    <w:p w14:paraId="412DD826">
      <w:pPr>
        <w:widowControl w:val="0"/>
        <w:adjustRightInd w:val="0"/>
        <w:snapToGrid w:val="0"/>
        <w:rPr>
          <w:color w:val="auto"/>
          <w:highlight w:val="none"/>
        </w:rPr>
      </w:pPr>
    </w:p>
    <w:p w14:paraId="16CA01B3">
      <w:pPr>
        <w:widowControl w:val="0"/>
        <w:adjustRightInd w:val="0"/>
        <w:snapToGrid w:val="0"/>
        <w:rPr>
          <w:color w:val="auto"/>
          <w:highlight w:val="none"/>
        </w:rPr>
      </w:pPr>
    </w:p>
    <w:p w14:paraId="5EAFF45C">
      <w:pPr>
        <w:widowControl w:val="0"/>
        <w:adjustRightInd w:val="0"/>
        <w:snapToGrid w:val="0"/>
        <w:rPr>
          <w:color w:val="auto"/>
          <w:highlight w:val="none"/>
        </w:rPr>
      </w:pPr>
    </w:p>
    <w:p w14:paraId="1F3E6070">
      <w:pPr>
        <w:widowControl w:val="0"/>
        <w:adjustRightInd w:val="0"/>
        <w:snapToGrid w:val="0"/>
        <w:rPr>
          <w:color w:val="auto"/>
          <w:highlight w:val="none"/>
        </w:rPr>
      </w:pPr>
    </w:p>
    <w:p w14:paraId="537EDAE7">
      <w:pPr>
        <w:widowControl w:val="0"/>
        <w:adjustRightInd w:val="0"/>
        <w:snapToGrid w:val="0"/>
        <w:rPr>
          <w:color w:val="auto"/>
          <w:highlight w:val="none"/>
        </w:rPr>
      </w:pPr>
    </w:p>
    <w:p w14:paraId="1668DD0B">
      <w:pPr>
        <w:widowControl w:val="0"/>
        <w:adjustRightInd w:val="0"/>
        <w:snapToGrid w:val="0"/>
        <w:rPr>
          <w:color w:val="auto"/>
          <w:highlight w:val="none"/>
        </w:rPr>
      </w:pPr>
    </w:p>
    <w:p w14:paraId="2A7F0BBB">
      <w:pPr>
        <w:widowControl w:val="0"/>
        <w:adjustRightInd w:val="0"/>
        <w:snapToGrid w:val="0"/>
        <w:rPr>
          <w:color w:val="auto"/>
          <w:highlight w:val="none"/>
        </w:rPr>
      </w:pPr>
    </w:p>
    <w:p w14:paraId="133075FD">
      <w:pPr>
        <w:widowControl w:val="0"/>
        <w:adjustRightInd w:val="0"/>
        <w:snapToGrid w:val="0"/>
        <w:rPr>
          <w:color w:val="auto"/>
          <w:highlight w:val="none"/>
        </w:rPr>
      </w:pPr>
    </w:p>
    <w:p w14:paraId="3D042F43">
      <w:pPr>
        <w:widowControl w:val="0"/>
        <w:adjustRightInd w:val="0"/>
        <w:snapToGrid w:val="0"/>
        <w:rPr>
          <w:color w:val="auto"/>
          <w:highlight w:val="none"/>
        </w:rPr>
      </w:pPr>
    </w:p>
    <w:p w14:paraId="267B28CA">
      <w:pPr>
        <w:widowControl w:val="0"/>
        <w:adjustRightInd w:val="0"/>
        <w:snapToGrid w:val="0"/>
        <w:rPr>
          <w:color w:val="auto"/>
          <w:highlight w:val="none"/>
        </w:rPr>
      </w:pPr>
    </w:p>
    <w:p w14:paraId="19E8E059">
      <w:pPr>
        <w:widowControl w:val="0"/>
        <w:adjustRightInd w:val="0"/>
        <w:snapToGrid w:val="0"/>
        <w:rPr>
          <w:color w:val="auto"/>
          <w:highlight w:val="none"/>
        </w:rPr>
      </w:pPr>
    </w:p>
    <w:p w14:paraId="545DF8A3">
      <w:pPr>
        <w:widowControl w:val="0"/>
        <w:adjustRightInd w:val="0"/>
        <w:snapToGrid w:val="0"/>
        <w:rPr>
          <w:color w:val="auto"/>
          <w:highlight w:val="none"/>
        </w:rPr>
      </w:pPr>
    </w:p>
    <w:p w14:paraId="7A61E290">
      <w:pPr>
        <w:widowControl w:val="0"/>
        <w:adjustRightInd w:val="0"/>
        <w:snapToGrid w:val="0"/>
        <w:rPr>
          <w:color w:val="auto"/>
          <w:highlight w:val="none"/>
        </w:rPr>
      </w:pPr>
    </w:p>
    <w:p w14:paraId="7862DA61">
      <w:pPr>
        <w:widowControl w:val="0"/>
        <w:adjustRightInd w:val="0"/>
        <w:snapToGrid w:val="0"/>
        <w:rPr>
          <w:color w:val="auto"/>
          <w:highlight w:val="none"/>
        </w:rPr>
      </w:pPr>
    </w:p>
    <w:p w14:paraId="2ED0BA8E">
      <w:pPr>
        <w:widowControl w:val="0"/>
        <w:adjustRightInd w:val="0"/>
        <w:snapToGrid w:val="0"/>
        <w:rPr>
          <w:color w:val="auto"/>
          <w:highlight w:val="none"/>
        </w:rPr>
      </w:pPr>
    </w:p>
    <w:p w14:paraId="44AC21AD">
      <w:pPr>
        <w:widowControl w:val="0"/>
        <w:adjustRightInd w:val="0"/>
        <w:snapToGrid w:val="0"/>
        <w:rPr>
          <w:color w:val="auto"/>
          <w:highlight w:val="none"/>
        </w:rPr>
      </w:pPr>
    </w:p>
    <w:p w14:paraId="71108551">
      <w:pPr>
        <w:widowControl w:val="0"/>
        <w:adjustRightInd w:val="0"/>
        <w:snapToGrid w:val="0"/>
        <w:rPr>
          <w:color w:val="auto"/>
          <w:highlight w:val="none"/>
        </w:rPr>
      </w:pPr>
    </w:p>
    <w:p w14:paraId="001A8E87">
      <w:pPr>
        <w:widowControl w:val="0"/>
        <w:adjustRightInd w:val="0"/>
        <w:snapToGrid w:val="0"/>
        <w:rPr>
          <w:color w:val="auto"/>
          <w:highlight w:val="none"/>
        </w:rPr>
      </w:pPr>
    </w:p>
    <w:p w14:paraId="333C6E22">
      <w:pPr>
        <w:widowControl w:val="0"/>
        <w:adjustRightInd w:val="0"/>
        <w:snapToGrid w:val="0"/>
        <w:rPr>
          <w:color w:val="auto"/>
          <w:highlight w:val="none"/>
        </w:rPr>
      </w:pPr>
    </w:p>
    <w:p w14:paraId="73BE228C">
      <w:pPr>
        <w:widowControl w:val="0"/>
        <w:adjustRightInd w:val="0"/>
        <w:snapToGrid w:val="0"/>
        <w:rPr>
          <w:color w:val="auto"/>
          <w:highlight w:val="none"/>
        </w:rPr>
      </w:pPr>
    </w:p>
    <w:p w14:paraId="1B0FCB53">
      <w:pPr>
        <w:widowControl w:val="0"/>
        <w:adjustRightInd w:val="0"/>
        <w:snapToGrid w:val="0"/>
        <w:rPr>
          <w:color w:val="auto"/>
          <w:highlight w:val="none"/>
        </w:rPr>
      </w:pPr>
    </w:p>
    <w:p w14:paraId="255EDE98">
      <w:pPr>
        <w:widowControl w:val="0"/>
        <w:adjustRightInd w:val="0"/>
        <w:snapToGrid w:val="0"/>
        <w:rPr>
          <w:color w:val="auto"/>
          <w:highlight w:val="none"/>
        </w:rPr>
      </w:pPr>
    </w:p>
    <w:p w14:paraId="4480E939">
      <w:pPr>
        <w:widowControl w:val="0"/>
        <w:adjustRightInd w:val="0"/>
        <w:snapToGrid w:val="0"/>
        <w:rPr>
          <w:color w:val="auto"/>
          <w:highlight w:val="none"/>
        </w:rPr>
      </w:pPr>
    </w:p>
    <w:p w14:paraId="0F5D0274">
      <w:pPr>
        <w:widowControl w:val="0"/>
        <w:adjustRightInd w:val="0"/>
        <w:snapToGrid w:val="0"/>
        <w:rPr>
          <w:color w:val="auto"/>
          <w:highlight w:val="none"/>
        </w:rPr>
      </w:pPr>
    </w:p>
    <w:p w14:paraId="7EB89708">
      <w:pPr>
        <w:widowControl w:val="0"/>
        <w:adjustRightInd w:val="0"/>
        <w:snapToGrid w:val="0"/>
        <w:rPr>
          <w:color w:val="auto"/>
          <w:highlight w:val="none"/>
        </w:rPr>
      </w:pPr>
    </w:p>
    <w:p w14:paraId="7F55F0EE">
      <w:pPr>
        <w:widowControl w:val="0"/>
        <w:adjustRightInd w:val="0"/>
        <w:snapToGrid w:val="0"/>
        <w:rPr>
          <w:color w:val="auto"/>
          <w:highlight w:val="none"/>
        </w:rPr>
      </w:pPr>
    </w:p>
    <w:p w14:paraId="303654F3">
      <w:pPr>
        <w:widowControl w:val="0"/>
        <w:adjustRightInd w:val="0"/>
        <w:snapToGrid w:val="0"/>
        <w:rPr>
          <w:color w:val="auto"/>
          <w:highlight w:val="none"/>
        </w:rPr>
      </w:pPr>
    </w:p>
    <w:p w14:paraId="706C9105">
      <w:pPr>
        <w:widowControl w:val="0"/>
        <w:adjustRightInd w:val="0"/>
        <w:snapToGrid w:val="0"/>
        <w:rPr>
          <w:color w:val="auto"/>
          <w:highlight w:val="none"/>
        </w:rPr>
      </w:pPr>
    </w:p>
    <w:p w14:paraId="7E17EB12">
      <w:pPr>
        <w:widowControl w:val="0"/>
        <w:adjustRightInd w:val="0"/>
        <w:snapToGrid w:val="0"/>
        <w:rPr>
          <w:color w:val="auto"/>
          <w:highlight w:val="none"/>
        </w:rPr>
      </w:pPr>
    </w:p>
    <w:p w14:paraId="7A3A8981">
      <w:pPr>
        <w:widowControl w:val="0"/>
        <w:adjustRightInd w:val="0"/>
        <w:snapToGrid w:val="0"/>
        <w:rPr>
          <w:color w:val="auto"/>
          <w:highlight w:val="none"/>
        </w:rPr>
      </w:pPr>
    </w:p>
    <w:p w14:paraId="47BBF6F5">
      <w:pPr>
        <w:widowControl w:val="0"/>
        <w:adjustRightInd w:val="0"/>
        <w:snapToGrid w:val="0"/>
        <w:rPr>
          <w:color w:val="auto"/>
          <w:highlight w:val="none"/>
        </w:rPr>
      </w:pPr>
    </w:p>
    <w:p w14:paraId="7725FE05">
      <w:pPr>
        <w:widowControl w:val="0"/>
        <w:adjustRightInd w:val="0"/>
        <w:snapToGrid w:val="0"/>
        <w:rPr>
          <w:color w:val="auto"/>
          <w:highlight w:val="none"/>
        </w:rPr>
      </w:pPr>
    </w:p>
    <w:p w14:paraId="2D5F0F71">
      <w:pPr>
        <w:widowControl w:val="0"/>
        <w:adjustRightInd w:val="0"/>
        <w:snapToGrid w:val="0"/>
        <w:rPr>
          <w:color w:val="auto"/>
          <w:highlight w:val="none"/>
        </w:rPr>
      </w:pPr>
    </w:p>
    <w:p w14:paraId="2405CF75">
      <w:pPr>
        <w:widowControl w:val="0"/>
        <w:adjustRightInd w:val="0"/>
        <w:snapToGrid w:val="0"/>
        <w:rPr>
          <w:color w:val="auto"/>
          <w:highlight w:val="none"/>
        </w:rPr>
      </w:pPr>
    </w:p>
    <w:p w14:paraId="435335B6">
      <w:pPr>
        <w:widowControl w:val="0"/>
        <w:adjustRightInd w:val="0"/>
        <w:snapToGrid w:val="0"/>
        <w:rPr>
          <w:color w:val="auto"/>
          <w:highlight w:val="none"/>
        </w:rPr>
      </w:pPr>
    </w:p>
    <w:p w14:paraId="65C5CA3D">
      <w:pPr>
        <w:widowControl w:val="0"/>
        <w:adjustRightInd w:val="0"/>
        <w:snapToGrid w:val="0"/>
        <w:rPr>
          <w:color w:val="auto"/>
          <w:highlight w:val="none"/>
        </w:rPr>
      </w:pPr>
    </w:p>
    <w:p w14:paraId="291C8C17">
      <w:pPr>
        <w:widowControl w:val="0"/>
        <w:adjustRightInd w:val="0"/>
        <w:snapToGrid w:val="0"/>
        <w:rPr>
          <w:color w:val="auto"/>
          <w:highlight w:val="none"/>
        </w:rPr>
      </w:pPr>
    </w:p>
    <w:p w14:paraId="2BBD7495">
      <w:pPr>
        <w:widowControl w:val="0"/>
        <w:adjustRightInd w:val="0"/>
        <w:snapToGrid w:val="0"/>
        <w:rPr>
          <w:color w:val="auto"/>
          <w:highlight w:val="none"/>
        </w:rPr>
      </w:pPr>
    </w:p>
    <w:p w14:paraId="32E34324">
      <w:pPr>
        <w:widowControl w:val="0"/>
        <w:adjustRightInd w:val="0"/>
        <w:snapToGrid w:val="0"/>
        <w:rPr>
          <w:color w:val="auto"/>
          <w:highlight w:val="none"/>
        </w:rPr>
      </w:pPr>
    </w:p>
    <w:p w14:paraId="37067B8F">
      <w:pPr>
        <w:widowControl w:val="0"/>
        <w:adjustRightInd w:val="0"/>
        <w:snapToGrid w:val="0"/>
        <w:rPr>
          <w:color w:val="auto"/>
          <w:highlight w:val="none"/>
        </w:rPr>
      </w:pPr>
    </w:p>
    <w:p w14:paraId="35D31D61">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一、开标一览表（报价表）</w:t>
      </w:r>
    </w:p>
    <w:p w14:paraId="7F1AF298">
      <w:pPr>
        <w:widowControl w:val="0"/>
        <w:adjustRightInd w:val="0"/>
        <w:snapToGrid w:val="0"/>
        <w:rPr>
          <w:color w:val="auto"/>
          <w:highlight w:val="none"/>
        </w:rPr>
      </w:pPr>
    </w:p>
    <w:p w14:paraId="47D9A1B0">
      <w:pPr>
        <w:widowControl w:val="0"/>
        <w:adjustRightInd w:val="0"/>
        <w:snapToGrid w:val="0"/>
        <w:spacing w:line="300" w:lineRule="auto"/>
        <w:rPr>
          <w:rFonts w:cs="宋体"/>
          <w:color w:val="auto"/>
          <w:kern w:val="0"/>
          <w:sz w:val="24"/>
          <w:highlight w:val="none"/>
        </w:rPr>
      </w:pPr>
      <w:r>
        <w:rPr>
          <w:rFonts w:hint="eastAsia" w:cs="宋体"/>
          <w:color w:val="auto"/>
          <w:sz w:val="24"/>
          <w:highlight w:val="none"/>
        </w:rPr>
        <w:t>（采购人）</w:t>
      </w:r>
      <w:r>
        <w:rPr>
          <w:rFonts w:hint="eastAsia" w:cs="宋体"/>
          <w:color w:val="auto"/>
          <w:sz w:val="24"/>
          <w:highlight w:val="none"/>
        </w:rPr>
        <w:t>、（采购代理机构）</w:t>
      </w:r>
      <w:r>
        <w:rPr>
          <w:rFonts w:hint="eastAsia" w:cs="宋体"/>
          <w:color w:val="auto"/>
          <w:kern w:val="0"/>
          <w:sz w:val="24"/>
          <w:highlight w:val="none"/>
          <w:lang w:val="zh-CN"/>
        </w:rPr>
        <w:t>：</w:t>
      </w:r>
    </w:p>
    <w:p w14:paraId="031CA925">
      <w:pPr>
        <w:widowControl w:val="0"/>
        <w:adjustRightInd w:val="0"/>
        <w:snapToGrid w:val="0"/>
        <w:rPr>
          <w:color w:val="auto"/>
          <w:highlight w:val="none"/>
        </w:rPr>
      </w:pPr>
    </w:p>
    <w:p w14:paraId="7D919980">
      <w:pPr>
        <w:widowControl w:val="0"/>
        <w:adjustRightInd w:val="0"/>
        <w:snapToGrid w:val="0"/>
        <w:spacing w:line="300" w:lineRule="auto"/>
        <w:ind w:firstLine="480" w:firstLineChars="200"/>
        <w:rPr>
          <w:rFonts w:cs="宋体"/>
          <w:color w:val="auto"/>
          <w:kern w:val="0"/>
          <w:sz w:val="24"/>
          <w:highlight w:val="none"/>
          <w:lang w:val="zh-CN"/>
        </w:rPr>
      </w:pPr>
      <w:r>
        <w:rPr>
          <w:rFonts w:hint="eastAsia"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color w:val="auto"/>
          <w:sz w:val="24"/>
          <w:highlight w:val="none"/>
        </w:rPr>
        <w:t>象山县爵溪街道小微企业集聚区建筑用石料（凝灰岩）矿开采加工、配套设施建设及矿产品销售代理一体化服务项目</w:t>
      </w:r>
      <w:r>
        <w:rPr>
          <w:rFonts w:hint="eastAsia" w:cs="宋体"/>
          <w:color w:val="auto"/>
          <w:kern w:val="0"/>
          <w:sz w:val="24"/>
          <w:highlight w:val="none"/>
          <w:lang w:val="zh-CN"/>
        </w:rPr>
        <w:t>【项目编号：</w:t>
      </w:r>
      <w:r>
        <w:rPr>
          <w:rFonts w:hint="eastAsia" w:cs="宋体"/>
          <w:color w:val="auto"/>
          <w:sz w:val="24"/>
          <w:highlight w:val="none"/>
        </w:rPr>
        <w:t>2024-CGDL-05-001C</w:t>
      </w:r>
      <w:r>
        <w:rPr>
          <w:rFonts w:hint="eastAsia" w:cs="宋体"/>
          <w:color w:val="auto"/>
          <w:sz w:val="24"/>
          <w:highlight w:val="none"/>
        </w:rPr>
        <w:t>】的实施</w:t>
      </w:r>
      <w:r>
        <w:rPr>
          <w:rFonts w:hint="eastAsia" w:cs="宋体"/>
          <w:color w:val="auto"/>
          <w:kern w:val="0"/>
          <w:sz w:val="24"/>
          <w:highlight w:val="none"/>
          <w:lang w:val="zh-CN"/>
        </w:rPr>
        <w:t>。</w:t>
      </w:r>
    </w:p>
    <w:p w14:paraId="55BAB205">
      <w:pPr>
        <w:widowControl w:val="0"/>
        <w:adjustRightInd w:val="0"/>
        <w:snapToGrid w:val="0"/>
        <w:rPr>
          <w:color w:val="auto"/>
          <w:highlight w:val="none"/>
        </w:rPr>
      </w:pPr>
    </w:p>
    <w:p w14:paraId="764C5795">
      <w:pPr>
        <w:widowControl w:val="0"/>
        <w:adjustRightInd w:val="0"/>
        <w:snapToGrid w:val="0"/>
        <w:spacing w:line="300" w:lineRule="auto"/>
        <w:jc w:val="center"/>
        <w:rPr>
          <w:rFonts w:cs="宋体"/>
          <w:b/>
          <w:bCs/>
          <w:color w:val="auto"/>
          <w:sz w:val="24"/>
          <w:highlight w:val="none"/>
        </w:rPr>
      </w:pPr>
      <w:r>
        <w:rPr>
          <w:rFonts w:hint="eastAsia" w:cs="宋体"/>
          <w:b/>
          <w:bCs/>
          <w:color w:val="auto"/>
          <w:sz w:val="24"/>
          <w:highlight w:val="none"/>
        </w:rPr>
        <w:t>（一）开标一览表（石料开采加工费报价表）（单位均为人民币元）</w:t>
      </w:r>
    </w:p>
    <w:p w14:paraId="69C8F34D">
      <w:pPr>
        <w:widowControl w:val="0"/>
        <w:adjustRightInd w:val="0"/>
        <w:snapToGrid w:val="0"/>
        <w:rPr>
          <w:color w:val="auto"/>
          <w:highlight w:val="none"/>
        </w:rPr>
      </w:pPr>
    </w:p>
    <w:tbl>
      <w:tblPr>
        <w:tblStyle w:val="60"/>
        <w:tblW w:w="94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8"/>
        <w:gridCol w:w="1051"/>
        <w:gridCol w:w="616"/>
        <w:gridCol w:w="1092"/>
        <w:gridCol w:w="780"/>
        <w:gridCol w:w="723"/>
        <w:gridCol w:w="852"/>
        <w:gridCol w:w="947"/>
        <w:gridCol w:w="797"/>
        <w:gridCol w:w="1138"/>
        <w:gridCol w:w="1028"/>
      </w:tblGrid>
      <w:tr w14:paraId="0684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restart"/>
            <w:vAlign w:val="center"/>
          </w:tcPr>
          <w:p w14:paraId="360EE05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序号</w:t>
            </w:r>
          </w:p>
        </w:tc>
        <w:tc>
          <w:tcPr>
            <w:tcW w:w="1051" w:type="dxa"/>
            <w:vMerge w:val="restart"/>
            <w:vAlign w:val="center"/>
          </w:tcPr>
          <w:p w14:paraId="73C0E37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项目</w:t>
            </w:r>
          </w:p>
        </w:tc>
        <w:tc>
          <w:tcPr>
            <w:tcW w:w="616" w:type="dxa"/>
            <w:vMerge w:val="restart"/>
            <w:vAlign w:val="center"/>
          </w:tcPr>
          <w:p w14:paraId="49E303C1">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单位</w:t>
            </w:r>
          </w:p>
        </w:tc>
        <w:tc>
          <w:tcPr>
            <w:tcW w:w="1092" w:type="dxa"/>
            <w:vMerge w:val="restart"/>
            <w:vAlign w:val="center"/>
          </w:tcPr>
          <w:p w14:paraId="2513CD8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数量</w:t>
            </w:r>
          </w:p>
          <w:p w14:paraId="03C028F5">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（估量）</w:t>
            </w:r>
          </w:p>
        </w:tc>
        <w:tc>
          <w:tcPr>
            <w:tcW w:w="4099" w:type="dxa"/>
            <w:gridSpan w:val="5"/>
            <w:vAlign w:val="center"/>
          </w:tcPr>
          <w:p w14:paraId="7DEFF6F9">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单价报价（元/吨）</w:t>
            </w:r>
          </w:p>
        </w:tc>
        <w:tc>
          <w:tcPr>
            <w:tcW w:w="1138" w:type="dxa"/>
            <w:vMerge w:val="restart"/>
            <w:vAlign w:val="center"/>
          </w:tcPr>
          <w:p w14:paraId="038B0E0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金额（元）</w:t>
            </w:r>
          </w:p>
        </w:tc>
        <w:tc>
          <w:tcPr>
            <w:tcW w:w="1028" w:type="dxa"/>
            <w:vMerge w:val="restart"/>
            <w:vAlign w:val="center"/>
          </w:tcPr>
          <w:p w14:paraId="79E2A298">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备注</w:t>
            </w:r>
          </w:p>
        </w:tc>
      </w:tr>
      <w:tr w14:paraId="0D19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Merge w:val="continue"/>
            <w:vAlign w:val="center"/>
          </w:tcPr>
          <w:p w14:paraId="26969BFD">
            <w:pPr>
              <w:widowControl w:val="0"/>
              <w:adjustRightInd w:val="0"/>
              <w:snapToGrid w:val="0"/>
              <w:jc w:val="center"/>
              <w:rPr>
                <w:rFonts w:cs="宋体"/>
                <w:b/>
                <w:bCs/>
                <w:snapToGrid w:val="0"/>
                <w:color w:val="auto"/>
                <w:kern w:val="0"/>
                <w:szCs w:val="21"/>
                <w:highlight w:val="none"/>
              </w:rPr>
            </w:pPr>
          </w:p>
        </w:tc>
        <w:tc>
          <w:tcPr>
            <w:tcW w:w="1051" w:type="dxa"/>
            <w:vMerge w:val="continue"/>
            <w:vAlign w:val="center"/>
          </w:tcPr>
          <w:p w14:paraId="7AEAEFE7">
            <w:pPr>
              <w:widowControl w:val="0"/>
              <w:adjustRightInd w:val="0"/>
              <w:snapToGrid w:val="0"/>
              <w:jc w:val="center"/>
              <w:rPr>
                <w:rFonts w:cs="宋体"/>
                <w:b/>
                <w:bCs/>
                <w:snapToGrid w:val="0"/>
                <w:color w:val="auto"/>
                <w:kern w:val="0"/>
                <w:szCs w:val="21"/>
                <w:highlight w:val="none"/>
              </w:rPr>
            </w:pPr>
          </w:p>
        </w:tc>
        <w:tc>
          <w:tcPr>
            <w:tcW w:w="616" w:type="dxa"/>
            <w:vMerge w:val="continue"/>
            <w:vAlign w:val="center"/>
          </w:tcPr>
          <w:p w14:paraId="22027D8F">
            <w:pPr>
              <w:widowControl w:val="0"/>
              <w:adjustRightInd w:val="0"/>
              <w:snapToGrid w:val="0"/>
              <w:jc w:val="center"/>
              <w:rPr>
                <w:rFonts w:cs="宋体"/>
                <w:b/>
                <w:bCs/>
                <w:snapToGrid w:val="0"/>
                <w:color w:val="auto"/>
                <w:kern w:val="0"/>
                <w:szCs w:val="21"/>
                <w:highlight w:val="none"/>
              </w:rPr>
            </w:pPr>
          </w:p>
        </w:tc>
        <w:tc>
          <w:tcPr>
            <w:tcW w:w="1092" w:type="dxa"/>
            <w:vMerge w:val="continue"/>
            <w:vAlign w:val="center"/>
          </w:tcPr>
          <w:p w14:paraId="5497AE8A">
            <w:pPr>
              <w:widowControl w:val="0"/>
              <w:adjustRightInd w:val="0"/>
              <w:snapToGrid w:val="0"/>
              <w:jc w:val="center"/>
              <w:rPr>
                <w:rFonts w:cs="宋体"/>
                <w:b/>
                <w:bCs/>
                <w:snapToGrid w:val="0"/>
                <w:color w:val="auto"/>
                <w:kern w:val="0"/>
                <w:szCs w:val="21"/>
                <w:highlight w:val="none"/>
              </w:rPr>
            </w:pPr>
          </w:p>
        </w:tc>
        <w:tc>
          <w:tcPr>
            <w:tcW w:w="780" w:type="dxa"/>
            <w:vAlign w:val="center"/>
          </w:tcPr>
          <w:p w14:paraId="5A0FCAEF">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开采加工费</w:t>
            </w:r>
          </w:p>
        </w:tc>
        <w:tc>
          <w:tcPr>
            <w:tcW w:w="723" w:type="dxa"/>
            <w:vAlign w:val="center"/>
          </w:tcPr>
          <w:p w14:paraId="2AE914C2">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安全生产费</w:t>
            </w:r>
          </w:p>
        </w:tc>
        <w:tc>
          <w:tcPr>
            <w:tcW w:w="852" w:type="dxa"/>
            <w:vAlign w:val="center"/>
          </w:tcPr>
          <w:p w14:paraId="4ACE1976">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外运配套码头</w:t>
            </w:r>
          </w:p>
        </w:tc>
        <w:tc>
          <w:tcPr>
            <w:tcW w:w="947" w:type="dxa"/>
            <w:vAlign w:val="center"/>
          </w:tcPr>
          <w:p w14:paraId="5FB3AC8A">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地质治理与复垦</w:t>
            </w:r>
          </w:p>
        </w:tc>
        <w:tc>
          <w:tcPr>
            <w:tcW w:w="797" w:type="dxa"/>
            <w:vAlign w:val="center"/>
          </w:tcPr>
          <w:p w14:paraId="0AEF20D3">
            <w:pPr>
              <w:widowControl w:val="0"/>
              <w:adjustRightInd w:val="0"/>
              <w:snapToGrid w:val="0"/>
              <w:jc w:val="center"/>
              <w:rPr>
                <w:rFonts w:cs="宋体"/>
                <w:b/>
                <w:bCs/>
                <w:snapToGrid w:val="0"/>
                <w:color w:val="auto"/>
                <w:kern w:val="0"/>
                <w:szCs w:val="21"/>
                <w:highlight w:val="none"/>
              </w:rPr>
            </w:pPr>
            <w:r>
              <w:rPr>
                <w:rFonts w:hint="eastAsia" w:cs="宋体"/>
                <w:b/>
                <w:bCs/>
                <w:snapToGrid w:val="0"/>
                <w:color w:val="auto"/>
                <w:kern w:val="0"/>
                <w:szCs w:val="21"/>
                <w:highlight w:val="none"/>
              </w:rPr>
              <w:t>合计</w:t>
            </w:r>
          </w:p>
        </w:tc>
        <w:tc>
          <w:tcPr>
            <w:tcW w:w="1138" w:type="dxa"/>
            <w:vMerge w:val="continue"/>
            <w:vAlign w:val="center"/>
          </w:tcPr>
          <w:p w14:paraId="525EAE7E">
            <w:pPr>
              <w:widowControl w:val="0"/>
              <w:adjustRightInd w:val="0"/>
              <w:snapToGrid w:val="0"/>
              <w:rPr>
                <w:rFonts w:cs="宋体"/>
                <w:b/>
                <w:bCs/>
                <w:snapToGrid w:val="0"/>
                <w:color w:val="auto"/>
                <w:kern w:val="0"/>
                <w:szCs w:val="21"/>
                <w:highlight w:val="none"/>
              </w:rPr>
            </w:pPr>
          </w:p>
        </w:tc>
        <w:tc>
          <w:tcPr>
            <w:tcW w:w="1028" w:type="dxa"/>
            <w:vMerge w:val="continue"/>
            <w:vAlign w:val="center"/>
          </w:tcPr>
          <w:p w14:paraId="12CAE757">
            <w:pPr>
              <w:widowControl w:val="0"/>
              <w:adjustRightInd w:val="0"/>
              <w:snapToGrid w:val="0"/>
              <w:rPr>
                <w:rFonts w:cs="宋体"/>
                <w:b/>
                <w:bCs/>
                <w:snapToGrid w:val="0"/>
                <w:color w:val="auto"/>
                <w:kern w:val="0"/>
                <w:szCs w:val="21"/>
                <w:highlight w:val="none"/>
              </w:rPr>
            </w:pPr>
          </w:p>
        </w:tc>
      </w:tr>
      <w:tr w14:paraId="4778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8" w:type="dxa"/>
            <w:vAlign w:val="center"/>
          </w:tcPr>
          <w:p w14:paraId="2121958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a</w:t>
            </w:r>
          </w:p>
        </w:tc>
        <w:tc>
          <w:tcPr>
            <w:tcW w:w="1051" w:type="dxa"/>
            <w:vAlign w:val="center"/>
          </w:tcPr>
          <w:p w14:paraId="2073149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b</w:t>
            </w:r>
          </w:p>
        </w:tc>
        <w:tc>
          <w:tcPr>
            <w:tcW w:w="616" w:type="dxa"/>
            <w:vAlign w:val="center"/>
          </w:tcPr>
          <w:p w14:paraId="79E8F06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c</w:t>
            </w:r>
          </w:p>
        </w:tc>
        <w:tc>
          <w:tcPr>
            <w:tcW w:w="1092" w:type="dxa"/>
            <w:vAlign w:val="center"/>
          </w:tcPr>
          <w:p w14:paraId="785C085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d</w:t>
            </w:r>
          </w:p>
        </w:tc>
        <w:tc>
          <w:tcPr>
            <w:tcW w:w="780" w:type="dxa"/>
            <w:vAlign w:val="center"/>
          </w:tcPr>
          <w:p w14:paraId="7DB9F3B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e</w:t>
            </w:r>
          </w:p>
        </w:tc>
        <w:tc>
          <w:tcPr>
            <w:tcW w:w="723" w:type="dxa"/>
            <w:vAlign w:val="center"/>
          </w:tcPr>
          <w:p w14:paraId="61C766C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f</w:t>
            </w:r>
          </w:p>
        </w:tc>
        <w:tc>
          <w:tcPr>
            <w:tcW w:w="852" w:type="dxa"/>
            <w:vAlign w:val="center"/>
          </w:tcPr>
          <w:p w14:paraId="39BFD70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g</w:t>
            </w:r>
          </w:p>
        </w:tc>
        <w:tc>
          <w:tcPr>
            <w:tcW w:w="947" w:type="dxa"/>
            <w:vAlign w:val="center"/>
          </w:tcPr>
          <w:p w14:paraId="0FA8505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h</w:t>
            </w:r>
          </w:p>
        </w:tc>
        <w:tc>
          <w:tcPr>
            <w:tcW w:w="797" w:type="dxa"/>
            <w:vAlign w:val="center"/>
          </w:tcPr>
          <w:p w14:paraId="7089695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i=e+f</w:t>
            </w:r>
          </w:p>
          <w:p w14:paraId="471E6FD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+g+h</w:t>
            </w:r>
          </w:p>
        </w:tc>
        <w:tc>
          <w:tcPr>
            <w:tcW w:w="1138" w:type="dxa"/>
            <w:vAlign w:val="center"/>
          </w:tcPr>
          <w:p w14:paraId="75B6912E">
            <w:pPr>
              <w:widowControl w:val="0"/>
              <w:adjustRightInd w:val="0"/>
              <w:snapToGrid w:val="0"/>
              <w:jc w:val="center"/>
              <w:rPr>
                <w:rFonts w:cs="宋体"/>
                <w:snapToGrid w:val="0"/>
                <w:color w:val="auto"/>
                <w:kern w:val="0"/>
                <w:sz w:val="18"/>
                <w:szCs w:val="18"/>
                <w:highlight w:val="none"/>
              </w:rPr>
            </w:pPr>
            <w:r>
              <w:rPr>
                <w:rFonts w:hint="eastAsia" w:cs="宋体"/>
                <w:snapToGrid w:val="0"/>
                <w:color w:val="auto"/>
                <w:kern w:val="0"/>
                <w:sz w:val="18"/>
                <w:szCs w:val="18"/>
                <w:highlight w:val="none"/>
              </w:rPr>
              <w:t>j=d*i*10000</w:t>
            </w:r>
          </w:p>
        </w:tc>
        <w:tc>
          <w:tcPr>
            <w:tcW w:w="1028" w:type="dxa"/>
            <w:vAlign w:val="center"/>
          </w:tcPr>
          <w:p w14:paraId="77EC8360">
            <w:pPr>
              <w:widowControl w:val="0"/>
              <w:adjustRightInd w:val="0"/>
              <w:snapToGrid w:val="0"/>
              <w:jc w:val="center"/>
              <w:rPr>
                <w:rFonts w:cs="宋体"/>
                <w:snapToGrid w:val="0"/>
                <w:color w:val="auto"/>
                <w:kern w:val="0"/>
                <w:sz w:val="18"/>
                <w:szCs w:val="18"/>
                <w:highlight w:val="none"/>
              </w:rPr>
            </w:pPr>
            <w:r>
              <w:rPr>
                <w:rFonts w:hint="eastAsia" w:cs="宋体"/>
                <w:snapToGrid w:val="0"/>
                <w:color w:val="auto"/>
                <w:kern w:val="0"/>
                <w:sz w:val="18"/>
                <w:szCs w:val="18"/>
                <w:highlight w:val="none"/>
              </w:rPr>
              <w:t>k</w:t>
            </w:r>
          </w:p>
        </w:tc>
      </w:tr>
      <w:tr w14:paraId="75DD8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2FF2758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1</w:t>
            </w:r>
          </w:p>
        </w:tc>
        <w:tc>
          <w:tcPr>
            <w:tcW w:w="1051" w:type="dxa"/>
            <w:vAlign w:val="center"/>
          </w:tcPr>
          <w:p w14:paraId="0393A10D">
            <w:pPr>
              <w:widowControl w:val="0"/>
              <w:adjustRightInd w:val="0"/>
              <w:snapToGrid w:val="0"/>
              <w:jc w:val="left"/>
              <w:rPr>
                <w:rFonts w:cs="宋体"/>
                <w:snapToGrid w:val="0"/>
                <w:color w:val="auto"/>
                <w:kern w:val="0"/>
                <w:szCs w:val="21"/>
                <w:highlight w:val="none"/>
              </w:rPr>
            </w:pPr>
            <w:r>
              <w:rPr>
                <w:rFonts w:hint="eastAsia" w:cs="宋体"/>
                <w:snapToGrid w:val="0"/>
                <w:color w:val="auto"/>
                <w:kern w:val="0"/>
                <w:szCs w:val="21"/>
                <w:highlight w:val="none"/>
              </w:rPr>
              <w:t>剥离土</w:t>
            </w:r>
          </w:p>
        </w:tc>
        <w:tc>
          <w:tcPr>
            <w:tcW w:w="616" w:type="dxa"/>
            <w:vAlign w:val="center"/>
          </w:tcPr>
          <w:p w14:paraId="51961D81">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06F6B708">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48.31</w:t>
            </w:r>
          </w:p>
        </w:tc>
        <w:tc>
          <w:tcPr>
            <w:tcW w:w="780" w:type="dxa"/>
            <w:vAlign w:val="center"/>
          </w:tcPr>
          <w:p w14:paraId="41D8673A">
            <w:pPr>
              <w:widowControl w:val="0"/>
              <w:adjustRightInd w:val="0"/>
              <w:snapToGrid w:val="0"/>
              <w:jc w:val="center"/>
              <w:rPr>
                <w:rFonts w:cs="宋体"/>
                <w:snapToGrid w:val="0"/>
                <w:color w:val="auto"/>
                <w:kern w:val="0"/>
                <w:szCs w:val="21"/>
                <w:highlight w:val="none"/>
              </w:rPr>
            </w:pPr>
          </w:p>
        </w:tc>
        <w:tc>
          <w:tcPr>
            <w:tcW w:w="723" w:type="dxa"/>
            <w:vAlign w:val="center"/>
          </w:tcPr>
          <w:p w14:paraId="25FCF430">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2" w:type="dxa"/>
            <w:vAlign w:val="center"/>
          </w:tcPr>
          <w:p w14:paraId="7430A0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47" w:type="dxa"/>
            <w:vAlign w:val="center"/>
          </w:tcPr>
          <w:p w14:paraId="0882225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97" w:type="dxa"/>
            <w:vAlign w:val="center"/>
          </w:tcPr>
          <w:p w14:paraId="036BDCA4">
            <w:pPr>
              <w:widowControl w:val="0"/>
              <w:adjustRightInd w:val="0"/>
              <w:snapToGrid w:val="0"/>
              <w:jc w:val="center"/>
              <w:rPr>
                <w:rFonts w:cs="宋体"/>
                <w:snapToGrid w:val="0"/>
                <w:color w:val="auto"/>
                <w:kern w:val="0"/>
                <w:szCs w:val="21"/>
                <w:highlight w:val="none"/>
              </w:rPr>
            </w:pPr>
          </w:p>
        </w:tc>
        <w:tc>
          <w:tcPr>
            <w:tcW w:w="1138" w:type="dxa"/>
            <w:vAlign w:val="center"/>
          </w:tcPr>
          <w:p w14:paraId="105C3813">
            <w:pPr>
              <w:widowControl w:val="0"/>
              <w:adjustRightInd w:val="0"/>
              <w:snapToGrid w:val="0"/>
              <w:rPr>
                <w:rFonts w:cs="宋体"/>
                <w:snapToGrid w:val="0"/>
                <w:color w:val="auto"/>
                <w:kern w:val="0"/>
                <w:sz w:val="18"/>
                <w:szCs w:val="18"/>
                <w:highlight w:val="none"/>
              </w:rPr>
            </w:pPr>
          </w:p>
        </w:tc>
        <w:tc>
          <w:tcPr>
            <w:tcW w:w="1028" w:type="dxa"/>
            <w:vAlign w:val="center"/>
          </w:tcPr>
          <w:p w14:paraId="5BFC372C">
            <w:pPr>
              <w:widowControl w:val="0"/>
              <w:adjustRightInd w:val="0"/>
              <w:snapToGrid w:val="0"/>
              <w:rPr>
                <w:rFonts w:cs="宋体"/>
                <w:snapToGrid w:val="0"/>
                <w:color w:val="auto"/>
                <w:kern w:val="0"/>
                <w:sz w:val="18"/>
                <w:szCs w:val="18"/>
                <w:highlight w:val="none"/>
              </w:rPr>
            </w:pPr>
            <w:r>
              <w:rPr>
                <w:rFonts w:hint="eastAsia" w:cs="宋体"/>
                <w:snapToGrid w:val="0"/>
                <w:color w:val="auto"/>
                <w:kern w:val="0"/>
                <w:sz w:val="18"/>
                <w:szCs w:val="18"/>
                <w:highlight w:val="none"/>
              </w:rPr>
              <w:t>单价包括上车、短驳至矿区指定位置、出售时的再上车</w:t>
            </w:r>
          </w:p>
        </w:tc>
      </w:tr>
      <w:tr w14:paraId="394EB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4F1CB8D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w:t>
            </w:r>
          </w:p>
        </w:tc>
        <w:tc>
          <w:tcPr>
            <w:tcW w:w="1051" w:type="dxa"/>
            <w:vAlign w:val="center"/>
          </w:tcPr>
          <w:p w14:paraId="1BEC6607">
            <w:pPr>
              <w:widowControl w:val="0"/>
              <w:adjustRightInd w:val="0"/>
              <w:snapToGrid w:val="0"/>
              <w:jc w:val="left"/>
              <w:rPr>
                <w:color w:val="auto"/>
                <w:sz w:val="20"/>
                <w:szCs w:val="20"/>
                <w:highlight w:val="none"/>
              </w:rPr>
            </w:pPr>
            <w:r>
              <w:rPr>
                <w:rFonts w:hint="eastAsia"/>
                <w:color w:val="auto"/>
                <w:sz w:val="20"/>
                <w:szCs w:val="20"/>
                <w:highlight w:val="none"/>
              </w:rPr>
              <w:t>宕渣</w:t>
            </w:r>
          </w:p>
          <w:p w14:paraId="5712E46C">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（陆运）</w:t>
            </w:r>
          </w:p>
        </w:tc>
        <w:tc>
          <w:tcPr>
            <w:tcW w:w="616" w:type="dxa"/>
            <w:vAlign w:val="center"/>
          </w:tcPr>
          <w:p w14:paraId="0AD1E0D3">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30AAAD1C">
            <w:pPr>
              <w:widowControl w:val="0"/>
              <w:adjustRightInd w:val="0"/>
              <w:snapToGrid w:val="0"/>
              <w:jc w:val="center"/>
              <w:rPr>
                <w:rFonts w:cs="宋体"/>
                <w:snapToGrid w:val="0"/>
                <w:color w:val="auto"/>
                <w:kern w:val="0"/>
                <w:szCs w:val="21"/>
                <w:highlight w:val="none"/>
              </w:rPr>
            </w:pPr>
            <w:r>
              <w:rPr>
                <w:color w:val="auto"/>
                <w:highlight w:val="none"/>
              </w:rPr>
              <w:t>266.104</w:t>
            </w:r>
          </w:p>
        </w:tc>
        <w:tc>
          <w:tcPr>
            <w:tcW w:w="780" w:type="dxa"/>
            <w:vAlign w:val="center"/>
          </w:tcPr>
          <w:p w14:paraId="1EBFD654">
            <w:pPr>
              <w:widowControl w:val="0"/>
              <w:adjustRightInd w:val="0"/>
              <w:snapToGrid w:val="0"/>
              <w:jc w:val="center"/>
              <w:rPr>
                <w:rFonts w:cs="宋体"/>
                <w:snapToGrid w:val="0"/>
                <w:color w:val="auto"/>
                <w:kern w:val="0"/>
                <w:szCs w:val="21"/>
                <w:highlight w:val="none"/>
              </w:rPr>
            </w:pPr>
          </w:p>
        </w:tc>
        <w:tc>
          <w:tcPr>
            <w:tcW w:w="723" w:type="dxa"/>
            <w:vAlign w:val="center"/>
          </w:tcPr>
          <w:p w14:paraId="408E0F1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24E680A9">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39E2A4E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46DD96D3">
            <w:pPr>
              <w:widowControl w:val="0"/>
              <w:adjustRightInd w:val="0"/>
              <w:snapToGrid w:val="0"/>
              <w:jc w:val="center"/>
              <w:rPr>
                <w:rFonts w:cs="宋体"/>
                <w:snapToGrid w:val="0"/>
                <w:color w:val="auto"/>
                <w:kern w:val="0"/>
                <w:szCs w:val="21"/>
                <w:highlight w:val="none"/>
              </w:rPr>
            </w:pPr>
          </w:p>
        </w:tc>
        <w:tc>
          <w:tcPr>
            <w:tcW w:w="1138" w:type="dxa"/>
            <w:vAlign w:val="center"/>
          </w:tcPr>
          <w:p w14:paraId="3A00B0B9">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14:paraId="3DEFF31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≤50%开采量</w:t>
            </w:r>
          </w:p>
        </w:tc>
      </w:tr>
      <w:tr w14:paraId="502B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1BD97EB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w:t>
            </w:r>
          </w:p>
        </w:tc>
        <w:tc>
          <w:tcPr>
            <w:tcW w:w="1051" w:type="dxa"/>
            <w:vAlign w:val="center"/>
          </w:tcPr>
          <w:p w14:paraId="01DF62F1">
            <w:pPr>
              <w:widowControl w:val="0"/>
              <w:adjustRightInd w:val="0"/>
              <w:snapToGrid w:val="0"/>
              <w:jc w:val="left"/>
              <w:rPr>
                <w:color w:val="auto"/>
                <w:sz w:val="20"/>
                <w:szCs w:val="20"/>
                <w:highlight w:val="none"/>
              </w:rPr>
            </w:pPr>
            <w:r>
              <w:rPr>
                <w:rFonts w:hint="eastAsia"/>
                <w:color w:val="auto"/>
                <w:sz w:val="20"/>
                <w:szCs w:val="20"/>
                <w:highlight w:val="none"/>
              </w:rPr>
              <w:t>宕渣</w:t>
            </w:r>
          </w:p>
          <w:p w14:paraId="71E361F5">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（海运）</w:t>
            </w:r>
          </w:p>
        </w:tc>
        <w:tc>
          <w:tcPr>
            <w:tcW w:w="616" w:type="dxa"/>
            <w:vAlign w:val="center"/>
          </w:tcPr>
          <w:p w14:paraId="3B31ECD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0558CA9B">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80" w:type="dxa"/>
            <w:vAlign w:val="center"/>
          </w:tcPr>
          <w:p w14:paraId="3A615A80">
            <w:pPr>
              <w:widowControl w:val="0"/>
              <w:adjustRightInd w:val="0"/>
              <w:snapToGrid w:val="0"/>
              <w:jc w:val="center"/>
              <w:rPr>
                <w:rFonts w:cs="宋体"/>
                <w:snapToGrid w:val="0"/>
                <w:color w:val="auto"/>
                <w:kern w:val="0"/>
                <w:szCs w:val="21"/>
                <w:highlight w:val="none"/>
              </w:rPr>
            </w:pPr>
          </w:p>
        </w:tc>
        <w:tc>
          <w:tcPr>
            <w:tcW w:w="723" w:type="dxa"/>
            <w:vAlign w:val="center"/>
          </w:tcPr>
          <w:p w14:paraId="43D9B13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116FBD0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06B49F86">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5A589E90">
            <w:pPr>
              <w:widowControl w:val="0"/>
              <w:adjustRightInd w:val="0"/>
              <w:snapToGrid w:val="0"/>
              <w:jc w:val="center"/>
              <w:rPr>
                <w:rFonts w:cs="宋体"/>
                <w:snapToGrid w:val="0"/>
                <w:color w:val="auto"/>
                <w:kern w:val="0"/>
                <w:szCs w:val="21"/>
                <w:highlight w:val="none"/>
              </w:rPr>
            </w:pPr>
          </w:p>
        </w:tc>
        <w:tc>
          <w:tcPr>
            <w:tcW w:w="1138" w:type="dxa"/>
            <w:vAlign w:val="center"/>
          </w:tcPr>
          <w:p w14:paraId="70906AD0">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14:paraId="14C7CDB6">
            <w:pPr>
              <w:widowControl w:val="0"/>
              <w:adjustRightInd w:val="0"/>
              <w:snapToGrid w:val="0"/>
              <w:jc w:val="center"/>
              <w:rPr>
                <w:rFonts w:cs="宋体"/>
                <w:snapToGrid w:val="0"/>
                <w:color w:val="auto"/>
                <w:kern w:val="0"/>
                <w:szCs w:val="21"/>
                <w:highlight w:val="none"/>
              </w:rPr>
            </w:pPr>
          </w:p>
        </w:tc>
      </w:tr>
      <w:tr w14:paraId="6AEF4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2ECC57E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4</w:t>
            </w:r>
          </w:p>
        </w:tc>
        <w:tc>
          <w:tcPr>
            <w:tcW w:w="1051" w:type="dxa"/>
            <w:vAlign w:val="center"/>
          </w:tcPr>
          <w:p w14:paraId="7054E6EC">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水洗碎石（陆运）</w:t>
            </w:r>
          </w:p>
        </w:tc>
        <w:tc>
          <w:tcPr>
            <w:tcW w:w="616" w:type="dxa"/>
            <w:vAlign w:val="center"/>
          </w:tcPr>
          <w:p w14:paraId="042BD9CF">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214F873C">
            <w:pPr>
              <w:widowControl w:val="0"/>
              <w:adjustRightInd w:val="0"/>
              <w:snapToGrid w:val="0"/>
              <w:jc w:val="center"/>
              <w:rPr>
                <w:rFonts w:cs="宋体"/>
                <w:snapToGrid w:val="0"/>
                <w:color w:val="auto"/>
                <w:kern w:val="0"/>
                <w:szCs w:val="21"/>
                <w:highlight w:val="none"/>
              </w:rPr>
            </w:pPr>
            <w:r>
              <w:rPr>
                <w:color w:val="auto"/>
                <w:highlight w:val="none"/>
              </w:rPr>
              <w:t>159.6624</w:t>
            </w:r>
          </w:p>
        </w:tc>
        <w:tc>
          <w:tcPr>
            <w:tcW w:w="780" w:type="dxa"/>
            <w:vAlign w:val="center"/>
          </w:tcPr>
          <w:p w14:paraId="0303C2A5">
            <w:pPr>
              <w:widowControl w:val="0"/>
              <w:adjustRightInd w:val="0"/>
              <w:snapToGrid w:val="0"/>
              <w:jc w:val="center"/>
              <w:rPr>
                <w:rFonts w:cs="宋体"/>
                <w:snapToGrid w:val="0"/>
                <w:color w:val="auto"/>
                <w:kern w:val="0"/>
                <w:szCs w:val="21"/>
                <w:highlight w:val="none"/>
              </w:rPr>
            </w:pPr>
          </w:p>
        </w:tc>
        <w:tc>
          <w:tcPr>
            <w:tcW w:w="723" w:type="dxa"/>
            <w:vAlign w:val="center"/>
          </w:tcPr>
          <w:p w14:paraId="424EF01C">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695E368B">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5E5F5134">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09BB2883">
            <w:pPr>
              <w:widowControl w:val="0"/>
              <w:adjustRightInd w:val="0"/>
              <w:snapToGrid w:val="0"/>
              <w:jc w:val="center"/>
              <w:rPr>
                <w:rFonts w:cs="宋体"/>
                <w:snapToGrid w:val="0"/>
                <w:color w:val="auto"/>
                <w:kern w:val="0"/>
                <w:szCs w:val="21"/>
                <w:highlight w:val="none"/>
              </w:rPr>
            </w:pPr>
          </w:p>
        </w:tc>
        <w:tc>
          <w:tcPr>
            <w:tcW w:w="1138" w:type="dxa"/>
            <w:vAlign w:val="center"/>
          </w:tcPr>
          <w:p w14:paraId="20C02457">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14:paraId="6C0DDD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≥30%开采量</w:t>
            </w:r>
          </w:p>
        </w:tc>
      </w:tr>
      <w:tr w14:paraId="77EA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786EE9F7">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5</w:t>
            </w:r>
          </w:p>
        </w:tc>
        <w:tc>
          <w:tcPr>
            <w:tcW w:w="1051" w:type="dxa"/>
            <w:vAlign w:val="center"/>
          </w:tcPr>
          <w:p w14:paraId="5212A57C">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水洗碎石（海运）</w:t>
            </w:r>
          </w:p>
        </w:tc>
        <w:tc>
          <w:tcPr>
            <w:tcW w:w="616" w:type="dxa"/>
            <w:vAlign w:val="center"/>
          </w:tcPr>
          <w:p w14:paraId="30637085">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71E07C6C">
            <w:pPr>
              <w:widowControl w:val="0"/>
              <w:adjustRightInd w:val="0"/>
              <w:snapToGrid w:val="0"/>
              <w:jc w:val="center"/>
              <w:rPr>
                <w:rFonts w:cs="宋体"/>
                <w:snapToGrid w:val="0"/>
                <w:color w:val="auto"/>
                <w:kern w:val="0"/>
                <w:szCs w:val="21"/>
                <w:highlight w:val="none"/>
              </w:rPr>
            </w:pPr>
            <w:r>
              <w:rPr>
                <w:color w:val="auto"/>
                <w:highlight w:val="none"/>
              </w:rPr>
              <w:t>638.6496</w:t>
            </w:r>
          </w:p>
        </w:tc>
        <w:tc>
          <w:tcPr>
            <w:tcW w:w="780" w:type="dxa"/>
            <w:vAlign w:val="center"/>
          </w:tcPr>
          <w:p w14:paraId="4C1240D5">
            <w:pPr>
              <w:widowControl w:val="0"/>
              <w:adjustRightInd w:val="0"/>
              <w:snapToGrid w:val="0"/>
              <w:jc w:val="center"/>
              <w:rPr>
                <w:rFonts w:cs="宋体"/>
                <w:snapToGrid w:val="0"/>
                <w:color w:val="auto"/>
                <w:kern w:val="0"/>
                <w:szCs w:val="21"/>
                <w:highlight w:val="none"/>
              </w:rPr>
            </w:pPr>
          </w:p>
        </w:tc>
        <w:tc>
          <w:tcPr>
            <w:tcW w:w="723" w:type="dxa"/>
            <w:vAlign w:val="center"/>
          </w:tcPr>
          <w:p w14:paraId="734E001F">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12678FD0">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2A04DD6E">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17AF87A6">
            <w:pPr>
              <w:widowControl w:val="0"/>
              <w:adjustRightInd w:val="0"/>
              <w:snapToGrid w:val="0"/>
              <w:jc w:val="center"/>
              <w:rPr>
                <w:rFonts w:cs="宋体"/>
                <w:snapToGrid w:val="0"/>
                <w:color w:val="auto"/>
                <w:kern w:val="0"/>
                <w:szCs w:val="21"/>
                <w:highlight w:val="none"/>
              </w:rPr>
            </w:pPr>
          </w:p>
        </w:tc>
        <w:tc>
          <w:tcPr>
            <w:tcW w:w="1138" w:type="dxa"/>
            <w:vAlign w:val="center"/>
          </w:tcPr>
          <w:p w14:paraId="761D52ED">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14:paraId="43F3B81B">
            <w:pPr>
              <w:widowControl w:val="0"/>
              <w:adjustRightInd w:val="0"/>
              <w:snapToGrid w:val="0"/>
              <w:jc w:val="center"/>
              <w:rPr>
                <w:rFonts w:cs="宋体"/>
                <w:snapToGrid w:val="0"/>
                <w:color w:val="auto"/>
                <w:kern w:val="0"/>
                <w:szCs w:val="21"/>
                <w:highlight w:val="none"/>
              </w:rPr>
            </w:pPr>
          </w:p>
        </w:tc>
      </w:tr>
      <w:tr w14:paraId="7666C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0485AEF4">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6</w:t>
            </w:r>
          </w:p>
        </w:tc>
        <w:tc>
          <w:tcPr>
            <w:tcW w:w="1051" w:type="dxa"/>
            <w:vAlign w:val="center"/>
          </w:tcPr>
          <w:p w14:paraId="17957A1F">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整形机制砂（陆运）</w:t>
            </w:r>
          </w:p>
        </w:tc>
        <w:tc>
          <w:tcPr>
            <w:tcW w:w="616" w:type="dxa"/>
            <w:vAlign w:val="center"/>
          </w:tcPr>
          <w:p w14:paraId="5C7AA29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67BB946D">
            <w:pPr>
              <w:widowControl w:val="0"/>
              <w:adjustRightInd w:val="0"/>
              <w:snapToGrid w:val="0"/>
              <w:jc w:val="center"/>
              <w:rPr>
                <w:rFonts w:cs="宋体"/>
                <w:snapToGrid w:val="0"/>
                <w:color w:val="auto"/>
                <w:kern w:val="0"/>
                <w:szCs w:val="21"/>
                <w:highlight w:val="none"/>
              </w:rPr>
            </w:pPr>
            <w:r>
              <w:rPr>
                <w:color w:val="auto"/>
                <w:highlight w:val="none"/>
              </w:rPr>
              <w:t>106.4416</w:t>
            </w:r>
          </w:p>
        </w:tc>
        <w:tc>
          <w:tcPr>
            <w:tcW w:w="780" w:type="dxa"/>
            <w:vAlign w:val="center"/>
          </w:tcPr>
          <w:p w14:paraId="223A0E30">
            <w:pPr>
              <w:widowControl w:val="0"/>
              <w:adjustRightInd w:val="0"/>
              <w:snapToGrid w:val="0"/>
              <w:jc w:val="center"/>
              <w:rPr>
                <w:rFonts w:cs="宋体"/>
                <w:snapToGrid w:val="0"/>
                <w:color w:val="auto"/>
                <w:kern w:val="0"/>
                <w:szCs w:val="21"/>
                <w:highlight w:val="none"/>
              </w:rPr>
            </w:pPr>
          </w:p>
        </w:tc>
        <w:tc>
          <w:tcPr>
            <w:tcW w:w="723" w:type="dxa"/>
            <w:vAlign w:val="center"/>
          </w:tcPr>
          <w:p w14:paraId="283F1331">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16D00AC8">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463A552D">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46E273DE">
            <w:pPr>
              <w:widowControl w:val="0"/>
              <w:adjustRightInd w:val="0"/>
              <w:snapToGrid w:val="0"/>
              <w:jc w:val="center"/>
              <w:rPr>
                <w:rFonts w:cs="宋体"/>
                <w:snapToGrid w:val="0"/>
                <w:color w:val="auto"/>
                <w:kern w:val="0"/>
                <w:szCs w:val="21"/>
                <w:highlight w:val="none"/>
              </w:rPr>
            </w:pPr>
          </w:p>
        </w:tc>
        <w:tc>
          <w:tcPr>
            <w:tcW w:w="1138" w:type="dxa"/>
            <w:vAlign w:val="center"/>
          </w:tcPr>
          <w:p w14:paraId="498CF553">
            <w:pPr>
              <w:widowControl w:val="0"/>
              <w:adjustRightInd w:val="0"/>
              <w:snapToGrid w:val="0"/>
              <w:jc w:val="center"/>
              <w:rPr>
                <w:rFonts w:cs="宋体"/>
                <w:snapToGrid w:val="0"/>
                <w:color w:val="auto"/>
                <w:kern w:val="0"/>
                <w:szCs w:val="21"/>
                <w:highlight w:val="none"/>
              </w:rPr>
            </w:pPr>
          </w:p>
        </w:tc>
        <w:tc>
          <w:tcPr>
            <w:tcW w:w="1028" w:type="dxa"/>
            <w:vMerge w:val="restart"/>
            <w:vAlign w:val="center"/>
          </w:tcPr>
          <w:p w14:paraId="7883E1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≥20%开采量</w:t>
            </w:r>
          </w:p>
        </w:tc>
      </w:tr>
      <w:tr w14:paraId="07E16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5FACDB4A">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7</w:t>
            </w:r>
          </w:p>
        </w:tc>
        <w:tc>
          <w:tcPr>
            <w:tcW w:w="1051" w:type="dxa"/>
            <w:vAlign w:val="center"/>
          </w:tcPr>
          <w:p w14:paraId="05659382">
            <w:pPr>
              <w:widowControl w:val="0"/>
              <w:adjustRightInd w:val="0"/>
              <w:snapToGrid w:val="0"/>
              <w:jc w:val="left"/>
              <w:rPr>
                <w:rFonts w:cs="宋体"/>
                <w:snapToGrid w:val="0"/>
                <w:color w:val="auto"/>
                <w:kern w:val="0"/>
                <w:szCs w:val="21"/>
                <w:highlight w:val="none"/>
              </w:rPr>
            </w:pPr>
            <w:r>
              <w:rPr>
                <w:rFonts w:hint="eastAsia"/>
                <w:color w:val="auto"/>
                <w:sz w:val="20"/>
                <w:szCs w:val="20"/>
                <w:highlight w:val="none"/>
              </w:rPr>
              <w:t>整形机制砂（海运）</w:t>
            </w:r>
          </w:p>
        </w:tc>
        <w:tc>
          <w:tcPr>
            <w:tcW w:w="616" w:type="dxa"/>
            <w:vAlign w:val="center"/>
          </w:tcPr>
          <w:p w14:paraId="24D88BBD">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万吨</w:t>
            </w:r>
          </w:p>
        </w:tc>
        <w:tc>
          <w:tcPr>
            <w:tcW w:w="1092" w:type="dxa"/>
            <w:vAlign w:val="center"/>
          </w:tcPr>
          <w:p w14:paraId="22759D44">
            <w:pPr>
              <w:widowControl w:val="0"/>
              <w:adjustRightInd w:val="0"/>
              <w:snapToGrid w:val="0"/>
              <w:jc w:val="center"/>
              <w:rPr>
                <w:rFonts w:cs="宋体"/>
                <w:snapToGrid w:val="0"/>
                <w:color w:val="auto"/>
                <w:kern w:val="0"/>
                <w:szCs w:val="21"/>
                <w:highlight w:val="none"/>
              </w:rPr>
            </w:pPr>
            <w:r>
              <w:rPr>
                <w:color w:val="auto"/>
                <w:highlight w:val="none"/>
              </w:rPr>
              <w:t>425.7664</w:t>
            </w:r>
          </w:p>
        </w:tc>
        <w:tc>
          <w:tcPr>
            <w:tcW w:w="780" w:type="dxa"/>
            <w:vAlign w:val="center"/>
          </w:tcPr>
          <w:p w14:paraId="151EF7BF">
            <w:pPr>
              <w:widowControl w:val="0"/>
              <w:adjustRightInd w:val="0"/>
              <w:snapToGrid w:val="0"/>
              <w:jc w:val="center"/>
              <w:rPr>
                <w:rFonts w:cs="宋体"/>
                <w:snapToGrid w:val="0"/>
                <w:color w:val="auto"/>
                <w:kern w:val="0"/>
                <w:szCs w:val="21"/>
                <w:highlight w:val="none"/>
              </w:rPr>
            </w:pPr>
          </w:p>
        </w:tc>
        <w:tc>
          <w:tcPr>
            <w:tcW w:w="723" w:type="dxa"/>
            <w:vAlign w:val="center"/>
          </w:tcPr>
          <w:p w14:paraId="60131D25">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1.5</w:t>
            </w:r>
          </w:p>
        </w:tc>
        <w:tc>
          <w:tcPr>
            <w:tcW w:w="852" w:type="dxa"/>
            <w:vAlign w:val="center"/>
          </w:tcPr>
          <w:p w14:paraId="58520E93">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2.55</w:t>
            </w:r>
          </w:p>
        </w:tc>
        <w:tc>
          <w:tcPr>
            <w:tcW w:w="947" w:type="dxa"/>
            <w:vAlign w:val="center"/>
          </w:tcPr>
          <w:p w14:paraId="5F05FA16">
            <w:pPr>
              <w:widowControl w:val="0"/>
              <w:adjustRightInd w:val="0"/>
              <w:snapToGrid w:val="0"/>
              <w:jc w:val="center"/>
              <w:rPr>
                <w:rFonts w:cs="宋体"/>
                <w:snapToGrid w:val="0"/>
                <w:color w:val="auto"/>
                <w:kern w:val="0"/>
                <w:szCs w:val="21"/>
                <w:highlight w:val="none"/>
              </w:rPr>
            </w:pPr>
            <w:r>
              <w:rPr>
                <w:rFonts w:eastAsia="等线"/>
                <w:color w:val="auto"/>
                <w:sz w:val="20"/>
                <w:szCs w:val="20"/>
                <w:highlight w:val="none"/>
              </w:rPr>
              <w:t>0.26</w:t>
            </w:r>
          </w:p>
        </w:tc>
        <w:tc>
          <w:tcPr>
            <w:tcW w:w="797" w:type="dxa"/>
            <w:vAlign w:val="center"/>
          </w:tcPr>
          <w:p w14:paraId="03581249">
            <w:pPr>
              <w:widowControl w:val="0"/>
              <w:adjustRightInd w:val="0"/>
              <w:snapToGrid w:val="0"/>
              <w:jc w:val="center"/>
              <w:rPr>
                <w:rFonts w:cs="宋体"/>
                <w:snapToGrid w:val="0"/>
                <w:color w:val="auto"/>
                <w:kern w:val="0"/>
                <w:szCs w:val="21"/>
                <w:highlight w:val="none"/>
              </w:rPr>
            </w:pPr>
          </w:p>
        </w:tc>
        <w:tc>
          <w:tcPr>
            <w:tcW w:w="1138" w:type="dxa"/>
            <w:vAlign w:val="center"/>
          </w:tcPr>
          <w:p w14:paraId="7ABA0305">
            <w:pPr>
              <w:widowControl w:val="0"/>
              <w:adjustRightInd w:val="0"/>
              <w:snapToGrid w:val="0"/>
              <w:jc w:val="center"/>
              <w:rPr>
                <w:rFonts w:cs="宋体"/>
                <w:snapToGrid w:val="0"/>
                <w:color w:val="auto"/>
                <w:kern w:val="0"/>
                <w:szCs w:val="21"/>
                <w:highlight w:val="none"/>
              </w:rPr>
            </w:pPr>
          </w:p>
        </w:tc>
        <w:tc>
          <w:tcPr>
            <w:tcW w:w="1028" w:type="dxa"/>
            <w:vMerge w:val="continue"/>
            <w:vAlign w:val="center"/>
          </w:tcPr>
          <w:p w14:paraId="64C22A66">
            <w:pPr>
              <w:widowControl w:val="0"/>
              <w:adjustRightInd w:val="0"/>
              <w:snapToGrid w:val="0"/>
              <w:jc w:val="center"/>
              <w:rPr>
                <w:rFonts w:cs="宋体"/>
                <w:snapToGrid w:val="0"/>
                <w:color w:val="auto"/>
                <w:kern w:val="0"/>
                <w:szCs w:val="21"/>
                <w:highlight w:val="none"/>
              </w:rPr>
            </w:pPr>
          </w:p>
        </w:tc>
      </w:tr>
      <w:tr w14:paraId="54EB7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28" w:type="dxa"/>
            <w:vAlign w:val="center"/>
          </w:tcPr>
          <w:p w14:paraId="6D4D1256">
            <w:pPr>
              <w:widowControl w:val="0"/>
              <w:adjustRightInd w:val="0"/>
              <w:snapToGrid w:val="0"/>
              <w:jc w:val="center"/>
              <w:rPr>
                <w:rFonts w:cs="宋体"/>
                <w:snapToGrid w:val="0"/>
                <w:color w:val="auto"/>
                <w:kern w:val="0"/>
                <w:szCs w:val="21"/>
                <w:highlight w:val="none"/>
              </w:rPr>
            </w:pPr>
          </w:p>
        </w:tc>
        <w:tc>
          <w:tcPr>
            <w:tcW w:w="1051" w:type="dxa"/>
            <w:vAlign w:val="center"/>
          </w:tcPr>
          <w:p w14:paraId="40C54FD9">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合计</w:t>
            </w:r>
          </w:p>
        </w:tc>
        <w:tc>
          <w:tcPr>
            <w:tcW w:w="616" w:type="dxa"/>
            <w:vAlign w:val="center"/>
          </w:tcPr>
          <w:p w14:paraId="6C95132B">
            <w:pPr>
              <w:widowControl w:val="0"/>
              <w:adjustRightInd w:val="0"/>
              <w:snapToGrid w:val="0"/>
              <w:jc w:val="center"/>
              <w:rPr>
                <w:rFonts w:cs="宋体"/>
                <w:snapToGrid w:val="0"/>
                <w:color w:val="auto"/>
                <w:kern w:val="0"/>
                <w:szCs w:val="21"/>
                <w:highlight w:val="none"/>
              </w:rPr>
            </w:pPr>
          </w:p>
        </w:tc>
        <w:tc>
          <w:tcPr>
            <w:tcW w:w="1092" w:type="dxa"/>
            <w:vAlign w:val="center"/>
          </w:tcPr>
          <w:p w14:paraId="2E0D4292">
            <w:pPr>
              <w:widowControl w:val="0"/>
              <w:adjustRightInd w:val="0"/>
              <w:snapToGrid w:val="0"/>
              <w:jc w:val="center"/>
              <w:rPr>
                <w:rFonts w:cs="宋体"/>
                <w:snapToGrid w:val="0"/>
                <w:color w:val="auto"/>
                <w:kern w:val="0"/>
                <w:szCs w:val="21"/>
                <w:highlight w:val="none"/>
              </w:rPr>
            </w:pPr>
            <w:r>
              <w:rPr>
                <w:rFonts w:cs="宋体"/>
                <w:snapToGrid w:val="0"/>
                <w:color w:val="auto"/>
                <w:kern w:val="0"/>
                <w:szCs w:val="21"/>
                <w:highlight w:val="none"/>
              </w:rPr>
              <w:t>2709.35</w:t>
            </w:r>
          </w:p>
        </w:tc>
        <w:tc>
          <w:tcPr>
            <w:tcW w:w="780" w:type="dxa"/>
            <w:vAlign w:val="center"/>
          </w:tcPr>
          <w:p w14:paraId="4DBFAEE2">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23" w:type="dxa"/>
            <w:vAlign w:val="center"/>
          </w:tcPr>
          <w:p w14:paraId="4DA4F7C1">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852" w:type="dxa"/>
            <w:vAlign w:val="center"/>
          </w:tcPr>
          <w:p w14:paraId="4CC19748">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947" w:type="dxa"/>
            <w:vAlign w:val="center"/>
          </w:tcPr>
          <w:p w14:paraId="39D57BC6">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797" w:type="dxa"/>
            <w:vAlign w:val="center"/>
          </w:tcPr>
          <w:p w14:paraId="4DFA33DE">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c>
          <w:tcPr>
            <w:tcW w:w="1138" w:type="dxa"/>
            <w:vAlign w:val="center"/>
          </w:tcPr>
          <w:p w14:paraId="5B65FAA5">
            <w:pPr>
              <w:widowControl w:val="0"/>
              <w:adjustRightInd w:val="0"/>
              <w:snapToGrid w:val="0"/>
              <w:jc w:val="center"/>
              <w:rPr>
                <w:rFonts w:cs="宋体"/>
                <w:snapToGrid w:val="0"/>
                <w:color w:val="auto"/>
                <w:kern w:val="0"/>
                <w:szCs w:val="21"/>
                <w:highlight w:val="none"/>
              </w:rPr>
            </w:pPr>
          </w:p>
        </w:tc>
        <w:tc>
          <w:tcPr>
            <w:tcW w:w="1028" w:type="dxa"/>
            <w:vAlign w:val="center"/>
          </w:tcPr>
          <w:p w14:paraId="12A4BCCB">
            <w:pPr>
              <w:widowControl w:val="0"/>
              <w:adjustRightInd w:val="0"/>
              <w:snapToGrid w:val="0"/>
              <w:jc w:val="center"/>
              <w:rPr>
                <w:rFonts w:cs="宋体"/>
                <w:snapToGrid w:val="0"/>
                <w:color w:val="auto"/>
                <w:kern w:val="0"/>
                <w:szCs w:val="21"/>
                <w:highlight w:val="none"/>
              </w:rPr>
            </w:pPr>
            <w:r>
              <w:rPr>
                <w:rFonts w:hint="eastAsia" w:cs="宋体"/>
                <w:snapToGrid w:val="0"/>
                <w:color w:val="auto"/>
                <w:kern w:val="0"/>
                <w:szCs w:val="21"/>
                <w:highlight w:val="none"/>
              </w:rPr>
              <w:t>—</w:t>
            </w:r>
          </w:p>
        </w:tc>
      </w:tr>
      <w:tr w14:paraId="7C2E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187" w:type="dxa"/>
            <w:gridSpan w:val="4"/>
            <w:vAlign w:val="center"/>
          </w:tcPr>
          <w:p w14:paraId="36253E81">
            <w:pPr>
              <w:widowControl w:val="0"/>
              <w:adjustRightInd w:val="0"/>
              <w:snapToGrid w:val="0"/>
              <w:jc w:val="center"/>
              <w:rPr>
                <w:rFonts w:cs="宋体"/>
                <w:snapToGrid w:val="0"/>
                <w:color w:val="auto"/>
                <w:kern w:val="0"/>
                <w:szCs w:val="21"/>
                <w:highlight w:val="none"/>
              </w:rPr>
            </w:pPr>
            <w:r>
              <w:rPr>
                <w:rFonts w:hint="eastAsia" w:cs="宋体"/>
                <w:b/>
                <w:bCs/>
                <w:snapToGrid w:val="0"/>
                <w:color w:val="auto"/>
                <w:kern w:val="0"/>
                <w:highlight w:val="none"/>
              </w:rPr>
              <w:t>投标报价（大写）</w:t>
            </w:r>
          </w:p>
        </w:tc>
        <w:tc>
          <w:tcPr>
            <w:tcW w:w="6265" w:type="dxa"/>
            <w:gridSpan w:val="7"/>
            <w:vAlign w:val="center"/>
          </w:tcPr>
          <w:p w14:paraId="644D1512">
            <w:pPr>
              <w:widowControl w:val="0"/>
              <w:adjustRightInd w:val="0"/>
              <w:snapToGrid w:val="0"/>
              <w:rPr>
                <w:rFonts w:cs="宋体"/>
                <w:snapToGrid w:val="0"/>
                <w:color w:val="auto"/>
                <w:kern w:val="0"/>
                <w:szCs w:val="21"/>
                <w:highlight w:val="none"/>
              </w:rPr>
            </w:pPr>
          </w:p>
        </w:tc>
      </w:tr>
      <w:tr w14:paraId="026E0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2" w:type="dxa"/>
            <w:gridSpan w:val="11"/>
            <w:vAlign w:val="center"/>
          </w:tcPr>
          <w:p w14:paraId="06171138">
            <w:pPr>
              <w:widowControl w:val="0"/>
              <w:adjustRightInd w:val="0"/>
              <w:snapToGrid w:val="0"/>
              <w:rPr>
                <w:color w:val="auto"/>
                <w:highlight w:val="none"/>
              </w:rPr>
            </w:pPr>
            <w:r>
              <w:rPr>
                <w:rFonts w:hint="eastAsia"/>
                <w:color w:val="auto"/>
                <w:highlight w:val="none"/>
              </w:rPr>
              <w:t>说明：</w:t>
            </w:r>
          </w:p>
          <w:p w14:paraId="587512CD">
            <w:pPr>
              <w:widowControl w:val="0"/>
              <w:adjustRightInd w:val="0"/>
              <w:snapToGrid w:val="0"/>
              <w:rPr>
                <w:color w:val="auto"/>
                <w:highlight w:val="none"/>
              </w:rPr>
            </w:pPr>
            <w:r>
              <w:rPr>
                <w:rFonts w:hint="eastAsia"/>
                <w:color w:val="auto"/>
                <w:highlight w:val="none"/>
              </w:rPr>
              <w:t>▲1、表中数量（估量）的数据不得更改，如有更改，以本表数据为准修正报价。表中安全生产费、外运配套码头、地质治理与复垦为暂定单价，供应商报价时不得更改，如有更改，按招标文件第四部分“评标办法”第</w:t>
            </w:r>
            <w:r>
              <w:rPr>
                <w:color w:val="auto"/>
                <w:highlight w:val="none"/>
              </w:rPr>
              <w:t>3.4</w:t>
            </w:r>
            <w:r>
              <w:rPr>
                <w:rFonts w:hint="eastAsia"/>
                <w:color w:val="auto"/>
                <w:highlight w:val="none"/>
              </w:rPr>
              <w:t>款修正报价。修正后的报价超过招标文件中规定的预算金额或者最高限价的，投标无效。</w:t>
            </w:r>
          </w:p>
          <w:p w14:paraId="4B125BD7">
            <w:pPr>
              <w:widowControl w:val="0"/>
              <w:adjustRightInd w:val="0"/>
              <w:snapToGrid w:val="0"/>
              <w:rPr>
                <w:color w:val="auto"/>
                <w:highlight w:val="none"/>
              </w:rPr>
            </w:pPr>
            <w:r>
              <w:rPr>
                <w:rFonts w:hint="eastAsia"/>
                <w:color w:val="auto"/>
                <w:highlight w:val="none"/>
              </w:rPr>
              <w:t>▲2、各分项单价的报价不得超过招标文件第三部分“采购需求”规定的最高限价，否则投标无效。</w:t>
            </w:r>
          </w:p>
          <w:p w14:paraId="37DBB2FA">
            <w:pPr>
              <w:widowControl w:val="0"/>
              <w:adjustRightInd w:val="0"/>
              <w:snapToGrid w:val="0"/>
              <w:rPr>
                <w:color w:val="auto"/>
                <w:highlight w:val="none"/>
              </w:rPr>
            </w:pPr>
            <w:r>
              <w:rPr>
                <w:rFonts w:hint="eastAsia"/>
                <w:color w:val="auto"/>
                <w:highlight w:val="none"/>
              </w:rPr>
              <w:t>3、外运配套码头暂定单价包括码头、航道疏浚、码头水域疏浚和维护期疏浚费用，暂定单价按</w:t>
            </w:r>
            <w:r>
              <w:rPr>
                <w:color w:val="auto"/>
                <w:highlight w:val="none"/>
                <w:u w:val="single"/>
              </w:rPr>
              <w:t>2.</w:t>
            </w:r>
            <w:r>
              <w:rPr>
                <w:rFonts w:hint="eastAsia"/>
                <w:color w:val="auto"/>
                <w:highlight w:val="none"/>
                <w:u w:val="single"/>
              </w:rPr>
              <w:t>55</w:t>
            </w:r>
            <w:r>
              <w:rPr>
                <w:rFonts w:hint="eastAsia"/>
                <w:color w:val="auto"/>
                <w:highlight w:val="none"/>
              </w:rPr>
              <w:t>元/吨计入，地质治理与复垦暂定单价包括矿山地质环境保护与土地复垦费，暂定单价按</w:t>
            </w:r>
            <w:r>
              <w:rPr>
                <w:rFonts w:hint="eastAsia" w:cs="宋体"/>
                <w:snapToGrid w:val="0"/>
                <w:color w:val="auto"/>
                <w:kern w:val="0"/>
                <w:szCs w:val="21"/>
                <w:highlight w:val="none"/>
                <w:u w:val="single"/>
              </w:rPr>
              <w:t>0.26</w:t>
            </w:r>
            <w:r>
              <w:rPr>
                <w:rFonts w:hint="eastAsia"/>
                <w:color w:val="auto"/>
                <w:highlight w:val="none"/>
              </w:rPr>
              <w:t>元/吨计入。结算时此部分费用</w:t>
            </w:r>
            <w:bookmarkStart w:id="419" w:name="_Hlk167835814"/>
            <w:r>
              <w:rPr>
                <w:rFonts w:hint="eastAsia"/>
                <w:color w:val="auto"/>
                <w:highlight w:val="none"/>
              </w:rPr>
              <w:t>按实调整</w:t>
            </w:r>
            <w:bookmarkEnd w:id="419"/>
            <w:r>
              <w:rPr>
                <w:rFonts w:hint="eastAsia"/>
                <w:color w:val="auto"/>
                <w:highlight w:val="none"/>
              </w:rPr>
              <w:t>（即</w:t>
            </w:r>
            <w:bookmarkStart w:id="420" w:name="_Hlk167835803"/>
            <w:bookmarkStart w:id="421" w:name="_Hlk167835863"/>
            <w:bookmarkStart w:id="422" w:name="_Hlk167835321"/>
            <w:r>
              <w:rPr>
                <w:rFonts w:hint="eastAsia"/>
                <w:color w:val="auto"/>
                <w:highlight w:val="none"/>
              </w:rPr>
              <w:t>石料开采加工费</w:t>
            </w:r>
            <w:bookmarkEnd w:id="420"/>
            <w:r>
              <w:rPr>
                <w:rFonts w:hint="eastAsia"/>
                <w:color w:val="auto"/>
                <w:highlight w:val="none"/>
              </w:rPr>
              <w:t>结算单价中此部分应分摊价格的调整方式为：结算价/实际开采量</w:t>
            </w:r>
            <w:bookmarkEnd w:id="421"/>
            <w:r>
              <w:rPr>
                <w:rFonts w:hint="eastAsia"/>
                <w:color w:val="auto"/>
                <w:highlight w:val="none"/>
              </w:rPr>
              <w:t>）</w:t>
            </w:r>
            <w:bookmarkEnd w:id="422"/>
            <w:r>
              <w:rPr>
                <w:rFonts w:hint="eastAsia"/>
                <w:color w:val="auto"/>
                <w:highlight w:val="none"/>
              </w:rPr>
              <w:t>。</w:t>
            </w:r>
          </w:p>
        </w:tc>
      </w:tr>
    </w:tbl>
    <w:p w14:paraId="5347FECC">
      <w:pPr>
        <w:widowControl w:val="0"/>
        <w:adjustRightInd w:val="0"/>
        <w:snapToGrid w:val="0"/>
        <w:ind w:firstLine="422" w:firstLineChars="200"/>
        <w:rPr>
          <w:rFonts w:cs="宋体"/>
          <w:b/>
          <w:color w:val="auto"/>
          <w:kern w:val="0"/>
          <w:highlight w:val="none"/>
          <w:lang w:val="zh-CN"/>
        </w:rPr>
      </w:pPr>
      <w:r>
        <w:rPr>
          <w:rFonts w:hint="eastAsia" w:cs="宋体"/>
          <w:b/>
          <w:color w:val="auto"/>
          <w:kern w:val="0"/>
          <w:highlight w:val="none"/>
          <w:lang w:val="zh-CN"/>
        </w:rPr>
        <w:t>注：</w:t>
      </w:r>
    </w:p>
    <w:p w14:paraId="0C06C7D5">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1、投标人需按本表格式填写，</w:t>
      </w:r>
      <w:r>
        <w:rPr>
          <w:rFonts w:hint="eastAsia" w:cs="宋体"/>
          <w:b/>
          <w:bCs/>
          <w:color w:val="auto"/>
          <w:kern w:val="0"/>
          <w:highlight w:val="none"/>
          <w:lang w:val="zh-CN"/>
        </w:rPr>
        <w:t>否则视为投标文件含有采购人不能接受的附加条件，投标无效。</w:t>
      </w:r>
    </w:p>
    <w:p w14:paraId="7B2CE32F">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2、有关本项目实施所涉及的一切费用均计入报价。</w:t>
      </w:r>
      <w:r>
        <w:rPr>
          <w:rFonts w:hint="eastAsia" w:cs="宋体"/>
          <w:color w:val="auto"/>
          <w:kern w:val="0"/>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b/>
          <w:bCs/>
          <w:color w:val="auto"/>
          <w:kern w:val="0"/>
          <w:highlight w:val="none"/>
          <w:lang w:val="zh-CN"/>
        </w:rPr>
        <w:t>采购内容未包含在《开标一览表（报价表）》名称栏中，投标人不能作出合理解释的，视为投标文件含有采购人不能接受的附加条件的，投标无效。</w:t>
      </w:r>
    </w:p>
    <w:p w14:paraId="041473BF">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3、特别提示：采购代理机构将对项目名称和项目编号，中标供应商名称、地址和中标金额，主要中标标的名称、服务范围、服务要求、服务时间、服务标准等予以公示。</w:t>
      </w:r>
    </w:p>
    <w:p w14:paraId="1FA908A2">
      <w:pPr>
        <w:widowControl w:val="0"/>
        <w:adjustRightInd w:val="0"/>
        <w:snapToGrid w:val="0"/>
        <w:ind w:firstLine="420" w:firstLineChars="200"/>
        <w:rPr>
          <w:rFonts w:cs="宋体"/>
          <w:color w:val="auto"/>
          <w:kern w:val="0"/>
          <w:highlight w:val="none"/>
          <w:lang w:val="zh-CN"/>
        </w:rPr>
      </w:pPr>
      <w:r>
        <w:rPr>
          <w:rFonts w:hint="eastAsia" w:cs="宋体"/>
          <w:color w:val="auto"/>
          <w:kern w:val="0"/>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1A7C2D">
      <w:pPr>
        <w:widowControl w:val="0"/>
        <w:adjustRightInd w:val="0"/>
        <w:snapToGrid w:val="0"/>
        <w:rPr>
          <w:color w:val="auto"/>
          <w:highlight w:val="none"/>
        </w:rPr>
      </w:pPr>
    </w:p>
    <w:p w14:paraId="311AAD7B">
      <w:pPr>
        <w:widowControl w:val="0"/>
        <w:adjustRightInd w:val="0"/>
        <w:snapToGrid w:val="0"/>
        <w:rPr>
          <w:color w:val="auto"/>
          <w:highlight w:val="none"/>
        </w:rPr>
      </w:pPr>
    </w:p>
    <w:p w14:paraId="677E0712">
      <w:pPr>
        <w:widowControl w:val="0"/>
        <w:adjustRightInd w:val="0"/>
        <w:snapToGrid w:val="0"/>
        <w:rPr>
          <w:color w:val="auto"/>
          <w:highlight w:val="none"/>
        </w:rPr>
      </w:pPr>
    </w:p>
    <w:p w14:paraId="4F9849DE">
      <w:pPr>
        <w:widowControl w:val="0"/>
        <w:adjustRightInd w:val="0"/>
        <w:snapToGrid w:val="0"/>
        <w:spacing w:line="300" w:lineRule="auto"/>
        <w:jc w:val="center"/>
        <w:rPr>
          <w:rFonts w:cs="宋体"/>
          <w:b/>
          <w:bCs/>
          <w:color w:val="auto"/>
          <w:sz w:val="24"/>
          <w:highlight w:val="none"/>
        </w:rPr>
      </w:pPr>
      <w:r>
        <w:rPr>
          <w:rFonts w:hint="eastAsia" w:cs="宋体"/>
          <w:b/>
          <w:bCs/>
          <w:color w:val="auto"/>
          <w:sz w:val="24"/>
          <w:highlight w:val="none"/>
        </w:rPr>
        <w:t>（二）矿区及配套基础设施投资明细表（单位均为人民币元）</w:t>
      </w:r>
    </w:p>
    <w:p w14:paraId="133F80C5">
      <w:pPr>
        <w:widowControl w:val="0"/>
        <w:adjustRightInd w:val="0"/>
        <w:snapToGrid w:val="0"/>
        <w:rPr>
          <w:color w:val="auto"/>
          <w:highlight w:val="none"/>
        </w:rPr>
      </w:pP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743"/>
        <w:gridCol w:w="2679"/>
        <w:gridCol w:w="690"/>
        <w:gridCol w:w="999"/>
        <w:gridCol w:w="999"/>
        <w:gridCol w:w="999"/>
        <w:gridCol w:w="856"/>
      </w:tblGrid>
      <w:tr w14:paraId="1B91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371" w:type="pct"/>
            <w:shd w:val="clear" w:color="auto" w:fill="auto"/>
            <w:vAlign w:val="center"/>
          </w:tcPr>
          <w:p w14:paraId="3E81B3D7">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序号</w:t>
            </w:r>
          </w:p>
        </w:tc>
        <w:tc>
          <w:tcPr>
            <w:tcW w:w="900" w:type="pct"/>
            <w:shd w:val="clear" w:color="auto" w:fill="auto"/>
            <w:vAlign w:val="center"/>
          </w:tcPr>
          <w:p w14:paraId="10DD24F0">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项目名称</w:t>
            </w:r>
          </w:p>
        </w:tc>
        <w:tc>
          <w:tcPr>
            <w:tcW w:w="1383" w:type="pct"/>
            <w:shd w:val="clear" w:color="auto" w:fill="auto"/>
            <w:vAlign w:val="center"/>
          </w:tcPr>
          <w:p w14:paraId="0EDEB8E6">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规格型号</w:t>
            </w:r>
          </w:p>
        </w:tc>
        <w:tc>
          <w:tcPr>
            <w:tcW w:w="356" w:type="pct"/>
            <w:shd w:val="clear" w:color="auto" w:fill="auto"/>
            <w:vAlign w:val="center"/>
          </w:tcPr>
          <w:p w14:paraId="1167FB64">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单位</w:t>
            </w:r>
          </w:p>
        </w:tc>
        <w:tc>
          <w:tcPr>
            <w:tcW w:w="516" w:type="pct"/>
            <w:shd w:val="clear" w:color="auto" w:fill="auto"/>
            <w:vAlign w:val="center"/>
          </w:tcPr>
          <w:p w14:paraId="5D23E8C5">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数量</w:t>
            </w:r>
          </w:p>
        </w:tc>
        <w:tc>
          <w:tcPr>
            <w:tcW w:w="516" w:type="pct"/>
            <w:shd w:val="clear" w:color="auto" w:fill="auto"/>
            <w:vAlign w:val="center"/>
          </w:tcPr>
          <w:p w14:paraId="45A5A54F">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单价（元）</w:t>
            </w:r>
          </w:p>
        </w:tc>
        <w:tc>
          <w:tcPr>
            <w:tcW w:w="516" w:type="pct"/>
            <w:shd w:val="clear" w:color="auto" w:fill="auto"/>
            <w:vAlign w:val="center"/>
          </w:tcPr>
          <w:p w14:paraId="7EC39612">
            <w:pPr>
              <w:widowControl w:val="0"/>
              <w:adjustRightInd w:val="0"/>
              <w:snapToGrid w:val="0"/>
              <w:jc w:val="center"/>
              <w:rPr>
                <w:rFonts w:cs="宋体"/>
                <w:snapToGrid w:val="0"/>
                <w:color w:val="auto"/>
                <w:kern w:val="0"/>
                <w:szCs w:val="20"/>
                <w:highlight w:val="none"/>
              </w:rPr>
            </w:pPr>
            <w:r>
              <w:rPr>
                <w:rFonts w:hint="eastAsia" w:cs="宋体"/>
                <w:snapToGrid w:val="0"/>
                <w:color w:val="auto"/>
                <w:kern w:val="0"/>
                <w:szCs w:val="20"/>
                <w:highlight w:val="none"/>
              </w:rPr>
              <w:t>合价（元）</w:t>
            </w:r>
          </w:p>
        </w:tc>
        <w:tc>
          <w:tcPr>
            <w:tcW w:w="442" w:type="pct"/>
            <w:shd w:val="clear" w:color="auto" w:fill="auto"/>
            <w:vAlign w:val="center"/>
          </w:tcPr>
          <w:p w14:paraId="30613098">
            <w:pPr>
              <w:widowControl w:val="0"/>
              <w:adjustRightInd w:val="0"/>
              <w:snapToGrid w:val="0"/>
              <w:jc w:val="center"/>
              <w:rPr>
                <w:snapToGrid w:val="0"/>
                <w:color w:val="auto"/>
                <w:kern w:val="0"/>
                <w:szCs w:val="20"/>
                <w:highlight w:val="none"/>
              </w:rPr>
            </w:pPr>
            <w:r>
              <w:rPr>
                <w:rFonts w:hint="eastAsia"/>
                <w:snapToGrid w:val="0"/>
                <w:color w:val="auto"/>
                <w:kern w:val="0"/>
                <w:szCs w:val="20"/>
                <w:highlight w:val="none"/>
              </w:rPr>
              <w:t>备注</w:t>
            </w:r>
          </w:p>
        </w:tc>
      </w:tr>
      <w:tr w14:paraId="14AAA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4A582424">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326F68CC">
            <w:pPr>
              <w:widowControl w:val="0"/>
              <w:adjustRightInd w:val="0"/>
              <w:snapToGrid w:val="0"/>
              <w:rPr>
                <w:snapToGrid w:val="0"/>
                <w:color w:val="auto"/>
                <w:kern w:val="0"/>
                <w:szCs w:val="20"/>
                <w:highlight w:val="none"/>
              </w:rPr>
            </w:pPr>
          </w:p>
        </w:tc>
        <w:tc>
          <w:tcPr>
            <w:tcW w:w="1383" w:type="pct"/>
            <w:shd w:val="clear" w:color="auto" w:fill="auto"/>
            <w:vAlign w:val="center"/>
          </w:tcPr>
          <w:p w14:paraId="77142D47">
            <w:pPr>
              <w:widowControl w:val="0"/>
              <w:adjustRightInd w:val="0"/>
              <w:snapToGrid w:val="0"/>
              <w:rPr>
                <w:snapToGrid w:val="0"/>
                <w:color w:val="auto"/>
                <w:kern w:val="0"/>
                <w:szCs w:val="20"/>
                <w:highlight w:val="none"/>
              </w:rPr>
            </w:pPr>
          </w:p>
        </w:tc>
        <w:tc>
          <w:tcPr>
            <w:tcW w:w="356" w:type="pct"/>
            <w:shd w:val="clear" w:color="auto" w:fill="auto"/>
            <w:vAlign w:val="center"/>
          </w:tcPr>
          <w:p w14:paraId="5C19EE75">
            <w:pPr>
              <w:widowControl w:val="0"/>
              <w:adjustRightInd w:val="0"/>
              <w:snapToGrid w:val="0"/>
              <w:jc w:val="center"/>
              <w:rPr>
                <w:snapToGrid w:val="0"/>
                <w:color w:val="auto"/>
                <w:kern w:val="0"/>
                <w:szCs w:val="20"/>
                <w:highlight w:val="none"/>
              </w:rPr>
            </w:pPr>
          </w:p>
        </w:tc>
        <w:tc>
          <w:tcPr>
            <w:tcW w:w="516" w:type="pct"/>
            <w:shd w:val="clear" w:color="auto" w:fill="auto"/>
            <w:vAlign w:val="center"/>
          </w:tcPr>
          <w:p w14:paraId="69DDED78">
            <w:pPr>
              <w:widowControl w:val="0"/>
              <w:adjustRightInd w:val="0"/>
              <w:snapToGrid w:val="0"/>
              <w:rPr>
                <w:snapToGrid w:val="0"/>
                <w:color w:val="auto"/>
                <w:kern w:val="0"/>
                <w:szCs w:val="20"/>
                <w:highlight w:val="none"/>
              </w:rPr>
            </w:pPr>
          </w:p>
        </w:tc>
        <w:tc>
          <w:tcPr>
            <w:tcW w:w="516" w:type="pct"/>
            <w:shd w:val="clear" w:color="auto" w:fill="auto"/>
            <w:vAlign w:val="center"/>
          </w:tcPr>
          <w:p w14:paraId="01EC152D">
            <w:pPr>
              <w:widowControl w:val="0"/>
              <w:adjustRightInd w:val="0"/>
              <w:snapToGrid w:val="0"/>
              <w:rPr>
                <w:snapToGrid w:val="0"/>
                <w:color w:val="auto"/>
                <w:kern w:val="0"/>
                <w:szCs w:val="20"/>
                <w:highlight w:val="none"/>
              </w:rPr>
            </w:pPr>
          </w:p>
        </w:tc>
        <w:tc>
          <w:tcPr>
            <w:tcW w:w="516" w:type="pct"/>
            <w:shd w:val="clear" w:color="auto" w:fill="auto"/>
            <w:vAlign w:val="center"/>
          </w:tcPr>
          <w:p w14:paraId="58F50722">
            <w:pPr>
              <w:widowControl w:val="0"/>
              <w:adjustRightInd w:val="0"/>
              <w:snapToGrid w:val="0"/>
              <w:rPr>
                <w:snapToGrid w:val="0"/>
                <w:color w:val="auto"/>
                <w:kern w:val="0"/>
                <w:szCs w:val="20"/>
                <w:highlight w:val="none"/>
              </w:rPr>
            </w:pPr>
          </w:p>
        </w:tc>
        <w:tc>
          <w:tcPr>
            <w:tcW w:w="442" w:type="pct"/>
            <w:shd w:val="clear" w:color="auto" w:fill="auto"/>
            <w:vAlign w:val="center"/>
          </w:tcPr>
          <w:p w14:paraId="4B1F8E80">
            <w:pPr>
              <w:widowControl w:val="0"/>
              <w:adjustRightInd w:val="0"/>
              <w:snapToGrid w:val="0"/>
              <w:rPr>
                <w:snapToGrid w:val="0"/>
                <w:color w:val="auto"/>
                <w:kern w:val="0"/>
                <w:szCs w:val="20"/>
                <w:highlight w:val="none"/>
              </w:rPr>
            </w:pPr>
          </w:p>
        </w:tc>
      </w:tr>
      <w:tr w14:paraId="42902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72860A62">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1B4950D5">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66AEBF56">
            <w:pPr>
              <w:widowControl w:val="0"/>
              <w:adjustRightInd w:val="0"/>
              <w:snapToGrid w:val="0"/>
              <w:rPr>
                <w:snapToGrid w:val="0"/>
                <w:color w:val="auto"/>
                <w:kern w:val="0"/>
                <w:szCs w:val="20"/>
                <w:highlight w:val="none"/>
              </w:rPr>
            </w:pPr>
          </w:p>
        </w:tc>
        <w:tc>
          <w:tcPr>
            <w:tcW w:w="356" w:type="pct"/>
            <w:shd w:val="clear" w:color="auto" w:fill="auto"/>
            <w:noWrap/>
            <w:vAlign w:val="center"/>
          </w:tcPr>
          <w:p w14:paraId="58EF3CC7">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6CFB85C4">
            <w:pPr>
              <w:widowControl w:val="0"/>
              <w:adjustRightInd w:val="0"/>
              <w:snapToGrid w:val="0"/>
              <w:rPr>
                <w:snapToGrid w:val="0"/>
                <w:color w:val="auto"/>
                <w:kern w:val="0"/>
                <w:szCs w:val="20"/>
                <w:highlight w:val="none"/>
              </w:rPr>
            </w:pPr>
          </w:p>
        </w:tc>
        <w:tc>
          <w:tcPr>
            <w:tcW w:w="516" w:type="pct"/>
            <w:shd w:val="clear" w:color="auto" w:fill="auto"/>
            <w:vAlign w:val="center"/>
          </w:tcPr>
          <w:p w14:paraId="0847AA7D">
            <w:pPr>
              <w:widowControl w:val="0"/>
              <w:adjustRightInd w:val="0"/>
              <w:snapToGrid w:val="0"/>
              <w:rPr>
                <w:snapToGrid w:val="0"/>
                <w:color w:val="auto"/>
                <w:kern w:val="0"/>
                <w:szCs w:val="20"/>
                <w:highlight w:val="none"/>
              </w:rPr>
            </w:pPr>
          </w:p>
        </w:tc>
        <w:tc>
          <w:tcPr>
            <w:tcW w:w="516" w:type="pct"/>
            <w:shd w:val="clear" w:color="auto" w:fill="auto"/>
            <w:vAlign w:val="center"/>
          </w:tcPr>
          <w:p w14:paraId="406441AC">
            <w:pPr>
              <w:widowControl w:val="0"/>
              <w:adjustRightInd w:val="0"/>
              <w:snapToGrid w:val="0"/>
              <w:rPr>
                <w:snapToGrid w:val="0"/>
                <w:color w:val="auto"/>
                <w:kern w:val="0"/>
                <w:szCs w:val="20"/>
                <w:highlight w:val="none"/>
              </w:rPr>
            </w:pPr>
          </w:p>
        </w:tc>
        <w:tc>
          <w:tcPr>
            <w:tcW w:w="442" w:type="pct"/>
            <w:shd w:val="clear" w:color="auto" w:fill="auto"/>
            <w:vAlign w:val="center"/>
          </w:tcPr>
          <w:p w14:paraId="6138292A">
            <w:pPr>
              <w:widowControl w:val="0"/>
              <w:adjustRightInd w:val="0"/>
              <w:snapToGrid w:val="0"/>
              <w:rPr>
                <w:snapToGrid w:val="0"/>
                <w:color w:val="auto"/>
                <w:kern w:val="0"/>
                <w:szCs w:val="20"/>
                <w:highlight w:val="none"/>
              </w:rPr>
            </w:pPr>
          </w:p>
        </w:tc>
      </w:tr>
      <w:tr w14:paraId="2C3D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3032B574">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2467FFAE">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44C87633">
            <w:pPr>
              <w:widowControl w:val="0"/>
              <w:adjustRightInd w:val="0"/>
              <w:snapToGrid w:val="0"/>
              <w:rPr>
                <w:snapToGrid w:val="0"/>
                <w:color w:val="auto"/>
                <w:kern w:val="0"/>
                <w:szCs w:val="20"/>
                <w:highlight w:val="none"/>
              </w:rPr>
            </w:pPr>
          </w:p>
        </w:tc>
        <w:tc>
          <w:tcPr>
            <w:tcW w:w="356" w:type="pct"/>
            <w:shd w:val="clear" w:color="auto" w:fill="auto"/>
            <w:vAlign w:val="center"/>
          </w:tcPr>
          <w:p w14:paraId="596B6103">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07758BCE">
            <w:pPr>
              <w:widowControl w:val="0"/>
              <w:adjustRightInd w:val="0"/>
              <w:snapToGrid w:val="0"/>
              <w:rPr>
                <w:snapToGrid w:val="0"/>
                <w:color w:val="auto"/>
                <w:kern w:val="0"/>
                <w:szCs w:val="20"/>
                <w:highlight w:val="none"/>
              </w:rPr>
            </w:pPr>
          </w:p>
        </w:tc>
        <w:tc>
          <w:tcPr>
            <w:tcW w:w="516" w:type="pct"/>
            <w:shd w:val="clear" w:color="auto" w:fill="auto"/>
            <w:vAlign w:val="center"/>
          </w:tcPr>
          <w:p w14:paraId="43811DE6">
            <w:pPr>
              <w:widowControl w:val="0"/>
              <w:adjustRightInd w:val="0"/>
              <w:snapToGrid w:val="0"/>
              <w:rPr>
                <w:snapToGrid w:val="0"/>
                <w:color w:val="auto"/>
                <w:kern w:val="0"/>
                <w:szCs w:val="20"/>
                <w:highlight w:val="none"/>
              </w:rPr>
            </w:pPr>
          </w:p>
        </w:tc>
        <w:tc>
          <w:tcPr>
            <w:tcW w:w="516" w:type="pct"/>
            <w:shd w:val="clear" w:color="auto" w:fill="auto"/>
            <w:vAlign w:val="center"/>
          </w:tcPr>
          <w:p w14:paraId="4B64E602">
            <w:pPr>
              <w:widowControl w:val="0"/>
              <w:adjustRightInd w:val="0"/>
              <w:snapToGrid w:val="0"/>
              <w:rPr>
                <w:snapToGrid w:val="0"/>
                <w:color w:val="auto"/>
                <w:kern w:val="0"/>
                <w:szCs w:val="20"/>
                <w:highlight w:val="none"/>
              </w:rPr>
            </w:pPr>
          </w:p>
        </w:tc>
        <w:tc>
          <w:tcPr>
            <w:tcW w:w="442" w:type="pct"/>
            <w:shd w:val="clear" w:color="auto" w:fill="auto"/>
            <w:vAlign w:val="center"/>
          </w:tcPr>
          <w:p w14:paraId="78D8B251">
            <w:pPr>
              <w:widowControl w:val="0"/>
              <w:adjustRightInd w:val="0"/>
              <w:snapToGrid w:val="0"/>
              <w:rPr>
                <w:snapToGrid w:val="0"/>
                <w:color w:val="auto"/>
                <w:kern w:val="0"/>
                <w:szCs w:val="20"/>
                <w:highlight w:val="none"/>
              </w:rPr>
            </w:pPr>
          </w:p>
        </w:tc>
      </w:tr>
      <w:tr w14:paraId="5791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5637F700">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3C0BA45A">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25ACD302">
            <w:pPr>
              <w:widowControl w:val="0"/>
              <w:adjustRightInd w:val="0"/>
              <w:snapToGrid w:val="0"/>
              <w:rPr>
                <w:snapToGrid w:val="0"/>
                <w:color w:val="auto"/>
                <w:kern w:val="0"/>
                <w:szCs w:val="20"/>
                <w:highlight w:val="none"/>
              </w:rPr>
            </w:pPr>
          </w:p>
        </w:tc>
        <w:tc>
          <w:tcPr>
            <w:tcW w:w="356" w:type="pct"/>
            <w:shd w:val="clear" w:color="auto" w:fill="auto"/>
            <w:vAlign w:val="center"/>
          </w:tcPr>
          <w:p w14:paraId="7227C40C">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7A98F5C5">
            <w:pPr>
              <w:widowControl w:val="0"/>
              <w:adjustRightInd w:val="0"/>
              <w:snapToGrid w:val="0"/>
              <w:rPr>
                <w:snapToGrid w:val="0"/>
                <w:color w:val="auto"/>
                <w:kern w:val="0"/>
                <w:szCs w:val="20"/>
                <w:highlight w:val="none"/>
              </w:rPr>
            </w:pPr>
          </w:p>
        </w:tc>
        <w:tc>
          <w:tcPr>
            <w:tcW w:w="516" w:type="pct"/>
            <w:shd w:val="clear" w:color="auto" w:fill="auto"/>
            <w:vAlign w:val="center"/>
          </w:tcPr>
          <w:p w14:paraId="591978AE">
            <w:pPr>
              <w:widowControl w:val="0"/>
              <w:adjustRightInd w:val="0"/>
              <w:snapToGrid w:val="0"/>
              <w:rPr>
                <w:snapToGrid w:val="0"/>
                <w:color w:val="auto"/>
                <w:kern w:val="0"/>
                <w:szCs w:val="20"/>
                <w:highlight w:val="none"/>
              </w:rPr>
            </w:pPr>
          </w:p>
        </w:tc>
        <w:tc>
          <w:tcPr>
            <w:tcW w:w="516" w:type="pct"/>
            <w:shd w:val="clear" w:color="auto" w:fill="auto"/>
            <w:vAlign w:val="center"/>
          </w:tcPr>
          <w:p w14:paraId="41379DA0">
            <w:pPr>
              <w:widowControl w:val="0"/>
              <w:adjustRightInd w:val="0"/>
              <w:snapToGrid w:val="0"/>
              <w:rPr>
                <w:snapToGrid w:val="0"/>
                <w:color w:val="auto"/>
                <w:kern w:val="0"/>
                <w:szCs w:val="20"/>
                <w:highlight w:val="none"/>
              </w:rPr>
            </w:pPr>
          </w:p>
        </w:tc>
        <w:tc>
          <w:tcPr>
            <w:tcW w:w="442" w:type="pct"/>
            <w:shd w:val="clear" w:color="auto" w:fill="auto"/>
            <w:vAlign w:val="center"/>
          </w:tcPr>
          <w:p w14:paraId="0DA6EAFB">
            <w:pPr>
              <w:widowControl w:val="0"/>
              <w:adjustRightInd w:val="0"/>
              <w:snapToGrid w:val="0"/>
              <w:rPr>
                <w:snapToGrid w:val="0"/>
                <w:color w:val="auto"/>
                <w:kern w:val="0"/>
                <w:szCs w:val="20"/>
                <w:highlight w:val="none"/>
              </w:rPr>
            </w:pPr>
          </w:p>
        </w:tc>
      </w:tr>
      <w:tr w14:paraId="6729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71" w:type="pct"/>
            <w:shd w:val="clear" w:color="auto" w:fill="auto"/>
            <w:vAlign w:val="center"/>
          </w:tcPr>
          <w:p w14:paraId="448BA62A">
            <w:pPr>
              <w:widowControl w:val="0"/>
              <w:adjustRightInd w:val="0"/>
              <w:snapToGrid w:val="0"/>
              <w:jc w:val="center"/>
              <w:rPr>
                <w:snapToGrid w:val="0"/>
                <w:color w:val="auto"/>
                <w:kern w:val="0"/>
                <w:szCs w:val="20"/>
                <w:highlight w:val="none"/>
              </w:rPr>
            </w:pPr>
          </w:p>
        </w:tc>
        <w:tc>
          <w:tcPr>
            <w:tcW w:w="900" w:type="pct"/>
            <w:shd w:val="clear" w:color="auto" w:fill="auto"/>
            <w:vAlign w:val="center"/>
          </w:tcPr>
          <w:p w14:paraId="3C727DE3">
            <w:pPr>
              <w:widowControl w:val="0"/>
              <w:adjustRightInd w:val="0"/>
              <w:snapToGrid w:val="0"/>
              <w:rPr>
                <w:rFonts w:cs="宋体"/>
                <w:snapToGrid w:val="0"/>
                <w:color w:val="auto"/>
                <w:kern w:val="0"/>
                <w:szCs w:val="20"/>
                <w:highlight w:val="none"/>
              </w:rPr>
            </w:pPr>
          </w:p>
        </w:tc>
        <w:tc>
          <w:tcPr>
            <w:tcW w:w="1383" w:type="pct"/>
            <w:shd w:val="clear" w:color="auto" w:fill="auto"/>
            <w:vAlign w:val="center"/>
          </w:tcPr>
          <w:p w14:paraId="0F544522">
            <w:pPr>
              <w:widowControl w:val="0"/>
              <w:adjustRightInd w:val="0"/>
              <w:snapToGrid w:val="0"/>
              <w:rPr>
                <w:snapToGrid w:val="0"/>
                <w:color w:val="auto"/>
                <w:kern w:val="0"/>
                <w:szCs w:val="20"/>
                <w:highlight w:val="none"/>
              </w:rPr>
            </w:pPr>
          </w:p>
        </w:tc>
        <w:tc>
          <w:tcPr>
            <w:tcW w:w="356" w:type="pct"/>
            <w:shd w:val="clear" w:color="auto" w:fill="auto"/>
            <w:vAlign w:val="center"/>
          </w:tcPr>
          <w:p w14:paraId="2EECF0C2">
            <w:pPr>
              <w:widowControl w:val="0"/>
              <w:adjustRightInd w:val="0"/>
              <w:snapToGrid w:val="0"/>
              <w:jc w:val="center"/>
              <w:rPr>
                <w:rFonts w:cs="宋体"/>
                <w:snapToGrid w:val="0"/>
                <w:color w:val="auto"/>
                <w:kern w:val="0"/>
                <w:szCs w:val="20"/>
                <w:highlight w:val="none"/>
              </w:rPr>
            </w:pPr>
          </w:p>
        </w:tc>
        <w:tc>
          <w:tcPr>
            <w:tcW w:w="516" w:type="pct"/>
            <w:shd w:val="clear" w:color="auto" w:fill="auto"/>
            <w:vAlign w:val="center"/>
          </w:tcPr>
          <w:p w14:paraId="52DD2049">
            <w:pPr>
              <w:widowControl w:val="0"/>
              <w:adjustRightInd w:val="0"/>
              <w:snapToGrid w:val="0"/>
              <w:rPr>
                <w:snapToGrid w:val="0"/>
                <w:color w:val="auto"/>
                <w:kern w:val="0"/>
                <w:szCs w:val="20"/>
                <w:highlight w:val="none"/>
              </w:rPr>
            </w:pPr>
          </w:p>
        </w:tc>
        <w:tc>
          <w:tcPr>
            <w:tcW w:w="516" w:type="pct"/>
            <w:shd w:val="clear" w:color="auto" w:fill="auto"/>
            <w:vAlign w:val="center"/>
          </w:tcPr>
          <w:p w14:paraId="082C7A3F">
            <w:pPr>
              <w:widowControl w:val="0"/>
              <w:adjustRightInd w:val="0"/>
              <w:snapToGrid w:val="0"/>
              <w:rPr>
                <w:snapToGrid w:val="0"/>
                <w:color w:val="auto"/>
                <w:kern w:val="0"/>
                <w:szCs w:val="20"/>
                <w:highlight w:val="none"/>
              </w:rPr>
            </w:pPr>
          </w:p>
        </w:tc>
        <w:tc>
          <w:tcPr>
            <w:tcW w:w="516" w:type="pct"/>
            <w:shd w:val="clear" w:color="auto" w:fill="auto"/>
            <w:vAlign w:val="center"/>
          </w:tcPr>
          <w:p w14:paraId="2D5A81AE">
            <w:pPr>
              <w:widowControl w:val="0"/>
              <w:adjustRightInd w:val="0"/>
              <w:snapToGrid w:val="0"/>
              <w:rPr>
                <w:snapToGrid w:val="0"/>
                <w:color w:val="auto"/>
                <w:kern w:val="0"/>
                <w:szCs w:val="20"/>
                <w:highlight w:val="none"/>
              </w:rPr>
            </w:pPr>
          </w:p>
        </w:tc>
        <w:tc>
          <w:tcPr>
            <w:tcW w:w="442" w:type="pct"/>
            <w:shd w:val="clear" w:color="auto" w:fill="auto"/>
            <w:vAlign w:val="center"/>
          </w:tcPr>
          <w:p w14:paraId="042DABEF">
            <w:pPr>
              <w:widowControl w:val="0"/>
              <w:adjustRightInd w:val="0"/>
              <w:snapToGrid w:val="0"/>
              <w:rPr>
                <w:snapToGrid w:val="0"/>
                <w:color w:val="auto"/>
                <w:kern w:val="0"/>
                <w:szCs w:val="20"/>
                <w:highlight w:val="none"/>
              </w:rPr>
            </w:pPr>
          </w:p>
        </w:tc>
      </w:tr>
      <w:tr w14:paraId="78FE1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10" w:type="pct"/>
            <w:gridSpan w:val="4"/>
            <w:shd w:val="clear" w:color="auto" w:fill="auto"/>
            <w:vAlign w:val="center"/>
          </w:tcPr>
          <w:p w14:paraId="3E6729C6">
            <w:pPr>
              <w:widowControl w:val="0"/>
              <w:adjustRightInd w:val="0"/>
              <w:snapToGrid w:val="0"/>
              <w:jc w:val="center"/>
              <w:rPr>
                <w:rFonts w:cs="宋体"/>
                <w:snapToGrid w:val="0"/>
                <w:color w:val="auto"/>
                <w:kern w:val="0"/>
                <w:szCs w:val="20"/>
                <w:highlight w:val="none"/>
              </w:rPr>
            </w:pPr>
            <w:r>
              <w:rPr>
                <w:rFonts w:hint="eastAsia" w:cs="宋体"/>
                <w:b/>
                <w:bCs/>
                <w:snapToGrid w:val="0"/>
                <w:color w:val="auto"/>
                <w:kern w:val="0"/>
                <w:highlight w:val="none"/>
              </w:rPr>
              <w:t>矿区及配套基础设施投资明细合计（小写）</w:t>
            </w:r>
          </w:p>
        </w:tc>
        <w:tc>
          <w:tcPr>
            <w:tcW w:w="1990" w:type="pct"/>
            <w:gridSpan w:val="4"/>
            <w:shd w:val="clear" w:color="auto" w:fill="auto"/>
            <w:vAlign w:val="center"/>
          </w:tcPr>
          <w:p w14:paraId="321F61F7">
            <w:pPr>
              <w:widowControl w:val="0"/>
              <w:adjustRightInd w:val="0"/>
              <w:snapToGrid w:val="0"/>
              <w:rPr>
                <w:snapToGrid w:val="0"/>
                <w:color w:val="auto"/>
                <w:kern w:val="0"/>
                <w:szCs w:val="20"/>
                <w:highlight w:val="none"/>
              </w:rPr>
            </w:pPr>
          </w:p>
        </w:tc>
      </w:tr>
      <w:tr w14:paraId="5A86A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010" w:type="pct"/>
            <w:gridSpan w:val="4"/>
            <w:shd w:val="clear" w:color="auto" w:fill="auto"/>
            <w:vAlign w:val="center"/>
          </w:tcPr>
          <w:p w14:paraId="5D7F6B11">
            <w:pPr>
              <w:widowControl w:val="0"/>
              <w:adjustRightInd w:val="0"/>
              <w:snapToGrid w:val="0"/>
              <w:jc w:val="center"/>
              <w:rPr>
                <w:rFonts w:cs="宋体"/>
                <w:snapToGrid w:val="0"/>
                <w:color w:val="auto"/>
                <w:kern w:val="0"/>
                <w:szCs w:val="20"/>
                <w:highlight w:val="none"/>
              </w:rPr>
            </w:pPr>
            <w:r>
              <w:rPr>
                <w:rFonts w:hint="eastAsia" w:cs="宋体"/>
                <w:b/>
                <w:bCs/>
                <w:snapToGrid w:val="0"/>
                <w:color w:val="auto"/>
                <w:kern w:val="0"/>
                <w:highlight w:val="none"/>
              </w:rPr>
              <w:t>矿区及配套基础设施投资明细合计（大写）</w:t>
            </w:r>
          </w:p>
        </w:tc>
        <w:tc>
          <w:tcPr>
            <w:tcW w:w="1990" w:type="pct"/>
            <w:gridSpan w:val="4"/>
            <w:shd w:val="clear" w:color="auto" w:fill="auto"/>
            <w:vAlign w:val="center"/>
          </w:tcPr>
          <w:p w14:paraId="21587B80">
            <w:pPr>
              <w:widowControl w:val="0"/>
              <w:adjustRightInd w:val="0"/>
              <w:snapToGrid w:val="0"/>
              <w:rPr>
                <w:snapToGrid w:val="0"/>
                <w:color w:val="auto"/>
                <w:kern w:val="0"/>
                <w:szCs w:val="20"/>
                <w:highlight w:val="none"/>
              </w:rPr>
            </w:pPr>
          </w:p>
        </w:tc>
      </w:tr>
    </w:tbl>
    <w:p w14:paraId="663A31D0">
      <w:pPr>
        <w:widowControl w:val="0"/>
        <w:adjustRightInd w:val="0"/>
        <w:snapToGrid w:val="0"/>
        <w:rPr>
          <w:color w:val="auto"/>
          <w:highlight w:val="none"/>
        </w:rPr>
      </w:pPr>
      <w:r>
        <w:rPr>
          <w:rFonts w:hint="eastAsia"/>
          <w:color w:val="auto"/>
          <w:highlight w:val="none"/>
        </w:rPr>
        <w:t>说明：</w:t>
      </w:r>
    </w:p>
    <w:p w14:paraId="641FF14F">
      <w:pPr>
        <w:widowControl w:val="0"/>
        <w:adjustRightInd w:val="0"/>
        <w:snapToGrid w:val="0"/>
        <w:rPr>
          <w:color w:val="auto"/>
          <w:highlight w:val="none"/>
        </w:rPr>
      </w:pPr>
      <w:r>
        <w:rPr>
          <w:rFonts w:hint="eastAsia"/>
          <w:color w:val="auto"/>
          <w:highlight w:val="none"/>
        </w:rPr>
        <w:t>▲1、</w:t>
      </w:r>
      <w:r>
        <w:rPr>
          <w:rFonts w:hint="eastAsia"/>
          <w:color w:val="auto"/>
          <w:highlight w:val="none"/>
        </w:rPr>
        <w:t>矿区及配套基础设施投资明细合计不得低于4000万元，否则投标无效。</w:t>
      </w:r>
    </w:p>
    <w:p w14:paraId="7009EF1F">
      <w:pPr>
        <w:widowControl w:val="0"/>
        <w:adjustRightInd w:val="0"/>
        <w:snapToGrid w:val="0"/>
        <w:rPr>
          <w:color w:val="auto"/>
          <w:highlight w:val="none"/>
        </w:rPr>
      </w:pPr>
      <w:r>
        <w:rPr>
          <w:rFonts w:hint="eastAsia"/>
          <w:color w:val="auto"/>
          <w:highlight w:val="none"/>
        </w:rPr>
        <w:t>▲2、参考本表格式（可修改）提供详细的预算，未提供的投标无效。</w:t>
      </w:r>
    </w:p>
    <w:p w14:paraId="7BE45A64">
      <w:pPr>
        <w:widowControl w:val="0"/>
        <w:adjustRightInd w:val="0"/>
        <w:snapToGrid w:val="0"/>
        <w:rPr>
          <w:color w:val="auto"/>
          <w:highlight w:val="none"/>
        </w:rPr>
      </w:pPr>
      <w:r>
        <w:rPr>
          <w:rFonts w:hint="eastAsia"/>
          <w:color w:val="auto"/>
          <w:highlight w:val="none"/>
        </w:rPr>
        <w:t>3、矿区及配套基础设施包括：矿山工程建设、石料生产加工生产线建设（包含机电设备安装、其它地面辅助生产系统、矿区配套公辅工程的建设）、加工厂房、智能化数字监管平台（矿山安全生产监管平台、矿产资源开发利用监管平台）、外部连接道路等。</w:t>
      </w:r>
    </w:p>
    <w:p w14:paraId="500C7345">
      <w:pPr>
        <w:widowControl w:val="0"/>
        <w:adjustRightInd w:val="0"/>
        <w:snapToGrid w:val="0"/>
        <w:rPr>
          <w:color w:val="auto"/>
          <w:highlight w:val="none"/>
        </w:rPr>
      </w:pPr>
      <w:r>
        <w:rPr>
          <w:rFonts w:hint="eastAsia"/>
          <w:color w:val="auto"/>
          <w:highlight w:val="none"/>
        </w:rPr>
        <w:t>矿区及配套基础设施不包括：可移动的设备（包括穿孔设备、装运设备、除尘设备、质量检测设备、汽车等），智能化数字监管平台所需的软件，办公家具，原土剥离，归属供应商范围使用的1.5元/吨的安全生产费用覆盖的内容。</w:t>
      </w:r>
    </w:p>
    <w:p w14:paraId="09BC3803">
      <w:pPr>
        <w:widowControl w:val="0"/>
        <w:adjustRightInd w:val="0"/>
        <w:snapToGrid w:val="0"/>
        <w:rPr>
          <w:color w:val="auto"/>
          <w:highlight w:val="none"/>
        </w:rPr>
      </w:pPr>
      <w:r>
        <w:rPr>
          <w:rFonts w:hint="eastAsia"/>
          <w:color w:val="auto"/>
          <w:highlight w:val="none"/>
        </w:rPr>
        <w:t>▲4、供应商不得将上述矿区及配套基础设施不包括的内容列入预算，</w:t>
      </w:r>
      <w:r>
        <w:rPr>
          <w:rFonts w:hint="eastAsia"/>
          <w:color w:val="auto"/>
          <w:highlight w:val="none"/>
        </w:rPr>
        <w:t>否则投标无效。</w:t>
      </w:r>
    </w:p>
    <w:p w14:paraId="6D635010">
      <w:pPr>
        <w:widowControl w:val="0"/>
        <w:adjustRightInd w:val="0"/>
        <w:snapToGrid w:val="0"/>
        <w:rPr>
          <w:color w:val="auto"/>
          <w:highlight w:val="none"/>
        </w:rPr>
      </w:pPr>
      <w:r>
        <w:rPr>
          <w:rFonts w:hint="eastAsia"/>
          <w:color w:val="auto"/>
          <w:highlight w:val="none"/>
        </w:rPr>
        <w:t>5、矿区及配套基础设施投资核定时：如达到投标承诺90%及以上的，按其投标相关费用执行；如未达到投标承诺90%的，按最终审定的“矿区及配套基础设施投资”审定价，调整最终生产加工费结算单价。</w:t>
      </w:r>
    </w:p>
    <w:p w14:paraId="44ED77C7">
      <w:pPr>
        <w:widowControl w:val="0"/>
        <w:adjustRightInd w:val="0"/>
        <w:snapToGrid w:val="0"/>
        <w:rPr>
          <w:color w:val="auto"/>
          <w:highlight w:val="none"/>
        </w:rPr>
      </w:pPr>
    </w:p>
    <w:p w14:paraId="463A1DB9">
      <w:pPr>
        <w:widowControl w:val="0"/>
        <w:adjustRightInd w:val="0"/>
        <w:snapToGrid w:val="0"/>
        <w:rPr>
          <w:color w:val="auto"/>
          <w:highlight w:val="none"/>
        </w:rPr>
      </w:pPr>
    </w:p>
    <w:p w14:paraId="4FABA897">
      <w:pPr>
        <w:widowControl w:val="0"/>
        <w:adjustRightInd w:val="0"/>
        <w:snapToGrid w:val="0"/>
        <w:rPr>
          <w:color w:val="auto"/>
          <w:highlight w:val="none"/>
        </w:rPr>
      </w:pPr>
    </w:p>
    <w:p w14:paraId="5C3100A2">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二、报价情况说明（如果有）</w:t>
      </w:r>
    </w:p>
    <w:p w14:paraId="5EF21C1E">
      <w:pPr>
        <w:widowControl w:val="0"/>
        <w:adjustRightInd w:val="0"/>
        <w:snapToGrid w:val="0"/>
        <w:rPr>
          <w:color w:val="auto"/>
          <w:highlight w:val="none"/>
        </w:rPr>
      </w:pPr>
    </w:p>
    <w:p w14:paraId="092D9FDD">
      <w:pPr>
        <w:widowControl w:val="0"/>
        <w:adjustRightInd w:val="0"/>
        <w:snapToGrid w:val="0"/>
        <w:rPr>
          <w:color w:val="auto"/>
          <w:highlight w:val="none"/>
        </w:rPr>
      </w:pPr>
    </w:p>
    <w:p w14:paraId="365AA984">
      <w:pPr>
        <w:widowControl w:val="0"/>
        <w:adjustRightInd w:val="0"/>
        <w:snapToGrid w:val="0"/>
        <w:rPr>
          <w:color w:val="auto"/>
          <w:highlight w:val="none"/>
        </w:rPr>
      </w:pPr>
    </w:p>
    <w:p w14:paraId="4F260AB0">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（如供应商报价低于项目预算</w:t>
      </w:r>
      <w:r>
        <w:rPr>
          <w:b/>
          <w:bCs/>
          <w:color w:val="auto"/>
          <w:kern w:val="0"/>
          <w:sz w:val="24"/>
          <w:highlight w:val="none"/>
          <w:lang w:val="zh-CN"/>
        </w:rPr>
        <w:t>50%</w:t>
      </w:r>
      <w:r>
        <w:rPr>
          <w:rFonts w:hint="eastAsia" w:ascii="宋体" w:hAnsi="宋体" w:cs="宋体"/>
          <w:b/>
          <w:bCs/>
          <w:color w:val="auto"/>
          <w:kern w:val="0"/>
          <w:sz w:val="24"/>
          <w:highlight w:val="none"/>
          <w:lang w:val="zh-CN"/>
        </w:rPr>
        <w:t>的，应当提交本文档，详细阐述不影响产品质量或者诚信履约的具体原因。）</w:t>
      </w:r>
    </w:p>
    <w:p w14:paraId="0174E4B2">
      <w:pPr>
        <w:widowControl w:val="0"/>
        <w:adjustRightInd w:val="0"/>
        <w:snapToGrid w:val="0"/>
        <w:rPr>
          <w:color w:val="auto"/>
          <w:highlight w:val="none"/>
        </w:rPr>
      </w:pPr>
    </w:p>
    <w:p w14:paraId="7C764392">
      <w:pPr>
        <w:widowControl w:val="0"/>
        <w:adjustRightInd w:val="0"/>
        <w:snapToGrid w:val="0"/>
        <w:rPr>
          <w:color w:val="auto"/>
          <w:highlight w:val="none"/>
        </w:rPr>
      </w:pPr>
    </w:p>
    <w:p w14:paraId="600B401C">
      <w:pPr>
        <w:widowControl w:val="0"/>
        <w:adjustRightInd w:val="0"/>
        <w:snapToGrid w:val="0"/>
        <w:rPr>
          <w:color w:val="auto"/>
          <w:highlight w:val="none"/>
        </w:rPr>
      </w:pPr>
    </w:p>
    <w:p w14:paraId="2AA75228">
      <w:pPr>
        <w:widowControl w:val="0"/>
        <w:adjustRightInd w:val="0"/>
        <w:snapToGrid w:val="0"/>
        <w:rPr>
          <w:color w:val="auto"/>
          <w:highlight w:val="none"/>
        </w:rPr>
      </w:pPr>
    </w:p>
    <w:p w14:paraId="70079628">
      <w:pPr>
        <w:widowControl w:val="0"/>
        <w:adjustRightInd w:val="0"/>
        <w:snapToGrid w:val="0"/>
        <w:rPr>
          <w:color w:val="auto"/>
          <w:highlight w:val="none"/>
        </w:rPr>
      </w:pPr>
    </w:p>
    <w:p w14:paraId="6E185D43">
      <w:pPr>
        <w:widowControl w:val="0"/>
        <w:adjustRightInd w:val="0"/>
        <w:snapToGrid w:val="0"/>
        <w:rPr>
          <w:color w:val="auto"/>
          <w:highlight w:val="none"/>
        </w:rPr>
      </w:pPr>
    </w:p>
    <w:p w14:paraId="37BEC05D">
      <w:pPr>
        <w:widowControl w:val="0"/>
        <w:adjustRightInd w:val="0"/>
        <w:snapToGrid w:val="0"/>
        <w:rPr>
          <w:color w:val="auto"/>
          <w:highlight w:val="none"/>
        </w:rPr>
      </w:pPr>
    </w:p>
    <w:p w14:paraId="2BE66E5A">
      <w:pPr>
        <w:widowControl w:val="0"/>
        <w:adjustRightInd w:val="0"/>
        <w:snapToGrid w:val="0"/>
        <w:rPr>
          <w:color w:val="auto"/>
          <w:highlight w:val="none"/>
        </w:rPr>
      </w:pPr>
    </w:p>
    <w:p w14:paraId="42243FDF">
      <w:pPr>
        <w:widowControl w:val="0"/>
        <w:adjustRightInd w:val="0"/>
        <w:snapToGrid w:val="0"/>
        <w:rPr>
          <w:color w:val="auto"/>
          <w:highlight w:val="none"/>
        </w:rPr>
      </w:pPr>
    </w:p>
    <w:p w14:paraId="03B32B4D">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三、中小企业声明函</w:t>
      </w:r>
      <w:bookmarkStart w:id="423" w:name="_Hlk101259491"/>
      <w:r>
        <w:rPr>
          <w:rFonts w:hint="eastAsia" w:cs="宋体"/>
          <w:b/>
          <w:bCs/>
          <w:color w:val="auto"/>
          <w:kern w:val="0"/>
          <w:sz w:val="28"/>
          <w:szCs w:val="28"/>
          <w:highlight w:val="none"/>
        </w:rPr>
        <w:t>（如果有）</w:t>
      </w:r>
      <w:bookmarkEnd w:id="423"/>
    </w:p>
    <w:p w14:paraId="0B90E1EC">
      <w:pPr>
        <w:widowControl w:val="0"/>
        <w:adjustRightInd w:val="0"/>
        <w:snapToGrid w:val="0"/>
        <w:rPr>
          <w:color w:val="auto"/>
          <w:highlight w:val="none"/>
        </w:rPr>
      </w:pPr>
    </w:p>
    <w:p w14:paraId="5037D002">
      <w:pPr>
        <w:widowControl w:val="0"/>
        <w:adjustRightInd w:val="0"/>
        <w:snapToGrid w:val="0"/>
        <w:rPr>
          <w:color w:val="auto"/>
          <w:highlight w:val="none"/>
        </w:rPr>
      </w:pPr>
    </w:p>
    <w:p w14:paraId="0833BC30">
      <w:pPr>
        <w:widowControl w:val="0"/>
        <w:adjustRightInd w:val="0"/>
        <w:snapToGrid w:val="0"/>
        <w:rPr>
          <w:color w:val="auto"/>
          <w:highlight w:val="none"/>
        </w:rPr>
      </w:pPr>
    </w:p>
    <w:p w14:paraId="43C740A6">
      <w:pPr>
        <w:widowControl w:val="0"/>
        <w:autoSpaceDE w:val="0"/>
        <w:autoSpaceDN w:val="0"/>
        <w:adjustRightInd w:val="0"/>
        <w:snapToGrid w:val="0"/>
        <w:spacing w:line="30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color w:val="auto"/>
          <w:kern w:val="0"/>
          <w:sz w:val="24"/>
          <w:highlight w:val="none"/>
          <w:lang w:val="zh-CN"/>
        </w:rPr>
        <w:t>7</w:t>
      </w:r>
      <w:r>
        <w:rPr>
          <w:rFonts w:hint="eastAsia" w:ascii="宋体" w:hAnsi="宋体" w:cs="宋体"/>
          <w:b/>
          <w:bCs/>
          <w:color w:val="auto"/>
          <w:kern w:val="0"/>
          <w:sz w:val="24"/>
          <w:highlight w:val="none"/>
          <w:lang w:val="zh-CN"/>
        </w:rPr>
        <w:t>）。]</w:t>
      </w:r>
    </w:p>
    <w:p w14:paraId="4E07F785">
      <w:pPr>
        <w:widowControl w:val="0"/>
        <w:adjustRightInd w:val="0"/>
        <w:snapToGrid w:val="0"/>
        <w:rPr>
          <w:color w:val="auto"/>
          <w:highlight w:val="none"/>
        </w:rPr>
      </w:pPr>
    </w:p>
    <w:p w14:paraId="22AF93A4">
      <w:pPr>
        <w:widowControl w:val="0"/>
        <w:adjustRightInd w:val="0"/>
        <w:snapToGrid w:val="0"/>
        <w:rPr>
          <w:color w:val="auto"/>
          <w:highlight w:val="none"/>
        </w:rPr>
      </w:pPr>
    </w:p>
    <w:p w14:paraId="44BFCAC0">
      <w:pPr>
        <w:widowControl w:val="0"/>
        <w:adjustRightInd w:val="0"/>
        <w:snapToGrid w:val="0"/>
        <w:rPr>
          <w:color w:val="auto"/>
          <w:highlight w:val="none"/>
        </w:rPr>
      </w:pPr>
    </w:p>
    <w:p w14:paraId="0CD20F3B">
      <w:pPr>
        <w:widowControl w:val="0"/>
        <w:adjustRightInd w:val="0"/>
        <w:snapToGrid w:val="0"/>
        <w:rPr>
          <w:color w:val="auto"/>
          <w:highlight w:val="none"/>
        </w:rPr>
      </w:pPr>
    </w:p>
    <w:p w14:paraId="719EF7FD">
      <w:pPr>
        <w:widowControl w:val="0"/>
        <w:adjustRightInd w:val="0"/>
        <w:snapToGrid w:val="0"/>
        <w:rPr>
          <w:color w:val="auto"/>
          <w:highlight w:val="none"/>
        </w:rPr>
      </w:pPr>
    </w:p>
    <w:p w14:paraId="7A9C8F88">
      <w:pPr>
        <w:widowControl w:val="0"/>
        <w:adjustRightInd w:val="0"/>
        <w:snapToGrid w:val="0"/>
        <w:rPr>
          <w:color w:val="auto"/>
          <w:highlight w:val="none"/>
        </w:rPr>
      </w:pPr>
    </w:p>
    <w:p w14:paraId="633B4087">
      <w:pPr>
        <w:widowControl w:val="0"/>
        <w:adjustRightInd w:val="0"/>
        <w:snapToGrid w:val="0"/>
        <w:rPr>
          <w:color w:val="auto"/>
          <w:highlight w:val="none"/>
        </w:rPr>
      </w:pPr>
    </w:p>
    <w:p w14:paraId="73275913">
      <w:pPr>
        <w:widowControl w:val="0"/>
        <w:adjustRightInd w:val="0"/>
        <w:snapToGrid w:val="0"/>
        <w:rPr>
          <w:color w:val="auto"/>
          <w:highlight w:val="none"/>
        </w:rPr>
      </w:pPr>
    </w:p>
    <w:p w14:paraId="47912C88">
      <w:pPr>
        <w:widowControl w:val="0"/>
        <w:adjustRightInd w:val="0"/>
        <w:snapToGrid w:val="0"/>
        <w:rPr>
          <w:color w:val="auto"/>
          <w:highlight w:val="none"/>
        </w:rPr>
      </w:pPr>
    </w:p>
    <w:p w14:paraId="27663659">
      <w:pPr>
        <w:widowControl w:val="0"/>
        <w:adjustRightInd w:val="0"/>
        <w:snapToGrid w:val="0"/>
        <w:rPr>
          <w:color w:val="auto"/>
          <w:highlight w:val="none"/>
        </w:rPr>
      </w:pPr>
    </w:p>
    <w:p w14:paraId="173FBF1D">
      <w:pPr>
        <w:widowControl w:val="0"/>
        <w:adjustRightInd w:val="0"/>
        <w:snapToGrid w:val="0"/>
        <w:rPr>
          <w:color w:val="auto"/>
          <w:highlight w:val="none"/>
        </w:rPr>
      </w:pPr>
    </w:p>
    <w:p w14:paraId="039379A8">
      <w:pPr>
        <w:widowControl w:val="0"/>
        <w:adjustRightInd w:val="0"/>
        <w:snapToGrid w:val="0"/>
        <w:rPr>
          <w:color w:val="auto"/>
          <w:highlight w:val="none"/>
        </w:rPr>
      </w:pPr>
    </w:p>
    <w:p w14:paraId="4BAEC566">
      <w:pPr>
        <w:widowControl w:val="0"/>
        <w:adjustRightInd w:val="0"/>
        <w:snapToGrid w:val="0"/>
        <w:rPr>
          <w:color w:val="auto"/>
          <w:highlight w:val="none"/>
        </w:rPr>
      </w:pPr>
    </w:p>
    <w:p w14:paraId="0AD7A9B5">
      <w:pPr>
        <w:widowControl w:val="0"/>
        <w:adjustRightInd w:val="0"/>
        <w:snapToGrid w:val="0"/>
        <w:rPr>
          <w:color w:val="auto"/>
          <w:highlight w:val="none"/>
        </w:rPr>
      </w:pPr>
    </w:p>
    <w:p w14:paraId="0E963B74">
      <w:pPr>
        <w:widowControl w:val="0"/>
        <w:adjustRightInd w:val="0"/>
        <w:snapToGrid w:val="0"/>
        <w:rPr>
          <w:color w:val="auto"/>
          <w:highlight w:val="none"/>
        </w:rPr>
      </w:pPr>
    </w:p>
    <w:p w14:paraId="34739B8C">
      <w:pPr>
        <w:widowControl w:val="0"/>
        <w:adjustRightInd w:val="0"/>
        <w:snapToGrid w:val="0"/>
        <w:rPr>
          <w:color w:val="auto"/>
          <w:highlight w:val="none"/>
        </w:rPr>
      </w:pPr>
    </w:p>
    <w:p w14:paraId="52230B7F">
      <w:pPr>
        <w:widowControl w:val="0"/>
        <w:adjustRightInd w:val="0"/>
        <w:snapToGrid w:val="0"/>
        <w:rPr>
          <w:color w:val="auto"/>
          <w:highlight w:val="none"/>
        </w:rPr>
      </w:pPr>
    </w:p>
    <w:p w14:paraId="257CE579">
      <w:pPr>
        <w:widowControl w:val="0"/>
        <w:adjustRightInd w:val="0"/>
        <w:snapToGrid w:val="0"/>
        <w:rPr>
          <w:color w:val="auto"/>
          <w:highlight w:val="none"/>
        </w:rPr>
      </w:pPr>
    </w:p>
    <w:p w14:paraId="437C20BC">
      <w:pPr>
        <w:widowControl w:val="0"/>
        <w:adjustRightInd w:val="0"/>
        <w:snapToGrid w:val="0"/>
        <w:rPr>
          <w:color w:val="auto"/>
          <w:highlight w:val="none"/>
        </w:rPr>
      </w:pPr>
    </w:p>
    <w:p w14:paraId="0C00949B">
      <w:pPr>
        <w:widowControl w:val="0"/>
        <w:adjustRightInd w:val="0"/>
        <w:snapToGrid w:val="0"/>
        <w:rPr>
          <w:color w:val="auto"/>
          <w:highlight w:val="none"/>
        </w:rPr>
      </w:pPr>
    </w:p>
    <w:p w14:paraId="0D51BCA7">
      <w:pPr>
        <w:widowControl w:val="0"/>
        <w:adjustRightInd w:val="0"/>
        <w:snapToGrid w:val="0"/>
        <w:rPr>
          <w:color w:val="auto"/>
          <w:highlight w:val="none"/>
        </w:rPr>
      </w:pPr>
    </w:p>
    <w:p w14:paraId="13BF0AF1">
      <w:pPr>
        <w:widowControl w:val="0"/>
        <w:adjustRightInd w:val="0"/>
        <w:snapToGrid w:val="0"/>
        <w:rPr>
          <w:color w:val="auto"/>
          <w:highlight w:val="none"/>
        </w:rPr>
      </w:pPr>
    </w:p>
    <w:p w14:paraId="231382D7">
      <w:pPr>
        <w:widowControl w:val="0"/>
        <w:adjustRightInd w:val="0"/>
        <w:snapToGrid w:val="0"/>
        <w:rPr>
          <w:color w:val="auto"/>
          <w:highlight w:val="none"/>
        </w:rPr>
      </w:pPr>
    </w:p>
    <w:p w14:paraId="3E8F29ED">
      <w:pPr>
        <w:widowControl w:val="0"/>
        <w:adjustRightInd w:val="0"/>
        <w:snapToGrid w:val="0"/>
        <w:rPr>
          <w:color w:val="auto"/>
          <w:highlight w:val="none"/>
        </w:rPr>
      </w:pPr>
    </w:p>
    <w:p w14:paraId="15484F4E">
      <w:pPr>
        <w:widowControl w:val="0"/>
        <w:adjustRightInd w:val="0"/>
        <w:snapToGrid w:val="0"/>
        <w:rPr>
          <w:color w:val="auto"/>
          <w:highlight w:val="none"/>
        </w:rPr>
      </w:pPr>
    </w:p>
    <w:p w14:paraId="12170D86">
      <w:pPr>
        <w:widowControl w:val="0"/>
        <w:adjustRightInd w:val="0"/>
        <w:snapToGrid w:val="0"/>
        <w:rPr>
          <w:color w:val="auto"/>
          <w:highlight w:val="none"/>
        </w:rPr>
      </w:pPr>
    </w:p>
    <w:p w14:paraId="196E8B46">
      <w:pPr>
        <w:widowControl w:val="0"/>
        <w:adjustRightInd w:val="0"/>
        <w:snapToGrid w:val="0"/>
        <w:rPr>
          <w:color w:val="auto"/>
          <w:highlight w:val="none"/>
        </w:rPr>
      </w:pPr>
    </w:p>
    <w:p w14:paraId="40E1BBBF">
      <w:pPr>
        <w:widowControl w:val="0"/>
        <w:adjustRightInd w:val="0"/>
        <w:snapToGrid w:val="0"/>
        <w:rPr>
          <w:color w:val="auto"/>
          <w:highlight w:val="none"/>
        </w:rPr>
      </w:pPr>
    </w:p>
    <w:p w14:paraId="1999A4EC">
      <w:pPr>
        <w:widowControl w:val="0"/>
        <w:adjustRightInd w:val="0"/>
        <w:snapToGrid w:val="0"/>
        <w:rPr>
          <w:color w:val="auto"/>
          <w:highlight w:val="none"/>
        </w:rPr>
      </w:pPr>
    </w:p>
    <w:p w14:paraId="3B734CC1">
      <w:pPr>
        <w:widowControl w:val="0"/>
        <w:adjustRightInd w:val="0"/>
        <w:snapToGrid w:val="0"/>
        <w:rPr>
          <w:color w:val="auto"/>
          <w:highlight w:val="none"/>
        </w:rPr>
      </w:pPr>
    </w:p>
    <w:p w14:paraId="51546B2B">
      <w:pPr>
        <w:spacing w:line="360" w:lineRule="auto"/>
        <w:rPr>
          <w:rFonts w:hint="eastAsia" w:ascii="宋体" w:hAnsi="宋体" w:cs="宋体"/>
          <w:b/>
          <w:bCs/>
          <w:color w:val="auto"/>
          <w:sz w:val="36"/>
          <w:szCs w:val="36"/>
          <w:highlight w:val="none"/>
        </w:rPr>
      </w:pPr>
      <w:bookmarkStart w:id="424" w:name="_Toc465665161"/>
      <w:r>
        <w:rPr>
          <w:rFonts w:hint="eastAsia" w:ascii="宋体" w:hAnsi="宋体" w:cs="宋体"/>
          <w:b/>
          <w:bCs/>
          <w:color w:val="auto"/>
          <w:sz w:val="36"/>
          <w:szCs w:val="36"/>
          <w:highlight w:val="none"/>
        </w:rPr>
        <w:t>附件</w:t>
      </w:r>
      <w:bookmarkEnd w:id="424"/>
    </w:p>
    <w:p w14:paraId="2EA02F68">
      <w:pPr>
        <w:widowControl w:val="0"/>
        <w:adjustRightInd w:val="0"/>
        <w:snapToGrid w:val="0"/>
        <w:rPr>
          <w:color w:val="auto"/>
          <w:highlight w:val="none"/>
        </w:rPr>
      </w:pPr>
    </w:p>
    <w:p w14:paraId="52477A01">
      <w:pPr>
        <w:widowControl w:val="0"/>
        <w:adjustRightInd w:val="0"/>
        <w:snapToGrid w:val="0"/>
        <w:rPr>
          <w:color w:val="auto"/>
          <w:highlight w:val="none"/>
        </w:rPr>
      </w:pPr>
    </w:p>
    <w:p w14:paraId="1B204E4F">
      <w:pPr>
        <w:widowControl w:val="0"/>
        <w:adjustRightInd w:val="0"/>
        <w:snapToGrid w:val="0"/>
        <w:rPr>
          <w:color w:val="auto"/>
          <w:highlight w:val="none"/>
        </w:rPr>
      </w:pPr>
      <w:bookmarkStart w:id="425" w:name="_Hlk139413785"/>
    </w:p>
    <w:p w14:paraId="4168ED4A">
      <w:pPr>
        <w:widowControl w:val="0"/>
        <w:adjustRightInd w:val="0"/>
        <w:snapToGrid w:val="0"/>
        <w:spacing w:line="300" w:lineRule="auto"/>
        <w:rPr>
          <w:rFonts w:hint="eastAsia" w:ascii="宋体" w:hAnsi="宋体" w:cs="宋体"/>
          <w:b/>
          <w:color w:val="auto"/>
          <w:spacing w:val="6"/>
          <w:sz w:val="30"/>
          <w:szCs w:val="30"/>
          <w:highlight w:val="none"/>
        </w:rPr>
      </w:pPr>
      <w:r>
        <w:rPr>
          <w:rFonts w:hint="eastAsia" w:ascii="宋体" w:hAnsi="宋体" w:cs="宋体"/>
          <w:b/>
          <w:color w:val="auto"/>
          <w:spacing w:val="6"/>
          <w:sz w:val="30"/>
          <w:szCs w:val="30"/>
          <w:highlight w:val="none"/>
        </w:rPr>
        <w:t>附件1：</w:t>
      </w:r>
    </w:p>
    <w:p w14:paraId="7163F963">
      <w:pPr>
        <w:widowControl w:val="0"/>
        <w:adjustRightInd w:val="0"/>
        <w:snapToGrid w:val="0"/>
        <w:rPr>
          <w:color w:val="auto"/>
          <w:highlight w:val="none"/>
        </w:rPr>
      </w:pPr>
      <w:bookmarkStart w:id="426" w:name="OLE_LINK14"/>
      <w:bookmarkStart w:id="427" w:name="OLE_LINK13"/>
    </w:p>
    <w:p w14:paraId="23632C13">
      <w:pPr>
        <w:widowControl w:val="0"/>
        <w:adjustRightInd w:val="0"/>
        <w:snapToGrid w:val="0"/>
        <w:rPr>
          <w:color w:val="auto"/>
          <w:highlight w:val="none"/>
        </w:rPr>
      </w:pPr>
    </w:p>
    <w:p w14:paraId="2E9E97F7">
      <w:pPr>
        <w:widowControl w:val="0"/>
        <w:adjustRightInd w:val="0"/>
        <w:snapToGrid w:val="0"/>
        <w:rPr>
          <w:color w:val="auto"/>
          <w:highlight w:val="none"/>
        </w:rPr>
      </w:pPr>
    </w:p>
    <w:p w14:paraId="1538A803">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残疾人福利性单位声明函</w:t>
      </w:r>
    </w:p>
    <w:bookmarkEnd w:id="426"/>
    <w:bookmarkEnd w:id="427"/>
    <w:p w14:paraId="3992474B">
      <w:pPr>
        <w:widowControl w:val="0"/>
        <w:adjustRightInd w:val="0"/>
        <w:snapToGrid w:val="0"/>
        <w:rPr>
          <w:color w:val="auto"/>
          <w:highlight w:val="none"/>
        </w:rPr>
      </w:pPr>
    </w:p>
    <w:p w14:paraId="3BC5D7AC">
      <w:pPr>
        <w:widowControl w:val="0"/>
        <w:adjustRightInd w:val="0"/>
        <w:snapToGrid w:val="0"/>
        <w:rPr>
          <w:color w:val="auto"/>
          <w:highlight w:val="none"/>
        </w:rPr>
      </w:pPr>
    </w:p>
    <w:p w14:paraId="2FEFA9A4">
      <w:pPr>
        <w:widowControl w:val="0"/>
        <w:adjustRightInd w:val="0"/>
        <w:snapToGrid w:val="0"/>
        <w:rPr>
          <w:color w:val="auto"/>
          <w:highlight w:val="none"/>
        </w:rPr>
      </w:pPr>
    </w:p>
    <w:p w14:paraId="184BCF5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（采购人）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单位的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象山县爵溪街道小微企业集聚区建筑用石料（凝灰岩）矿开采加工、配套设施建设及矿产品销售代理一体化服务项目</w:t>
      </w:r>
      <w:r>
        <w:rPr>
          <w:rFonts w:cs="宋体"/>
          <w:snapToGrid w:val="0"/>
          <w:color w:val="auto"/>
          <w:kern w:val="0"/>
          <w:sz w:val="24"/>
          <w:highlight w:val="none"/>
          <w:u w:val="single"/>
        </w:rPr>
        <w:t xml:space="preserve">   </w:t>
      </w:r>
      <w:r>
        <w:rPr>
          <w:rFonts w:hint="eastAsia" w:cs="宋体"/>
          <w:snapToGrid w:val="0"/>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14:paraId="2F5E49D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本单位对上述声明的真实性负责。如有虚假，将依法承担相应责任。</w:t>
      </w:r>
    </w:p>
    <w:p w14:paraId="4F43CC5E">
      <w:pPr>
        <w:widowControl w:val="0"/>
        <w:adjustRightInd w:val="0"/>
        <w:snapToGrid w:val="0"/>
        <w:rPr>
          <w:color w:val="auto"/>
          <w:highlight w:val="none"/>
        </w:rPr>
      </w:pPr>
    </w:p>
    <w:p w14:paraId="77041760">
      <w:pPr>
        <w:widowControl w:val="0"/>
        <w:adjustRightInd w:val="0"/>
        <w:snapToGrid w:val="0"/>
        <w:rPr>
          <w:color w:val="auto"/>
          <w:highlight w:val="none"/>
        </w:rPr>
      </w:pPr>
    </w:p>
    <w:p w14:paraId="7301A6EC">
      <w:pPr>
        <w:widowControl w:val="0"/>
        <w:adjustRightInd w:val="0"/>
        <w:snapToGrid w:val="0"/>
        <w:rPr>
          <w:color w:val="auto"/>
          <w:highlight w:val="none"/>
        </w:rPr>
      </w:pPr>
    </w:p>
    <w:p w14:paraId="216D9F0D">
      <w:pPr>
        <w:widowControl w:val="0"/>
        <w:adjustRightInd w:val="0"/>
        <w:snapToGrid w:val="0"/>
        <w:rPr>
          <w:color w:val="auto"/>
          <w:highlight w:val="none"/>
        </w:rPr>
      </w:pPr>
    </w:p>
    <w:p w14:paraId="057B7E2F">
      <w:pPr>
        <w:widowControl w:val="0"/>
        <w:adjustRightInd w:val="0"/>
        <w:snapToGrid w:val="0"/>
        <w:rPr>
          <w:color w:val="auto"/>
          <w:highlight w:val="none"/>
        </w:rPr>
      </w:pPr>
    </w:p>
    <w:p w14:paraId="6DA476FC">
      <w:pPr>
        <w:widowControl w:val="0"/>
        <w:adjustRightInd w:val="0"/>
        <w:snapToGrid w:val="0"/>
        <w:rPr>
          <w:color w:val="auto"/>
          <w:highlight w:val="none"/>
        </w:rPr>
      </w:pPr>
    </w:p>
    <w:p w14:paraId="59759E4D">
      <w:pPr>
        <w:widowControl w:val="0"/>
        <w:adjustRightInd w:val="0"/>
        <w:snapToGrid w:val="0"/>
        <w:spacing w:line="300" w:lineRule="auto"/>
        <w:ind w:firstLine="4800" w:firstLineChars="20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046DA73">
      <w:pPr>
        <w:widowControl w:val="0"/>
        <w:adjustRightInd w:val="0"/>
        <w:snapToGrid w:val="0"/>
        <w:rPr>
          <w:color w:val="auto"/>
          <w:highlight w:val="none"/>
        </w:rPr>
      </w:pPr>
    </w:p>
    <w:p w14:paraId="09372587">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23A764EA">
      <w:pPr>
        <w:widowControl w:val="0"/>
        <w:adjustRightInd w:val="0"/>
        <w:snapToGrid w:val="0"/>
        <w:rPr>
          <w:color w:val="auto"/>
          <w:highlight w:val="none"/>
        </w:rPr>
      </w:pPr>
    </w:p>
    <w:p w14:paraId="67D739AD">
      <w:pPr>
        <w:widowControl w:val="0"/>
        <w:adjustRightInd w:val="0"/>
        <w:snapToGrid w:val="0"/>
        <w:rPr>
          <w:color w:val="auto"/>
          <w:highlight w:val="none"/>
        </w:rPr>
      </w:pPr>
    </w:p>
    <w:p w14:paraId="46CC856D">
      <w:pPr>
        <w:widowControl w:val="0"/>
        <w:adjustRightInd w:val="0"/>
        <w:snapToGrid w:val="0"/>
        <w:rPr>
          <w:color w:val="auto"/>
          <w:highlight w:val="none"/>
        </w:rPr>
      </w:pPr>
    </w:p>
    <w:p w14:paraId="2F278FCC">
      <w:pPr>
        <w:widowControl w:val="0"/>
        <w:adjustRightInd w:val="0"/>
        <w:snapToGrid w:val="0"/>
        <w:rPr>
          <w:color w:val="auto"/>
          <w:highlight w:val="none"/>
        </w:rPr>
      </w:pPr>
    </w:p>
    <w:p w14:paraId="1BC45FDA">
      <w:pPr>
        <w:widowControl w:val="0"/>
        <w:adjustRightInd w:val="0"/>
        <w:snapToGrid w:val="0"/>
        <w:rPr>
          <w:color w:val="auto"/>
          <w:highlight w:val="none"/>
        </w:rPr>
      </w:pPr>
    </w:p>
    <w:bookmarkEnd w:id="425"/>
    <w:p w14:paraId="579DE065">
      <w:pPr>
        <w:widowControl w:val="0"/>
        <w:adjustRightInd w:val="0"/>
        <w:snapToGrid w:val="0"/>
        <w:rPr>
          <w:color w:val="auto"/>
          <w:highlight w:val="none"/>
        </w:rPr>
      </w:pPr>
    </w:p>
    <w:p w14:paraId="5EB6775A">
      <w:pPr>
        <w:widowControl w:val="0"/>
        <w:adjustRightInd w:val="0"/>
        <w:snapToGrid w:val="0"/>
        <w:rPr>
          <w:color w:val="auto"/>
          <w:highlight w:val="none"/>
        </w:rPr>
      </w:pPr>
    </w:p>
    <w:p w14:paraId="190DB0C8">
      <w:pPr>
        <w:widowControl w:val="0"/>
        <w:adjustRightInd w:val="0"/>
        <w:snapToGrid w:val="0"/>
        <w:rPr>
          <w:color w:val="auto"/>
          <w:highlight w:val="none"/>
        </w:rPr>
      </w:pPr>
    </w:p>
    <w:p w14:paraId="3D43B083">
      <w:pPr>
        <w:widowControl w:val="0"/>
        <w:adjustRightInd w:val="0"/>
        <w:snapToGrid w:val="0"/>
        <w:rPr>
          <w:color w:val="auto"/>
          <w:highlight w:val="none"/>
        </w:rPr>
      </w:pPr>
    </w:p>
    <w:p w14:paraId="68D772D8">
      <w:pPr>
        <w:widowControl w:val="0"/>
        <w:adjustRightInd w:val="0"/>
        <w:snapToGrid w:val="0"/>
        <w:rPr>
          <w:color w:val="auto"/>
          <w:highlight w:val="none"/>
        </w:rPr>
      </w:pPr>
    </w:p>
    <w:p w14:paraId="2C5DBFD5">
      <w:pPr>
        <w:widowControl w:val="0"/>
        <w:adjustRightInd w:val="0"/>
        <w:snapToGrid w:val="0"/>
        <w:rPr>
          <w:color w:val="auto"/>
          <w:highlight w:val="none"/>
        </w:rPr>
      </w:pPr>
    </w:p>
    <w:p w14:paraId="23950F6B">
      <w:pPr>
        <w:widowControl w:val="0"/>
        <w:adjustRightInd w:val="0"/>
        <w:snapToGrid w:val="0"/>
        <w:rPr>
          <w:color w:val="auto"/>
          <w:highlight w:val="none"/>
        </w:rPr>
      </w:pPr>
    </w:p>
    <w:p w14:paraId="287D48D3">
      <w:pPr>
        <w:widowControl w:val="0"/>
        <w:adjustRightInd w:val="0"/>
        <w:snapToGrid w:val="0"/>
        <w:rPr>
          <w:color w:val="auto"/>
          <w:highlight w:val="none"/>
        </w:rPr>
      </w:pPr>
    </w:p>
    <w:p w14:paraId="695F8F08">
      <w:pPr>
        <w:widowControl w:val="0"/>
        <w:adjustRightInd w:val="0"/>
        <w:snapToGrid w:val="0"/>
        <w:rPr>
          <w:color w:val="auto"/>
          <w:highlight w:val="none"/>
        </w:rPr>
      </w:pPr>
    </w:p>
    <w:p w14:paraId="11FF1195">
      <w:pPr>
        <w:widowControl w:val="0"/>
        <w:adjustRightInd w:val="0"/>
        <w:snapToGrid w:val="0"/>
        <w:rPr>
          <w:color w:val="auto"/>
          <w:highlight w:val="none"/>
        </w:rPr>
      </w:pPr>
    </w:p>
    <w:p w14:paraId="01523548">
      <w:pPr>
        <w:widowControl w:val="0"/>
        <w:adjustRightInd w:val="0"/>
        <w:snapToGrid w:val="0"/>
        <w:rPr>
          <w:color w:val="auto"/>
          <w:highlight w:val="none"/>
        </w:rPr>
      </w:pPr>
    </w:p>
    <w:p w14:paraId="49D2CED1">
      <w:pPr>
        <w:widowControl w:val="0"/>
        <w:adjustRightInd w:val="0"/>
        <w:snapToGrid w:val="0"/>
        <w:rPr>
          <w:color w:val="auto"/>
          <w:highlight w:val="none"/>
        </w:rPr>
      </w:pPr>
    </w:p>
    <w:p w14:paraId="6DDAFCC6">
      <w:pPr>
        <w:widowControl w:val="0"/>
        <w:adjustRightInd w:val="0"/>
        <w:snapToGrid w:val="0"/>
        <w:rPr>
          <w:color w:val="auto"/>
          <w:highlight w:val="none"/>
        </w:rPr>
      </w:pPr>
    </w:p>
    <w:p w14:paraId="05201FEF">
      <w:pPr>
        <w:widowControl w:val="0"/>
        <w:adjustRightInd w:val="0"/>
        <w:snapToGrid w:val="0"/>
        <w:rPr>
          <w:color w:val="auto"/>
          <w:highlight w:val="none"/>
        </w:rPr>
      </w:pPr>
    </w:p>
    <w:p w14:paraId="3C75CBCC">
      <w:pPr>
        <w:widowControl w:val="0"/>
        <w:adjustRightInd w:val="0"/>
        <w:snapToGrid w:val="0"/>
        <w:rPr>
          <w:color w:val="auto"/>
          <w:highlight w:val="none"/>
        </w:rPr>
      </w:pPr>
    </w:p>
    <w:p w14:paraId="0E181EE3">
      <w:pPr>
        <w:widowControl w:val="0"/>
        <w:adjustRightInd w:val="0"/>
        <w:snapToGrid w:val="0"/>
        <w:spacing w:line="300" w:lineRule="auto"/>
        <w:rPr>
          <w:b/>
          <w:color w:val="auto"/>
          <w:spacing w:val="6"/>
          <w:sz w:val="30"/>
          <w:szCs w:val="30"/>
          <w:highlight w:val="none"/>
        </w:rPr>
      </w:pPr>
      <w:r>
        <w:rPr>
          <w:b/>
          <w:color w:val="auto"/>
          <w:spacing w:val="6"/>
          <w:sz w:val="30"/>
          <w:szCs w:val="30"/>
          <w:highlight w:val="none"/>
        </w:rPr>
        <w:t>附件2：质疑函范本及制作说明</w:t>
      </w:r>
    </w:p>
    <w:p w14:paraId="4E65B2C5">
      <w:pPr>
        <w:widowControl w:val="0"/>
        <w:adjustRightInd w:val="0"/>
        <w:snapToGrid w:val="0"/>
        <w:rPr>
          <w:color w:val="auto"/>
          <w:highlight w:val="none"/>
        </w:rPr>
      </w:pPr>
    </w:p>
    <w:p w14:paraId="2E881445">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质疑函范本</w:t>
      </w:r>
    </w:p>
    <w:p w14:paraId="357E79B4">
      <w:pPr>
        <w:widowControl w:val="0"/>
        <w:adjustRightInd w:val="0"/>
        <w:snapToGrid w:val="0"/>
        <w:rPr>
          <w:color w:val="auto"/>
          <w:highlight w:val="none"/>
        </w:rPr>
      </w:pPr>
    </w:p>
    <w:p w14:paraId="500FB1AD">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一、质疑供应商基本信息</w:t>
      </w:r>
    </w:p>
    <w:p w14:paraId="0520180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质疑供应商：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3B46D11C">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26D0EFB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388949CD">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p>
    <w:p w14:paraId="05E0FCCA">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234E978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19177D65">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二、质疑项目基本情况</w:t>
      </w:r>
    </w:p>
    <w:p w14:paraId="35324862">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质疑项目的名称：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650FB662">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质疑</w:t>
      </w:r>
      <w:r>
        <w:rPr>
          <w:rFonts w:hint="eastAsia" w:cs="宋体"/>
          <w:bCs/>
          <w:snapToGrid w:val="0"/>
          <w:color w:val="auto"/>
          <w:kern w:val="0"/>
          <w:sz w:val="24"/>
          <w:highlight w:val="none"/>
        </w:rPr>
        <w:t>项目</w:t>
      </w:r>
      <w:r>
        <w:rPr>
          <w:rFonts w:hint="eastAsia" w:cs="宋体"/>
          <w:snapToGrid w:val="0"/>
          <w:color w:val="auto"/>
          <w:kern w:val="0"/>
          <w:sz w:val="24"/>
          <w:highlight w:val="none"/>
        </w:rPr>
        <w:t>的编号：</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26D4C530">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采购人名称：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4B9D9861">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w:t>
      </w:r>
      <w:r>
        <w:rPr>
          <w:rFonts w:hint="eastAsia" w:cs="宋体"/>
          <w:bCs/>
          <w:snapToGrid w:val="0"/>
          <w:color w:val="auto"/>
          <w:kern w:val="0"/>
          <w:sz w:val="24"/>
          <w:highlight w:val="none"/>
        </w:rPr>
        <w:t>文件</w:t>
      </w:r>
      <w:r>
        <w:rPr>
          <w:rFonts w:hint="eastAsia" w:cs="宋体"/>
          <w:snapToGrid w:val="0"/>
          <w:color w:val="auto"/>
          <w:kern w:val="0"/>
          <w:sz w:val="24"/>
          <w:highlight w:val="none"/>
        </w:rPr>
        <w:t>获取日期：</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77EBA830">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三、质疑事项具体内容</w:t>
      </w:r>
    </w:p>
    <w:p w14:paraId="26A0294F">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质疑事项1：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695D7684">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41989659">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15CC997E">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法律</w:t>
      </w:r>
      <w:r>
        <w:rPr>
          <w:rFonts w:hint="eastAsia" w:cs="宋体"/>
          <w:snapToGrid w:val="0"/>
          <w:color w:val="auto"/>
          <w:kern w:val="0"/>
          <w:sz w:val="24"/>
          <w:highlight w:val="none"/>
        </w:rPr>
        <w:t>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6529435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B099F98">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质疑</w:t>
      </w:r>
      <w:r>
        <w:rPr>
          <w:rFonts w:hint="eastAsia" w:cs="宋体"/>
          <w:snapToGrid w:val="0"/>
          <w:color w:val="auto"/>
          <w:kern w:val="0"/>
          <w:sz w:val="24"/>
          <w:highlight w:val="none"/>
        </w:rPr>
        <w:t>事项2</w:t>
      </w:r>
    </w:p>
    <w:p w14:paraId="3B3C8A7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w:t>
      </w:r>
    </w:p>
    <w:p w14:paraId="1C9A02C8">
      <w:pPr>
        <w:widowControl w:val="0"/>
        <w:adjustRightInd w:val="0"/>
        <w:snapToGrid w:val="0"/>
        <w:spacing w:line="300" w:lineRule="auto"/>
        <w:ind w:firstLine="482" w:firstLineChars="200"/>
        <w:rPr>
          <w:rFonts w:cs="宋体"/>
          <w:b/>
          <w:snapToGrid w:val="0"/>
          <w:color w:val="auto"/>
          <w:kern w:val="0"/>
          <w:sz w:val="24"/>
          <w:highlight w:val="none"/>
        </w:rPr>
      </w:pPr>
      <w:r>
        <w:rPr>
          <w:rFonts w:hint="eastAsia" w:cs="宋体"/>
          <w:b/>
          <w:snapToGrid w:val="0"/>
          <w:color w:val="auto"/>
          <w:kern w:val="0"/>
          <w:sz w:val="24"/>
          <w:highlight w:val="none"/>
        </w:rPr>
        <w:t>四、与质疑事项相关的质疑请求</w:t>
      </w:r>
    </w:p>
    <w:p w14:paraId="5B69618F">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请求</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p>
    <w:p w14:paraId="74D09FE9">
      <w:pPr>
        <w:widowControl w:val="0"/>
        <w:adjustRightInd w:val="0"/>
        <w:snapToGrid w:val="0"/>
        <w:rPr>
          <w:color w:val="auto"/>
          <w:highlight w:val="none"/>
        </w:rPr>
      </w:pPr>
    </w:p>
    <w:p w14:paraId="02939C3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14:paraId="73DDADE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A650CF4">
      <w:pPr>
        <w:widowControl w:val="0"/>
        <w:adjustRightInd w:val="0"/>
        <w:snapToGrid w:val="0"/>
        <w:rPr>
          <w:rFonts w:cs="宋体"/>
          <w:bCs/>
          <w:color w:val="auto"/>
          <w:highlight w:val="none"/>
        </w:rPr>
      </w:pPr>
    </w:p>
    <w:p w14:paraId="31AEA044">
      <w:pPr>
        <w:widowControl w:val="0"/>
        <w:adjustRightInd w:val="0"/>
        <w:snapToGrid w:val="0"/>
        <w:rPr>
          <w:rFonts w:cs="宋体"/>
          <w:b/>
          <w:color w:val="auto"/>
          <w:highlight w:val="none"/>
        </w:rPr>
      </w:pPr>
      <w:r>
        <w:rPr>
          <w:rFonts w:hint="eastAsia" w:cs="宋体"/>
          <w:b/>
          <w:color w:val="auto"/>
          <w:highlight w:val="none"/>
        </w:rPr>
        <w:t>质疑函制作说明：</w:t>
      </w:r>
    </w:p>
    <w:p w14:paraId="13473051">
      <w:pPr>
        <w:widowControl w:val="0"/>
        <w:adjustRightInd w:val="0"/>
        <w:snapToGrid w:val="0"/>
        <w:ind w:firstLine="420" w:firstLineChars="200"/>
        <w:rPr>
          <w:rFonts w:cs="宋体"/>
          <w:color w:val="auto"/>
          <w:highlight w:val="none"/>
        </w:rPr>
      </w:pPr>
      <w:r>
        <w:rPr>
          <w:rFonts w:hint="eastAsia" w:cs="宋体"/>
          <w:color w:val="auto"/>
          <w:highlight w:val="none"/>
        </w:rPr>
        <w:t>1.供应商提出质疑时，应提交质疑函和必要的证明材料。</w:t>
      </w:r>
    </w:p>
    <w:p w14:paraId="2D153E36">
      <w:pPr>
        <w:widowControl w:val="0"/>
        <w:adjustRightInd w:val="0"/>
        <w:snapToGrid w:val="0"/>
        <w:ind w:firstLine="420" w:firstLineChars="200"/>
        <w:rPr>
          <w:rFonts w:cs="宋体"/>
          <w:color w:val="auto"/>
          <w:highlight w:val="none"/>
        </w:rPr>
      </w:pPr>
      <w:r>
        <w:rPr>
          <w:rFonts w:hint="eastAsia" w:cs="宋体"/>
          <w:color w:val="auto"/>
          <w:highlight w:val="none"/>
        </w:rPr>
        <w:t>2.质疑供应商若委托代理人进行质疑的，质疑函应按要求列明“授权代表”的有关内容，并在附件中提交由质疑</w:t>
      </w:r>
      <w:r>
        <w:rPr>
          <w:rFonts w:hint="eastAsia" w:cs="宋体"/>
          <w:color w:val="auto"/>
          <w:kern w:val="0"/>
          <w:highlight w:val="none"/>
        </w:rPr>
        <w:t>供应商签署的授权委托书。授权委托书应载明代理人的姓名或者名称、代理事项、具体权限、期限和相关事项。</w:t>
      </w:r>
    </w:p>
    <w:p w14:paraId="23006C98">
      <w:pPr>
        <w:widowControl w:val="0"/>
        <w:adjustRightInd w:val="0"/>
        <w:snapToGrid w:val="0"/>
        <w:ind w:firstLine="420" w:firstLineChars="200"/>
        <w:rPr>
          <w:rFonts w:cs="宋体"/>
          <w:color w:val="auto"/>
          <w:highlight w:val="none"/>
        </w:rPr>
      </w:pPr>
      <w:r>
        <w:rPr>
          <w:rFonts w:hint="eastAsia" w:cs="宋体"/>
          <w:color w:val="auto"/>
          <w:highlight w:val="none"/>
        </w:rPr>
        <w:t>3.质疑供应商若对项目的某一分包进行质疑，质疑函中应列明具体分包号。</w:t>
      </w:r>
    </w:p>
    <w:p w14:paraId="6252C7ED">
      <w:pPr>
        <w:widowControl w:val="0"/>
        <w:adjustRightInd w:val="0"/>
        <w:snapToGrid w:val="0"/>
        <w:ind w:firstLine="420" w:firstLineChars="200"/>
        <w:rPr>
          <w:rFonts w:cs="宋体"/>
          <w:color w:val="auto"/>
          <w:highlight w:val="none"/>
        </w:rPr>
      </w:pPr>
      <w:r>
        <w:rPr>
          <w:rFonts w:hint="eastAsia" w:cs="宋体"/>
          <w:color w:val="auto"/>
          <w:highlight w:val="none"/>
        </w:rPr>
        <w:t>4.质疑函的质疑事项应具体、明确，并有必要的事实依据和法律依据。</w:t>
      </w:r>
    </w:p>
    <w:p w14:paraId="1CCCBE98">
      <w:pPr>
        <w:widowControl w:val="0"/>
        <w:adjustRightInd w:val="0"/>
        <w:snapToGrid w:val="0"/>
        <w:ind w:firstLine="420" w:firstLineChars="200"/>
        <w:rPr>
          <w:rFonts w:cs="宋体"/>
          <w:color w:val="auto"/>
          <w:highlight w:val="none"/>
        </w:rPr>
      </w:pPr>
      <w:r>
        <w:rPr>
          <w:rFonts w:hint="eastAsia" w:cs="宋体"/>
          <w:color w:val="auto"/>
          <w:highlight w:val="none"/>
        </w:rPr>
        <w:t>5.质疑函的质疑请求应与质疑事项相关。</w:t>
      </w:r>
    </w:p>
    <w:p w14:paraId="75B88B7B">
      <w:pPr>
        <w:widowControl w:val="0"/>
        <w:adjustRightInd w:val="0"/>
        <w:snapToGrid w:val="0"/>
        <w:ind w:firstLine="420" w:firstLineChars="200"/>
        <w:rPr>
          <w:rFonts w:cs="宋体"/>
          <w:color w:val="auto"/>
          <w:highlight w:val="none"/>
        </w:rPr>
      </w:pPr>
      <w:r>
        <w:rPr>
          <w:rFonts w:hint="eastAsia" w:cs="宋体"/>
          <w:color w:val="auto"/>
          <w:highlight w:val="none"/>
        </w:rPr>
        <w:t>6.质疑供应商为自然人的，质疑函应由本人签字；质疑供应商为法人或者其他组织的，质疑函应由法定代表人、主要负责人，或者其授权代表签字或者盖章，并加盖公章。</w:t>
      </w:r>
    </w:p>
    <w:p w14:paraId="43CBEBB7">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附件3：投诉书范本及制作说明</w:t>
      </w:r>
    </w:p>
    <w:p w14:paraId="011E930B">
      <w:pPr>
        <w:widowControl w:val="0"/>
        <w:adjustRightInd w:val="0"/>
        <w:snapToGrid w:val="0"/>
        <w:rPr>
          <w:color w:val="auto"/>
          <w:highlight w:val="none"/>
        </w:rPr>
      </w:pPr>
    </w:p>
    <w:p w14:paraId="0CFBAC05">
      <w:pPr>
        <w:widowControl w:val="0"/>
        <w:adjustRightInd w:val="0"/>
        <w:snapToGrid w:val="0"/>
        <w:rPr>
          <w:color w:val="auto"/>
          <w:highlight w:val="none"/>
        </w:rPr>
      </w:pPr>
    </w:p>
    <w:p w14:paraId="2E02F6F0">
      <w:pPr>
        <w:widowControl w:val="0"/>
        <w:adjustRightInd w:val="0"/>
        <w:snapToGrid w:val="0"/>
        <w:rPr>
          <w:color w:val="auto"/>
          <w:highlight w:val="none"/>
        </w:rPr>
      </w:pPr>
    </w:p>
    <w:p w14:paraId="42C8203A">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投诉书范本</w:t>
      </w:r>
    </w:p>
    <w:p w14:paraId="12893AC3">
      <w:pPr>
        <w:widowControl w:val="0"/>
        <w:adjustRightInd w:val="0"/>
        <w:snapToGrid w:val="0"/>
        <w:rPr>
          <w:color w:val="auto"/>
          <w:highlight w:val="none"/>
        </w:rPr>
      </w:pPr>
    </w:p>
    <w:p w14:paraId="359FF301">
      <w:pPr>
        <w:widowControl w:val="0"/>
        <w:adjustRightInd w:val="0"/>
        <w:snapToGrid w:val="0"/>
        <w:rPr>
          <w:color w:val="auto"/>
          <w:highlight w:val="none"/>
        </w:rPr>
      </w:pPr>
    </w:p>
    <w:p w14:paraId="543A2EA0">
      <w:pPr>
        <w:widowControl w:val="0"/>
        <w:adjustRightInd w:val="0"/>
        <w:snapToGrid w:val="0"/>
        <w:rPr>
          <w:color w:val="auto"/>
          <w:highlight w:val="none"/>
        </w:rPr>
      </w:pPr>
    </w:p>
    <w:p w14:paraId="571B91FB">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一、投诉相关主体基本情况</w:t>
      </w:r>
    </w:p>
    <w:p w14:paraId="57BC2C90">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bCs/>
          <w:snapToGrid w:val="0"/>
          <w:color w:val="auto"/>
          <w:kern w:val="0"/>
          <w:sz w:val="24"/>
          <w:highlight w:val="none"/>
        </w:rPr>
        <w:t>投诉</w:t>
      </w:r>
      <w:r>
        <w:rPr>
          <w:rFonts w:hint="eastAsia" w:cs="宋体"/>
          <w:snapToGrid w:val="0"/>
          <w:color w:val="auto"/>
          <w:kern w:val="0"/>
          <w:sz w:val="24"/>
          <w:highlight w:val="none"/>
        </w:rPr>
        <w:t>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9067D1B">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38FA6B1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法定代表人/主要负责人：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9EC56D4">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ACC09A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授权代表：</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009B81F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p>
    <w:p w14:paraId="68D5DE62">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被投诉人1：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FC146E4">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4C996B5">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24A77D97">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被</w:t>
      </w:r>
      <w:r>
        <w:rPr>
          <w:rFonts w:hint="eastAsia" w:cs="宋体"/>
          <w:bCs/>
          <w:snapToGrid w:val="0"/>
          <w:color w:val="auto"/>
          <w:kern w:val="0"/>
          <w:sz w:val="24"/>
          <w:highlight w:val="none"/>
        </w:rPr>
        <w:t>投诉</w:t>
      </w:r>
      <w:r>
        <w:rPr>
          <w:rFonts w:hint="eastAsia" w:cs="宋体"/>
          <w:snapToGrid w:val="0"/>
          <w:color w:val="auto"/>
          <w:kern w:val="0"/>
          <w:sz w:val="24"/>
          <w:highlight w:val="none"/>
        </w:rPr>
        <w:t>人2</w:t>
      </w:r>
    </w:p>
    <w:p w14:paraId="4889C98B">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14:paraId="6905C278">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相关</w:t>
      </w:r>
      <w:r>
        <w:rPr>
          <w:rFonts w:hint="eastAsia" w:cs="宋体"/>
          <w:bCs/>
          <w:snapToGrid w:val="0"/>
          <w:color w:val="auto"/>
          <w:kern w:val="0"/>
          <w:sz w:val="24"/>
          <w:highlight w:val="none"/>
        </w:rPr>
        <w:t>供应</w:t>
      </w:r>
      <w:r>
        <w:rPr>
          <w:rFonts w:hint="eastAsia" w:cs="宋体"/>
          <w:snapToGrid w:val="0"/>
          <w:color w:val="auto"/>
          <w:kern w:val="0"/>
          <w:sz w:val="24"/>
          <w:highlight w:val="none"/>
        </w:rPr>
        <w:t>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D0261CB">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地址：</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 xml:space="preserve">    邮编：</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7F6E674F">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bCs/>
          <w:snapToGrid w:val="0"/>
          <w:color w:val="auto"/>
          <w:kern w:val="0"/>
          <w:sz w:val="24"/>
          <w:highlight w:val="none"/>
        </w:rPr>
        <w:t>联系人</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联系电话：</w:t>
      </w:r>
      <w:r>
        <w:rPr>
          <w:rFonts w:hint="eastAsia" w:cs="宋体"/>
          <w:snapToGrid w:val="0"/>
          <w:color w:val="auto"/>
          <w:kern w:val="0"/>
          <w:sz w:val="24"/>
          <w:highlight w:val="none"/>
          <w:u w:val="single"/>
        </w:rPr>
        <w:t xml:space="preserve">            </w:t>
      </w:r>
    </w:p>
    <w:p w14:paraId="497E353D">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二、投诉项目基本情况</w:t>
      </w:r>
    </w:p>
    <w:p w14:paraId="09CD429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w:t>
      </w:r>
      <w:r>
        <w:rPr>
          <w:rFonts w:hint="eastAsia" w:cs="宋体"/>
          <w:bCs/>
          <w:snapToGrid w:val="0"/>
          <w:color w:val="auto"/>
          <w:kern w:val="0"/>
          <w:sz w:val="24"/>
          <w:highlight w:val="none"/>
        </w:rPr>
        <w:t>项目</w:t>
      </w:r>
      <w:r>
        <w:rPr>
          <w:rFonts w:hint="eastAsia" w:cs="宋体"/>
          <w:snapToGrid w:val="0"/>
          <w:color w:val="auto"/>
          <w:kern w:val="0"/>
          <w:sz w:val="24"/>
          <w:highlight w:val="none"/>
        </w:rPr>
        <w:t>名称：</w:t>
      </w:r>
      <w:r>
        <w:rPr>
          <w:rFonts w:hint="eastAsia" w:cs="宋体"/>
          <w:snapToGrid w:val="0"/>
          <w:color w:val="auto"/>
          <w:kern w:val="0"/>
          <w:sz w:val="24"/>
          <w:highlight w:val="none"/>
          <w:u w:val="single"/>
        </w:rPr>
        <w:t xml:space="preserve">                                        </w:t>
      </w:r>
    </w:p>
    <w:p w14:paraId="2280AE77">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采购项目编号：</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包号：</w:t>
      </w:r>
      <w:r>
        <w:rPr>
          <w:rFonts w:hint="eastAsia" w:cs="宋体"/>
          <w:snapToGrid w:val="0"/>
          <w:color w:val="auto"/>
          <w:kern w:val="0"/>
          <w:sz w:val="24"/>
          <w:highlight w:val="none"/>
          <w:u w:val="single"/>
        </w:rPr>
        <w:t xml:space="preserve">              </w:t>
      </w:r>
    </w:p>
    <w:p w14:paraId="3DB1DEA0">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名称</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p>
    <w:p w14:paraId="6BB68055">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代理机构名称：</w:t>
      </w:r>
      <w:r>
        <w:rPr>
          <w:rFonts w:hint="eastAsia" w:cs="宋体"/>
          <w:snapToGrid w:val="0"/>
          <w:color w:val="auto"/>
          <w:kern w:val="0"/>
          <w:sz w:val="24"/>
          <w:highlight w:val="none"/>
          <w:u w:val="single"/>
        </w:rPr>
        <w:t xml:space="preserve">                                        </w:t>
      </w:r>
    </w:p>
    <w:p w14:paraId="53661F69">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采购文件公告：是/否公告期限：</w:t>
      </w:r>
      <w:r>
        <w:rPr>
          <w:rFonts w:hint="eastAsia" w:cs="宋体"/>
          <w:snapToGrid w:val="0"/>
          <w:color w:val="auto"/>
          <w:kern w:val="0"/>
          <w:sz w:val="24"/>
          <w:highlight w:val="none"/>
          <w:u w:val="single"/>
        </w:rPr>
        <w:t xml:space="preserve">                          </w:t>
      </w:r>
    </w:p>
    <w:p w14:paraId="0FCFD398">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采购结果公告：是/否公告期限：</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32F51688">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三、质疑基本情况</w:t>
      </w:r>
    </w:p>
    <w:p w14:paraId="7F6E2E9A">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投诉人于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日，向</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提出质疑，质疑事项为：</w:t>
      </w:r>
      <w:r>
        <w:rPr>
          <w:rFonts w:hint="eastAsia" w:cs="宋体"/>
          <w:snapToGrid w:val="0"/>
          <w:color w:val="auto"/>
          <w:kern w:val="0"/>
          <w:sz w:val="24"/>
          <w:highlight w:val="none"/>
          <w:u w:val="single"/>
        </w:rPr>
        <w:t xml:space="preserve">       </w:t>
      </w:r>
    </w:p>
    <w:p w14:paraId="40FEC9EC">
      <w:pPr>
        <w:widowControl w:val="0"/>
        <w:adjustRightInd w:val="0"/>
        <w:snapToGrid w:val="0"/>
        <w:spacing w:line="300" w:lineRule="auto"/>
        <w:ind w:firstLine="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14:paraId="099545D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bCs/>
          <w:snapToGrid w:val="0"/>
          <w:color w:val="auto"/>
          <w:kern w:val="0"/>
          <w:sz w:val="24"/>
          <w:highlight w:val="none"/>
        </w:rPr>
        <w:t>代理</w:t>
      </w:r>
      <w:r>
        <w:rPr>
          <w:rFonts w:hint="eastAsia" w:cs="宋体"/>
          <w:snapToGrid w:val="0"/>
          <w:color w:val="auto"/>
          <w:kern w:val="0"/>
          <w:sz w:val="24"/>
          <w:highlight w:val="none"/>
        </w:rPr>
        <w:t>机构于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年</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月</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日，就质疑事项作出了答复/没有在法定期限内作出答复。</w:t>
      </w:r>
    </w:p>
    <w:p w14:paraId="3EA6150A">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四、投诉事项具体内容</w:t>
      </w:r>
    </w:p>
    <w:p w14:paraId="0481EDBD">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投诉</w:t>
      </w:r>
      <w:r>
        <w:rPr>
          <w:rFonts w:hint="eastAsia" w:cs="宋体"/>
          <w:bCs/>
          <w:snapToGrid w:val="0"/>
          <w:color w:val="auto"/>
          <w:kern w:val="0"/>
          <w:sz w:val="24"/>
          <w:highlight w:val="none"/>
        </w:rPr>
        <w:t>事项</w:t>
      </w:r>
      <w:r>
        <w:rPr>
          <w:rFonts w:hint="eastAsia"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078A1B9E">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事实依据：</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58523977">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6573657E">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rPr>
        <w:t>法律</w:t>
      </w:r>
      <w:r>
        <w:rPr>
          <w:rFonts w:hint="eastAsia" w:cs="宋体"/>
          <w:bCs/>
          <w:snapToGrid w:val="0"/>
          <w:color w:val="auto"/>
          <w:kern w:val="0"/>
          <w:sz w:val="24"/>
          <w:highlight w:val="none"/>
        </w:rPr>
        <w:t>依据</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170975C2">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u w:val="single"/>
        </w:rPr>
        <w:t xml:space="preserve">                                                      </w:t>
      </w:r>
    </w:p>
    <w:p w14:paraId="60F744ED">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投诉事项2</w:t>
      </w:r>
    </w:p>
    <w:p w14:paraId="091C33CF">
      <w:pPr>
        <w:widowControl w:val="0"/>
        <w:adjustRightInd w:val="0"/>
        <w:snapToGrid w:val="0"/>
        <w:spacing w:line="300" w:lineRule="auto"/>
        <w:ind w:firstLine="480" w:firstLineChars="200"/>
        <w:rPr>
          <w:rFonts w:cs="宋体"/>
          <w:snapToGrid w:val="0"/>
          <w:color w:val="auto"/>
          <w:kern w:val="0"/>
          <w:sz w:val="24"/>
          <w:highlight w:val="none"/>
          <w:u w:val="dotted"/>
        </w:rPr>
      </w:pPr>
      <w:r>
        <w:rPr>
          <w:rFonts w:hint="eastAsia" w:cs="宋体"/>
          <w:snapToGrid w:val="0"/>
          <w:color w:val="auto"/>
          <w:kern w:val="0"/>
          <w:sz w:val="24"/>
          <w:highlight w:val="none"/>
        </w:rPr>
        <w:t>……</w:t>
      </w:r>
    </w:p>
    <w:p w14:paraId="19FC3B68">
      <w:pPr>
        <w:widowControl w:val="0"/>
        <w:adjustRightInd w:val="0"/>
        <w:snapToGrid w:val="0"/>
        <w:spacing w:line="300" w:lineRule="auto"/>
        <w:ind w:firstLine="482" w:firstLineChars="200"/>
        <w:rPr>
          <w:rFonts w:cs="宋体"/>
          <w:b/>
          <w:bCs/>
          <w:snapToGrid w:val="0"/>
          <w:color w:val="auto"/>
          <w:kern w:val="0"/>
          <w:sz w:val="24"/>
          <w:highlight w:val="none"/>
        </w:rPr>
      </w:pPr>
      <w:r>
        <w:rPr>
          <w:rFonts w:hint="eastAsia" w:cs="宋体"/>
          <w:b/>
          <w:bCs/>
          <w:snapToGrid w:val="0"/>
          <w:color w:val="auto"/>
          <w:kern w:val="0"/>
          <w:sz w:val="24"/>
          <w:highlight w:val="none"/>
        </w:rPr>
        <w:t>五、与投诉事项相关的投诉请求</w:t>
      </w:r>
    </w:p>
    <w:p w14:paraId="7C7FC8E3">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请求：</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4D4AB0F0">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14:paraId="4572C66C">
      <w:pPr>
        <w:widowControl w:val="0"/>
        <w:adjustRightInd w:val="0"/>
        <w:snapToGrid w:val="0"/>
        <w:rPr>
          <w:color w:val="auto"/>
          <w:highlight w:val="none"/>
        </w:rPr>
      </w:pPr>
    </w:p>
    <w:p w14:paraId="5F32F1E7">
      <w:pPr>
        <w:widowControl w:val="0"/>
        <w:adjustRightInd w:val="0"/>
        <w:snapToGrid w:val="0"/>
        <w:rPr>
          <w:color w:val="auto"/>
          <w:highlight w:val="none"/>
        </w:rPr>
      </w:pPr>
    </w:p>
    <w:p w14:paraId="40770E7F">
      <w:pPr>
        <w:widowControl w:val="0"/>
        <w:adjustRightInd w:val="0"/>
        <w:snapToGrid w:val="0"/>
        <w:rPr>
          <w:color w:val="auto"/>
          <w:highlight w:val="none"/>
        </w:rPr>
      </w:pPr>
    </w:p>
    <w:p w14:paraId="32740756">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签字</w:t>
      </w:r>
      <w:r>
        <w:rPr>
          <w:rFonts w:hint="eastAsia" w:cs="宋体"/>
          <w:snapToGrid w:val="0"/>
          <w:color w:val="auto"/>
          <w:kern w:val="0"/>
          <w:sz w:val="24"/>
          <w:highlight w:val="none"/>
        </w:rPr>
        <w:t>（签章）：</w:t>
      </w:r>
      <w:r>
        <w:rPr>
          <w:rFonts w:hint="eastAsia" w:cs="宋体"/>
          <w:snapToGrid w:val="0"/>
          <w:color w:val="auto"/>
          <w:kern w:val="0"/>
          <w:sz w:val="24"/>
          <w:highlight w:val="none"/>
          <w:u w:val="single"/>
        </w:rPr>
        <w:t xml:space="preserve">                   </w:t>
      </w:r>
      <w:r>
        <w:rPr>
          <w:rFonts w:cs="宋体"/>
          <w:snapToGrid w:val="0"/>
          <w:color w:val="auto"/>
          <w:kern w:val="0"/>
          <w:sz w:val="24"/>
          <w:highlight w:val="none"/>
        </w:rPr>
        <w:t xml:space="preserve">          </w:t>
      </w:r>
      <w:r>
        <w:rPr>
          <w:rFonts w:hint="eastAsia" w:cs="宋体"/>
          <w:snapToGrid w:val="0"/>
          <w:color w:val="auto"/>
          <w:kern w:val="0"/>
          <w:sz w:val="24"/>
          <w:highlight w:val="none"/>
        </w:rPr>
        <w:t>公章：</w:t>
      </w:r>
      <w:r>
        <w:rPr>
          <w:rFonts w:hint="eastAsia" w:cs="宋体"/>
          <w:snapToGrid w:val="0"/>
          <w:color w:val="auto"/>
          <w:kern w:val="0"/>
          <w:sz w:val="24"/>
          <w:highlight w:val="none"/>
          <w:u w:val="single"/>
        </w:rPr>
        <w:t xml:space="preserve">                      </w:t>
      </w:r>
    </w:p>
    <w:p w14:paraId="284A48FB">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bCs/>
          <w:snapToGrid w:val="0"/>
          <w:color w:val="auto"/>
          <w:kern w:val="0"/>
          <w:sz w:val="24"/>
          <w:highlight w:val="none"/>
        </w:rPr>
        <w:t>日期</w:t>
      </w:r>
      <w:r>
        <w:rPr>
          <w:rFonts w:hint="eastAsia" w:cs="宋体"/>
          <w:snapToGrid w:val="0"/>
          <w:color w:val="auto"/>
          <w:kern w:val="0"/>
          <w:sz w:val="24"/>
          <w:highlight w:val="none"/>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p>
    <w:p w14:paraId="44DE9DC0">
      <w:pPr>
        <w:widowControl w:val="0"/>
        <w:adjustRightInd w:val="0"/>
        <w:snapToGrid w:val="0"/>
        <w:rPr>
          <w:color w:val="auto"/>
          <w:highlight w:val="none"/>
        </w:rPr>
      </w:pPr>
    </w:p>
    <w:p w14:paraId="2B569D0D">
      <w:pPr>
        <w:widowControl w:val="0"/>
        <w:adjustRightInd w:val="0"/>
        <w:snapToGrid w:val="0"/>
        <w:rPr>
          <w:color w:val="auto"/>
          <w:highlight w:val="none"/>
        </w:rPr>
      </w:pPr>
    </w:p>
    <w:p w14:paraId="34D3CE72">
      <w:pPr>
        <w:widowControl w:val="0"/>
        <w:adjustRightInd w:val="0"/>
        <w:snapToGrid w:val="0"/>
        <w:rPr>
          <w:color w:val="auto"/>
          <w:highlight w:val="none"/>
        </w:rPr>
      </w:pPr>
    </w:p>
    <w:p w14:paraId="3CA3B345">
      <w:pPr>
        <w:widowControl w:val="0"/>
        <w:adjustRightInd w:val="0"/>
        <w:snapToGrid w:val="0"/>
        <w:rPr>
          <w:color w:val="auto"/>
          <w:highlight w:val="none"/>
        </w:rPr>
      </w:pPr>
    </w:p>
    <w:p w14:paraId="6F213F52">
      <w:pPr>
        <w:widowControl w:val="0"/>
        <w:adjustRightInd w:val="0"/>
        <w:snapToGrid w:val="0"/>
        <w:rPr>
          <w:rFonts w:cs="宋体"/>
          <w:b/>
          <w:color w:val="auto"/>
          <w:highlight w:val="none"/>
        </w:rPr>
      </w:pPr>
      <w:r>
        <w:rPr>
          <w:rFonts w:hint="eastAsia" w:cs="宋体"/>
          <w:b/>
          <w:color w:val="auto"/>
          <w:highlight w:val="none"/>
        </w:rPr>
        <w:t>投诉书制作说明：</w:t>
      </w:r>
    </w:p>
    <w:p w14:paraId="69872426">
      <w:pPr>
        <w:widowControl w:val="0"/>
        <w:adjustRightInd w:val="0"/>
        <w:snapToGrid w:val="0"/>
        <w:ind w:firstLine="420" w:firstLineChars="200"/>
        <w:rPr>
          <w:rFonts w:cs="宋体"/>
          <w:color w:val="auto"/>
          <w:kern w:val="0"/>
          <w:highlight w:val="none"/>
        </w:rPr>
      </w:pPr>
      <w:r>
        <w:rPr>
          <w:rFonts w:hint="eastAsia" w:cs="宋体"/>
          <w:color w:val="auto"/>
          <w:highlight w:val="none"/>
        </w:rPr>
        <w:t>1.投诉人提起投诉时，应当提交投诉书和必要的证明材料，并按照被投诉人和与投诉事项有关的供应商数量提供投诉书副本。</w:t>
      </w:r>
    </w:p>
    <w:p w14:paraId="0082AD49">
      <w:pPr>
        <w:widowControl w:val="0"/>
        <w:adjustRightInd w:val="0"/>
        <w:snapToGrid w:val="0"/>
        <w:ind w:firstLine="420" w:firstLineChars="200"/>
        <w:rPr>
          <w:rFonts w:cs="宋体"/>
          <w:color w:val="auto"/>
          <w:kern w:val="0"/>
          <w:highlight w:val="none"/>
        </w:rPr>
      </w:pPr>
      <w:r>
        <w:rPr>
          <w:rFonts w:hint="eastAsia" w:cs="宋体"/>
          <w:color w:val="auto"/>
          <w:highlight w:val="none"/>
        </w:rPr>
        <w:t>2.投诉人若委托代理人进行投诉的，投诉书应按照要求列明“授权代表”的有关内容，并在附件中提交由</w:t>
      </w:r>
      <w:r>
        <w:rPr>
          <w:rFonts w:hint="eastAsia" w:cs="宋体"/>
          <w:color w:val="auto"/>
          <w:kern w:val="0"/>
          <w:highlight w:val="none"/>
        </w:rPr>
        <w:t>投诉人签署的授权委托书。授权委托书应当载明代理人的姓名或者名称、代理事项、具体权限、期限和相关事项。</w:t>
      </w:r>
    </w:p>
    <w:p w14:paraId="303E7714">
      <w:pPr>
        <w:widowControl w:val="0"/>
        <w:adjustRightInd w:val="0"/>
        <w:snapToGrid w:val="0"/>
        <w:ind w:firstLine="420" w:firstLineChars="200"/>
        <w:rPr>
          <w:rFonts w:cs="宋体"/>
          <w:color w:val="auto"/>
          <w:highlight w:val="none"/>
        </w:rPr>
      </w:pPr>
      <w:r>
        <w:rPr>
          <w:rFonts w:hint="eastAsia" w:cs="宋体"/>
          <w:color w:val="auto"/>
          <w:highlight w:val="none"/>
        </w:rPr>
        <w:t>3.投诉人若对项目的某一分包进行投诉，投诉书应列明具体分包号。</w:t>
      </w:r>
    </w:p>
    <w:p w14:paraId="676AFE86">
      <w:pPr>
        <w:widowControl w:val="0"/>
        <w:adjustRightInd w:val="0"/>
        <w:snapToGrid w:val="0"/>
        <w:ind w:firstLine="420" w:firstLineChars="200"/>
        <w:rPr>
          <w:rFonts w:cs="宋体"/>
          <w:color w:val="auto"/>
          <w:highlight w:val="none"/>
        </w:rPr>
      </w:pPr>
      <w:r>
        <w:rPr>
          <w:rFonts w:hint="eastAsia" w:cs="宋体"/>
          <w:color w:val="auto"/>
          <w:highlight w:val="none"/>
        </w:rPr>
        <w:t>4.投诉书应简要列明质疑事项，质疑函、质疑答复等作为附件材料提供。</w:t>
      </w:r>
    </w:p>
    <w:p w14:paraId="0EB3523B">
      <w:pPr>
        <w:widowControl w:val="0"/>
        <w:adjustRightInd w:val="0"/>
        <w:snapToGrid w:val="0"/>
        <w:ind w:firstLine="420" w:firstLineChars="200"/>
        <w:rPr>
          <w:rFonts w:cs="宋体"/>
          <w:color w:val="auto"/>
          <w:highlight w:val="none"/>
        </w:rPr>
      </w:pPr>
      <w:r>
        <w:rPr>
          <w:rFonts w:hint="eastAsia" w:cs="宋体"/>
          <w:color w:val="auto"/>
          <w:highlight w:val="none"/>
        </w:rPr>
        <w:t>5.投诉书的投诉事项应具体、明确，并有必要的事实依据和法律依据。</w:t>
      </w:r>
    </w:p>
    <w:p w14:paraId="106660AD">
      <w:pPr>
        <w:widowControl w:val="0"/>
        <w:adjustRightInd w:val="0"/>
        <w:snapToGrid w:val="0"/>
        <w:ind w:firstLine="420" w:firstLineChars="200"/>
        <w:rPr>
          <w:rFonts w:cs="宋体"/>
          <w:color w:val="auto"/>
          <w:highlight w:val="none"/>
        </w:rPr>
      </w:pPr>
      <w:r>
        <w:rPr>
          <w:rFonts w:hint="eastAsia" w:cs="宋体"/>
          <w:color w:val="auto"/>
          <w:highlight w:val="none"/>
        </w:rPr>
        <w:t>6.投诉书的投诉请求应与投诉事项相关。</w:t>
      </w:r>
    </w:p>
    <w:p w14:paraId="42978C03">
      <w:pPr>
        <w:widowControl w:val="0"/>
        <w:adjustRightInd w:val="0"/>
        <w:snapToGrid w:val="0"/>
        <w:ind w:firstLine="420" w:firstLineChars="200"/>
        <w:rPr>
          <w:rFonts w:cs="宋体"/>
          <w:color w:val="auto"/>
          <w:kern w:val="0"/>
          <w:highlight w:val="none"/>
        </w:rPr>
      </w:pPr>
      <w:r>
        <w:rPr>
          <w:rFonts w:hint="eastAsia" w:cs="宋体"/>
          <w:color w:val="auto"/>
          <w:highlight w:val="none"/>
        </w:rPr>
        <w:t>7.投诉人为自然人的，投诉书应当由本人签字；投诉人为法人或者其他组织的，投诉书应当由法定代表人、主要负责人，或者其授权代表签字或者盖章，并加盖公章。</w:t>
      </w:r>
    </w:p>
    <w:p w14:paraId="4AE32DA6">
      <w:pPr>
        <w:widowControl w:val="0"/>
        <w:adjustRightInd w:val="0"/>
        <w:snapToGrid w:val="0"/>
        <w:rPr>
          <w:color w:val="auto"/>
          <w:highlight w:val="none"/>
        </w:rPr>
      </w:pPr>
    </w:p>
    <w:p w14:paraId="085B1BFD">
      <w:pPr>
        <w:widowControl w:val="0"/>
        <w:adjustRightInd w:val="0"/>
        <w:snapToGrid w:val="0"/>
        <w:rPr>
          <w:color w:val="auto"/>
          <w:highlight w:val="none"/>
        </w:rPr>
      </w:pPr>
    </w:p>
    <w:p w14:paraId="2A4D74DB">
      <w:pPr>
        <w:widowControl w:val="0"/>
        <w:adjustRightInd w:val="0"/>
        <w:snapToGrid w:val="0"/>
        <w:rPr>
          <w:color w:val="auto"/>
          <w:highlight w:val="none"/>
        </w:rPr>
      </w:pPr>
    </w:p>
    <w:p w14:paraId="7888B505">
      <w:pPr>
        <w:widowControl w:val="0"/>
        <w:adjustRightInd w:val="0"/>
        <w:snapToGrid w:val="0"/>
        <w:rPr>
          <w:color w:val="auto"/>
          <w:highlight w:val="none"/>
        </w:rPr>
      </w:pPr>
    </w:p>
    <w:p w14:paraId="2F957B40">
      <w:pPr>
        <w:widowControl w:val="0"/>
        <w:adjustRightInd w:val="0"/>
        <w:snapToGrid w:val="0"/>
        <w:rPr>
          <w:color w:val="auto"/>
          <w:highlight w:val="none"/>
        </w:rPr>
      </w:pPr>
    </w:p>
    <w:p w14:paraId="14A61899">
      <w:pPr>
        <w:widowControl w:val="0"/>
        <w:adjustRightInd w:val="0"/>
        <w:snapToGrid w:val="0"/>
        <w:rPr>
          <w:color w:val="auto"/>
          <w:highlight w:val="none"/>
        </w:rPr>
      </w:pPr>
    </w:p>
    <w:p w14:paraId="430A70F6">
      <w:pPr>
        <w:widowControl w:val="0"/>
        <w:adjustRightInd w:val="0"/>
        <w:snapToGrid w:val="0"/>
        <w:rPr>
          <w:color w:val="auto"/>
          <w:highlight w:val="none"/>
        </w:rPr>
      </w:pPr>
    </w:p>
    <w:p w14:paraId="029C5CDF">
      <w:pPr>
        <w:widowControl w:val="0"/>
        <w:adjustRightInd w:val="0"/>
        <w:snapToGrid w:val="0"/>
        <w:rPr>
          <w:color w:val="auto"/>
          <w:highlight w:val="none"/>
        </w:rPr>
      </w:pPr>
    </w:p>
    <w:p w14:paraId="43A37FC6">
      <w:pPr>
        <w:widowControl w:val="0"/>
        <w:adjustRightInd w:val="0"/>
        <w:snapToGrid w:val="0"/>
        <w:rPr>
          <w:color w:val="auto"/>
          <w:highlight w:val="none"/>
        </w:rPr>
      </w:pPr>
    </w:p>
    <w:p w14:paraId="7269A193">
      <w:pPr>
        <w:widowControl w:val="0"/>
        <w:adjustRightInd w:val="0"/>
        <w:snapToGrid w:val="0"/>
        <w:rPr>
          <w:color w:val="auto"/>
          <w:highlight w:val="none"/>
        </w:rPr>
      </w:pPr>
    </w:p>
    <w:p w14:paraId="596882A8">
      <w:pPr>
        <w:widowControl w:val="0"/>
        <w:adjustRightInd w:val="0"/>
        <w:snapToGrid w:val="0"/>
        <w:rPr>
          <w:color w:val="auto"/>
          <w:highlight w:val="none"/>
        </w:rPr>
      </w:pPr>
    </w:p>
    <w:p w14:paraId="1969436C">
      <w:pPr>
        <w:widowControl w:val="0"/>
        <w:adjustRightInd w:val="0"/>
        <w:snapToGrid w:val="0"/>
        <w:rPr>
          <w:color w:val="auto"/>
          <w:highlight w:val="none"/>
        </w:rPr>
      </w:pPr>
    </w:p>
    <w:p w14:paraId="764C3849">
      <w:pPr>
        <w:widowControl w:val="0"/>
        <w:adjustRightInd w:val="0"/>
        <w:snapToGrid w:val="0"/>
        <w:rPr>
          <w:color w:val="auto"/>
          <w:highlight w:val="none"/>
        </w:rPr>
      </w:pPr>
    </w:p>
    <w:p w14:paraId="65182F3F">
      <w:pPr>
        <w:widowControl w:val="0"/>
        <w:adjustRightInd w:val="0"/>
        <w:snapToGrid w:val="0"/>
        <w:rPr>
          <w:color w:val="auto"/>
          <w:highlight w:val="none"/>
        </w:rPr>
      </w:pPr>
    </w:p>
    <w:p w14:paraId="6BD95EEC">
      <w:pPr>
        <w:widowControl w:val="0"/>
        <w:adjustRightInd w:val="0"/>
        <w:snapToGrid w:val="0"/>
        <w:rPr>
          <w:color w:val="auto"/>
          <w:highlight w:val="none"/>
        </w:rPr>
      </w:pPr>
    </w:p>
    <w:p w14:paraId="0D1B782D">
      <w:pPr>
        <w:widowControl w:val="0"/>
        <w:adjustRightInd w:val="0"/>
        <w:snapToGrid w:val="0"/>
        <w:rPr>
          <w:color w:val="auto"/>
          <w:highlight w:val="none"/>
        </w:rPr>
      </w:pPr>
    </w:p>
    <w:p w14:paraId="71DE1450">
      <w:pPr>
        <w:widowControl w:val="0"/>
        <w:adjustRightInd w:val="0"/>
        <w:snapToGrid w:val="0"/>
        <w:rPr>
          <w:color w:val="auto"/>
          <w:highlight w:val="none"/>
        </w:rPr>
      </w:pPr>
    </w:p>
    <w:p w14:paraId="6FBE2337">
      <w:pPr>
        <w:widowControl w:val="0"/>
        <w:adjustRightInd w:val="0"/>
        <w:snapToGrid w:val="0"/>
        <w:rPr>
          <w:color w:val="auto"/>
          <w:highlight w:val="none"/>
        </w:rPr>
      </w:pPr>
    </w:p>
    <w:p w14:paraId="6C59F362">
      <w:pPr>
        <w:widowControl w:val="0"/>
        <w:adjustRightInd w:val="0"/>
        <w:snapToGrid w:val="0"/>
        <w:rPr>
          <w:color w:val="auto"/>
          <w:highlight w:val="none"/>
        </w:rPr>
      </w:pPr>
    </w:p>
    <w:p w14:paraId="51DAE0ED">
      <w:pPr>
        <w:widowControl w:val="0"/>
        <w:adjustRightInd w:val="0"/>
        <w:snapToGrid w:val="0"/>
        <w:rPr>
          <w:color w:val="auto"/>
          <w:highlight w:val="none"/>
        </w:rPr>
      </w:pPr>
    </w:p>
    <w:p w14:paraId="54F3B458">
      <w:pPr>
        <w:widowControl w:val="0"/>
        <w:adjustRightInd w:val="0"/>
        <w:snapToGrid w:val="0"/>
        <w:rPr>
          <w:color w:val="auto"/>
          <w:highlight w:val="none"/>
        </w:rPr>
      </w:pPr>
    </w:p>
    <w:p w14:paraId="245A826A">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附件4：业务专用章使用说明函</w:t>
      </w:r>
    </w:p>
    <w:p w14:paraId="3F49EC4F">
      <w:pPr>
        <w:widowControl w:val="0"/>
        <w:adjustRightInd w:val="0"/>
        <w:snapToGrid w:val="0"/>
        <w:rPr>
          <w:color w:val="auto"/>
          <w:highlight w:val="none"/>
        </w:rPr>
      </w:pPr>
    </w:p>
    <w:p w14:paraId="11FB5756">
      <w:pPr>
        <w:widowControl w:val="0"/>
        <w:adjustRightInd w:val="0"/>
        <w:snapToGrid w:val="0"/>
        <w:rPr>
          <w:color w:val="auto"/>
          <w:highlight w:val="none"/>
        </w:rPr>
      </w:pPr>
    </w:p>
    <w:p w14:paraId="72524067">
      <w:pPr>
        <w:widowControl w:val="0"/>
        <w:adjustRightInd w:val="0"/>
        <w:snapToGrid w:val="0"/>
        <w:rPr>
          <w:color w:val="auto"/>
          <w:highlight w:val="none"/>
        </w:rPr>
      </w:pPr>
    </w:p>
    <w:p w14:paraId="587D982B">
      <w:pPr>
        <w:widowControl w:val="0"/>
        <w:adjustRightInd w:val="0"/>
        <w:snapToGrid w:val="0"/>
        <w:spacing w:line="300" w:lineRule="auto"/>
        <w:rPr>
          <w:rFonts w:cs="宋体"/>
          <w:snapToGrid w:val="0"/>
          <w:color w:val="auto"/>
          <w:kern w:val="0"/>
          <w:sz w:val="24"/>
          <w:highlight w:val="none"/>
        </w:rPr>
      </w:pPr>
      <w:r>
        <w:rPr>
          <w:rFonts w:hint="eastAsia" w:cs="宋体"/>
          <w:snapToGrid w:val="0"/>
          <w:color w:val="auto"/>
          <w:kern w:val="0"/>
          <w:sz w:val="24"/>
          <w:highlight w:val="none"/>
        </w:rPr>
        <w:t>（采购人）</w:t>
      </w:r>
      <w:r>
        <w:rPr>
          <w:rFonts w:hint="eastAsia" w:cs="宋体"/>
          <w:snapToGrid w:val="0"/>
          <w:color w:val="auto"/>
          <w:kern w:val="0"/>
          <w:sz w:val="24"/>
          <w:highlight w:val="none"/>
        </w:rPr>
        <w:t>、（采购代理机构）：</w:t>
      </w:r>
    </w:p>
    <w:p w14:paraId="6543810F">
      <w:pPr>
        <w:widowControl w:val="0"/>
        <w:adjustRightInd w:val="0"/>
        <w:snapToGrid w:val="0"/>
        <w:rPr>
          <w:color w:val="auto"/>
          <w:highlight w:val="none"/>
        </w:rPr>
      </w:pPr>
    </w:p>
    <w:p w14:paraId="69BB1BAD">
      <w:pPr>
        <w:widowControl w:val="0"/>
        <w:adjustRightInd w:val="0"/>
        <w:snapToGrid w:val="0"/>
        <w:rPr>
          <w:color w:val="auto"/>
          <w:highlight w:val="none"/>
        </w:rPr>
      </w:pPr>
    </w:p>
    <w:p w14:paraId="4A21A60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lang w:val="zh-CN"/>
        </w:rPr>
        <w:t>我方</w:t>
      </w:r>
      <w:r>
        <w:rPr>
          <w:rFonts w:hint="eastAsia" w:cs="宋体"/>
          <w:snapToGrid w:val="0"/>
          <w:color w:val="auto"/>
          <w:kern w:val="0"/>
          <w:sz w:val="24"/>
          <w:highlight w:val="none"/>
          <w:u w:val="single"/>
          <w:lang w:val="zh-CN"/>
        </w:rPr>
        <w:t xml:space="preserve">                         </w:t>
      </w:r>
      <w:r>
        <w:rPr>
          <w:rFonts w:hint="eastAsia" w:cs="宋体"/>
          <w:snapToGrid w:val="0"/>
          <w:color w:val="auto"/>
          <w:kern w:val="0"/>
          <w:sz w:val="24"/>
          <w:highlight w:val="none"/>
        </w:rPr>
        <w:t>（投标人全称）是中华人民共和国依法登记注册的合法企业，</w:t>
      </w:r>
      <w:r>
        <w:rPr>
          <w:rFonts w:hint="eastAsia" w:cs="宋体"/>
          <w:bCs/>
          <w:snapToGrid w:val="0"/>
          <w:color w:val="auto"/>
          <w:kern w:val="0"/>
          <w:sz w:val="24"/>
          <w:highlight w:val="none"/>
        </w:rPr>
        <w:t>在参加</w:t>
      </w:r>
      <w:r>
        <w:rPr>
          <w:rFonts w:hint="eastAsia" w:cs="宋体"/>
          <w:snapToGrid w:val="0"/>
          <w:color w:val="auto"/>
          <w:kern w:val="0"/>
          <w:sz w:val="24"/>
          <w:highlight w:val="none"/>
        </w:rPr>
        <w:t>你方组织的</w:t>
      </w:r>
      <w:r>
        <w:rPr>
          <w:rFonts w:hint="eastAsia" w:cs="宋体"/>
          <w:snapToGrid w:val="0"/>
          <w:color w:val="auto"/>
          <w:kern w:val="0"/>
          <w:sz w:val="24"/>
          <w:highlight w:val="none"/>
        </w:rPr>
        <w:t>象山县爵溪街道小微企业集聚区建筑用石料（凝灰岩）矿开采加工、配套设施建设及矿产品销售代理一体化服务项目</w:t>
      </w:r>
      <w:r>
        <w:rPr>
          <w:rFonts w:hint="eastAsia" w:cs="宋体"/>
          <w:snapToGrid w:val="0"/>
          <w:color w:val="auto"/>
          <w:kern w:val="0"/>
          <w:sz w:val="24"/>
          <w:highlight w:val="none"/>
        </w:rPr>
        <w:t>【项目编号：</w:t>
      </w:r>
      <w:r>
        <w:rPr>
          <w:rFonts w:hint="eastAsia" w:cs="宋体"/>
          <w:snapToGrid w:val="0"/>
          <w:color w:val="auto"/>
          <w:kern w:val="0"/>
          <w:sz w:val="24"/>
          <w:highlight w:val="none"/>
        </w:rPr>
        <w:t>2024-CGDL-05-001C</w:t>
      </w:r>
      <w:r>
        <w:rPr>
          <w:rFonts w:hint="eastAsia" w:cs="宋体"/>
          <w:snapToGrid w:val="0"/>
          <w:color w:val="auto"/>
          <w:kern w:val="0"/>
          <w:sz w:val="24"/>
          <w:highlight w:val="none"/>
        </w:rPr>
        <w:t>】</w:t>
      </w:r>
      <w:r>
        <w:rPr>
          <w:rFonts w:hint="eastAsia" w:cs="宋体"/>
          <w:bCs/>
          <w:snapToGrid w:val="0"/>
          <w:color w:val="auto"/>
          <w:kern w:val="0"/>
          <w:sz w:val="24"/>
          <w:highlight w:val="none"/>
        </w:rPr>
        <w:t>投标活动中作如下说明：</w:t>
      </w:r>
      <w:r>
        <w:rPr>
          <w:rFonts w:hint="eastAsia" w:cs="宋体"/>
          <w:snapToGrid w:val="0"/>
          <w:color w:val="auto"/>
          <w:kern w:val="0"/>
          <w:sz w:val="24"/>
          <w:highlight w:val="none"/>
        </w:rPr>
        <w:t>我方所使用的“XX专用章”与法定名称章具有同等的法律效力，对使用“XX专用章”的行为予以完全承认，并愿意承担相应责任。</w:t>
      </w:r>
    </w:p>
    <w:p w14:paraId="07EAF66C">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特此说明。</w:t>
      </w:r>
    </w:p>
    <w:p w14:paraId="5BFC3039">
      <w:pPr>
        <w:widowControl w:val="0"/>
        <w:adjustRightInd w:val="0"/>
        <w:snapToGrid w:val="0"/>
        <w:rPr>
          <w:color w:val="auto"/>
          <w:highlight w:val="none"/>
        </w:rPr>
      </w:pPr>
    </w:p>
    <w:p w14:paraId="74D2F43D">
      <w:pPr>
        <w:widowControl w:val="0"/>
        <w:adjustRightInd w:val="0"/>
        <w:snapToGrid w:val="0"/>
        <w:rPr>
          <w:color w:val="auto"/>
          <w:highlight w:val="none"/>
        </w:rPr>
      </w:pPr>
    </w:p>
    <w:p w14:paraId="5BF0B9D3">
      <w:pPr>
        <w:widowControl w:val="0"/>
        <w:adjustRightInd w:val="0"/>
        <w:snapToGrid w:val="0"/>
        <w:rPr>
          <w:color w:val="auto"/>
          <w:highlight w:val="none"/>
        </w:rPr>
      </w:pPr>
    </w:p>
    <w:p w14:paraId="3D15C29F">
      <w:pPr>
        <w:widowControl w:val="0"/>
        <w:adjustRightInd w:val="0"/>
        <w:snapToGrid w:val="0"/>
        <w:spacing w:line="30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6D827FB">
      <w:pPr>
        <w:widowControl w:val="0"/>
        <w:adjustRightInd w:val="0"/>
        <w:snapToGrid w:val="0"/>
        <w:rPr>
          <w:color w:val="auto"/>
          <w:highlight w:val="none"/>
        </w:rPr>
      </w:pPr>
    </w:p>
    <w:p w14:paraId="2D826FF9">
      <w:pPr>
        <w:widowControl w:val="0"/>
        <w:adjustRightInd w:val="0"/>
        <w:snapToGrid w:val="0"/>
        <w:spacing w:line="300" w:lineRule="auto"/>
        <w:jc w:val="righ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00E683F">
      <w:pPr>
        <w:widowControl w:val="0"/>
        <w:adjustRightInd w:val="0"/>
        <w:snapToGrid w:val="0"/>
        <w:rPr>
          <w:color w:val="auto"/>
          <w:highlight w:val="none"/>
        </w:rPr>
      </w:pPr>
    </w:p>
    <w:p w14:paraId="43C1E29F">
      <w:pPr>
        <w:widowControl w:val="0"/>
        <w:adjustRightInd w:val="0"/>
        <w:snapToGrid w:val="0"/>
        <w:rPr>
          <w:color w:val="auto"/>
          <w:highlight w:val="none"/>
        </w:rPr>
      </w:pPr>
    </w:p>
    <w:p w14:paraId="001FCE46">
      <w:pPr>
        <w:widowControl w:val="0"/>
        <w:adjustRightInd w:val="0"/>
        <w:snapToGrid w:val="0"/>
        <w:rPr>
          <w:color w:val="auto"/>
          <w:highlight w:val="none"/>
        </w:rPr>
      </w:pPr>
    </w:p>
    <w:p w14:paraId="5F3912BE">
      <w:pPr>
        <w:rPr>
          <w:rFonts w:hint="eastAsia" w:ascii="宋体" w:hAnsi="宋体" w:cs="宋体"/>
          <w:b/>
          <w:bCs/>
          <w:color w:val="auto"/>
          <w:sz w:val="24"/>
          <w:highlight w:val="none"/>
        </w:rPr>
      </w:pPr>
      <w:r>
        <w:rPr>
          <w:rFonts w:hint="eastAsia" w:ascii="宋体" w:hAnsi="宋体" w:cs="宋体"/>
          <w:b/>
          <w:bCs/>
          <w:color w:val="auto"/>
          <w:sz w:val="24"/>
          <w:highlight w:val="none"/>
        </w:rPr>
        <w:t>附：</w:t>
      </w:r>
    </w:p>
    <w:p w14:paraId="2B90EF86">
      <w:pPr>
        <w:widowControl w:val="0"/>
        <w:adjustRightInd w:val="0"/>
        <w:snapToGrid w:val="0"/>
        <w:rPr>
          <w:color w:val="auto"/>
          <w:highlight w:val="none"/>
        </w:rPr>
      </w:pPr>
    </w:p>
    <w:p w14:paraId="7241AA23">
      <w:pPr>
        <w:widowControl w:val="0"/>
        <w:adjustRightInd w:val="0"/>
        <w:snapToGrid w:val="0"/>
        <w:rPr>
          <w:color w:val="auto"/>
          <w:highlight w:val="none"/>
        </w:rPr>
      </w:pPr>
    </w:p>
    <w:p w14:paraId="5C290556">
      <w:pPr>
        <w:widowControl w:val="0"/>
        <w:adjustRightInd w:val="0"/>
        <w:snapToGrid w:val="0"/>
        <w:spacing w:line="300" w:lineRule="auto"/>
        <w:ind w:firstLine="480" w:firstLineChars="200"/>
        <w:rPr>
          <w:color w:val="auto"/>
          <w:sz w:val="24"/>
          <w:highlight w:val="none"/>
        </w:rPr>
      </w:pPr>
      <w:r>
        <w:rPr>
          <w:color w:val="auto"/>
          <w:sz w:val="24"/>
          <w:highlight w:val="none"/>
        </w:rPr>
        <w:t>投标单位法定名称章（印模）                投标单位</w:t>
      </w:r>
      <w:r>
        <w:rPr>
          <w:rFonts w:ascii="宋体" w:hAnsi="宋体"/>
          <w:color w:val="auto"/>
          <w:sz w:val="24"/>
          <w:highlight w:val="none"/>
        </w:rPr>
        <w:t>“</w:t>
      </w:r>
      <w:r>
        <w:rPr>
          <w:color w:val="auto"/>
          <w:sz w:val="24"/>
          <w:highlight w:val="none"/>
        </w:rPr>
        <w:t>XX专用章</w:t>
      </w:r>
      <w:r>
        <w:rPr>
          <w:rFonts w:ascii="宋体" w:hAnsi="宋体"/>
          <w:color w:val="auto"/>
          <w:sz w:val="24"/>
          <w:highlight w:val="none"/>
        </w:rPr>
        <w:t>”</w:t>
      </w:r>
      <w:r>
        <w:rPr>
          <w:color w:val="auto"/>
          <w:sz w:val="24"/>
          <w:highlight w:val="none"/>
        </w:rPr>
        <w:t>（印模）</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05B6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2CBEA190">
            <w:pPr>
              <w:pStyle w:val="79"/>
              <w:spacing w:line="240" w:lineRule="atLeast"/>
              <w:ind w:firstLine="0" w:firstLineChars="0"/>
              <w:rPr>
                <w:color w:val="auto"/>
                <w:sz w:val="21"/>
                <w:szCs w:val="21"/>
                <w:highlight w:val="none"/>
              </w:rPr>
            </w:pPr>
          </w:p>
        </w:tc>
        <w:tc>
          <w:tcPr>
            <w:tcW w:w="851" w:type="dxa"/>
            <w:tcBorders>
              <w:top w:val="nil"/>
              <w:bottom w:val="nil"/>
            </w:tcBorders>
          </w:tcPr>
          <w:p w14:paraId="2848EBAE">
            <w:pPr>
              <w:pStyle w:val="79"/>
              <w:spacing w:line="240" w:lineRule="atLeast"/>
              <w:ind w:firstLine="0" w:firstLineChars="0"/>
              <w:rPr>
                <w:color w:val="auto"/>
                <w:sz w:val="21"/>
                <w:szCs w:val="21"/>
                <w:highlight w:val="none"/>
              </w:rPr>
            </w:pPr>
          </w:p>
        </w:tc>
        <w:tc>
          <w:tcPr>
            <w:tcW w:w="4110" w:type="dxa"/>
          </w:tcPr>
          <w:p w14:paraId="108627F0">
            <w:pPr>
              <w:pStyle w:val="79"/>
              <w:spacing w:line="240" w:lineRule="atLeast"/>
              <w:ind w:firstLine="0" w:firstLineChars="0"/>
              <w:rPr>
                <w:color w:val="auto"/>
                <w:sz w:val="21"/>
                <w:szCs w:val="21"/>
                <w:highlight w:val="none"/>
              </w:rPr>
            </w:pPr>
          </w:p>
        </w:tc>
      </w:tr>
    </w:tbl>
    <w:p w14:paraId="538B7CC8">
      <w:pPr>
        <w:widowControl w:val="0"/>
        <w:adjustRightInd w:val="0"/>
        <w:snapToGrid w:val="0"/>
        <w:rPr>
          <w:color w:val="auto"/>
          <w:highlight w:val="none"/>
        </w:rPr>
      </w:pPr>
    </w:p>
    <w:p w14:paraId="293EDE1F">
      <w:pPr>
        <w:widowControl w:val="0"/>
        <w:adjustRightInd w:val="0"/>
        <w:snapToGrid w:val="0"/>
        <w:rPr>
          <w:color w:val="auto"/>
          <w:highlight w:val="none"/>
        </w:rPr>
      </w:pPr>
    </w:p>
    <w:p w14:paraId="6BDC2074">
      <w:pPr>
        <w:widowControl w:val="0"/>
        <w:adjustRightInd w:val="0"/>
        <w:snapToGrid w:val="0"/>
        <w:rPr>
          <w:color w:val="auto"/>
          <w:highlight w:val="none"/>
        </w:rPr>
      </w:pPr>
    </w:p>
    <w:p w14:paraId="76D5F022">
      <w:pPr>
        <w:widowControl w:val="0"/>
        <w:adjustRightInd w:val="0"/>
        <w:snapToGrid w:val="0"/>
        <w:rPr>
          <w:color w:val="auto"/>
          <w:highlight w:val="none"/>
        </w:rPr>
      </w:pPr>
    </w:p>
    <w:p w14:paraId="086A3B12">
      <w:pPr>
        <w:widowControl w:val="0"/>
        <w:adjustRightInd w:val="0"/>
        <w:snapToGrid w:val="0"/>
        <w:rPr>
          <w:color w:val="auto"/>
          <w:highlight w:val="none"/>
        </w:rPr>
      </w:pPr>
    </w:p>
    <w:p w14:paraId="6E68D89C">
      <w:pPr>
        <w:widowControl w:val="0"/>
        <w:adjustRightInd w:val="0"/>
        <w:snapToGrid w:val="0"/>
        <w:rPr>
          <w:color w:val="auto"/>
          <w:highlight w:val="none"/>
        </w:rPr>
      </w:pPr>
    </w:p>
    <w:p w14:paraId="474AC5EB">
      <w:pPr>
        <w:widowControl w:val="0"/>
        <w:adjustRightInd w:val="0"/>
        <w:snapToGrid w:val="0"/>
        <w:rPr>
          <w:color w:val="auto"/>
          <w:highlight w:val="none"/>
        </w:rPr>
      </w:pPr>
    </w:p>
    <w:p w14:paraId="1A979BEB">
      <w:pPr>
        <w:widowControl w:val="0"/>
        <w:adjustRightInd w:val="0"/>
        <w:snapToGrid w:val="0"/>
        <w:rPr>
          <w:color w:val="auto"/>
          <w:highlight w:val="none"/>
        </w:rPr>
      </w:pPr>
    </w:p>
    <w:p w14:paraId="45454E27">
      <w:pPr>
        <w:widowControl w:val="0"/>
        <w:adjustRightInd w:val="0"/>
        <w:snapToGrid w:val="0"/>
        <w:rPr>
          <w:color w:val="auto"/>
          <w:highlight w:val="none"/>
        </w:rPr>
      </w:pPr>
    </w:p>
    <w:p w14:paraId="0ED40876">
      <w:pPr>
        <w:widowControl w:val="0"/>
        <w:adjustRightInd w:val="0"/>
        <w:snapToGrid w:val="0"/>
        <w:rPr>
          <w:color w:val="auto"/>
          <w:highlight w:val="none"/>
        </w:rPr>
      </w:pPr>
    </w:p>
    <w:p w14:paraId="0C02D4EF">
      <w:pPr>
        <w:widowControl w:val="0"/>
        <w:adjustRightInd w:val="0"/>
        <w:snapToGrid w:val="0"/>
        <w:rPr>
          <w:color w:val="auto"/>
          <w:highlight w:val="none"/>
        </w:rPr>
      </w:pPr>
    </w:p>
    <w:p w14:paraId="63AF926A">
      <w:pPr>
        <w:widowControl w:val="0"/>
        <w:adjustRightInd w:val="0"/>
        <w:snapToGrid w:val="0"/>
        <w:rPr>
          <w:color w:val="auto"/>
          <w:highlight w:val="none"/>
        </w:rPr>
      </w:pPr>
    </w:p>
    <w:p w14:paraId="6190D22F">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5</w:t>
      </w:r>
      <w:r>
        <w:rPr>
          <w:rFonts w:hint="eastAsia"/>
          <w:b/>
          <w:color w:val="auto"/>
          <w:spacing w:val="6"/>
          <w:sz w:val="30"/>
          <w:szCs w:val="30"/>
          <w:highlight w:val="none"/>
        </w:rPr>
        <w:t>：联合协议</w:t>
      </w:r>
    </w:p>
    <w:p w14:paraId="0BDC4193">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（以联合体形式投标的，提供联合协议；本项目不接受联合体投标或者投标人不以联合体形式投标的，则不需要提供）</w:t>
      </w:r>
    </w:p>
    <w:p w14:paraId="096B2361">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（联合体所有成员名称）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自愿</w:t>
      </w:r>
      <w:r>
        <w:rPr>
          <w:rFonts w:hint="eastAsia" w:cs="宋体"/>
          <w:snapToGrid w:val="0"/>
          <w:color w:val="auto"/>
          <w:kern w:val="0"/>
          <w:sz w:val="24"/>
          <w:highlight w:val="none"/>
          <w:lang w:val="zh-CN"/>
        </w:rPr>
        <w:t>组成一个联合体，以一个投标人的身份</w:t>
      </w:r>
      <w:r>
        <w:rPr>
          <w:rFonts w:hint="eastAsia" w:cs="宋体"/>
          <w:snapToGrid w:val="0"/>
          <w:color w:val="auto"/>
          <w:kern w:val="0"/>
          <w:sz w:val="24"/>
          <w:highlight w:val="none"/>
        </w:rPr>
        <w:t>参加</w:t>
      </w:r>
      <w:r>
        <w:rPr>
          <w:rFonts w:hint="eastAsia" w:cs="宋体"/>
          <w:snapToGrid w:val="0"/>
          <w:color w:val="auto"/>
          <w:kern w:val="0"/>
          <w:sz w:val="24"/>
          <w:highlight w:val="none"/>
        </w:rPr>
        <w:t>象山县爵溪街道小微企业集聚区建筑用石料（凝灰岩）矿开采加工、配套设施建设及矿产品销售代理一体化服务项目</w:t>
      </w:r>
      <w:r>
        <w:rPr>
          <w:rFonts w:hint="eastAsia" w:cs="宋体"/>
          <w:snapToGrid w:val="0"/>
          <w:color w:val="auto"/>
          <w:kern w:val="0"/>
          <w:sz w:val="24"/>
          <w:highlight w:val="none"/>
        </w:rPr>
        <w:t>【项目编号：</w:t>
      </w:r>
      <w:r>
        <w:rPr>
          <w:rFonts w:hint="eastAsia" w:cs="宋体"/>
          <w:snapToGrid w:val="0"/>
          <w:color w:val="auto"/>
          <w:kern w:val="0"/>
          <w:sz w:val="24"/>
          <w:highlight w:val="none"/>
        </w:rPr>
        <w:t>2024-CGDL-05-001C</w:t>
      </w:r>
      <w:r>
        <w:rPr>
          <w:rFonts w:hint="eastAsia" w:cs="宋体"/>
          <w:snapToGrid w:val="0"/>
          <w:color w:val="auto"/>
          <w:kern w:val="0"/>
          <w:sz w:val="24"/>
          <w:highlight w:val="none"/>
        </w:rPr>
        <w:t>】</w:t>
      </w:r>
      <w:r>
        <w:rPr>
          <w:rFonts w:hint="eastAsia" w:cs="宋体"/>
          <w:snapToGrid w:val="0"/>
          <w:color w:val="auto"/>
          <w:kern w:val="0"/>
          <w:sz w:val="24"/>
          <w:highlight w:val="none"/>
          <w:lang w:val="zh-CN"/>
        </w:rPr>
        <w:t>投标。</w:t>
      </w:r>
    </w:p>
    <w:p w14:paraId="6E38F8A8">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一致决定，</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 xml:space="preserve">（某联合体成员名称）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为联合体</w:t>
      </w:r>
      <w:r>
        <w:rPr>
          <w:rFonts w:hint="eastAsia" w:cs="宋体"/>
          <w:snapToGrid w:val="0"/>
          <w:color w:val="auto"/>
          <w:kern w:val="0"/>
          <w:sz w:val="24"/>
          <w:highlight w:val="none"/>
          <w:lang w:val="zh-CN"/>
        </w:rPr>
        <w:t>牵头人</w:t>
      </w:r>
      <w:r>
        <w:rPr>
          <w:rFonts w:hint="eastAsia" w:cs="宋体"/>
          <w:snapToGrid w:val="0"/>
          <w:color w:val="auto"/>
          <w:kern w:val="0"/>
          <w:sz w:val="24"/>
          <w:highlight w:val="none"/>
        </w:rPr>
        <w:t>，代表所有联合体成员负责投标和合同实施阶段的主办、协调工作</w:t>
      </w:r>
      <w:r>
        <w:rPr>
          <w:rFonts w:hint="eastAsia" w:cs="宋体"/>
          <w:snapToGrid w:val="0"/>
          <w:color w:val="auto"/>
          <w:kern w:val="0"/>
          <w:sz w:val="24"/>
          <w:highlight w:val="none"/>
          <w:lang w:val="zh-CN"/>
        </w:rPr>
        <w:t>。</w:t>
      </w:r>
    </w:p>
    <w:p w14:paraId="1AA83C9F">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w:t>
      </w:r>
      <w:r>
        <w:rPr>
          <w:rFonts w:hint="eastAsia" w:cs="宋体"/>
          <w:bCs/>
          <w:snapToGrid w:val="0"/>
          <w:color w:val="auto"/>
          <w:kern w:val="0"/>
          <w:sz w:val="24"/>
          <w:highlight w:val="none"/>
        </w:rPr>
        <w:t>所有</w:t>
      </w:r>
      <w:r>
        <w:rPr>
          <w:rFonts w:hint="eastAsia" w:cs="宋体"/>
          <w:snapToGrid w:val="0"/>
          <w:color w:val="auto"/>
          <w:kern w:val="0"/>
          <w:sz w:val="24"/>
          <w:highlight w:val="none"/>
        </w:rPr>
        <w:t>联合体成员各方签署授权书，授权书载明的</w:t>
      </w:r>
      <w:r>
        <w:rPr>
          <w:rFonts w:hint="eastAsia" w:cs="宋体"/>
          <w:snapToGrid w:val="0"/>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2A4F57">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三、本次联合投标中，分工如下：</w:t>
      </w:r>
    </w:p>
    <w:p w14:paraId="4932A38F">
      <w:pPr>
        <w:widowControl w:val="0"/>
        <w:adjustRightInd w:val="0"/>
        <w:snapToGrid w:val="0"/>
        <w:spacing w:line="300" w:lineRule="auto"/>
        <w:ind w:firstLine="480" w:firstLineChars="200"/>
        <w:rPr>
          <w:rFonts w:cs="宋体"/>
          <w:snapToGrid w:val="0"/>
          <w:color w:val="auto"/>
          <w:kern w:val="0"/>
          <w:sz w:val="24"/>
          <w:highlight w:val="none"/>
          <w:lang w:val="zh-CN"/>
        </w:rPr>
      </w:pPr>
      <w:bookmarkStart w:id="428" w:name="_Hlk101134295"/>
      <w:r>
        <w:rPr>
          <w:rFonts w:hint="eastAsia" w:cs="宋体"/>
          <w:snapToGrid w:val="0"/>
          <w:color w:val="auto"/>
          <w:kern w:val="0"/>
          <w:sz w:val="24"/>
          <w:highlight w:val="none"/>
          <w:u w:val="single"/>
        </w:rPr>
        <w:t xml:space="preserve">  （联合体成员1）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14:paraId="36B96E74">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（联合体</w:t>
      </w:r>
      <w:r>
        <w:rPr>
          <w:rFonts w:hint="eastAsia" w:cs="宋体"/>
          <w:bCs/>
          <w:snapToGrid w:val="0"/>
          <w:color w:val="auto"/>
          <w:kern w:val="0"/>
          <w:sz w:val="24"/>
          <w:highlight w:val="none"/>
          <w:u w:val="single"/>
        </w:rPr>
        <w:t>成员</w:t>
      </w:r>
      <w:r>
        <w:rPr>
          <w:rFonts w:cs="宋体"/>
          <w:snapToGrid w:val="0"/>
          <w:color w:val="auto"/>
          <w:kern w:val="0"/>
          <w:sz w:val="24"/>
          <w:highlight w:val="none"/>
          <w:u w:val="single"/>
        </w:rPr>
        <w:t>2</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承担的工作和义务为：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lang w:val="zh-CN"/>
        </w:rPr>
        <w:t>；</w:t>
      </w:r>
    </w:p>
    <w:p w14:paraId="02CF3940">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w:t>
      </w:r>
    </w:p>
    <w:bookmarkEnd w:id="428"/>
    <w:p w14:paraId="62D40F4F">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四、联合体成员中小企业合同份额。</w:t>
      </w:r>
    </w:p>
    <w:p w14:paraId="7C5C3957">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hint="eastAsia" w:cs="宋体"/>
          <w:snapToGrid w:val="0"/>
          <w:color w:val="auto"/>
          <w:kern w:val="0"/>
          <w:sz w:val="24"/>
          <w:highlight w:val="none"/>
          <w:lang w:val="zh-CN"/>
        </w:rPr>
        <w:t>1、</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u w:val="single"/>
        </w:rPr>
        <w:t>（联合体成员</w:t>
      </w:r>
      <w:r>
        <w:rPr>
          <w:rFonts w:cs="宋体"/>
          <w:snapToGrid w:val="0"/>
          <w:color w:val="auto"/>
          <w:kern w:val="0"/>
          <w:sz w:val="24"/>
          <w:highlight w:val="none"/>
          <w:u w:val="single"/>
        </w:rPr>
        <w:t>X</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提供的服务由小微企业承接，其合同份额占到合同总金额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snapToGrid w:val="0"/>
          <w:color w:val="auto"/>
          <w:kern w:val="0"/>
          <w:sz w:val="24"/>
          <w:highlight w:val="none"/>
          <w:lang w:val="zh-CN"/>
        </w:rPr>
        <w:t>。</w:t>
      </w:r>
      <w:r>
        <w:rPr>
          <w:rFonts w:hint="eastAsia" w:cs="宋体"/>
          <w:b/>
          <w:snapToGrid w:val="0"/>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14:paraId="7910C82C">
      <w:pPr>
        <w:widowControl w:val="0"/>
        <w:adjustRightInd w:val="0"/>
        <w:snapToGrid w:val="0"/>
        <w:spacing w:line="300" w:lineRule="auto"/>
        <w:ind w:firstLine="480" w:firstLineChars="200"/>
        <w:rPr>
          <w:rFonts w:cs="宋体"/>
          <w:snapToGrid w:val="0"/>
          <w:color w:val="auto"/>
          <w:kern w:val="0"/>
          <w:szCs w:val="21"/>
          <w:highlight w:val="none"/>
          <w:lang w:val="zh-CN"/>
        </w:rPr>
      </w:pPr>
      <w:r>
        <w:rPr>
          <w:rFonts w:hint="eastAsia" w:cs="宋体"/>
          <w:snapToGrid w:val="0"/>
          <w:color w:val="auto"/>
          <w:kern w:val="0"/>
          <w:sz w:val="24"/>
          <w:highlight w:val="none"/>
        </w:rPr>
        <w:t>2、中小企业合同金额达到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color w:val="auto"/>
          <w:kern w:val="0"/>
          <w:szCs w:val="21"/>
          <w:highlight w:val="none"/>
          <w:lang w:val="zh-CN"/>
        </w:rPr>
        <w:t>）</w:t>
      </w:r>
    </w:p>
    <w:p w14:paraId="13DC2CB5">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五、如果中标，</w:t>
      </w:r>
      <w:r>
        <w:rPr>
          <w:rFonts w:hint="eastAsia" w:cs="宋体"/>
          <w:snapToGrid w:val="0"/>
          <w:color w:val="auto"/>
          <w:kern w:val="0"/>
          <w:sz w:val="24"/>
          <w:highlight w:val="none"/>
        </w:rPr>
        <w:t>联合体各成员方共同与采购人签订合同，并就采购合同约定的事项对采购人承担连带责任。</w:t>
      </w:r>
    </w:p>
    <w:p w14:paraId="00ABE4D0">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六、有关本次联合投标的其他事宜：</w:t>
      </w:r>
    </w:p>
    <w:p w14:paraId="5D75B6DC">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1、联合体</w:t>
      </w:r>
      <w:r>
        <w:rPr>
          <w:rFonts w:hint="eastAsia" w:cs="宋体"/>
          <w:bCs/>
          <w:snapToGrid w:val="0"/>
          <w:color w:val="auto"/>
          <w:kern w:val="0"/>
          <w:sz w:val="24"/>
          <w:highlight w:val="none"/>
        </w:rPr>
        <w:t>各方</w:t>
      </w:r>
      <w:r>
        <w:rPr>
          <w:rFonts w:hint="eastAsia" w:cs="宋体"/>
          <w:snapToGrid w:val="0"/>
          <w:color w:val="auto"/>
          <w:kern w:val="0"/>
          <w:sz w:val="24"/>
          <w:highlight w:val="none"/>
          <w:lang w:val="zh-CN"/>
        </w:rPr>
        <w:t>不再单独参加或者与其他供应商另外组成联合体参加同一合同项下的政府采购活动。</w:t>
      </w:r>
    </w:p>
    <w:p w14:paraId="07F4F1B7">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2、联合体中有同类资质的各方按照联合体分工承担相同工作的，按照资质等级较低的供应商确定资质等级。</w:t>
      </w:r>
    </w:p>
    <w:p w14:paraId="5AE9A59D">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3、本协议提交采购人、采购代理机构后，联合体各方不得以任何形式对上述内容进行修改或撤销。</w:t>
      </w:r>
    </w:p>
    <w:p w14:paraId="50835159">
      <w:pPr>
        <w:widowControl w:val="0"/>
        <w:adjustRightInd w:val="0"/>
        <w:snapToGrid w:val="0"/>
        <w:spacing w:line="30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联合体成员名称（电子签名/公章）：</w:t>
      </w:r>
    </w:p>
    <w:p w14:paraId="58D4B0F3">
      <w:pPr>
        <w:widowControl w:val="0"/>
        <w:adjustRightInd w:val="0"/>
        <w:snapToGrid w:val="0"/>
        <w:spacing w:line="30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联合体成员名称（电子签名/公章）：</w:t>
      </w:r>
    </w:p>
    <w:p w14:paraId="72955083">
      <w:pPr>
        <w:widowControl w:val="0"/>
        <w:adjustRightInd w:val="0"/>
        <w:snapToGrid w:val="0"/>
        <w:spacing w:line="300" w:lineRule="auto"/>
        <w:ind w:firstLine="3840" w:firstLineChars="16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653EA38E">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2F156311">
      <w:pPr>
        <w:widowControl w:val="0"/>
        <w:adjustRightInd w:val="0"/>
        <w:snapToGrid w:val="0"/>
        <w:rPr>
          <w:rFonts w:cs="宋体"/>
          <w:color w:val="auto"/>
          <w:highlight w:val="none"/>
        </w:rPr>
      </w:pPr>
      <w:r>
        <w:rPr>
          <w:rFonts w:hint="eastAsia" w:cs="宋体"/>
          <w:color w:val="auto"/>
          <w:highlight w:val="none"/>
        </w:rPr>
        <w:t>注：按本格式和要求提供。</w:t>
      </w:r>
    </w:p>
    <w:p w14:paraId="62864CE7">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6</w:t>
      </w:r>
      <w:r>
        <w:rPr>
          <w:rFonts w:hint="eastAsia"/>
          <w:b/>
          <w:color w:val="auto"/>
          <w:spacing w:val="6"/>
          <w:sz w:val="30"/>
          <w:szCs w:val="30"/>
          <w:highlight w:val="none"/>
        </w:rPr>
        <w:t>：分包意向协议</w:t>
      </w:r>
    </w:p>
    <w:p w14:paraId="55412FEE">
      <w:pPr>
        <w:widowControl w:val="0"/>
        <w:adjustRightInd w:val="0"/>
        <w:snapToGrid w:val="0"/>
        <w:rPr>
          <w:color w:val="auto"/>
          <w:highlight w:val="none"/>
        </w:rPr>
      </w:pPr>
    </w:p>
    <w:p w14:paraId="40D89A86">
      <w:pPr>
        <w:widowControl w:val="0"/>
        <w:adjustRightInd w:val="0"/>
        <w:snapToGrid w:val="0"/>
        <w:ind w:firstLine="422" w:firstLineChars="200"/>
        <w:rPr>
          <w:rFonts w:cs="宋体"/>
          <w:b/>
          <w:snapToGrid w:val="0"/>
          <w:color w:val="auto"/>
          <w:kern w:val="0"/>
          <w:szCs w:val="21"/>
          <w:highlight w:val="none"/>
        </w:rPr>
      </w:pPr>
      <w:r>
        <w:rPr>
          <w:rFonts w:hint="eastAsia" w:cs="宋体"/>
          <w:b/>
          <w:snapToGrid w:val="0"/>
          <w:color w:val="auto"/>
          <w:kern w:val="0"/>
          <w:szCs w:val="21"/>
          <w:highlight w:val="none"/>
        </w:rPr>
        <w:t>（中标后以分包方式履行合同的，提供分包意向协议；采购人不同意分包或者投标人中标后不以分包方式履行合同的，则不需要提供。）</w:t>
      </w:r>
    </w:p>
    <w:p w14:paraId="50ACD115">
      <w:pPr>
        <w:widowControl w:val="0"/>
        <w:adjustRightInd w:val="0"/>
        <w:snapToGrid w:val="0"/>
        <w:rPr>
          <w:color w:val="auto"/>
          <w:highlight w:val="none"/>
        </w:rPr>
      </w:pPr>
    </w:p>
    <w:p w14:paraId="10DDFAA2">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若成为</w:t>
      </w:r>
      <w:r>
        <w:rPr>
          <w:rFonts w:hint="eastAsia" w:cs="宋体"/>
          <w:snapToGrid w:val="0"/>
          <w:color w:val="auto"/>
          <w:kern w:val="0"/>
          <w:sz w:val="24"/>
          <w:highlight w:val="none"/>
        </w:rPr>
        <w:t>象山县爵溪街道小微企业集聚区建筑用石料（凝灰岩）矿开采加工、配套设施建设及矿产品销售代理一体化服务项目</w:t>
      </w:r>
      <w:r>
        <w:rPr>
          <w:rFonts w:hint="eastAsia" w:cs="宋体"/>
          <w:snapToGrid w:val="0"/>
          <w:color w:val="auto"/>
          <w:kern w:val="0"/>
          <w:sz w:val="24"/>
          <w:highlight w:val="none"/>
        </w:rPr>
        <w:t>【项目编号：</w:t>
      </w:r>
      <w:r>
        <w:rPr>
          <w:rFonts w:hint="eastAsia" w:cs="宋体"/>
          <w:snapToGrid w:val="0"/>
          <w:color w:val="auto"/>
          <w:kern w:val="0"/>
          <w:sz w:val="24"/>
          <w:highlight w:val="none"/>
        </w:rPr>
        <w:t>2024-CGDL-05-001C</w:t>
      </w:r>
      <w:r>
        <w:rPr>
          <w:rFonts w:hint="eastAsia" w:cs="宋体"/>
          <w:snapToGrid w:val="0"/>
          <w:color w:val="auto"/>
          <w:kern w:val="0"/>
          <w:sz w:val="24"/>
          <w:highlight w:val="none"/>
        </w:rPr>
        <w:t>】</w:t>
      </w:r>
      <w:r>
        <w:rPr>
          <w:rFonts w:hint="eastAsia" w:cs="宋体"/>
          <w:snapToGrid w:val="0"/>
          <w:color w:val="auto"/>
          <w:kern w:val="0"/>
          <w:sz w:val="24"/>
          <w:highlight w:val="none"/>
          <w:lang w:val="zh-CN"/>
        </w:rPr>
        <w:t>的中标供应商，将依法采取分包方式履行合同。</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（投标人名称）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与</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（所有分包供应商名称）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达成分包意向协议</w:t>
      </w:r>
      <w:r>
        <w:rPr>
          <w:rFonts w:hint="eastAsia" w:cs="宋体"/>
          <w:snapToGrid w:val="0"/>
          <w:color w:val="auto"/>
          <w:kern w:val="0"/>
          <w:sz w:val="24"/>
          <w:highlight w:val="none"/>
          <w:lang w:val="zh-CN"/>
        </w:rPr>
        <w:t>。</w:t>
      </w:r>
    </w:p>
    <w:p w14:paraId="2EE4D0D3">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一、</w:t>
      </w:r>
      <w:r>
        <w:rPr>
          <w:rFonts w:hint="eastAsia" w:cs="宋体"/>
          <w:bCs/>
          <w:snapToGrid w:val="0"/>
          <w:color w:val="auto"/>
          <w:kern w:val="0"/>
          <w:sz w:val="24"/>
          <w:highlight w:val="none"/>
        </w:rPr>
        <w:t>分包</w:t>
      </w:r>
      <w:r>
        <w:rPr>
          <w:rFonts w:hint="eastAsia" w:cs="宋体"/>
          <w:snapToGrid w:val="0"/>
          <w:color w:val="auto"/>
          <w:kern w:val="0"/>
          <w:sz w:val="24"/>
          <w:highlight w:val="none"/>
          <w:lang w:val="zh-CN"/>
        </w:rPr>
        <w:t>标的及数量</w:t>
      </w:r>
    </w:p>
    <w:p w14:paraId="1B2BFC6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w:t>
      </w:r>
      <w:r>
        <w:rPr>
          <w:rFonts w:hint="eastAsia" w:cs="宋体"/>
          <w:bCs/>
          <w:snapToGrid w:val="0"/>
          <w:color w:val="auto"/>
          <w:kern w:val="0"/>
          <w:sz w:val="24"/>
          <w:highlight w:val="none"/>
          <w:u w:val="single"/>
        </w:rPr>
        <w:t>投标人</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将</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XX工作内容   </w:t>
      </w:r>
      <w:r>
        <w:rPr>
          <w:rFonts w:hint="eastAsia" w:cs="宋体"/>
          <w:snapToGrid w:val="0"/>
          <w:color w:val="auto"/>
          <w:kern w:val="0"/>
          <w:sz w:val="24"/>
          <w:highlight w:val="none"/>
        </w:rPr>
        <w:t>分包给</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（分包供应商1名称）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w:t>
      </w:r>
      <w:r>
        <w:rPr>
          <w:rFonts w:cs="宋体"/>
          <w:snapToGrid w:val="0"/>
          <w:color w:val="auto"/>
          <w:kern w:val="0"/>
          <w:sz w:val="24"/>
          <w:highlight w:val="none"/>
          <w:u w:val="single"/>
        </w:rPr>
        <w:t>1</w:t>
      </w:r>
      <w:r>
        <w:rPr>
          <w:rFonts w:hint="eastAsia" w:cs="宋体"/>
          <w:snapToGrid w:val="0"/>
          <w:color w:val="auto"/>
          <w:kern w:val="0"/>
          <w:sz w:val="24"/>
          <w:highlight w:val="none"/>
          <w:u w:val="single"/>
        </w:rPr>
        <w:t xml:space="preserve">名称）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具备承</w:t>
      </w:r>
      <w:r>
        <w:rPr>
          <w:rFonts w:hint="eastAsia" w:cs="宋体"/>
          <w:snapToGrid w:val="0"/>
          <w:color w:val="auto"/>
          <w:kern w:val="0"/>
          <w:sz w:val="24"/>
          <w:highlight w:val="none"/>
        </w:rPr>
        <w:t>担</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lang w:val="zh-CN"/>
        </w:rPr>
        <w:t>XX工作内容</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lang w:val="zh-CN"/>
        </w:rPr>
        <w:t>相应资质条件且不得再次分包；</w:t>
      </w:r>
    </w:p>
    <w:p w14:paraId="017FD045">
      <w:pPr>
        <w:widowControl w:val="0"/>
        <w:adjustRightInd w:val="0"/>
        <w:snapToGrid w:val="0"/>
        <w:spacing w:line="300" w:lineRule="auto"/>
        <w:ind w:firstLine="480" w:firstLineChars="200"/>
        <w:rPr>
          <w:rFonts w:cs="宋体"/>
          <w:snapToGrid w:val="0"/>
          <w:color w:val="auto"/>
          <w:kern w:val="0"/>
          <w:sz w:val="24"/>
          <w:szCs w:val="24"/>
          <w:highlight w:val="none"/>
        </w:rPr>
      </w:pPr>
      <w:r>
        <w:rPr>
          <w:rFonts w:hint="eastAsia" w:cs="宋体"/>
          <w:snapToGrid w:val="0"/>
          <w:color w:val="auto"/>
          <w:kern w:val="0"/>
          <w:sz w:val="24"/>
          <w:szCs w:val="24"/>
          <w:highlight w:val="none"/>
        </w:rPr>
        <w:t>……</w:t>
      </w:r>
    </w:p>
    <w:p w14:paraId="1F65A569">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二、分包供应商中小企业合同份额</w:t>
      </w:r>
    </w:p>
    <w:p w14:paraId="1987656B">
      <w:pPr>
        <w:widowControl w:val="0"/>
        <w:adjustRightInd w:val="0"/>
        <w:snapToGrid w:val="0"/>
        <w:spacing w:line="300" w:lineRule="auto"/>
        <w:ind w:firstLine="480" w:firstLineChars="200"/>
        <w:rPr>
          <w:rFonts w:cs="宋体"/>
          <w:b/>
          <w:snapToGrid w:val="0"/>
          <w:color w:val="auto"/>
          <w:kern w:val="0"/>
          <w:szCs w:val="21"/>
          <w:highlight w:val="none"/>
          <w:lang w:val="zh-CN"/>
        </w:rPr>
      </w:pPr>
      <w:r>
        <w:rPr>
          <w:rFonts w:cs="宋体"/>
          <w:snapToGrid w:val="0"/>
          <w:color w:val="auto"/>
          <w:kern w:val="0"/>
          <w:sz w:val="24"/>
          <w:highlight w:val="none"/>
        </w:rPr>
        <w:t>1、</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（分包供应商X，……）提供的服务全部由小微企业承接，</w:t>
      </w:r>
      <w:r>
        <w:rPr>
          <w:rFonts w:hint="eastAsia" w:cs="宋体"/>
          <w:snapToGrid w:val="0"/>
          <w:color w:val="auto"/>
          <w:kern w:val="0"/>
          <w:sz w:val="24"/>
          <w:highlight w:val="none"/>
        </w:rPr>
        <w:t>其合同份额占到合同总金额</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%以上。</w:t>
      </w:r>
      <w:r>
        <w:rPr>
          <w:rFonts w:hint="eastAsia" w:cs="宋体"/>
          <w:b/>
          <w:snapToGrid w:val="0"/>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color w:val="auto"/>
          <w:kern w:val="0"/>
          <w:szCs w:val="21"/>
          <w:highlight w:val="none"/>
        </w:rPr>
        <w:t>拟享受以上价格扣除政策的，填写有关内容。</w:t>
      </w:r>
      <w:r>
        <w:rPr>
          <w:rFonts w:hint="eastAsia" w:cs="宋体"/>
          <w:b/>
          <w:snapToGrid w:val="0"/>
          <w:color w:val="auto"/>
          <w:kern w:val="0"/>
          <w:szCs w:val="21"/>
          <w:highlight w:val="none"/>
          <w:lang w:val="zh-CN"/>
        </w:rPr>
        <w:t>）</w:t>
      </w:r>
    </w:p>
    <w:p w14:paraId="7A4A88A8">
      <w:pPr>
        <w:widowControl w:val="0"/>
        <w:adjustRightInd w:val="0"/>
        <w:snapToGrid w:val="0"/>
        <w:spacing w:line="300" w:lineRule="auto"/>
        <w:ind w:firstLine="480" w:firstLineChars="200"/>
        <w:rPr>
          <w:rFonts w:cs="宋体"/>
          <w:b/>
          <w:bCs/>
          <w:snapToGrid w:val="0"/>
          <w:color w:val="auto"/>
          <w:kern w:val="0"/>
          <w:szCs w:val="21"/>
          <w:highlight w:val="none"/>
          <w:lang w:val="zh-CN"/>
        </w:rPr>
      </w:pPr>
      <w:r>
        <w:rPr>
          <w:rFonts w:hint="eastAsia" w:cs="宋体"/>
          <w:snapToGrid w:val="0"/>
          <w:color w:val="auto"/>
          <w:kern w:val="0"/>
          <w:sz w:val="24"/>
          <w:highlight w:val="none"/>
        </w:rPr>
        <w:t>2、</w:t>
      </w:r>
      <w:bookmarkStart w:id="429" w:name="_Hlk101133173"/>
      <w:r>
        <w:rPr>
          <w:rFonts w:hint="eastAsia" w:cs="宋体"/>
          <w:bCs/>
          <w:snapToGrid w:val="0"/>
          <w:color w:val="auto"/>
          <w:kern w:val="0"/>
          <w:sz w:val="24"/>
          <w:highlight w:val="none"/>
        </w:rPr>
        <w:t>中小企业</w:t>
      </w:r>
      <w:r>
        <w:rPr>
          <w:rFonts w:hint="eastAsia" w:cs="宋体"/>
          <w:snapToGrid w:val="0"/>
          <w:color w:val="auto"/>
          <w:kern w:val="0"/>
          <w:sz w:val="24"/>
          <w:highlight w:val="none"/>
        </w:rPr>
        <w:t>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%，小微企业合同金额达到</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w:t>
      </w:r>
      <w:r>
        <w:rPr>
          <w:rFonts w:hint="eastAsia" w:cs="宋体"/>
          <w:snapToGrid w:val="0"/>
          <w:color w:val="auto"/>
          <w:kern w:val="0"/>
          <w:sz w:val="24"/>
          <w:highlight w:val="none"/>
          <w:lang w:val="zh-CN"/>
        </w:rPr>
        <w:t>。</w:t>
      </w:r>
      <w:r>
        <w:rPr>
          <w:rFonts w:hint="eastAsia" w:cs="宋体"/>
          <w:b/>
          <w:bCs/>
          <w:snapToGrid w:val="0"/>
          <w:color w:val="auto"/>
          <w:kern w:val="0"/>
          <w:szCs w:val="21"/>
          <w:highlight w:val="none"/>
          <w:lang w:val="zh-CN"/>
        </w:rPr>
        <w:t>（</w:t>
      </w:r>
      <w:r>
        <w:rPr>
          <w:rFonts w:hint="eastAsia" w:cs="宋体"/>
          <w:b/>
          <w:bCs/>
          <w:snapToGrid w:val="0"/>
          <w:color w:val="auto"/>
          <w:kern w:val="0"/>
          <w:szCs w:val="21"/>
          <w:highlight w:val="none"/>
        </w:rPr>
        <w:t>要求合同分包形式参加的项目或采购包，供应商按招标文件第一部分招标公告申请人的资格要求中规定的</w:t>
      </w:r>
      <w:r>
        <w:rPr>
          <w:rFonts w:hint="eastAsia" w:cs="宋体"/>
          <w:b/>
          <w:snapToGrid w:val="0"/>
          <w:color w:val="auto"/>
          <w:kern w:val="0"/>
          <w:szCs w:val="21"/>
          <w:highlight w:val="none"/>
          <w:lang w:val="zh-CN"/>
        </w:rPr>
        <w:t>分包意向协议</w:t>
      </w:r>
      <w:r>
        <w:rPr>
          <w:rFonts w:hint="eastAsia" w:cs="宋体"/>
          <w:b/>
          <w:bCs/>
          <w:snapToGrid w:val="0"/>
          <w:color w:val="auto"/>
          <w:kern w:val="0"/>
          <w:szCs w:val="21"/>
          <w:highlight w:val="none"/>
        </w:rPr>
        <w:t>中中小企业、小微企业合同金额应当达到的比例要求填写。</w:t>
      </w:r>
      <w:r>
        <w:rPr>
          <w:rFonts w:hint="eastAsia" w:cs="宋体"/>
          <w:b/>
          <w:bCs/>
          <w:snapToGrid w:val="0"/>
          <w:color w:val="auto"/>
          <w:kern w:val="0"/>
          <w:szCs w:val="21"/>
          <w:highlight w:val="none"/>
          <w:lang w:val="zh-CN"/>
        </w:rPr>
        <w:t>）</w:t>
      </w:r>
      <w:bookmarkEnd w:id="429"/>
    </w:p>
    <w:p w14:paraId="186981D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三、分包工作履行期限、地点、方式</w:t>
      </w:r>
    </w:p>
    <w:p w14:paraId="22A7E204">
      <w:pPr>
        <w:widowControl w:val="0"/>
        <w:adjustRightInd w:val="0"/>
        <w:snapToGrid w:val="0"/>
        <w:spacing w:line="300" w:lineRule="auto"/>
        <w:ind w:firstLine="480" w:firstLineChars="200"/>
        <w:rPr>
          <w:rFonts w:cs="宋体"/>
          <w:snapToGrid w:val="0"/>
          <w:color w:val="auto"/>
          <w:kern w:val="0"/>
          <w:sz w:val="24"/>
          <w:highlight w:val="none"/>
          <w:u w:val="single"/>
        </w:rPr>
      </w:pPr>
      <w:r>
        <w:rPr>
          <w:rFonts w:hint="eastAsia" w:cs="宋体"/>
          <w:snapToGrid w:val="0"/>
          <w:color w:val="auto"/>
          <w:kern w:val="0"/>
          <w:sz w:val="24"/>
          <w:highlight w:val="none"/>
          <w:u w:val="single"/>
        </w:rPr>
        <w:t xml:space="preserve">                                                                       </w:t>
      </w:r>
    </w:p>
    <w:p w14:paraId="1D96680E">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四、质量</w:t>
      </w:r>
    </w:p>
    <w:p w14:paraId="2E22A832">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029B481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五、价款或者报酬</w:t>
      </w:r>
    </w:p>
    <w:p w14:paraId="1A29E14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53B4B78A">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六、</w:t>
      </w:r>
      <w:r>
        <w:rPr>
          <w:rFonts w:hint="eastAsia" w:cs="宋体"/>
          <w:bCs/>
          <w:snapToGrid w:val="0"/>
          <w:color w:val="auto"/>
          <w:kern w:val="0"/>
          <w:sz w:val="24"/>
          <w:highlight w:val="none"/>
        </w:rPr>
        <w:t>违约</w:t>
      </w:r>
      <w:r>
        <w:rPr>
          <w:rFonts w:hint="eastAsia" w:cs="宋体"/>
          <w:snapToGrid w:val="0"/>
          <w:color w:val="auto"/>
          <w:kern w:val="0"/>
          <w:sz w:val="24"/>
          <w:highlight w:val="none"/>
          <w:lang w:val="zh-CN"/>
        </w:rPr>
        <w:t>责任</w:t>
      </w:r>
    </w:p>
    <w:p w14:paraId="56F209F0">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1E74301B">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七、争议解决的办法</w:t>
      </w:r>
    </w:p>
    <w:p w14:paraId="6A662F35">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u w:val="single"/>
        </w:rPr>
        <w:t xml:space="preserve">                                                                       </w:t>
      </w:r>
    </w:p>
    <w:p w14:paraId="6D2DF551">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八、其他</w:t>
      </w:r>
    </w:p>
    <w:p w14:paraId="1729284D">
      <w:pPr>
        <w:widowControl w:val="0"/>
        <w:adjustRightInd w:val="0"/>
        <w:snapToGrid w:val="0"/>
        <w:spacing w:line="300" w:lineRule="auto"/>
        <w:ind w:firstLine="480" w:firstLineChars="200"/>
        <w:rPr>
          <w:rFonts w:cs="宋体"/>
          <w:snapToGrid w:val="0"/>
          <w:color w:val="auto"/>
          <w:kern w:val="0"/>
          <w:sz w:val="24"/>
          <w:highlight w:val="none"/>
          <w:lang w:val="zh-CN"/>
        </w:rPr>
      </w:pPr>
      <w:r>
        <w:rPr>
          <w:rFonts w:hint="eastAsia" w:cs="宋体"/>
          <w:snapToGrid w:val="0"/>
          <w:color w:val="auto"/>
          <w:kern w:val="0"/>
          <w:sz w:val="24"/>
          <w:highlight w:val="none"/>
          <w:lang w:val="zh-CN"/>
        </w:rPr>
        <w:t>中小企业合同金额达到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%，小微企业合同金额达到</w:t>
      </w:r>
      <w:r>
        <w:rPr>
          <w:rFonts w:hint="eastAsia" w:cs="宋体"/>
          <w:snapToGrid w:val="0"/>
          <w:color w:val="auto"/>
          <w:kern w:val="0"/>
          <w:sz w:val="24"/>
          <w:highlight w:val="none"/>
          <w:u w:val="single"/>
          <w:lang w:val="zh-CN"/>
        </w:rPr>
        <w:t xml:space="preserve">  </w:t>
      </w:r>
      <w:r>
        <w:rPr>
          <w:rFonts w:cs="宋体"/>
          <w:snapToGrid w:val="0"/>
          <w:color w:val="auto"/>
          <w:kern w:val="0"/>
          <w:sz w:val="24"/>
          <w:highlight w:val="none"/>
          <w:u w:val="single"/>
          <w:lang w:val="zh-CN"/>
        </w:rPr>
        <w:t xml:space="preserve"> </w:t>
      </w:r>
      <w:r>
        <w:rPr>
          <w:rFonts w:hint="eastAsia" w:cs="宋体"/>
          <w:snapToGrid w:val="0"/>
          <w:color w:val="auto"/>
          <w:kern w:val="0"/>
          <w:sz w:val="24"/>
          <w:highlight w:val="none"/>
          <w:lang w:val="zh-CN"/>
        </w:rPr>
        <w:t>%。</w:t>
      </w:r>
    </w:p>
    <w:p w14:paraId="4CE714AE">
      <w:pPr>
        <w:widowControl w:val="0"/>
        <w:adjustRightInd w:val="0"/>
        <w:snapToGrid w:val="0"/>
        <w:spacing w:line="300" w:lineRule="auto"/>
        <w:ind w:firstLine="3840" w:firstLineChars="16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5811364B">
      <w:pPr>
        <w:widowControl w:val="0"/>
        <w:adjustRightInd w:val="0"/>
        <w:snapToGrid w:val="0"/>
        <w:spacing w:line="300" w:lineRule="auto"/>
        <w:ind w:firstLine="3840" w:firstLineChars="16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75CC858">
      <w:pPr>
        <w:widowControl w:val="0"/>
        <w:adjustRightInd w:val="0"/>
        <w:snapToGrid w:val="0"/>
        <w:spacing w:line="300" w:lineRule="auto"/>
        <w:ind w:firstLine="3840" w:firstLineChars="16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D7E9D6E">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6D6A470C">
      <w:pPr>
        <w:widowControl w:val="0"/>
        <w:adjustRightInd w:val="0"/>
        <w:snapToGrid w:val="0"/>
        <w:rPr>
          <w:rFonts w:cs="宋体"/>
          <w:color w:val="auto"/>
          <w:highlight w:val="none"/>
        </w:rPr>
      </w:pPr>
      <w:r>
        <w:rPr>
          <w:rFonts w:hint="eastAsia" w:cs="宋体"/>
          <w:color w:val="auto"/>
          <w:highlight w:val="none"/>
        </w:rPr>
        <w:t>注：按本格式和要求提供。</w:t>
      </w:r>
    </w:p>
    <w:p w14:paraId="21347925">
      <w:pPr>
        <w:widowControl w:val="0"/>
        <w:adjustRightInd w:val="0"/>
        <w:snapToGrid w:val="0"/>
        <w:spacing w:line="300" w:lineRule="auto"/>
        <w:rPr>
          <w:b/>
          <w:color w:val="auto"/>
          <w:spacing w:val="6"/>
          <w:sz w:val="30"/>
          <w:szCs w:val="30"/>
          <w:highlight w:val="none"/>
        </w:rPr>
      </w:pPr>
      <w:r>
        <w:rPr>
          <w:rFonts w:hint="eastAsia"/>
          <w:b/>
          <w:color w:val="auto"/>
          <w:spacing w:val="6"/>
          <w:sz w:val="30"/>
          <w:szCs w:val="30"/>
          <w:highlight w:val="none"/>
        </w:rPr>
        <w:t>附件</w:t>
      </w:r>
      <w:r>
        <w:rPr>
          <w:b/>
          <w:color w:val="auto"/>
          <w:spacing w:val="6"/>
          <w:sz w:val="30"/>
          <w:szCs w:val="30"/>
          <w:highlight w:val="none"/>
        </w:rPr>
        <w:t>7</w:t>
      </w:r>
      <w:r>
        <w:rPr>
          <w:rFonts w:hint="eastAsia"/>
          <w:b/>
          <w:color w:val="auto"/>
          <w:spacing w:val="6"/>
          <w:sz w:val="30"/>
          <w:szCs w:val="30"/>
          <w:highlight w:val="none"/>
        </w:rPr>
        <w:t>：中小企业声明函</w:t>
      </w:r>
    </w:p>
    <w:p w14:paraId="75183590">
      <w:pPr>
        <w:widowControl w:val="0"/>
        <w:adjustRightInd w:val="0"/>
        <w:snapToGrid w:val="0"/>
        <w:rPr>
          <w:color w:val="auto"/>
          <w:highlight w:val="none"/>
        </w:rPr>
      </w:pPr>
    </w:p>
    <w:p w14:paraId="3CCBCD33">
      <w:pPr>
        <w:widowControl w:val="0"/>
        <w:adjustRightInd w:val="0"/>
        <w:snapToGrid w:val="0"/>
        <w:rPr>
          <w:color w:val="auto"/>
          <w:highlight w:val="none"/>
        </w:rPr>
      </w:pPr>
    </w:p>
    <w:p w14:paraId="718BE8FA">
      <w:pPr>
        <w:widowControl w:val="0"/>
        <w:adjustRightInd w:val="0"/>
        <w:snapToGrid w:val="0"/>
        <w:spacing w:line="300" w:lineRule="auto"/>
        <w:jc w:val="center"/>
        <w:rPr>
          <w:rFonts w:cs="宋体"/>
          <w:b/>
          <w:bCs/>
          <w:color w:val="auto"/>
          <w:kern w:val="0"/>
          <w:sz w:val="28"/>
          <w:szCs w:val="28"/>
          <w:highlight w:val="none"/>
        </w:rPr>
      </w:pPr>
      <w:r>
        <w:rPr>
          <w:rFonts w:hint="eastAsia" w:cs="宋体"/>
          <w:b/>
          <w:bCs/>
          <w:color w:val="auto"/>
          <w:kern w:val="0"/>
          <w:sz w:val="28"/>
          <w:szCs w:val="28"/>
          <w:highlight w:val="none"/>
        </w:rPr>
        <w:t>中小企业声明函（服务）</w:t>
      </w:r>
    </w:p>
    <w:p w14:paraId="1F75BBA7">
      <w:pPr>
        <w:widowControl w:val="0"/>
        <w:adjustRightInd w:val="0"/>
        <w:snapToGrid w:val="0"/>
        <w:rPr>
          <w:color w:val="auto"/>
          <w:highlight w:val="none"/>
        </w:rPr>
      </w:pPr>
    </w:p>
    <w:p w14:paraId="02ACC0D3">
      <w:pPr>
        <w:widowControl w:val="0"/>
        <w:adjustRightInd w:val="0"/>
        <w:snapToGrid w:val="0"/>
        <w:rPr>
          <w:color w:val="auto"/>
          <w:highlight w:val="none"/>
        </w:rPr>
      </w:pPr>
    </w:p>
    <w:p w14:paraId="386E193F">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本公司（联合体）郑重声明，根据《政府采购促进中小企业发展管理办法》（财库</w:t>
      </w:r>
      <w:r>
        <w:rPr>
          <w:rFonts w:hint="eastAsia" w:hAnsi="宋体"/>
          <w:snapToGrid w:val="0"/>
          <w:color w:val="auto"/>
          <w:kern w:val="0"/>
          <w:sz w:val="24"/>
          <w:highlight w:val="none"/>
        </w:rPr>
        <w:t>〔20</w:t>
      </w:r>
      <w:r>
        <w:rPr>
          <w:rFonts w:hAnsi="宋体"/>
          <w:snapToGrid w:val="0"/>
          <w:color w:val="auto"/>
          <w:kern w:val="0"/>
          <w:sz w:val="24"/>
          <w:highlight w:val="none"/>
        </w:rPr>
        <w:t>20</w:t>
      </w:r>
      <w:r>
        <w:rPr>
          <w:rFonts w:hint="eastAsia" w:hAnsi="宋体"/>
          <w:snapToGrid w:val="0"/>
          <w:color w:val="auto"/>
          <w:kern w:val="0"/>
          <w:sz w:val="24"/>
          <w:highlight w:val="none"/>
        </w:rPr>
        <w:t>〕</w:t>
      </w:r>
      <w:r>
        <w:rPr>
          <w:rFonts w:hint="eastAsia" w:cs="宋体"/>
          <w:snapToGrid w:val="0"/>
          <w:color w:val="auto"/>
          <w:kern w:val="0"/>
          <w:sz w:val="24"/>
          <w:highlight w:val="none"/>
        </w:rPr>
        <w:t>46号）的规定，本公司（联合体）参加</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（采购人）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的</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象山县爵溪街道小微企业集聚区建筑用石料（凝灰岩）矿开采加工、配套设施建设及矿产品销售代理一体化服务项目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采购活动，</w:t>
      </w:r>
      <w:r>
        <w:rPr>
          <w:rFonts w:hint="eastAsia" w:cs="宋体"/>
          <w:snapToGrid w:val="0"/>
          <w:color w:val="auto"/>
          <w:kern w:val="0"/>
          <w:sz w:val="24"/>
          <w:highlight w:val="none"/>
        </w:rPr>
        <w:t>工程的施工单位全部为符合政策要求的中小企业（或者：服务全部由符合政策要求的中小企业承接）</w:t>
      </w:r>
      <w:r>
        <w:rPr>
          <w:rFonts w:hint="eastAsia" w:cs="宋体"/>
          <w:snapToGrid w:val="0"/>
          <w:color w:val="auto"/>
          <w:kern w:val="0"/>
          <w:sz w:val="24"/>
          <w:highlight w:val="none"/>
        </w:rPr>
        <w:t>。相关企业（含联合体中的中小企业、签订分包意向协议的中小企业）的具体情况如下：</w:t>
      </w:r>
    </w:p>
    <w:p w14:paraId="72CB6160">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1.</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（标的名称）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（采购文件中明确的所属行业） </w:t>
      </w:r>
      <w:r>
        <w:rPr>
          <w:rFonts w:cs="宋体"/>
          <w:snapToGrid w:val="0"/>
          <w:color w:val="auto"/>
          <w:kern w:val="0"/>
          <w:sz w:val="24"/>
          <w:highlight w:val="none"/>
          <w:u w:val="single"/>
        </w:rPr>
        <w:t xml:space="preserve"> </w:t>
      </w:r>
      <w:r>
        <w:rPr>
          <w:rFonts w:hint="eastAsia" w:cs="宋体"/>
          <w:snapToGrid w:val="0"/>
          <w:color w:val="auto"/>
          <w:kern w:val="0"/>
          <w:sz w:val="24"/>
          <w:highlight w:val="none"/>
        </w:rPr>
        <w:t>行业；</w:t>
      </w:r>
      <w:r>
        <w:rPr>
          <w:rFonts w:hint="eastAsia" w:cs="宋体"/>
          <w:snapToGrid w:val="0"/>
          <w:color w:val="auto"/>
          <w:kern w:val="0"/>
          <w:sz w:val="24"/>
          <w:highlight w:val="none"/>
        </w:rPr>
        <w:t>承建（承接）企业</w:t>
      </w:r>
      <w:r>
        <w:rPr>
          <w:rFonts w:hint="eastAsia" w:cs="宋体"/>
          <w:snapToGrid w:val="0"/>
          <w:color w:val="auto"/>
          <w:kern w:val="0"/>
          <w:sz w:val="24"/>
          <w:highlight w:val="none"/>
        </w:rPr>
        <w:t>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14:paraId="7F638865">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2.</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（标的名称）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，属于</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（采购文件中明确的所属行业 ） </w:t>
      </w:r>
      <w:r>
        <w:rPr>
          <w:rFonts w:hint="eastAsia" w:cs="宋体"/>
          <w:snapToGrid w:val="0"/>
          <w:color w:val="auto"/>
          <w:kern w:val="0"/>
          <w:sz w:val="24"/>
          <w:highlight w:val="none"/>
        </w:rPr>
        <w:t>行业；</w:t>
      </w:r>
      <w:r>
        <w:rPr>
          <w:rFonts w:hint="eastAsia" w:cs="宋体"/>
          <w:snapToGrid w:val="0"/>
          <w:color w:val="auto"/>
          <w:kern w:val="0"/>
          <w:sz w:val="24"/>
          <w:highlight w:val="none"/>
        </w:rPr>
        <w:t>承建（承接）企业</w:t>
      </w:r>
      <w:r>
        <w:rPr>
          <w:rFonts w:hint="eastAsia" w:cs="宋体"/>
          <w:snapToGrid w:val="0"/>
          <w:color w:val="auto"/>
          <w:kern w:val="0"/>
          <w:sz w:val="24"/>
          <w:highlight w:val="none"/>
        </w:rPr>
        <w:t>为</w:t>
      </w:r>
      <w:r>
        <w:rPr>
          <w:rFonts w:hint="eastAsia" w:cs="宋体"/>
          <w:snapToGrid w:val="0"/>
          <w:color w:val="auto"/>
          <w:kern w:val="0"/>
          <w:sz w:val="24"/>
          <w:highlight w:val="none"/>
          <w:u w:val="single"/>
        </w:rPr>
        <w:t xml:space="preserve"> （企业名称） </w:t>
      </w:r>
      <w:r>
        <w:rPr>
          <w:rFonts w:hint="eastAsia" w:cs="宋体"/>
          <w:snapToGrid w:val="0"/>
          <w:color w:val="auto"/>
          <w:kern w:val="0"/>
          <w:sz w:val="24"/>
          <w:highlight w:val="none"/>
        </w:rPr>
        <w:t>，从业人员</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人，营业收入为</w:t>
      </w:r>
      <w:r>
        <w:rPr>
          <w:rFonts w:hint="eastAsia" w:cs="宋体"/>
          <w:snapToGrid w:val="0"/>
          <w:color w:val="auto"/>
          <w:kern w:val="0"/>
          <w:sz w:val="24"/>
          <w:highlight w:val="none"/>
          <w:u w:val="single"/>
        </w:rPr>
        <w:t xml:space="preserve">  </w:t>
      </w:r>
      <w:r>
        <w:rPr>
          <w:rFonts w:cs="宋体"/>
          <w:snapToGrid w:val="0"/>
          <w:color w:val="auto"/>
          <w:kern w:val="0"/>
          <w:sz w:val="24"/>
          <w:highlight w:val="none"/>
          <w:u w:val="single"/>
        </w:rPr>
        <w:t xml:space="preserve"> </w:t>
      </w:r>
      <w:r>
        <w:rPr>
          <w:rFonts w:hint="eastAsia" w:cs="宋体"/>
          <w:snapToGrid w:val="0"/>
          <w:color w:val="auto"/>
          <w:kern w:val="0"/>
          <w:sz w:val="24"/>
          <w:highlight w:val="none"/>
        </w:rPr>
        <w:t>万元，资产总额为</w:t>
      </w:r>
      <w:r>
        <w:rPr>
          <w:rFonts w:hint="eastAsia" w:cs="宋体"/>
          <w:snapToGrid w:val="0"/>
          <w:color w:val="auto"/>
          <w:kern w:val="0"/>
          <w:sz w:val="24"/>
          <w:highlight w:val="none"/>
          <w:u w:val="single"/>
        </w:rPr>
        <w:t xml:space="preserve">   </w:t>
      </w:r>
      <w:r>
        <w:rPr>
          <w:rFonts w:hint="eastAsia" w:cs="宋体"/>
          <w:snapToGrid w:val="0"/>
          <w:color w:val="auto"/>
          <w:kern w:val="0"/>
          <w:sz w:val="24"/>
          <w:highlight w:val="none"/>
        </w:rPr>
        <w:t>万元，属于</w:t>
      </w:r>
      <w:r>
        <w:rPr>
          <w:rFonts w:hint="eastAsia" w:cs="宋体"/>
          <w:snapToGrid w:val="0"/>
          <w:color w:val="auto"/>
          <w:kern w:val="0"/>
          <w:sz w:val="24"/>
          <w:highlight w:val="none"/>
          <w:u w:val="single"/>
        </w:rPr>
        <w:t xml:space="preserve"> （中型企业、小型企业、微型企业） </w:t>
      </w:r>
      <w:r>
        <w:rPr>
          <w:rFonts w:hint="eastAsia" w:cs="宋体"/>
          <w:snapToGrid w:val="0"/>
          <w:color w:val="auto"/>
          <w:kern w:val="0"/>
          <w:sz w:val="24"/>
          <w:highlight w:val="none"/>
        </w:rPr>
        <w:t>；</w:t>
      </w:r>
    </w:p>
    <w:p w14:paraId="287499E2">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w:t>
      </w:r>
    </w:p>
    <w:p w14:paraId="1C402B13">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以上企业，不属于大企业的分支机构，不存在控股股东为大企业的情形，也不存在与大企业的负责人为同一人的情形。</w:t>
      </w:r>
    </w:p>
    <w:p w14:paraId="64C145AD">
      <w:pPr>
        <w:widowControl w:val="0"/>
        <w:adjustRightInd w:val="0"/>
        <w:snapToGrid w:val="0"/>
        <w:spacing w:line="300" w:lineRule="auto"/>
        <w:ind w:firstLine="480" w:firstLineChars="200"/>
        <w:rPr>
          <w:rFonts w:cs="宋体"/>
          <w:snapToGrid w:val="0"/>
          <w:color w:val="auto"/>
          <w:kern w:val="0"/>
          <w:sz w:val="24"/>
          <w:highlight w:val="none"/>
        </w:rPr>
      </w:pPr>
      <w:r>
        <w:rPr>
          <w:rFonts w:hint="eastAsia" w:cs="宋体"/>
          <w:snapToGrid w:val="0"/>
          <w:color w:val="auto"/>
          <w:kern w:val="0"/>
          <w:sz w:val="24"/>
          <w:highlight w:val="none"/>
        </w:rPr>
        <w:t>本企业对上述声明内容的真实性负责。如有虚假，将依法承担相应责任。</w:t>
      </w:r>
    </w:p>
    <w:p w14:paraId="659AEC84">
      <w:pPr>
        <w:widowControl w:val="0"/>
        <w:adjustRightInd w:val="0"/>
        <w:snapToGrid w:val="0"/>
        <w:rPr>
          <w:color w:val="auto"/>
          <w:highlight w:val="none"/>
        </w:rPr>
      </w:pPr>
    </w:p>
    <w:p w14:paraId="037068A9">
      <w:pPr>
        <w:widowControl w:val="0"/>
        <w:adjustRightInd w:val="0"/>
        <w:snapToGrid w:val="0"/>
        <w:rPr>
          <w:color w:val="auto"/>
          <w:highlight w:val="none"/>
        </w:rPr>
      </w:pPr>
    </w:p>
    <w:p w14:paraId="0A6BD3AB">
      <w:pPr>
        <w:widowControl w:val="0"/>
        <w:adjustRightInd w:val="0"/>
        <w:snapToGrid w:val="0"/>
        <w:spacing w:line="300" w:lineRule="auto"/>
        <w:ind w:firstLine="3840" w:firstLineChars="16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65A40A68">
      <w:pPr>
        <w:widowControl w:val="0"/>
        <w:adjustRightInd w:val="0"/>
        <w:snapToGrid w:val="0"/>
        <w:rPr>
          <w:color w:val="auto"/>
          <w:highlight w:val="none"/>
        </w:rPr>
      </w:pPr>
    </w:p>
    <w:p w14:paraId="613015F7">
      <w:pPr>
        <w:widowControl w:val="0"/>
        <w:adjustRightInd w:val="0"/>
        <w:snapToGrid w:val="0"/>
        <w:spacing w:line="30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w:t>
      </w:r>
    </w:p>
    <w:p w14:paraId="0CC78AF0">
      <w:pPr>
        <w:widowControl w:val="0"/>
        <w:adjustRightInd w:val="0"/>
        <w:snapToGrid w:val="0"/>
        <w:rPr>
          <w:color w:val="auto"/>
          <w:highlight w:val="none"/>
        </w:rPr>
      </w:pPr>
    </w:p>
    <w:p w14:paraId="1EAF140A">
      <w:pPr>
        <w:widowControl w:val="0"/>
        <w:adjustRightInd w:val="0"/>
        <w:snapToGrid w:val="0"/>
        <w:rPr>
          <w:color w:val="auto"/>
          <w:highlight w:val="none"/>
        </w:rPr>
      </w:pPr>
    </w:p>
    <w:p w14:paraId="0338F778">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40A31C7">
      <w:pPr>
        <w:widowControl w:val="0"/>
        <w:adjustRightInd w:val="0"/>
        <w:snapToGrid w:val="0"/>
        <w:rPr>
          <w:rFonts w:cs="宋体"/>
          <w:color w:val="auto"/>
          <w:highlight w:val="none"/>
        </w:rPr>
      </w:pPr>
      <w:r>
        <w:rPr>
          <w:rFonts w:hint="eastAsia" w:cs="宋体"/>
          <w:color w:val="auto"/>
          <w:highlight w:val="none"/>
        </w:rPr>
        <w:t>注：</w:t>
      </w:r>
    </w:p>
    <w:p w14:paraId="762490BB">
      <w:pPr>
        <w:widowControl w:val="0"/>
        <w:adjustRightInd w:val="0"/>
        <w:snapToGrid w:val="0"/>
        <w:ind w:firstLine="420" w:firstLineChars="200"/>
        <w:rPr>
          <w:rFonts w:cs="宋体"/>
          <w:color w:val="auto"/>
          <w:highlight w:val="none"/>
        </w:rPr>
      </w:pPr>
      <w:r>
        <w:rPr>
          <w:rFonts w:hint="eastAsia"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0E80E34">
      <w:pPr>
        <w:widowControl w:val="0"/>
        <w:adjustRightInd w:val="0"/>
        <w:snapToGrid w:val="0"/>
        <w:ind w:firstLine="420" w:firstLineChars="200"/>
        <w:rPr>
          <w:rFonts w:cs="宋体"/>
          <w:color w:val="auto"/>
          <w:highlight w:val="none"/>
        </w:rPr>
      </w:pPr>
      <w:r>
        <w:rPr>
          <w:rFonts w:hint="eastAsia"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color w:val="auto"/>
          <w:highlight w:val="none"/>
        </w:rPr>
        <w:t>4</w:t>
      </w:r>
      <w:r>
        <w:rPr>
          <w:rFonts w:hint="eastAsia" w:cs="宋体"/>
          <w:color w:val="auto"/>
          <w:highlight w:val="none"/>
        </w:rPr>
        <w:t>〕68号）的规定，投标人提供由省级以上监狱管理局、戒毒管理局（含新疆生产建设兵团）出具的属于监狱企业证明文件的，视同为小型和微型企业。</w:t>
      </w:r>
      <w:bookmarkEnd w:id="129"/>
    </w:p>
    <w:sectPr>
      <w:pgSz w:w="11906" w:h="16838"/>
      <w:pgMar w:top="1440" w:right="130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F" w:csb1="00000000"/>
  </w:font>
  <w:font w:name="Century">
    <w:panose1 w:val="02040604050505020304"/>
    <w:charset w:val="00"/>
    <w:family w:val="roman"/>
    <w:pitch w:val="default"/>
    <w:sig w:usb0="00000287" w:usb1="00000000" w:usb2="00000000" w:usb3="00000000" w:csb0="2000009F" w:csb1="DFD70000"/>
  </w:font>
  <w:font w:name="Tunga">
    <w:altName w:val="Segoe Print"/>
    <w:panose1 w:val="000004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439C">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iii</w:t>
    </w:r>
    <w:r>
      <w:rPr>
        <w:rStyle w:val="67"/>
        <w:sz w:val="24"/>
      </w:rPr>
      <w:fldChar w:fldCharType="end"/>
    </w:r>
  </w:p>
  <w:p w14:paraId="722E90E9">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34C2">
    <w:pPr>
      <w:pStyle w:val="40"/>
      <w:framePr w:w="369" w:h="1191" w:hRule="exact" w:wrap="around" w:vAnchor="page" w:hAnchor="margin" w:xAlign="outside" w:yAlign="bottom"/>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16</w:t>
    </w:r>
    <w:r>
      <w:rPr>
        <w:rStyle w:val="67"/>
        <w:sz w:val="24"/>
      </w:rPr>
      <w:fldChar w:fldCharType="end"/>
    </w:r>
  </w:p>
  <w:p w14:paraId="6B60A95A">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1FDA">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w:t>
    </w:r>
    <w:r>
      <w:rPr>
        <w:rStyle w:val="67"/>
        <w:sz w:val="24"/>
      </w:rPr>
      <w:fldChar w:fldCharType="end"/>
    </w:r>
  </w:p>
  <w:p w14:paraId="1860E9C1">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61BF">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17</w:t>
    </w:r>
    <w:r>
      <w:rPr>
        <w:rStyle w:val="67"/>
        <w:sz w:val="24"/>
      </w:rPr>
      <w:fldChar w:fldCharType="end"/>
    </w:r>
  </w:p>
  <w:p w14:paraId="3E21BF2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6C81">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9</w:t>
    </w:r>
    <w:r>
      <w:rPr>
        <w:rStyle w:val="67"/>
        <w:sz w:val="24"/>
      </w:rPr>
      <w:fldChar w:fldCharType="end"/>
    </w:r>
  </w:p>
  <w:p w14:paraId="26FF6981">
    <w:pPr>
      <w:pStyle w:val="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B99F4">
    <w:pPr>
      <w:pStyle w:val="41"/>
      <w:widowControl w:val="0"/>
      <w:pBdr>
        <w:bottom w:val="single" w:color="auto" w:sz="6" w:space="1"/>
      </w:pBdr>
      <w:adjustRightInd w:val="0"/>
      <w:spacing w:line="240" w:lineRule="atLeast"/>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第一部分 招标公告</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6AB67">
    <w:pPr>
      <w:pStyle w:val="41"/>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CEE4C">
    <w:pPr>
      <w:pStyle w:val="41"/>
    </w:pPr>
    <w:r>
      <w:fldChar w:fldCharType="begin"/>
    </w:r>
    <w:r>
      <w:instrText xml:space="preserve"> </w:instrText>
    </w:r>
    <w:r>
      <w:rPr>
        <w:rFonts w:hint="eastAsia"/>
      </w:rPr>
      <w:instrText xml:space="preserve">STYLEREF  "标题 1"  \* MERGEFORMAT</w:instrText>
    </w:r>
    <w:r>
      <w:instrText xml:space="preserve"> </w:instrText>
    </w:r>
    <w:r>
      <w:fldChar w:fldCharType="separate"/>
    </w:r>
    <w:r>
      <w:rPr>
        <w:rFonts w:hint="eastAsia"/>
      </w:rPr>
      <w:t>第一部分 招标公告</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329A">
    <w:pPr>
      <w:pStyle w:val="41"/>
      <w:pBdr>
        <w:bottom w:val="single" w:color="auto" w:sz="6" w:space="1"/>
      </w:pBdr>
      <w:jc w:val="both"/>
      <w:rPr>
        <w:b/>
        <w:sz w:val="21"/>
        <w:szCs w:val="21"/>
      </w:rPr>
    </w:pPr>
    <w:r>
      <w:rPr>
        <w:rFonts w:hint="eastAsia"/>
        <w:b/>
        <w:sz w:val="21"/>
        <w:szCs w:val="21"/>
      </w:rPr>
      <w:t>宁波建信工程造价咨询事务所有限公司政府采购公开招标文件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4"/>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3">
    <w:nsid w:val="FFFFFF83"/>
    <w:multiLevelType w:val="singleLevel"/>
    <w:tmpl w:val="FFFFFF8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4">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5">
    <w:nsid w:val="0E574A54"/>
    <w:multiLevelType w:val="multilevel"/>
    <w:tmpl w:val="0E574A54"/>
    <w:lvl w:ilvl="0" w:tentative="0">
      <w:start w:val="1"/>
      <w:numFmt w:val="japaneseCounting"/>
      <w:pStyle w:val="464"/>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6">
    <w:nsid w:val="253E73FB"/>
    <w:multiLevelType w:val="multilevel"/>
    <w:tmpl w:val="253E73FB"/>
    <w:lvl w:ilvl="0" w:tentative="0">
      <w:start w:val="1"/>
      <w:numFmt w:val="decimal"/>
      <w:pStyle w:val="758"/>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7"/>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71"/>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7">
    <w:nsid w:val="47152860"/>
    <w:multiLevelType w:val="multilevel"/>
    <w:tmpl w:val="47152860"/>
    <w:lvl w:ilvl="0" w:tentative="0">
      <w:start w:val="5"/>
      <w:numFmt w:val="decimal"/>
      <w:pStyle w:val="761"/>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6"/>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F070BE4"/>
    <w:multiLevelType w:val="multilevel"/>
    <w:tmpl w:val="7F070BE4"/>
    <w:lvl w:ilvl="0" w:tentative="0">
      <w:start w:val="1"/>
      <w:numFmt w:val="bullet"/>
      <w:pStyle w:val="87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1"/>
  </w:num>
  <w:num w:numId="3">
    <w:abstractNumId w:val="3"/>
  </w:num>
  <w:num w:numId="4">
    <w:abstractNumId w:val="0"/>
  </w:num>
  <w:num w:numId="5">
    <w:abstractNumId w:val="7"/>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DI5NjRkMTFhZmYzNWYxNjRjNDI4ZTA1MTIzZTMifQ=="/>
  </w:docVars>
  <w:rsids>
    <w:rsidRoot w:val="00172A27"/>
    <w:rsid w:val="00002F6E"/>
    <w:rsid w:val="00002F9F"/>
    <w:rsid w:val="00003239"/>
    <w:rsid w:val="000035E4"/>
    <w:rsid w:val="00003DD8"/>
    <w:rsid w:val="0000427F"/>
    <w:rsid w:val="0000482D"/>
    <w:rsid w:val="00004946"/>
    <w:rsid w:val="00004EE4"/>
    <w:rsid w:val="00007676"/>
    <w:rsid w:val="00007F35"/>
    <w:rsid w:val="00012B6E"/>
    <w:rsid w:val="00012BED"/>
    <w:rsid w:val="0001415D"/>
    <w:rsid w:val="00014727"/>
    <w:rsid w:val="00014803"/>
    <w:rsid w:val="00015C2E"/>
    <w:rsid w:val="00017CD0"/>
    <w:rsid w:val="000200AD"/>
    <w:rsid w:val="0002149D"/>
    <w:rsid w:val="000217AF"/>
    <w:rsid w:val="00022830"/>
    <w:rsid w:val="00022A5F"/>
    <w:rsid w:val="0002327C"/>
    <w:rsid w:val="00023E88"/>
    <w:rsid w:val="00024D12"/>
    <w:rsid w:val="00025490"/>
    <w:rsid w:val="00025F12"/>
    <w:rsid w:val="000270D1"/>
    <w:rsid w:val="00027B34"/>
    <w:rsid w:val="000302FE"/>
    <w:rsid w:val="00030D8C"/>
    <w:rsid w:val="00030E28"/>
    <w:rsid w:val="000318E4"/>
    <w:rsid w:val="000324D2"/>
    <w:rsid w:val="0003252A"/>
    <w:rsid w:val="000332C4"/>
    <w:rsid w:val="0003397B"/>
    <w:rsid w:val="00033C2F"/>
    <w:rsid w:val="00033F1C"/>
    <w:rsid w:val="00033F76"/>
    <w:rsid w:val="0003492F"/>
    <w:rsid w:val="00034EC8"/>
    <w:rsid w:val="000350A2"/>
    <w:rsid w:val="000365F4"/>
    <w:rsid w:val="000371B6"/>
    <w:rsid w:val="00037205"/>
    <w:rsid w:val="000373B6"/>
    <w:rsid w:val="00041550"/>
    <w:rsid w:val="00041567"/>
    <w:rsid w:val="00041705"/>
    <w:rsid w:val="00041894"/>
    <w:rsid w:val="00041FFC"/>
    <w:rsid w:val="00042F31"/>
    <w:rsid w:val="000451AF"/>
    <w:rsid w:val="0004573F"/>
    <w:rsid w:val="00045BCA"/>
    <w:rsid w:val="00045D28"/>
    <w:rsid w:val="00046387"/>
    <w:rsid w:val="000479F2"/>
    <w:rsid w:val="00047DF9"/>
    <w:rsid w:val="00050FCA"/>
    <w:rsid w:val="00052D1B"/>
    <w:rsid w:val="0005339D"/>
    <w:rsid w:val="000533A1"/>
    <w:rsid w:val="000533B2"/>
    <w:rsid w:val="00054235"/>
    <w:rsid w:val="000545AB"/>
    <w:rsid w:val="0005490B"/>
    <w:rsid w:val="00054DC3"/>
    <w:rsid w:val="00055296"/>
    <w:rsid w:val="000558E2"/>
    <w:rsid w:val="000604FB"/>
    <w:rsid w:val="00064361"/>
    <w:rsid w:val="00064411"/>
    <w:rsid w:val="0006465C"/>
    <w:rsid w:val="000652A5"/>
    <w:rsid w:val="00066A68"/>
    <w:rsid w:val="00066DB8"/>
    <w:rsid w:val="00067435"/>
    <w:rsid w:val="00067BD7"/>
    <w:rsid w:val="00067DBB"/>
    <w:rsid w:val="00067F4B"/>
    <w:rsid w:val="00073A9D"/>
    <w:rsid w:val="00075724"/>
    <w:rsid w:val="0007723A"/>
    <w:rsid w:val="00077DAB"/>
    <w:rsid w:val="000800F3"/>
    <w:rsid w:val="000808BA"/>
    <w:rsid w:val="000811B9"/>
    <w:rsid w:val="00084421"/>
    <w:rsid w:val="00085A31"/>
    <w:rsid w:val="000863A2"/>
    <w:rsid w:val="0008667C"/>
    <w:rsid w:val="00086991"/>
    <w:rsid w:val="00086BC5"/>
    <w:rsid w:val="00087653"/>
    <w:rsid w:val="000903A4"/>
    <w:rsid w:val="0009054C"/>
    <w:rsid w:val="00092893"/>
    <w:rsid w:val="000933D7"/>
    <w:rsid w:val="00093893"/>
    <w:rsid w:val="00093E19"/>
    <w:rsid w:val="0009454B"/>
    <w:rsid w:val="00094E04"/>
    <w:rsid w:val="0009501C"/>
    <w:rsid w:val="00096C2D"/>
    <w:rsid w:val="000974AA"/>
    <w:rsid w:val="000A0AAE"/>
    <w:rsid w:val="000A1D36"/>
    <w:rsid w:val="000A234D"/>
    <w:rsid w:val="000A2525"/>
    <w:rsid w:val="000A2665"/>
    <w:rsid w:val="000A2F1B"/>
    <w:rsid w:val="000A3462"/>
    <w:rsid w:val="000A4438"/>
    <w:rsid w:val="000A473A"/>
    <w:rsid w:val="000A483C"/>
    <w:rsid w:val="000A4E0D"/>
    <w:rsid w:val="000A5CC9"/>
    <w:rsid w:val="000A6119"/>
    <w:rsid w:val="000A6D27"/>
    <w:rsid w:val="000A6F31"/>
    <w:rsid w:val="000A7633"/>
    <w:rsid w:val="000B0A8F"/>
    <w:rsid w:val="000B0D06"/>
    <w:rsid w:val="000B19F7"/>
    <w:rsid w:val="000B4720"/>
    <w:rsid w:val="000B47D4"/>
    <w:rsid w:val="000B4A06"/>
    <w:rsid w:val="000B4BD4"/>
    <w:rsid w:val="000B64A9"/>
    <w:rsid w:val="000B6781"/>
    <w:rsid w:val="000B685C"/>
    <w:rsid w:val="000B6CAB"/>
    <w:rsid w:val="000B7643"/>
    <w:rsid w:val="000B7CF3"/>
    <w:rsid w:val="000C02B1"/>
    <w:rsid w:val="000C0BD0"/>
    <w:rsid w:val="000C0F9B"/>
    <w:rsid w:val="000C2102"/>
    <w:rsid w:val="000C226C"/>
    <w:rsid w:val="000C2637"/>
    <w:rsid w:val="000C3B41"/>
    <w:rsid w:val="000C4413"/>
    <w:rsid w:val="000C4A20"/>
    <w:rsid w:val="000C5F64"/>
    <w:rsid w:val="000C6F1C"/>
    <w:rsid w:val="000C7271"/>
    <w:rsid w:val="000C728B"/>
    <w:rsid w:val="000C7612"/>
    <w:rsid w:val="000D0624"/>
    <w:rsid w:val="000D13EE"/>
    <w:rsid w:val="000D2D21"/>
    <w:rsid w:val="000D3539"/>
    <w:rsid w:val="000D41B6"/>
    <w:rsid w:val="000D53CC"/>
    <w:rsid w:val="000D541A"/>
    <w:rsid w:val="000D62CA"/>
    <w:rsid w:val="000D70B8"/>
    <w:rsid w:val="000D72D1"/>
    <w:rsid w:val="000D77D9"/>
    <w:rsid w:val="000D7BC2"/>
    <w:rsid w:val="000E0A12"/>
    <w:rsid w:val="000E12B4"/>
    <w:rsid w:val="000E134B"/>
    <w:rsid w:val="000E1818"/>
    <w:rsid w:val="000E2728"/>
    <w:rsid w:val="000E2BDD"/>
    <w:rsid w:val="000E384F"/>
    <w:rsid w:val="000E3987"/>
    <w:rsid w:val="000E3F80"/>
    <w:rsid w:val="000E545D"/>
    <w:rsid w:val="000E6807"/>
    <w:rsid w:val="000E6DC2"/>
    <w:rsid w:val="000E7A41"/>
    <w:rsid w:val="000E7C2C"/>
    <w:rsid w:val="000F0D1E"/>
    <w:rsid w:val="000F13CC"/>
    <w:rsid w:val="000F2264"/>
    <w:rsid w:val="000F2294"/>
    <w:rsid w:val="000F238B"/>
    <w:rsid w:val="000F27AC"/>
    <w:rsid w:val="000F2911"/>
    <w:rsid w:val="000F46EA"/>
    <w:rsid w:val="000F5247"/>
    <w:rsid w:val="000F595A"/>
    <w:rsid w:val="001003C4"/>
    <w:rsid w:val="001005A8"/>
    <w:rsid w:val="00100942"/>
    <w:rsid w:val="00100E98"/>
    <w:rsid w:val="001037F5"/>
    <w:rsid w:val="001038D1"/>
    <w:rsid w:val="00103BD1"/>
    <w:rsid w:val="00105030"/>
    <w:rsid w:val="00106952"/>
    <w:rsid w:val="00106E7B"/>
    <w:rsid w:val="00107079"/>
    <w:rsid w:val="00107427"/>
    <w:rsid w:val="0010795D"/>
    <w:rsid w:val="00107C87"/>
    <w:rsid w:val="00110D00"/>
    <w:rsid w:val="00110E88"/>
    <w:rsid w:val="00112137"/>
    <w:rsid w:val="00112A0F"/>
    <w:rsid w:val="00114F91"/>
    <w:rsid w:val="00115905"/>
    <w:rsid w:val="00115E69"/>
    <w:rsid w:val="0011689C"/>
    <w:rsid w:val="00116AB9"/>
    <w:rsid w:val="0011732F"/>
    <w:rsid w:val="001173A3"/>
    <w:rsid w:val="0012043E"/>
    <w:rsid w:val="00121ACB"/>
    <w:rsid w:val="00121B95"/>
    <w:rsid w:val="00125820"/>
    <w:rsid w:val="00125B04"/>
    <w:rsid w:val="00126BE3"/>
    <w:rsid w:val="001305F1"/>
    <w:rsid w:val="00131057"/>
    <w:rsid w:val="001322AC"/>
    <w:rsid w:val="00132357"/>
    <w:rsid w:val="001327B5"/>
    <w:rsid w:val="00132991"/>
    <w:rsid w:val="001336AE"/>
    <w:rsid w:val="00133E02"/>
    <w:rsid w:val="001353FE"/>
    <w:rsid w:val="001362BE"/>
    <w:rsid w:val="001363BB"/>
    <w:rsid w:val="0013653C"/>
    <w:rsid w:val="001373DA"/>
    <w:rsid w:val="00137B21"/>
    <w:rsid w:val="00137C0B"/>
    <w:rsid w:val="0014059A"/>
    <w:rsid w:val="00140C4E"/>
    <w:rsid w:val="001418B6"/>
    <w:rsid w:val="00141B78"/>
    <w:rsid w:val="00142DA0"/>
    <w:rsid w:val="001433E9"/>
    <w:rsid w:val="00143C94"/>
    <w:rsid w:val="00146A0B"/>
    <w:rsid w:val="00147FB8"/>
    <w:rsid w:val="001503AA"/>
    <w:rsid w:val="001527FD"/>
    <w:rsid w:val="001529A0"/>
    <w:rsid w:val="00152B70"/>
    <w:rsid w:val="0015305B"/>
    <w:rsid w:val="0015683F"/>
    <w:rsid w:val="001572FD"/>
    <w:rsid w:val="0016062B"/>
    <w:rsid w:val="001623B2"/>
    <w:rsid w:val="00163383"/>
    <w:rsid w:val="001650B1"/>
    <w:rsid w:val="0016588B"/>
    <w:rsid w:val="001667B5"/>
    <w:rsid w:val="00166A5E"/>
    <w:rsid w:val="001702AE"/>
    <w:rsid w:val="00172A27"/>
    <w:rsid w:val="0017419B"/>
    <w:rsid w:val="001748B9"/>
    <w:rsid w:val="00174F05"/>
    <w:rsid w:val="00175AAD"/>
    <w:rsid w:val="00176C51"/>
    <w:rsid w:val="00177B40"/>
    <w:rsid w:val="00177DA9"/>
    <w:rsid w:val="0018103F"/>
    <w:rsid w:val="001817FC"/>
    <w:rsid w:val="001824CC"/>
    <w:rsid w:val="00182A9B"/>
    <w:rsid w:val="00184681"/>
    <w:rsid w:val="00184A7A"/>
    <w:rsid w:val="00184D22"/>
    <w:rsid w:val="0018585F"/>
    <w:rsid w:val="0018774B"/>
    <w:rsid w:val="00187FCF"/>
    <w:rsid w:val="00192353"/>
    <w:rsid w:val="00194B9C"/>
    <w:rsid w:val="00194C53"/>
    <w:rsid w:val="001A00AE"/>
    <w:rsid w:val="001A0223"/>
    <w:rsid w:val="001A03BB"/>
    <w:rsid w:val="001A0D4D"/>
    <w:rsid w:val="001A0ECF"/>
    <w:rsid w:val="001A1AB4"/>
    <w:rsid w:val="001A2225"/>
    <w:rsid w:val="001A223B"/>
    <w:rsid w:val="001A2726"/>
    <w:rsid w:val="001A2F21"/>
    <w:rsid w:val="001A3342"/>
    <w:rsid w:val="001A392B"/>
    <w:rsid w:val="001A3CE5"/>
    <w:rsid w:val="001A4064"/>
    <w:rsid w:val="001A4175"/>
    <w:rsid w:val="001A5145"/>
    <w:rsid w:val="001A56A0"/>
    <w:rsid w:val="001A5D88"/>
    <w:rsid w:val="001A6EAC"/>
    <w:rsid w:val="001A7643"/>
    <w:rsid w:val="001B0057"/>
    <w:rsid w:val="001B0978"/>
    <w:rsid w:val="001B10DC"/>
    <w:rsid w:val="001B1545"/>
    <w:rsid w:val="001B3594"/>
    <w:rsid w:val="001B44FE"/>
    <w:rsid w:val="001B4ED4"/>
    <w:rsid w:val="001B5041"/>
    <w:rsid w:val="001B5D1A"/>
    <w:rsid w:val="001B5F6B"/>
    <w:rsid w:val="001B607A"/>
    <w:rsid w:val="001B628B"/>
    <w:rsid w:val="001B7256"/>
    <w:rsid w:val="001B79E8"/>
    <w:rsid w:val="001C0EC2"/>
    <w:rsid w:val="001C1359"/>
    <w:rsid w:val="001C14DF"/>
    <w:rsid w:val="001C1EEE"/>
    <w:rsid w:val="001C1FEC"/>
    <w:rsid w:val="001C3390"/>
    <w:rsid w:val="001C3411"/>
    <w:rsid w:val="001C3B3F"/>
    <w:rsid w:val="001C554C"/>
    <w:rsid w:val="001C560B"/>
    <w:rsid w:val="001C6CE3"/>
    <w:rsid w:val="001C6E9A"/>
    <w:rsid w:val="001C7EED"/>
    <w:rsid w:val="001D1084"/>
    <w:rsid w:val="001D19DD"/>
    <w:rsid w:val="001D2E2F"/>
    <w:rsid w:val="001D2F2B"/>
    <w:rsid w:val="001D2FE3"/>
    <w:rsid w:val="001D3365"/>
    <w:rsid w:val="001D33F6"/>
    <w:rsid w:val="001D3A28"/>
    <w:rsid w:val="001D4200"/>
    <w:rsid w:val="001D4697"/>
    <w:rsid w:val="001D4D76"/>
    <w:rsid w:val="001D5906"/>
    <w:rsid w:val="001E0D4A"/>
    <w:rsid w:val="001E128A"/>
    <w:rsid w:val="001E356A"/>
    <w:rsid w:val="001E3B21"/>
    <w:rsid w:val="001E54C2"/>
    <w:rsid w:val="001E6235"/>
    <w:rsid w:val="001E6B9B"/>
    <w:rsid w:val="001F008C"/>
    <w:rsid w:val="001F1C70"/>
    <w:rsid w:val="001F28FE"/>
    <w:rsid w:val="001F2C3E"/>
    <w:rsid w:val="001F6595"/>
    <w:rsid w:val="001F71AE"/>
    <w:rsid w:val="001F75E1"/>
    <w:rsid w:val="001F79FF"/>
    <w:rsid w:val="001F7CA4"/>
    <w:rsid w:val="00200002"/>
    <w:rsid w:val="0020042F"/>
    <w:rsid w:val="002017BE"/>
    <w:rsid w:val="0020217A"/>
    <w:rsid w:val="002026E9"/>
    <w:rsid w:val="00202D54"/>
    <w:rsid w:val="00203663"/>
    <w:rsid w:val="002036F6"/>
    <w:rsid w:val="00203C8A"/>
    <w:rsid w:val="002061D9"/>
    <w:rsid w:val="00206373"/>
    <w:rsid w:val="0020693D"/>
    <w:rsid w:val="00206D70"/>
    <w:rsid w:val="00206F1F"/>
    <w:rsid w:val="0021016B"/>
    <w:rsid w:val="002101F1"/>
    <w:rsid w:val="0021025C"/>
    <w:rsid w:val="00210D70"/>
    <w:rsid w:val="00211111"/>
    <w:rsid w:val="00211A55"/>
    <w:rsid w:val="00211CAE"/>
    <w:rsid w:val="00212B17"/>
    <w:rsid w:val="002135D6"/>
    <w:rsid w:val="00213C91"/>
    <w:rsid w:val="002151AA"/>
    <w:rsid w:val="00215244"/>
    <w:rsid w:val="0021726F"/>
    <w:rsid w:val="00217648"/>
    <w:rsid w:val="00217773"/>
    <w:rsid w:val="002210F8"/>
    <w:rsid w:val="002220DD"/>
    <w:rsid w:val="0022315C"/>
    <w:rsid w:val="002232AF"/>
    <w:rsid w:val="0022439E"/>
    <w:rsid w:val="00225440"/>
    <w:rsid w:val="002256D4"/>
    <w:rsid w:val="00225CC2"/>
    <w:rsid w:val="00226173"/>
    <w:rsid w:val="002270A4"/>
    <w:rsid w:val="00227C56"/>
    <w:rsid w:val="002303FF"/>
    <w:rsid w:val="002316B1"/>
    <w:rsid w:val="00231A96"/>
    <w:rsid w:val="0023236C"/>
    <w:rsid w:val="002327F4"/>
    <w:rsid w:val="00232C2F"/>
    <w:rsid w:val="00235287"/>
    <w:rsid w:val="00236635"/>
    <w:rsid w:val="00237498"/>
    <w:rsid w:val="002378DD"/>
    <w:rsid w:val="00240D92"/>
    <w:rsid w:val="0024175E"/>
    <w:rsid w:val="00242EE5"/>
    <w:rsid w:val="00245101"/>
    <w:rsid w:val="0024639D"/>
    <w:rsid w:val="0024641B"/>
    <w:rsid w:val="00246834"/>
    <w:rsid w:val="0025067F"/>
    <w:rsid w:val="00251D3A"/>
    <w:rsid w:val="002523C7"/>
    <w:rsid w:val="00253849"/>
    <w:rsid w:val="00254628"/>
    <w:rsid w:val="002549A1"/>
    <w:rsid w:val="00255370"/>
    <w:rsid w:val="00255771"/>
    <w:rsid w:val="0025618D"/>
    <w:rsid w:val="00256772"/>
    <w:rsid w:val="00256F5C"/>
    <w:rsid w:val="00257145"/>
    <w:rsid w:val="00257619"/>
    <w:rsid w:val="00257D1D"/>
    <w:rsid w:val="00261ACD"/>
    <w:rsid w:val="00261B23"/>
    <w:rsid w:val="00261C67"/>
    <w:rsid w:val="00263047"/>
    <w:rsid w:val="00264E8A"/>
    <w:rsid w:val="002653A3"/>
    <w:rsid w:val="00270E6D"/>
    <w:rsid w:val="00271911"/>
    <w:rsid w:val="0027288F"/>
    <w:rsid w:val="00272C10"/>
    <w:rsid w:val="00272F33"/>
    <w:rsid w:val="00274113"/>
    <w:rsid w:val="00274CD7"/>
    <w:rsid w:val="00274D0C"/>
    <w:rsid w:val="002752D1"/>
    <w:rsid w:val="0027677F"/>
    <w:rsid w:val="002779AD"/>
    <w:rsid w:val="002802DA"/>
    <w:rsid w:val="0028125A"/>
    <w:rsid w:val="00281F20"/>
    <w:rsid w:val="00282A48"/>
    <w:rsid w:val="00282FD0"/>
    <w:rsid w:val="00283665"/>
    <w:rsid w:val="00284955"/>
    <w:rsid w:val="002854B3"/>
    <w:rsid w:val="00285AFE"/>
    <w:rsid w:val="00285CE4"/>
    <w:rsid w:val="002865CB"/>
    <w:rsid w:val="00286B81"/>
    <w:rsid w:val="00286F04"/>
    <w:rsid w:val="00287694"/>
    <w:rsid w:val="00287B83"/>
    <w:rsid w:val="0029036E"/>
    <w:rsid w:val="00290C6A"/>
    <w:rsid w:val="00290CBE"/>
    <w:rsid w:val="0029155C"/>
    <w:rsid w:val="00291B64"/>
    <w:rsid w:val="00291F07"/>
    <w:rsid w:val="00292108"/>
    <w:rsid w:val="0029215B"/>
    <w:rsid w:val="002921F6"/>
    <w:rsid w:val="00292339"/>
    <w:rsid w:val="00294F41"/>
    <w:rsid w:val="002952E9"/>
    <w:rsid w:val="002955C6"/>
    <w:rsid w:val="00296423"/>
    <w:rsid w:val="00296908"/>
    <w:rsid w:val="00296B24"/>
    <w:rsid w:val="002972E9"/>
    <w:rsid w:val="00297367"/>
    <w:rsid w:val="002A087F"/>
    <w:rsid w:val="002A0C75"/>
    <w:rsid w:val="002A15C2"/>
    <w:rsid w:val="002A1773"/>
    <w:rsid w:val="002A18BA"/>
    <w:rsid w:val="002A1992"/>
    <w:rsid w:val="002A2936"/>
    <w:rsid w:val="002A2D7A"/>
    <w:rsid w:val="002A47BD"/>
    <w:rsid w:val="002A4D5B"/>
    <w:rsid w:val="002A59CC"/>
    <w:rsid w:val="002A6ABC"/>
    <w:rsid w:val="002A6D06"/>
    <w:rsid w:val="002A7108"/>
    <w:rsid w:val="002B0190"/>
    <w:rsid w:val="002B06BE"/>
    <w:rsid w:val="002B09A3"/>
    <w:rsid w:val="002B09E5"/>
    <w:rsid w:val="002B0B6E"/>
    <w:rsid w:val="002B10A4"/>
    <w:rsid w:val="002B2013"/>
    <w:rsid w:val="002B2648"/>
    <w:rsid w:val="002B3468"/>
    <w:rsid w:val="002B3A5A"/>
    <w:rsid w:val="002B5D1F"/>
    <w:rsid w:val="002B7304"/>
    <w:rsid w:val="002B7587"/>
    <w:rsid w:val="002C0014"/>
    <w:rsid w:val="002C03E7"/>
    <w:rsid w:val="002C0876"/>
    <w:rsid w:val="002C281D"/>
    <w:rsid w:val="002C4F86"/>
    <w:rsid w:val="002C59DB"/>
    <w:rsid w:val="002C5F02"/>
    <w:rsid w:val="002C6886"/>
    <w:rsid w:val="002D007A"/>
    <w:rsid w:val="002D12DA"/>
    <w:rsid w:val="002D152D"/>
    <w:rsid w:val="002D1879"/>
    <w:rsid w:val="002D208A"/>
    <w:rsid w:val="002D214A"/>
    <w:rsid w:val="002D2628"/>
    <w:rsid w:val="002D3F44"/>
    <w:rsid w:val="002D485F"/>
    <w:rsid w:val="002D72C8"/>
    <w:rsid w:val="002D74C4"/>
    <w:rsid w:val="002E6568"/>
    <w:rsid w:val="002E6E0D"/>
    <w:rsid w:val="002E70A6"/>
    <w:rsid w:val="002E70D2"/>
    <w:rsid w:val="002F14CA"/>
    <w:rsid w:val="002F1A19"/>
    <w:rsid w:val="002F1AC8"/>
    <w:rsid w:val="002F1C31"/>
    <w:rsid w:val="002F2099"/>
    <w:rsid w:val="002F239B"/>
    <w:rsid w:val="002F3931"/>
    <w:rsid w:val="002F3BF2"/>
    <w:rsid w:val="002F6985"/>
    <w:rsid w:val="002F70A8"/>
    <w:rsid w:val="002F71B1"/>
    <w:rsid w:val="002F7F0D"/>
    <w:rsid w:val="00300619"/>
    <w:rsid w:val="00300759"/>
    <w:rsid w:val="00300C64"/>
    <w:rsid w:val="003017F2"/>
    <w:rsid w:val="00301F51"/>
    <w:rsid w:val="003020F7"/>
    <w:rsid w:val="003034F7"/>
    <w:rsid w:val="003037FB"/>
    <w:rsid w:val="00303C3C"/>
    <w:rsid w:val="00303DEF"/>
    <w:rsid w:val="00304A5A"/>
    <w:rsid w:val="0030518C"/>
    <w:rsid w:val="003051BB"/>
    <w:rsid w:val="0030631D"/>
    <w:rsid w:val="003064AD"/>
    <w:rsid w:val="00306B0D"/>
    <w:rsid w:val="003079EC"/>
    <w:rsid w:val="00311DE2"/>
    <w:rsid w:val="00312E81"/>
    <w:rsid w:val="00316226"/>
    <w:rsid w:val="003175C4"/>
    <w:rsid w:val="00317BF2"/>
    <w:rsid w:val="003202BF"/>
    <w:rsid w:val="003202DD"/>
    <w:rsid w:val="00321574"/>
    <w:rsid w:val="00322442"/>
    <w:rsid w:val="0032256A"/>
    <w:rsid w:val="0032293C"/>
    <w:rsid w:val="003229BB"/>
    <w:rsid w:val="00322B9A"/>
    <w:rsid w:val="003231B3"/>
    <w:rsid w:val="0032355E"/>
    <w:rsid w:val="0032376B"/>
    <w:rsid w:val="00323848"/>
    <w:rsid w:val="003250DC"/>
    <w:rsid w:val="00325F79"/>
    <w:rsid w:val="003264CF"/>
    <w:rsid w:val="00327F2C"/>
    <w:rsid w:val="00330EE1"/>
    <w:rsid w:val="0033150B"/>
    <w:rsid w:val="00331D01"/>
    <w:rsid w:val="00332A18"/>
    <w:rsid w:val="00334AC2"/>
    <w:rsid w:val="00335493"/>
    <w:rsid w:val="0033601F"/>
    <w:rsid w:val="003370C4"/>
    <w:rsid w:val="00340399"/>
    <w:rsid w:val="0034047B"/>
    <w:rsid w:val="00341876"/>
    <w:rsid w:val="00342372"/>
    <w:rsid w:val="00342498"/>
    <w:rsid w:val="0034293B"/>
    <w:rsid w:val="00342B50"/>
    <w:rsid w:val="00343DBB"/>
    <w:rsid w:val="00344495"/>
    <w:rsid w:val="00344F91"/>
    <w:rsid w:val="003453EA"/>
    <w:rsid w:val="003455E4"/>
    <w:rsid w:val="00345F78"/>
    <w:rsid w:val="0034640F"/>
    <w:rsid w:val="003474CE"/>
    <w:rsid w:val="003504C4"/>
    <w:rsid w:val="00351399"/>
    <w:rsid w:val="00351593"/>
    <w:rsid w:val="0035170A"/>
    <w:rsid w:val="00351FE2"/>
    <w:rsid w:val="00352A05"/>
    <w:rsid w:val="00352C4C"/>
    <w:rsid w:val="00354838"/>
    <w:rsid w:val="00354871"/>
    <w:rsid w:val="00354CC6"/>
    <w:rsid w:val="003553C5"/>
    <w:rsid w:val="003557AD"/>
    <w:rsid w:val="00357724"/>
    <w:rsid w:val="003578F4"/>
    <w:rsid w:val="00360633"/>
    <w:rsid w:val="00361FB5"/>
    <w:rsid w:val="003624A1"/>
    <w:rsid w:val="0036331A"/>
    <w:rsid w:val="00363520"/>
    <w:rsid w:val="00363764"/>
    <w:rsid w:val="00363FC7"/>
    <w:rsid w:val="00364241"/>
    <w:rsid w:val="003654DA"/>
    <w:rsid w:val="00366487"/>
    <w:rsid w:val="0036692C"/>
    <w:rsid w:val="00366D45"/>
    <w:rsid w:val="00367764"/>
    <w:rsid w:val="00367963"/>
    <w:rsid w:val="00371838"/>
    <w:rsid w:val="00372335"/>
    <w:rsid w:val="00373257"/>
    <w:rsid w:val="00373960"/>
    <w:rsid w:val="0037429A"/>
    <w:rsid w:val="00376A38"/>
    <w:rsid w:val="003774B5"/>
    <w:rsid w:val="00380A91"/>
    <w:rsid w:val="00380BFD"/>
    <w:rsid w:val="00381588"/>
    <w:rsid w:val="003816CB"/>
    <w:rsid w:val="003837A4"/>
    <w:rsid w:val="00383E70"/>
    <w:rsid w:val="00384787"/>
    <w:rsid w:val="00385E37"/>
    <w:rsid w:val="00386398"/>
    <w:rsid w:val="003878CA"/>
    <w:rsid w:val="00391762"/>
    <w:rsid w:val="00392831"/>
    <w:rsid w:val="00392A4B"/>
    <w:rsid w:val="00392B50"/>
    <w:rsid w:val="00393449"/>
    <w:rsid w:val="003936F7"/>
    <w:rsid w:val="00393C7F"/>
    <w:rsid w:val="003955E0"/>
    <w:rsid w:val="00396295"/>
    <w:rsid w:val="00396DB3"/>
    <w:rsid w:val="003974A1"/>
    <w:rsid w:val="00397ACE"/>
    <w:rsid w:val="003A0A8C"/>
    <w:rsid w:val="003A1909"/>
    <w:rsid w:val="003A1C96"/>
    <w:rsid w:val="003A2846"/>
    <w:rsid w:val="003A37A7"/>
    <w:rsid w:val="003A3EA2"/>
    <w:rsid w:val="003A4AF9"/>
    <w:rsid w:val="003A6908"/>
    <w:rsid w:val="003A6CCC"/>
    <w:rsid w:val="003A763D"/>
    <w:rsid w:val="003A7C32"/>
    <w:rsid w:val="003B01CD"/>
    <w:rsid w:val="003B0902"/>
    <w:rsid w:val="003B3187"/>
    <w:rsid w:val="003B63CD"/>
    <w:rsid w:val="003B72C6"/>
    <w:rsid w:val="003B75B9"/>
    <w:rsid w:val="003C03AC"/>
    <w:rsid w:val="003C1967"/>
    <w:rsid w:val="003C1AD5"/>
    <w:rsid w:val="003C1DD2"/>
    <w:rsid w:val="003C3431"/>
    <w:rsid w:val="003C42C9"/>
    <w:rsid w:val="003C5301"/>
    <w:rsid w:val="003C596A"/>
    <w:rsid w:val="003C5E7F"/>
    <w:rsid w:val="003D0D8B"/>
    <w:rsid w:val="003D3341"/>
    <w:rsid w:val="003D56FE"/>
    <w:rsid w:val="003D5E4B"/>
    <w:rsid w:val="003D6379"/>
    <w:rsid w:val="003D7B42"/>
    <w:rsid w:val="003E03DF"/>
    <w:rsid w:val="003E06F0"/>
    <w:rsid w:val="003E1732"/>
    <w:rsid w:val="003E1894"/>
    <w:rsid w:val="003E1CF7"/>
    <w:rsid w:val="003E22BE"/>
    <w:rsid w:val="003E3A76"/>
    <w:rsid w:val="003E3FC6"/>
    <w:rsid w:val="003E5AFA"/>
    <w:rsid w:val="003E69AE"/>
    <w:rsid w:val="003E6F04"/>
    <w:rsid w:val="003E7393"/>
    <w:rsid w:val="003E771E"/>
    <w:rsid w:val="003E7D14"/>
    <w:rsid w:val="003F0C64"/>
    <w:rsid w:val="003F0D45"/>
    <w:rsid w:val="003F0E19"/>
    <w:rsid w:val="003F1450"/>
    <w:rsid w:val="003F1652"/>
    <w:rsid w:val="003F1A36"/>
    <w:rsid w:val="003F2B69"/>
    <w:rsid w:val="003F318D"/>
    <w:rsid w:val="003F388C"/>
    <w:rsid w:val="003F6B97"/>
    <w:rsid w:val="004024F1"/>
    <w:rsid w:val="0040255E"/>
    <w:rsid w:val="0040270D"/>
    <w:rsid w:val="004032F4"/>
    <w:rsid w:val="00403F03"/>
    <w:rsid w:val="00404112"/>
    <w:rsid w:val="004043A4"/>
    <w:rsid w:val="004063C0"/>
    <w:rsid w:val="00406E5E"/>
    <w:rsid w:val="00406F17"/>
    <w:rsid w:val="004074A7"/>
    <w:rsid w:val="00407C34"/>
    <w:rsid w:val="00410A7A"/>
    <w:rsid w:val="00411023"/>
    <w:rsid w:val="00411A17"/>
    <w:rsid w:val="00413872"/>
    <w:rsid w:val="00415D21"/>
    <w:rsid w:val="004172FC"/>
    <w:rsid w:val="004178DE"/>
    <w:rsid w:val="00417D86"/>
    <w:rsid w:val="004211B8"/>
    <w:rsid w:val="0042248C"/>
    <w:rsid w:val="00423ACA"/>
    <w:rsid w:val="00423B8D"/>
    <w:rsid w:val="00425298"/>
    <w:rsid w:val="004271D7"/>
    <w:rsid w:val="004273C4"/>
    <w:rsid w:val="00430446"/>
    <w:rsid w:val="00431260"/>
    <w:rsid w:val="004317C7"/>
    <w:rsid w:val="0043186C"/>
    <w:rsid w:val="004330C0"/>
    <w:rsid w:val="004336B4"/>
    <w:rsid w:val="004339D5"/>
    <w:rsid w:val="00434B2B"/>
    <w:rsid w:val="0043582A"/>
    <w:rsid w:val="00435D53"/>
    <w:rsid w:val="00436211"/>
    <w:rsid w:val="00440A25"/>
    <w:rsid w:val="004413B8"/>
    <w:rsid w:val="0044181E"/>
    <w:rsid w:val="00441A20"/>
    <w:rsid w:val="004425C5"/>
    <w:rsid w:val="00442C7E"/>
    <w:rsid w:val="00444F08"/>
    <w:rsid w:val="004453C9"/>
    <w:rsid w:val="00446284"/>
    <w:rsid w:val="00446993"/>
    <w:rsid w:val="0044754C"/>
    <w:rsid w:val="004478E9"/>
    <w:rsid w:val="00450366"/>
    <w:rsid w:val="00450466"/>
    <w:rsid w:val="004505D2"/>
    <w:rsid w:val="004506E7"/>
    <w:rsid w:val="00450E4D"/>
    <w:rsid w:val="004513AA"/>
    <w:rsid w:val="00451628"/>
    <w:rsid w:val="00452106"/>
    <w:rsid w:val="00452A72"/>
    <w:rsid w:val="00452D53"/>
    <w:rsid w:val="00453569"/>
    <w:rsid w:val="0045366A"/>
    <w:rsid w:val="00453BC9"/>
    <w:rsid w:val="00453DB2"/>
    <w:rsid w:val="00453E6B"/>
    <w:rsid w:val="004545F1"/>
    <w:rsid w:val="0046110F"/>
    <w:rsid w:val="0046146A"/>
    <w:rsid w:val="004615E3"/>
    <w:rsid w:val="00461671"/>
    <w:rsid w:val="00462626"/>
    <w:rsid w:val="004631C3"/>
    <w:rsid w:val="0046363B"/>
    <w:rsid w:val="0046409A"/>
    <w:rsid w:val="00464276"/>
    <w:rsid w:val="00464C9F"/>
    <w:rsid w:val="00465119"/>
    <w:rsid w:val="00465149"/>
    <w:rsid w:val="00465426"/>
    <w:rsid w:val="0046551E"/>
    <w:rsid w:val="00465DE0"/>
    <w:rsid w:val="00465E5B"/>
    <w:rsid w:val="004673AC"/>
    <w:rsid w:val="00467F01"/>
    <w:rsid w:val="004721FE"/>
    <w:rsid w:val="00472D5F"/>
    <w:rsid w:val="00474BBC"/>
    <w:rsid w:val="00474D6D"/>
    <w:rsid w:val="00474E20"/>
    <w:rsid w:val="00476F84"/>
    <w:rsid w:val="00480545"/>
    <w:rsid w:val="00480BE1"/>
    <w:rsid w:val="004814B7"/>
    <w:rsid w:val="004833CB"/>
    <w:rsid w:val="004846B8"/>
    <w:rsid w:val="004853D9"/>
    <w:rsid w:val="00485DB6"/>
    <w:rsid w:val="00485EC0"/>
    <w:rsid w:val="00485FA3"/>
    <w:rsid w:val="00485FB6"/>
    <w:rsid w:val="004862C9"/>
    <w:rsid w:val="00486BAF"/>
    <w:rsid w:val="004875B6"/>
    <w:rsid w:val="0048776A"/>
    <w:rsid w:val="00490A03"/>
    <w:rsid w:val="0049117B"/>
    <w:rsid w:val="004938A6"/>
    <w:rsid w:val="004942D9"/>
    <w:rsid w:val="004957D8"/>
    <w:rsid w:val="00495E15"/>
    <w:rsid w:val="00496A01"/>
    <w:rsid w:val="00497148"/>
    <w:rsid w:val="00497B9F"/>
    <w:rsid w:val="00497DC8"/>
    <w:rsid w:val="004A0435"/>
    <w:rsid w:val="004A0DBD"/>
    <w:rsid w:val="004A14B7"/>
    <w:rsid w:val="004A1BC4"/>
    <w:rsid w:val="004A1DE7"/>
    <w:rsid w:val="004A2948"/>
    <w:rsid w:val="004A364F"/>
    <w:rsid w:val="004A37E8"/>
    <w:rsid w:val="004A419A"/>
    <w:rsid w:val="004A423B"/>
    <w:rsid w:val="004A48C1"/>
    <w:rsid w:val="004A4B22"/>
    <w:rsid w:val="004A6A97"/>
    <w:rsid w:val="004B002C"/>
    <w:rsid w:val="004B20E3"/>
    <w:rsid w:val="004B28D1"/>
    <w:rsid w:val="004B29E0"/>
    <w:rsid w:val="004B2A30"/>
    <w:rsid w:val="004B402B"/>
    <w:rsid w:val="004B4F81"/>
    <w:rsid w:val="004B786A"/>
    <w:rsid w:val="004C08AB"/>
    <w:rsid w:val="004C262D"/>
    <w:rsid w:val="004C2D80"/>
    <w:rsid w:val="004C2E51"/>
    <w:rsid w:val="004C394E"/>
    <w:rsid w:val="004C5D71"/>
    <w:rsid w:val="004C66FE"/>
    <w:rsid w:val="004C76B2"/>
    <w:rsid w:val="004C76C3"/>
    <w:rsid w:val="004D03BB"/>
    <w:rsid w:val="004D0547"/>
    <w:rsid w:val="004D28DC"/>
    <w:rsid w:val="004D2CF5"/>
    <w:rsid w:val="004D38DB"/>
    <w:rsid w:val="004D4F5B"/>
    <w:rsid w:val="004D5B4F"/>
    <w:rsid w:val="004D6532"/>
    <w:rsid w:val="004E01D8"/>
    <w:rsid w:val="004E21EA"/>
    <w:rsid w:val="004E22B1"/>
    <w:rsid w:val="004E2798"/>
    <w:rsid w:val="004E41C3"/>
    <w:rsid w:val="004E66A9"/>
    <w:rsid w:val="004E6A21"/>
    <w:rsid w:val="004E76CD"/>
    <w:rsid w:val="004E77F5"/>
    <w:rsid w:val="004F3CF9"/>
    <w:rsid w:val="004F3DE4"/>
    <w:rsid w:val="004F5913"/>
    <w:rsid w:val="004F5AC5"/>
    <w:rsid w:val="004F5C4E"/>
    <w:rsid w:val="004F6433"/>
    <w:rsid w:val="004F6F80"/>
    <w:rsid w:val="004F7ED5"/>
    <w:rsid w:val="00501567"/>
    <w:rsid w:val="00503C1E"/>
    <w:rsid w:val="00505400"/>
    <w:rsid w:val="0050544E"/>
    <w:rsid w:val="00506687"/>
    <w:rsid w:val="00506D92"/>
    <w:rsid w:val="005078B0"/>
    <w:rsid w:val="00510A23"/>
    <w:rsid w:val="00510D5A"/>
    <w:rsid w:val="005115C7"/>
    <w:rsid w:val="00511D68"/>
    <w:rsid w:val="00512D71"/>
    <w:rsid w:val="00512E39"/>
    <w:rsid w:val="00513250"/>
    <w:rsid w:val="005136D4"/>
    <w:rsid w:val="00513DAC"/>
    <w:rsid w:val="0051496E"/>
    <w:rsid w:val="00514EA8"/>
    <w:rsid w:val="00515080"/>
    <w:rsid w:val="005150EB"/>
    <w:rsid w:val="00515284"/>
    <w:rsid w:val="0051556B"/>
    <w:rsid w:val="00520C75"/>
    <w:rsid w:val="0052118D"/>
    <w:rsid w:val="00521531"/>
    <w:rsid w:val="00521903"/>
    <w:rsid w:val="00522129"/>
    <w:rsid w:val="00522639"/>
    <w:rsid w:val="00523724"/>
    <w:rsid w:val="005239BB"/>
    <w:rsid w:val="00524AB0"/>
    <w:rsid w:val="005251D8"/>
    <w:rsid w:val="005254ED"/>
    <w:rsid w:val="005257FB"/>
    <w:rsid w:val="00525984"/>
    <w:rsid w:val="00526EA8"/>
    <w:rsid w:val="00527511"/>
    <w:rsid w:val="00530128"/>
    <w:rsid w:val="005302AD"/>
    <w:rsid w:val="00530AB5"/>
    <w:rsid w:val="00530B70"/>
    <w:rsid w:val="00531CCF"/>
    <w:rsid w:val="00532744"/>
    <w:rsid w:val="00533416"/>
    <w:rsid w:val="00533803"/>
    <w:rsid w:val="00533E30"/>
    <w:rsid w:val="0053491B"/>
    <w:rsid w:val="005361B3"/>
    <w:rsid w:val="00536DEC"/>
    <w:rsid w:val="00536FF2"/>
    <w:rsid w:val="00541BEB"/>
    <w:rsid w:val="0054392A"/>
    <w:rsid w:val="00543B49"/>
    <w:rsid w:val="0054627F"/>
    <w:rsid w:val="0054695E"/>
    <w:rsid w:val="00546B41"/>
    <w:rsid w:val="005470AE"/>
    <w:rsid w:val="005502EF"/>
    <w:rsid w:val="00550E84"/>
    <w:rsid w:val="00552DA8"/>
    <w:rsid w:val="005531B9"/>
    <w:rsid w:val="00554237"/>
    <w:rsid w:val="0055454D"/>
    <w:rsid w:val="00554AE0"/>
    <w:rsid w:val="00555416"/>
    <w:rsid w:val="00555C08"/>
    <w:rsid w:val="005564DE"/>
    <w:rsid w:val="00557509"/>
    <w:rsid w:val="00557B45"/>
    <w:rsid w:val="005604FB"/>
    <w:rsid w:val="00560BAB"/>
    <w:rsid w:val="00561249"/>
    <w:rsid w:val="00561642"/>
    <w:rsid w:val="00561F8D"/>
    <w:rsid w:val="005620CB"/>
    <w:rsid w:val="00564368"/>
    <w:rsid w:val="0056453D"/>
    <w:rsid w:val="00566909"/>
    <w:rsid w:val="00567ABC"/>
    <w:rsid w:val="00570E79"/>
    <w:rsid w:val="005718ED"/>
    <w:rsid w:val="00572189"/>
    <w:rsid w:val="0057264D"/>
    <w:rsid w:val="005729F6"/>
    <w:rsid w:val="00573DE7"/>
    <w:rsid w:val="00574FE8"/>
    <w:rsid w:val="005767AE"/>
    <w:rsid w:val="00580063"/>
    <w:rsid w:val="00580201"/>
    <w:rsid w:val="005804BB"/>
    <w:rsid w:val="005825B4"/>
    <w:rsid w:val="0058286B"/>
    <w:rsid w:val="00582FB1"/>
    <w:rsid w:val="00583550"/>
    <w:rsid w:val="00583E7C"/>
    <w:rsid w:val="005850AF"/>
    <w:rsid w:val="00587928"/>
    <w:rsid w:val="00587AA5"/>
    <w:rsid w:val="0059038F"/>
    <w:rsid w:val="0059144B"/>
    <w:rsid w:val="0059194C"/>
    <w:rsid w:val="00591ADB"/>
    <w:rsid w:val="00592650"/>
    <w:rsid w:val="00594776"/>
    <w:rsid w:val="005955C3"/>
    <w:rsid w:val="005955D3"/>
    <w:rsid w:val="00595E7E"/>
    <w:rsid w:val="005961D1"/>
    <w:rsid w:val="0059649E"/>
    <w:rsid w:val="005971DB"/>
    <w:rsid w:val="00597D71"/>
    <w:rsid w:val="005A05CD"/>
    <w:rsid w:val="005A1738"/>
    <w:rsid w:val="005A24E0"/>
    <w:rsid w:val="005A28A7"/>
    <w:rsid w:val="005A2967"/>
    <w:rsid w:val="005A397C"/>
    <w:rsid w:val="005A4EEE"/>
    <w:rsid w:val="005A68A4"/>
    <w:rsid w:val="005B0557"/>
    <w:rsid w:val="005B1BC1"/>
    <w:rsid w:val="005B1FC9"/>
    <w:rsid w:val="005B263B"/>
    <w:rsid w:val="005B32FA"/>
    <w:rsid w:val="005B3FBD"/>
    <w:rsid w:val="005B419A"/>
    <w:rsid w:val="005B4C3D"/>
    <w:rsid w:val="005B4CBC"/>
    <w:rsid w:val="005B71A1"/>
    <w:rsid w:val="005B7385"/>
    <w:rsid w:val="005B7F19"/>
    <w:rsid w:val="005C0807"/>
    <w:rsid w:val="005C1B73"/>
    <w:rsid w:val="005C312B"/>
    <w:rsid w:val="005C31C1"/>
    <w:rsid w:val="005C378B"/>
    <w:rsid w:val="005C39D3"/>
    <w:rsid w:val="005C43A0"/>
    <w:rsid w:val="005C4546"/>
    <w:rsid w:val="005C5BDC"/>
    <w:rsid w:val="005C6AAE"/>
    <w:rsid w:val="005D05CB"/>
    <w:rsid w:val="005D092C"/>
    <w:rsid w:val="005D12E7"/>
    <w:rsid w:val="005D1315"/>
    <w:rsid w:val="005D1F86"/>
    <w:rsid w:val="005D4164"/>
    <w:rsid w:val="005D4B63"/>
    <w:rsid w:val="005D63C6"/>
    <w:rsid w:val="005D7184"/>
    <w:rsid w:val="005E0601"/>
    <w:rsid w:val="005E0CC4"/>
    <w:rsid w:val="005E1672"/>
    <w:rsid w:val="005E1A96"/>
    <w:rsid w:val="005E2066"/>
    <w:rsid w:val="005E2570"/>
    <w:rsid w:val="005E2EC7"/>
    <w:rsid w:val="005E3334"/>
    <w:rsid w:val="005E5714"/>
    <w:rsid w:val="005E597C"/>
    <w:rsid w:val="005E6283"/>
    <w:rsid w:val="005E7035"/>
    <w:rsid w:val="005E72D9"/>
    <w:rsid w:val="005E7C0B"/>
    <w:rsid w:val="005F0598"/>
    <w:rsid w:val="005F095A"/>
    <w:rsid w:val="005F10CB"/>
    <w:rsid w:val="005F31E2"/>
    <w:rsid w:val="005F34B9"/>
    <w:rsid w:val="005F4272"/>
    <w:rsid w:val="005F5186"/>
    <w:rsid w:val="005F64B9"/>
    <w:rsid w:val="005F6EDD"/>
    <w:rsid w:val="00600F65"/>
    <w:rsid w:val="00602384"/>
    <w:rsid w:val="006025EE"/>
    <w:rsid w:val="00602827"/>
    <w:rsid w:val="00603356"/>
    <w:rsid w:val="00603875"/>
    <w:rsid w:val="00604485"/>
    <w:rsid w:val="00605A04"/>
    <w:rsid w:val="006074B0"/>
    <w:rsid w:val="00607B34"/>
    <w:rsid w:val="00610681"/>
    <w:rsid w:val="006108DF"/>
    <w:rsid w:val="00611509"/>
    <w:rsid w:val="00611B23"/>
    <w:rsid w:val="00611C44"/>
    <w:rsid w:val="00612660"/>
    <w:rsid w:val="006126A6"/>
    <w:rsid w:val="00614420"/>
    <w:rsid w:val="00615CDA"/>
    <w:rsid w:val="00615D09"/>
    <w:rsid w:val="0061636B"/>
    <w:rsid w:val="00617973"/>
    <w:rsid w:val="00617EB4"/>
    <w:rsid w:val="00620934"/>
    <w:rsid w:val="00620D78"/>
    <w:rsid w:val="0062190E"/>
    <w:rsid w:val="00623B4E"/>
    <w:rsid w:val="006263E8"/>
    <w:rsid w:val="00630B4C"/>
    <w:rsid w:val="00630E05"/>
    <w:rsid w:val="006314F1"/>
    <w:rsid w:val="00631A3C"/>
    <w:rsid w:val="00635229"/>
    <w:rsid w:val="00636320"/>
    <w:rsid w:val="00636B84"/>
    <w:rsid w:val="006378EE"/>
    <w:rsid w:val="0064000D"/>
    <w:rsid w:val="006407FA"/>
    <w:rsid w:val="0064086B"/>
    <w:rsid w:val="00641784"/>
    <w:rsid w:val="00641A47"/>
    <w:rsid w:val="006424B9"/>
    <w:rsid w:val="00642B1E"/>
    <w:rsid w:val="0064337F"/>
    <w:rsid w:val="006436A8"/>
    <w:rsid w:val="0064412A"/>
    <w:rsid w:val="00644747"/>
    <w:rsid w:val="00644773"/>
    <w:rsid w:val="0064478B"/>
    <w:rsid w:val="0064523E"/>
    <w:rsid w:val="0064561F"/>
    <w:rsid w:val="00645647"/>
    <w:rsid w:val="00647BD3"/>
    <w:rsid w:val="006502EA"/>
    <w:rsid w:val="00650528"/>
    <w:rsid w:val="006511B6"/>
    <w:rsid w:val="00652592"/>
    <w:rsid w:val="006558AC"/>
    <w:rsid w:val="00655976"/>
    <w:rsid w:val="00655E49"/>
    <w:rsid w:val="0065655A"/>
    <w:rsid w:val="00656A7A"/>
    <w:rsid w:val="00657830"/>
    <w:rsid w:val="00660496"/>
    <w:rsid w:val="00660B76"/>
    <w:rsid w:val="00660EE1"/>
    <w:rsid w:val="00662AE7"/>
    <w:rsid w:val="00662FBA"/>
    <w:rsid w:val="0066386A"/>
    <w:rsid w:val="006645EF"/>
    <w:rsid w:val="0066575B"/>
    <w:rsid w:val="00665E5D"/>
    <w:rsid w:val="00665E5F"/>
    <w:rsid w:val="00666021"/>
    <w:rsid w:val="006664D5"/>
    <w:rsid w:val="00670274"/>
    <w:rsid w:val="00670455"/>
    <w:rsid w:val="0067051E"/>
    <w:rsid w:val="00672558"/>
    <w:rsid w:val="0067286D"/>
    <w:rsid w:val="00673AAB"/>
    <w:rsid w:val="00673E3D"/>
    <w:rsid w:val="00674027"/>
    <w:rsid w:val="00674481"/>
    <w:rsid w:val="00675A9E"/>
    <w:rsid w:val="00676447"/>
    <w:rsid w:val="006765EC"/>
    <w:rsid w:val="0067685A"/>
    <w:rsid w:val="00676F10"/>
    <w:rsid w:val="0067774F"/>
    <w:rsid w:val="00677B39"/>
    <w:rsid w:val="00680103"/>
    <w:rsid w:val="006807AC"/>
    <w:rsid w:val="0068299E"/>
    <w:rsid w:val="006847E9"/>
    <w:rsid w:val="006847F1"/>
    <w:rsid w:val="00684F33"/>
    <w:rsid w:val="006856CD"/>
    <w:rsid w:val="00685CDF"/>
    <w:rsid w:val="00685F42"/>
    <w:rsid w:val="00685FD2"/>
    <w:rsid w:val="00686B43"/>
    <w:rsid w:val="00686CCB"/>
    <w:rsid w:val="00686D03"/>
    <w:rsid w:val="00686D93"/>
    <w:rsid w:val="006879AE"/>
    <w:rsid w:val="00687AB3"/>
    <w:rsid w:val="00690067"/>
    <w:rsid w:val="0069028D"/>
    <w:rsid w:val="006908F1"/>
    <w:rsid w:val="0069196D"/>
    <w:rsid w:val="00691F8F"/>
    <w:rsid w:val="006926C5"/>
    <w:rsid w:val="006930F7"/>
    <w:rsid w:val="006936F7"/>
    <w:rsid w:val="00693B4B"/>
    <w:rsid w:val="0069446E"/>
    <w:rsid w:val="00694D84"/>
    <w:rsid w:val="00694F62"/>
    <w:rsid w:val="00695E02"/>
    <w:rsid w:val="0069725B"/>
    <w:rsid w:val="00697432"/>
    <w:rsid w:val="00697A4D"/>
    <w:rsid w:val="006A0E09"/>
    <w:rsid w:val="006A184A"/>
    <w:rsid w:val="006A1F2F"/>
    <w:rsid w:val="006A34E0"/>
    <w:rsid w:val="006A3A7E"/>
    <w:rsid w:val="006A418F"/>
    <w:rsid w:val="006A53A1"/>
    <w:rsid w:val="006A555B"/>
    <w:rsid w:val="006A5FE2"/>
    <w:rsid w:val="006B0A31"/>
    <w:rsid w:val="006B2B7F"/>
    <w:rsid w:val="006B34E8"/>
    <w:rsid w:val="006B42B7"/>
    <w:rsid w:val="006B49A7"/>
    <w:rsid w:val="006B57B4"/>
    <w:rsid w:val="006B582A"/>
    <w:rsid w:val="006B592D"/>
    <w:rsid w:val="006B5A41"/>
    <w:rsid w:val="006B5F20"/>
    <w:rsid w:val="006B64EF"/>
    <w:rsid w:val="006B7C38"/>
    <w:rsid w:val="006C0850"/>
    <w:rsid w:val="006C0D64"/>
    <w:rsid w:val="006C0F90"/>
    <w:rsid w:val="006C124F"/>
    <w:rsid w:val="006C16AB"/>
    <w:rsid w:val="006C20E4"/>
    <w:rsid w:val="006C2410"/>
    <w:rsid w:val="006C2DF7"/>
    <w:rsid w:val="006C3A14"/>
    <w:rsid w:val="006C47E0"/>
    <w:rsid w:val="006C50EC"/>
    <w:rsid w:val="006C525E"/>
    <w:rsid w:val="006C5C0E"/>
    <w:rsid w:val="006C6267"/>
    <w:rsid w:val="006C6A2B"/>
    <w:rsid w:val="006C6D19"/>
    <w:rsid w:val="006C7470"/>
    <w:rsid w:val="006C7C32"/>
    <w:rsid w:val="006C7F5A"/>
    <w:rsid w:val="006D006B"/>
    <w:rsid w:val="006D13A3"/>
    <w:rsid w:val="006D1E2D"/>
    <w:rsid w:val="006D2180"/>
    <w:rsid w:val="006D4352"/>
    <w:rsid w:val="006D526D"/>
    <w:rsid w:val="006D58C6"/>
    <w:rsid w:val="006D5F9E"/>
    <w:rsid w:val="006D71DB"/>
    <w:rsid w:val="006D7D5A"/>
    <w:rsid w:val="006E00B6"/>
    <w:rsid w:val="006E1370"/>
    <w:rsid w:val="006E166E"/>
    <w:rsid w:val="006E1896"/>
    <w:rsid w:val="006E1DA3"/>
    <w:rsid w:val="006E2654"/>
    <w:rsid w:val="006E3449"/>
    <w:rsid w:val="006E3807"/>
    <w:rsid w:val="006E3DCE"/>
    <w:rsid w:val="006E42A3"/>
    <w:rsid w:val="006E551C"/>
    <w:rsid w:val="006E579D"/>
    <w:rsid w:val="006E6A5C"/>
    <w:rsid w:val="006E7511"/>
    <w:rsid w:val="006E77CB"/>
    <w:rsid w:val="006F1027"/>
    <w:rsid w:val="006F1908"/>
    <w:rsid w:val="006F22BA"/>
    <w:rsid w:val="006F2A20"/>
    <w:rsid w:val="006F3CAD"/>
    <w:rsid w:val="006F3F45"/>
    <w:rsid w:val="006F4AD5"/>
    <w:rsid w:val="006F4B48"/>
    <w:rsid w:val="006F4DB1"/>
    <w:rsid w:val="006F52D3"/>
    <w:rsid w:val="006F55E9"/>
    <w:rsid w:val="006F6ECA"/>
    <w:rsid w:val="006F7638"/>
    <w:rsid w:val="00700663"/>
    <w:rsid w:val="00702CFD"/>
    <w:rsid w:val="00702E11"/>
    <w:rsid w:val="00704AC4"/>
    <w:rsid w:val="007071CF"/>
    <w:rsid w:val="007079EF"/>
    <w:rsid w:val="00707E9A"/>
    <w:rsid w:val="007102A4"/>
    <w:rsid w:val="00711E8F"/>
    <w:rsid w:val="007131BD"/>
    <w:rsid w:val="00714CE4"/>
    <w:rsid w:val="00715CA5"/>
    <w:rsid w:val="00716408"/>
    <w:rsid w:val="007174A8"/>
    <w:rsid w:val="0072089A"/>
    <w:rsid w:val="0072106A"/>
    <w:rsid w:val="00722538"/>
    <w:rsid w:val="00722A5E"/>
    <w:rsid w:val="00723676"/>
    <w:rsid w:val="00723BE4"/>
    <w:rsid w:val="00723C44"/>
    <w:rsid w:val="007248B7"/>
    <w:rsid w:val="00724AF3"/>
    <w:rsid w:val="007273B0"/>
    <w:rsid w:val="007273E8"/>
    <w:rsid w:val="00727822"/>
    <w:rsid w:val="007319A7"/>
    <w:rsid w:val="007333AD"/>
    <w:rsid w:val="00734CE2"/>
    <w:rsid w:val="00736B8B"/>
    <w:rsid w:val="007376AD"/>
    <w:rsid w:val="0073770B"/>
    <w:rsid w:val="007401A0"/>
    <w:rsid w:val="00741264"/>
    <w:rsid w:val="007428D6"/>
    <w:rsid w:val="00742C0A"/>
    <w:rsid w:val="007432C7"/>
    <w:rsid w:val="00743C2B"/>
    <w:rsid w:val="0074421B"/>
    <w:rsid w:val="00745290"/>
    <w:rsid w:val="007454CD"/>
    <w:rsid w:val="0074598B"/>
    <w:rsid w:val="00745B40"/>
    <w:rsid w:val="007500EC"/>
    <w:rsid w:val="00751276"/>
    <w:rsid w:val="00751710"/>
    <w:rsid w:val="007517AB"/>
    <w:rsid w:val="007527E6"/>
    <w:rsid w:val="00752C09"/>
    <w:rsid w:val="00752EEB"/>
    <w:rsid w:val="007549E0"/>
    <w:rsid w:val="00754AF7"/>
    <w:rsid w:val="007557D8"/>
    <w:rsid w:val="0075757B"/>
    <w:rsid w:val="00761297"/>
    <w:rsid w:val="00762AC9"/>
    <w:rsid w:val="007631CB"/>
    <w:rsid w:val="007634CD"/>
    <w:rsid w:val="007637B1"/>
    <w:rsid w:val="00764502"/>
    <w:rsid w:val="007645FA"/>
    <w:rsid w:val="0076511F"/>
    <w:rsid w:val="00766405"/>
    <w:rsid w:val="00770BB9"/>
    <w:rsid w:val="00770DF3"/>
    <w:rsid w:val="00770F2F"/>
    <w:rsid w:val="007710EC"/>
    <w:rsid w:val="00771A21"/>
    <w:rsid w:val="00771A9F"/>
    <w:rsid w:val="0077214B"/>
    <w:rsid w:val="007722FC"/>
    <w:rsid w:val="0077269E"/>
    <w:rsid w:val="0077355D"/>
    <w:rsid w:val="00773947"/>
    <w:rsid w:val="00773F05"/>
    <w:rsid w:val="0077493A"/>
    <w:rsid w:val="007753B3"/>
    <w:rsid w:val="00775D78"/>
    <w:rsid w:val="00775F76"/>
    <w:rsid w:val="007766FF"/>
    <w:rsid w:val="0077728C"/>
    <w:rsid w:val="00777CED"/>
    <w:rsid w:val="00780461"/>
    <w:rsid w:val="0078047E"/>
    <w:rsid w:val="0078164B"/>
    <w:rsid w:val="00781BA9"/>
    <w:rsid w:val="00782730"/>
    <w:rsid w:val="00782ED6"/>
    <w:rsid w:val="007847AC"/>
    <w:rsid w:val="00784A5F"/>
    <w:rsid w:val="00785184"/>
    <w:rsid w:val="00787912"/>
    <w:rsid w:val="0079099E"/>
    <w:rsid w:val="00791286"/>
    <w:rsid w:val="00791B11"/>
    <w:rsid w:val="00792A0D"/>
    <w:rsid w:val="00793C2E"/>
    <w:rsid w:val="007976BB"/>
    <w:rsid w:val="007978C8"/>
    <w:rsid w:val="00797B82"/>
    <w:rsid w:val="007A018F"/>
    <w:rsid w:val="007A2FE1"/>
    <w:rsid w:val="007A39ED"/>
    <w:rsid w:val="007A4CD7"/>
    <w:rsid w:val="007A4D07"/>
    <w:rsid w:val="007A6DD9"/>
    <w:rsid w:val="007A73F4"/>
    <w:rsid w:val="007A75A3"/>
    <w:rsid w:val="007A76BA"/>
    <w:rsid w:val="007A7952"/>
    <w:rsid w:val="007B18EA"/>
    <w:rsid w:val="007B2260"/>
    <w:rsid w:val="007B302C"/>
    <w:rsid w:val="007B344C"/>
    <w:rsid w:val="007B3B34"/>
    <w:rsid w:val="007B4216"/>
    <w:rsid w:val="007B44D5"/>
    <w:rsid w:val="007B4C8E"/>
    <w:rsid w:val="007B54DD"/>
    <w:rsid w:val="007B58ED"/>
    <w:rsid w:val="007B5B06"/>
    <w:rsid w:val="007B6CBA"/>
    <w:rsid w:val="007B6F4B"/>
    <w:rsid w:val="007B781E"/>
    <w:rsid w:val="007B79E6"/>
    <w:rsid w:val="007C04DB"/>
    <w:rsid w:val="007C1057"/>
    <w:rsid w:val="007C13EA"/>
    <w:rsid w:val="007C2147"/>
    <w:rsid w:val="007C2B0A"/>
    <w:rsid w:val="007C2BC5"/>
    <w:rsid w:val="007C352D"/>
    <w:rsid w:val="007C431D"/>
    <w:rsid w:val="007C4DF7"/>
    <w:rsid w:val="007C5AD8"/>
    <w:rsid w:val="007C63FA"/>
    <w:rsid w:val="007C73B5"/>
    <w:rsid w:val="007D18C6"/>
    <w:rsid w:val="007D19A8"/>
    <w:rsid w:val="007D1F2C"/>
    <w:rsid w:val="007D23C1"/>
    <w:rsid w:val="007D2D01"/>
    <w:rsid w:val="007D3101"/>
    <w:rsid w:val="007D31BD"/>
    <w:rsid w:val="007D3B4F"/>
    <w:rsid w:val="007D3B92"/>
    <w:rsid w:val="007D4020"/>
    <w:rsid w:val="007D54FD"/>
    <w:rsid w:val="007D5C0A"/>
    <w:rsid w:val="007D650D"/>
    <w:rsid w:val="007D71CC"/>
    <w:rsid w:val="007D7BC3"/>
    <w:rsid w:val="007E1DDF"/>
    <w:rsid w:val="007E2C22"/>
    <w:rsid w:val="007E31E3"/>
    <w:rsid w:val="007E467F"/>
    <w:rsid w:val="007E5165"/>
    <w:rsid w:val="007E729E"/>
    <w:rsid w:val="007E7805"/>
    <w:rsid w:val="007E7885"/>
    <w:rsid w:val="007F1194"/>
    <w:rsid w:val="007F136B"/>
    <w:rsid w:val="007F1FD5"/>
    <w:rsid w:val="007F250D"/>
    <w:rsid w:val="007F2AEA"/>
    <w:rsid w:val="007F359C"/>
    <w:rsid w:val="007F61C9"/>
    <w:rsid w:val="007F71D1"/>
    <w:rsid w:val="00800114"/>
    <w:rsid w:val="00800528"/>
    <w:rsid w:val="00801C83"/>
    <w:rsid w:val="00802892"/>
    <w:rsid w:val="00802CAB"/>
    <w:rsid w:val="00802E6A"/>
    <w:rsid w:val="00803F1E"/>
    <w:rsid w:val="00804569"/>
    <w:rsid w:val="0080464A"/>
    <w:rsid w:val="00804F5F"/>
    <w:rsid w:val="00804F70"/>
    <w:rsid w:val="0080572F"/>
    <w:rsid w:val="00806992"/>
    <w:rsid w:val="00806DFE"/>
    <w:rsid w:val="008078AE"/>
    <w:rsid w:val="008113A4"/>
    <w:rsid w:val="00812CD5"/>
    <w:rsid w:val="00812E20"/>
    <w:rsid w:val="008142CB"/>
    <w:rsid w:val="0081484B"/>
    <w:rsid w:val="00814902"/>
    <w:rsid w:val="0081527C"/>
    <w:rsid w:val="00815D37"/>
    <w:rsid w:val="00817ADB"/>
    <w:rsid w:val="00817CDF"/>
    <w:rsid w:val="008204BA"/>
    <w:rsid w:val="00820726"/>
    <w:rsid w:val="0082132D"/>
    <w:rsid w:val="008229B2"/>
    <w:rsid w:val="00825178"/>
    <w:rsid w:val="00825914"/>
    <w:rsid w:val="008269C7"/>
    <w:rsid w:val="00827BC1"/>
    <w:rsid w:val="008320E4"/>
    <w:rsid w:val="00832F1B"/>
    <w:rsid w:val="00833B40"/>
    <w:rsid w:val="00833D62"/>
    <w:rsid w:val="00834051"/>
    <w:rsid w:val="008350C0"/>
    <w:rsid w:val="0083647B"/>
    <w:rsid w:val="0083649D"/>
    <w:rsid w:val="008366F2"/>
    <w:rsid w:val="00836B2B"/>
    <w:rsid w:val="008372A0"/>
    <w:rsid w:val="00840208"/>
    <w:rsid w:val="00840E1D"/>
    <w:rsid w:val="00840E9D"/>
    <w:rsid w:val="00840EDF"/>
    <w:rsid w:val="0084124F"/>
    <w:rsid w:val="008431C6"/>
    <w:rsid w:val="00843C39"/>
    <w:rsid w:val="0084411F"/>
    <w:rsid w:val="00844E7F"/>
    <w:rsid w:val="00844F62"/>
    <w:rsid w:val="00847848"/>
    <w:rsid w:val="0084797C"/>
    <w:rsid w:val="00850C42"/>
    <w:rsid w:val="0085169A"/>
    <w:rsid w:val="00852FCA"/>
    <w:rsid w:val="00853D85"/>
    <w:rsid w:val="00853E5A"/>
    <w:rsid w:val="00855B5E"/>
    <w:rsid w:val="00855F6A"/>
    <w:rsid w:val="00856384"/>
    <w:rsid w:val="00860260"/>
    <w:rsid w:val="00862034"/>
    <w:rsid w:val="008628AF"/>
    <w:rsid w:val="00862E12"/>
    <w:rsid w:val="0086329D"/>
    <w:rsid w:val="00863438"/>
    <w:rsid w:val="00863964"/>
    <w:rsid w:val="00863A02"/>
    <w:rsid w:val="00863C60"/>
    <w:rsid w:val="008641BD"/>
    <w:rsid w:val="00864327"/>
    <w:rsid w:val="0086438B"/>
    <w:rsid w:val="00864ED2"/>
    <w:rsid w:val="00865079"/>
    <w:rsid w:val="008657A5"/>
    <w:rsid w:val="00865A8F"/>
    <w:rsid w:val="00865A98"/>
    <w:rsid w:val="00865BE9"/>
    <w:rsid w:val="00867938"/>
    <w:rsid w:val="00873094"/>
    <w:rsid w:val="00873384"/>
    <w:rsid w:val="00873D19"/>
    <w:rsid w:val="00873D35"/>
    <w:rsid w:val="00875473"/>
    <w:rsid w:val="008758E4"/>
    <w:rsid w:val="00875B80"/>
    <w:rsid w:val="00875D90"/>
    <w:rsid w:val="00877E42"/>
    <w:rsid w:val="00880E03"/>
    <w:rsid w:val="00881A1C"/>
    <w:rsid w:val="0088205E"/>
    <w:rsid w:val="00882B0B"/>
    <w:rsid w:val="00882C37"/>
    <w:rsid w:val="00883E08"/>
    <w:rsid w:val="0088742C"/>
    <w:rsid w:val="008874DC"/>
    <w:rsid w:val="008875E8"/>
    <w:rsid w:val="008901C0"/>
    <w:rsid w:val="0089033C"/>
    <w:rsid w:val="00890DE4"/>
    <w:rsid w:val="008924E8"/>
    <w:rsid w:val="00894BA2"/>
    <w:rsid w:val="008951C4"/>
    <w:rsid w:val="008965AA"/>
    <w:rsid w:val="00896E45"/>
    <w:rsid w:val="0089753A"/>
    <w:rsid w:val="008976C1"/>
    <w:rsid w:val="008A127C"/>
    <w:rsid w:val="008A148C"/>
    <w:rsid w:val="008A4324"/>
    <w:rsid w:val="008A5D54"/>
    <w:rsid w:val="008A7233"/>
    <w:rsid w:val="008B01C0"/>
    <w:rsid w:val="008B08FD"/>
    <w:rsid w:val="008B099B"/>
    <w:rsid w:val="008B12DD"/>
    <w:rsid w:val="008B18EE"/>
    <w:rsid w:val="008B1D18"/>
    <w:rsid w:val="008B2819"/>
    <w:rsid w:val="008B29B2"/>
    <w:rsid w:val="008B4463"/>
    <w:rsid w:val="008B4C91"/>
    <w:rsid w:val="008B5C4E"/>
    <w:rsid w:val="008B606F"/>
    <w:rsid w:val="008B6729"/>
    <w:rsid w:val="008B726C"/>
    <w:rsid w:val="008B745A"/>
    <w:rsid w:val="008B7523"/>
    <w:rsid w:val="008B7C15"/>
    <w:rsid w:val="008C08D0"/>
    <w:rsid w:val="008C13D5"/>
    <w:rsid w:val="008C1F96"/>
    <w:rsid w:val="008C2884"/>
    <w:rsid w:val="008C2D8D"/>
    <w:rsid w:val="008C2F83"/>
    <w:rsid w:val="008C33AD"/>
    <w:rsid w:val="008C390E"/>
    <w:rsid w:val="008C6931"/>
    <w:rsid w:val="008C71B3"/>
    <w:rsid w:val="008C725A"/>
    <w:rsid w:val="008C7BA3"/>
    <w:rsid w:val="008C7DC5"/>
    <w:rsid w:val="008D02B0"/>
    <w:rsid w:val="008D051B"/>
    <w:rsid w:val="008D0E41"/>
    <w:rsid w:val="008D2DE5"/>
    <w:rsid w:val="008D2E0B"/>
    <w:rsid w:val="008D3F68"/>
    <w:rsid w:val="008D623F"/>
    <w:rsid w:val="008D6E28"/>
    <w:rsid w:val="008D782A"/>
    <w:rsid w:val="008D7CE4"/>
    <w:rsid w:val="008E02AF"/>
    <w:rsid w:val="008E0BE4"/>
    <w:rsid w:val="008E0C69"/>
    <w:rsid w:val="008E0C6B"/>
    <w:rsid w:val="008E1048"/>
    <w:rsid w:val="008E1F7B"/>
    <w:rsid w:val="008E2BE6"/>
    <w:rsid w:val="008E2FDD"/>
    <w:rsid w:val="008E342E"/>
    <w:rsid w:val="008E5912"/>
    <w:rsid w:val="008E5D18"/>
    <w:rsid w:val="008E68F3"/>
    <w:rsid w:val="008E729D"/>
    <w:rsid w:val="008E73AD"/>
    <w:rsid w:val="008E78C0"/>
    <w:rsid w:val="008E7AE0"/>
    <w:rsid w:val="008F23B1"/>
    <w:rsid w:val="008F2583"/>
    <w:rsid w:val="008F2F7E"/>
    <w:rsid w:val="008F31CE"/>
    <w:rsid w:val="008F34EC"/>
    <w:rsid w:val="008F3931"/>
    <w:rsid w:val="008F3B69"/>
    <w:rsid w:val="008F4063"/>
    <w:rsid w:val="008F4690"/>
    <w:rsid w:val="008F5A81"/>
    <w:rsid w:val="008F78E5"/>
    <w:rsid w:val="0090088B"/>
    <w:rsid w:val="0090280B"/>
    <w:rsid w:val="00903C8A"/>
    <w:rsid w:val="00903F18"/>
    <w:rsid w:val="0090425D"/>
    <w:rsid w:val="00904275"/>
    <w:rsid w:val="009052C8"/>
    <w:rsid w:val="00905965"/>
    <w:rsid w:val="00907367"/>
    <w:rsid w:val="009118A8"/>
    <w:rsid w:val="00911E93"/>
    <w:rsid w:val="00914850"/>
    <w:rsid w:val="009158AB"/>
    <w:rsid w:val="00917E6E"/>
    <w:rsid w:val="00921498"/>
    <w:rsid w:val="00922709"/>
    <w:rsid w:val="00923D8E"/>
    <w:rsid w:val="0092633B"/>
    <w:rsid w:val="00926692"/>
    <w:rsid w:val="00927B31"/>
    <w:rsid w:val="009300B2"/>
    <w:rsid w:val="00930258"/>
    <w:rsid w:val="00930F0B"/>
    <w:rsid w:val="00931299"/>
    <w:rsid w:val="00931C2C"/>
    <w:rsid w:val="00932AFE"/>
    <w:rsid w:val="00933517"/>
    <w:rsid w:val="009347E1"/>
    <w:rsid w:val="00935629"/>
    <w:rsid w:val="009356E9"/>
    <w:rsid w:val="009360A9"/>
    <w:rsid w:val="00937324"/>
    <w:rsid w:val="00940381"/>
    <w:rsid w:val="00940764"/>
    <w:rsid w:val="009437A6"/>
    <w:rsid w:val="0094437A"/>
    <w:rsid w:val="00944D21"/>
    <w:rsid w:val="00945010"/>
    <w:rsid w:val="0094508B"/>
    <w:rsid w:val="009456CD"/>
    <w:rsid w:val="00945B7C"/>
    <w:rsid w:val="00945C3E"/>
    <w:rsid w:val="0094617D"/>
    <w:rsid w:val="009470FC"/>
    <w:rsid w:val="00947E5B"/>
    <w:rsid w:val="009506CF"/>
    <w:rsid w:val="00952209"/>
    <w:rsid w:val="00952FCB"/>
    <w:rsid w:val="00953ACE"/>
    <w:rsid w:val="00953D8C"/>
    <w:rsid w:val="00954A38"/>
    <w:rsid w:val="0095577A"/>
    <w:rsid w:val="00955F4D"/>
    <w:rsid w:val="00960058"/>
    <w:rsid w:val="00962D0B"/>
    <w:rsid w:val="00963118"/>
    <w:rsid w:val="00963704"/>
    <w:rsid w:val="00964583"/>
    <w:rsid w:val="00964663"/>
    <w:rsid w:val="009656B1"/>
    <w:rsid w:val="0096766B"/>
    <w:rsid w:val="009700F2"/>
    <w:rsid w:val="0097012C"/>
    <w:rsid w:val="00970E9A"/>
    <w:rsid w:val="00970E9C"/>
    <w:rsid w:val="00971B7A"/>
    <w:rsid w:val="00972104"/>
    <w:rsid w:val="00972378"/>
    <w:rsid w:val="009741C3"/>
    <w:rsid w:val="00974304"/>
    <w:rsid w:val="00976437"/>
    <w:rsid w:val="009779B3"/>
    <w:rsid w:val="009805FC"/>
    <w:rsid w:val="00980FE5"/>
    <w:rsid w:val="00981812"/>
    <w:rsid w:val="0098192F"/>
    <w:rsid w:val="0098363D"/>
    <w:rsid w:val="00984933"/>
    <w:rsid w:val="00984DAD"/>
    <w:rsid w:val="00985255"/>
    <w:rsid w:val="00985A1B"/>
    <w:rsid w:val="0098791D"/>
    <w:rsid w:val="0099042E"/>
    <w:rsid w:val="009905DE"/>
    <w:rsid w:val="00991071"/>
    <w:rsid w:val="00992746"/>
    <w:rsid w:val="009949E6"/>
    <w:rsid w:val="00995278"/>
    <w:rsid w:val="009954B6"/>
    <w:rsid w:val="00995C68"/>
    <w:rsid w:val="00995F8C"/>
    <w:rsid w:val="00996760"/>
    <w:rsid w:val="00997002"/>
    <w:rsid w:val="009A0137"/>
    <w:rsid w:val="009A0962"/>
    <w:rsid w:val="009A0C8B"/>
    <w:rsid w:val="009A1747"/>
    <w:rsid w:val="009A1BA8"/>
    <w:rsid w:val="009A1DF8"/>
    <w:rsid w:val="009A25B0"/>
    <w:rsid w:val="009A3181"/>
    <w:rsid w:val="009A33F8"/>
    <w:rsid w:val="009A3507"/>
    <w:rsid w:val="009A3C90"/>
    <w:rsid w:val="009A4658"/>
    <w:rsid w:val="009A4AE6"/>
    <w:rsid w:val="009A542C"/>
    <w:rsid w:val="009A5CC0"/>
    <w:rsid w:val="009A666D"/>
    <w:rsid w:val="009A681D"/>
    <w:rsid w:val="009A6BFF"/>
    <w:rsid w:val="009A7233"/>
    <w:rsid w:val="009A7A69"/>
    <w:rsid w:val="009B0332"/>
    <w:rsid w:val="009B03DD"/>
    <w:rsid w:val="009B043A"/>
    <w:rsid w:val="009B12DB"/>
    <w:rsid w:val="009B1A30"/>
    <w:rsid w:val="009B1CE3"/>
    <w:rsid w:val="009B1DA9"/>
    <w:rsid w:val="009B2429"/>
    <w:rsid w:val="009B2A7B"/>
    <w:rsid w:val="009B2CBE"/>
    <w:rsid w:val="009B3AB4"/>
    <w:rsid w:val="009B3FF1"/>
    <w:rsid w:val="009B45C8"/>
    <w:rsid w:val="009B4726"/>
    <w:rsid w:val="009B5368"/>
    <w:rsid w:val="009B5E98"/>
    <w:rsid w:val="009B6D36"/>
    <w:rsid w:val="009B7385"/>
    <w:rsid w:val="009B7798"/>
    <w:rsid w:val="009B7C44"/>
    <w:rsid w:val="009C2530"/>
    <w:rsid w:val="009C2601"/>
    <w:rsid w:val="009C2832"/>
    <w:rsid w:val="009C3009"/>
    <w:rsid w:val="009C3629"/>
    <w:rsid w:val="009C3A5E"/>
    <w:rsid w:val="009C404D"/>
    <w:rsid w:val="009C4064"/>
    <w:rsid w:val="009C4EBE"/>
    <w:rsid w:val="009C545C"/>
    <w:rsid w:val="009C5D4A"/>
    <w:rsid w:val="009D01CC"/>
    <w:rsid w:val="009D0D59"/>
    <w:rsid w:val="009D1694"/>
    <w:rsid w:val="009D4D20"/>
    <w:rsid w:val="009D5578"/>
    <w:rsid w:val="009D69D7"/>
    <w:rsid w:val="009E0030"/>
    <w:rsid w:val="009E1614"/>
    <w:rsid w:val="009E16CD"/>
    <w:rsid w:val="009E34BC"/>
    <w:rsid w:val="009E431D"/>
    <w:rsid w:val="009E6FA7"/>
    <w:rsid w:val="009E7191"/>
    <w:rsid w:val="009E79CF"/>
    <w:rsid w:val="009E7E6A"/>
    <w:rsid w:val="009F0336"/>
    <w:rsid w:val="009F1114"/>
    <w:rsid w:val="009F18F9"/>
    <w:rsid w:val="009F347A"/>
    <w:rsid w:val="009F3D94"/>
    <w:rsid w:val="009F497B"/>
    <w:rsid w:val="009F4C4D"/>
    <w:rsid w:val="009F4E1B"/>
    <w:rsid w:val="009F4E31"/>
    <w:rsid w:val="009F5576"/>
    <w:rsid w:val="009F79CA"/>
    <w:rsid w:val="009F7D4C"/>
    <w:rsid w:val="00A00095"/>
    <w:rsid w:val="00A00757"/>
    <w:rsid w:val="00A011E7"/>
    <w:rsid w:val="00A0398D"/>
    <w:rsid w:val="00A047B6"/>
    <w:rsid w:val="00A05B21"/>
    <w:rsid w:val="00A06FBC"/>
    <w:rsid w:val="00A07582"/>
    <w:rsid w:val="00A07A07"/>
    <w:rsid w:val="00A07F7E"/>
    <w:rsid w:val="00A10412"/>
    <w:rsid w:val="00A122B1"/>
    <w:rsid w:val="00A1245C"/>
    <w:rsid w:val="00A12ED7"/>
    <w:rsid w:val="00A155FD"/>
    <w:rsid w:val="00A16D33"/>
    <w:rsid w:val="00A1716E"/>
    <w:rsid w:val="00A1763B"/>
    <w:rsid w:val="00A2082D"/>
    <w:rsid w:val="00A213E2"/>
    <w:rsid w:val="00A21B1D"/>
    <w:rsid w:val="00A22118"/>
    <w:rsid w:val="00A2259A"/>
    <w:rsid w:val="00A22DEE"/>
    <w:rsid w:val="00A255F5"/>
    <w:rsid w:val="00A25DCF"/>
    <w:rsid w:val="00A261F0"/>
    <w:rsid w:val="00A264A1"/>
    <w:rsid w:val="00A26CF2"/>
    <w:rsid w:val="00A277DE"/>
    <w:rsid w:val="00A27C54"/>
    <w:rsid w:val="00A30AF8"/>
    <w:rsid w:val="00A31275"/>
    <w:rsid w:val="00A3142B"/>
    <w:rsid w:val="00A31679"/>
    <w:rsid w:val="00A328CE"/>
    <w:rsid w:val="00A32AC8"/>
    <w:rsid w:val="00A334DF"/>
    <w:rsid w:val="00A33838"/>
    <w:rsid w:val="00A3529C"/>
    <w:rsid w:val="00A35CB9"/>
    <w:rsid w:val="00A36939"/>
    <w:rsid w:val="00A43060"/>
    <w:rsid w:val="00A44173"/>
    <w:rsid w:val="00A448AD"/>
    <w:rsid w:val="00A44D24"/>
    <w:rsid w:val="00A45204"/>
    <w:rsid w:val="00A45A61"/>
    <w:rsid w:val="00A50BC4"/>
    <w:rsid w:val="00A521A1"/>
    <w:rsid w:val="00A52230"/>
    <w:rsid w:val="00A52AC4"/>
    <w:rsid w:val="00A52CEF"/>
    <w:rsid w:val="00A54467"/>
    <w:rsid w:val="00A55B38"/>
    <w:rsid w:val="00A55C73"/>
    <w:rsid w:val="00A572D5"/>
    <w:rsid w:val="00A57ACE"/>
    <w:rsid w:val="00A57DDE"/>
    <w:rsid w:val="00A60923"/>
    <w:rsid w:val="00A62E8F"/>
    <w:rsid w:val="00A63135"/>
    <w:rsid w:val="00A646B8"/>
    <w:rsid w:val="00A64D98"/>
    <w:rsid w:val="00A65760"/>
    <w:rsid w:val="00A65795"/>
    <w:rsid w:val="00A65B20"/>
    <w:rsid w:val="00A66622"/>
    <w:rsid w:val="00A678C8"/>
    <w:rsid w:val="00A67F01"/>
    <w:rsid w:val="00A701AF"/>
    <w:rsid w:val="00A704E8"/>
    <w:rsid w:val="00A70600"/>
    <w:rsid w:val="00A70FBF"/>
    <w:rsid w:val="00A7105E"/>
    <w:rsid w:val="00A718A9"/>
    <w:rsid w:val="00A72D21"/>
    <w:rsid w:val="00A74520"/>
    <w:rsid w:val="00A74ABA"/>
    <w:rsid w:val="00A75970"/>
    <w:rsid w:val="00A75E06"/>
    <w:rsid w:val="00A76FA3"/>
    <w:rsid w:val="00A811E3"/>
    <w:rsid w:val="00A814C1"/>
    <w:rsid w:val="00A81A24"/>
    <w:rsid w:val="00A81C55"/>
    <w:rsid w:val="00A81D9C"/>
    <w:rsid w:val="00A822F4"/>
    <w:rsid w:val="00A82725"/>
    <w:rsid w:val="00A82802"/>
    <w:rsid w:val="00A83D16"/>
    <w:rsid w:val="00A84337"/>
    <w:rsid w:val="00A84DE6"/>
    <w:rsid w:val="00A85345"/>
    <w:rsid w:val="00A853C4"/>
    <w:rsid w:val="00A8669E"/>
    <w:rsid w:val="00A86759"/>
    <w:rsid w:val="00A876E9"/>
    <w:rsid w:val="00A87D19"/>
    <w:rsid w:val="00A91526"/>
    <w:rsid w:val="00A91F72"/>
    <w:rsid w:val="00A92910"/>
    <w:rsid w:val="00A9327F"/>
    <w:rsid w:val="00A93E8A"/>
    <w:rsid w:val="00A94268"/>
    <w:rsid w:val="00A94B21"/>
    <w:rsid w:val="00A95999"/>
    <w:rsid w:val="00A95AB2"/>
    <w:rsid w:val="00A96362"/>
    <w:rsid w:val="00A964C0"/>
    <w:rsid w:val="00A97776"/>
    <w:rsid w:val="00AA0A2D"/>
    <w:rsid w:val="00AA1213"/>
    <w:rsid w:val="00AA1585"/>
    <w:rsid w:val="00AA268E"/>
    <w:rsid w:val="00AA4BA4"/>
    <w:rsid w:val="00AA5BDA"/>
    <w:rsid w:val="00AA6F62"/>
    <w:rsid w:val="00AA7E82"/>
    <w:rsid w:val="00AA7F85"/>
    <w:rsid w:val="00AB0E1F"/>
    <w:rsid w:val="00AB11B6"/>
    <w:rsid w:val="00AB1C36"/>
    <w:rsid w:val="00AB1FC9"/>
    <w:rsid w:val="00AB21D1"/>
    <w:rsid w:val="00AB2CAC"/>
    <w:rsid w:val="00AB44A2"/>
    <w:rsid w:val="00AB464B"/>
    <w:rsid w:val="00AB5A7E"/>
    <w:rsid w:val="00AB649C"/>
    <w:rsid w:val="00AC06A9"/>
    <w:rsid w:val="00AC08E7"/>
    <w:rsid w:val="00AC25B7"/>
    <w:rsid w:val="00AC3AF4"/>
    <w:rsid w:val="00AC432F"/>
    <w:rsid w:val="00AC44E7"/>
    <w:rsid w:val="00AC5286"/>
    <w:rsid w:val="00AC66A5"/>
    <w:rsid w:val="00AC7B40"/>
    <w:rsid w:val="00AD0040"/>
    <w:rsid w:val="00AD0BF0"/>
    <w:rsid w:val="00AD223F"/>
    <w:rsid w:val="00AD2280"/>
    <w:rsid w:val="00AD266D"/>
    <w:rsid w:val="00AD2959"/>
    <w:rsid w:val="00AD445B"/>
    <w:rsid w:val="00AD4E6B"/>
    <w:rsid w:val="00AD537D"/>
    <w:rsid w:val="00AD53BB"/>
    <w:rsid w:val="00AD58E0"/>
    <w:rsid w:val="00AD60D4"/>
    <w:rsid w:val="00AD6A69"/>
    <w:rsid w:val="00AD6DDD"/>
    <w:rsid w:val="00AE04FA"/>
    <w:rsid w:val="00AE11A3"/>
    <w:rsid w:val="00AE2F1C"/>
    <w:rsid w:val="00AE5E5D"/>
    <w:rsid w:val="00AE64BC"/>
    <w:rsid w:val="00AE6CA6"/>
    <w:rsid w:val="00AE7EB3"/>
    <w:rsid w:val="00AE7F46"/>
    <w:rsid w:val="00AE7FE2"/>
    <w:rsid w:val="00AF0070"/>
    <w:rsid w:val="00AF0A85"/>
    <w:rsid w:val="00AF11D2"/>
    <w:rsid w:val="00AF11E5"/>
    <w:rsid w:val="00AF1A5F"/>
    <w:rsid w:val="00AF2C02"/>
    <w:rsid w:val="00AF2E72"/>
    <w:rsid w:val="00AF303D"/>
    <w:rsid w:val="00AF3F41"/>
    <w:rsid w:val="00AF4094"/>
    <w:rsid w:val="00AF569A"/>
    <w:rsid w:val="00AF5732"/>
    <w:rsid w:val="00AF6B98"/>
    <w:rsid w:val="00AF6FB7"/>
    <w:rsid w:val="00B00EB7"/>
    <w:rsid w:val="00B026A9"/>
    <w:rsid w:val="00B029D8"/>
    <w:rsid w:val="00B04465"/>
    <w:rsid w:val="00B044F9"/>
    <w:rsid w:val="00B05419"/>
    <w:rsid w:val="00B07B56"/>
    <w:rsid w:val="00B12F64"/>
    <w:rsid w:val="00B1339E"/>
    <w:rsid w:val="00B13E62"/>
    <w:rsid w:val="00B14DF6"/>
    <w:rsid w:val="00B1631E"/>
    <w:rsid w:val="00B16537"/>
    <w:rsid w:val="00B17BF8"/>
    <w:rsid w:val="00B17C87"/>
    <w:rsid w:val="00B204BF"/>
    <w:rsid w:val="00B215E9"/>
    <w:rsid w:val="00B2359C"/>
    <w:rsid w:val="00B24D59"/>
    <w:rsid w:val="00B24FE4"/>
    <w:rsid w:val="00B27BA3"/>
    <w:rsid w:val="00B30C0D"/>
    <w:rsid w:val="00B31CDB"/>
    <w:rsid w:val="00B31F3D"/>
    <w:rsid w:val="00B3279B"/>
    <w:rsid w:val="00B3283B"/>
    <w:rsid w:val="00B331FF"/>
    <w:rsid w:val="00B34BC1"/>
    <w:rsid w:val="00B34C39"/>
    <w:rsid w:val="00B350F3"/>
    <w:rsid w:val="00B35C71"/>
    <w:rsid w:val="00B36288"/>
    <w:rsid w:val="00B368F1"/>
    <w:rsid w:val="00B36F9C"/>
    <w:rsid w:val="00B37365"/>
    <w:rsid w:val="00B3796B"/>
    <w:rsid w:val="00B37991"/>
    <w:rsid w:val="00B40A80"/>
    <w:rsid w:val="00B40E0C"/>
    <w:rsid w:val="00B413E0"/>
    <w:rsid w:val="00B41753"/>
    <w:rsid w:val="00B41960"/>
    <w:rsid w:val="00B43325"/>
    <w:rsid w:val="00B43B84"/>
    <w:rsid w:val="00B4483B"/>
    <w:rsid w:val="00B5079A"/>
    <w:rsid w:val="00B509E6"/>
    <w:rsid w:val="00B518E2"/>
    <w:rsid w:val="00B52620"/>
    <w:rsid w:val="00B52D58"/>
    <w:rsid w:val="00B541AB"/>
    <w:rsid w:val="00B547B6"/>
    <w:rsid w:val="00B55665"/>
    <w:rsid w:val="00B55870"/>
    <w:rsid w:val="00B56BBF"/>
    <w:rsid w:val="00B56F07"/>
    <w:rsid w:val="00B57787"/>
    <w:rsid w:val="00B614EF"/>
    <w:rsid w:val="00B61BF7"/>
    <w:rsid w:val="00B62F00"/>
    <w:rsid w:val="00B640CE"/>
    <w:rsid w:val="00B64505"/>
    <w:rsid w:val="00B65673"/>
    <w:rsid w:val="00B657D2"/>
    <w:rsid w:val="00B663E2"/>
    <w:rsid w:val="00B70C7F"/>
    <w:rsid w:val="00B712F1"/>
    <w:rsid w:val="00B71BC7"/>
    <w:rsid w:val="00B724A2"/>
    <w:rsid w:val="00B724A6"/>
    <w:rsid w:val="00B72833"/>
    <w:rsid w:val="00B74195"/>
    <w:rsid w:val="00B741CA"/>
    <w:rsid w:val="00B74CBA"/>
    <w:rsid w:val="00B74EA6"/>
    <w:rsid w:val="00B75DEF"/>
    <w:rsid w:val="00B77A8C"/>
    <w:rsid w:val="00B800BC"/>
    <w:rsid w:val="00B8077B"/>
    <w:rsid w:val="00B80D56"/>
    <w:rsid w:val="00B80D62"/>
    <w:rsid w:val="00B80E13"/>
    <w:rsid w:val="00B81C15"/>
    <w:rsid w:val="00B831BE"/>
    <w:rsid w:val="00B83625"/>
    <w:rsid w:val="00B840C1"/>
    <w:rsid w:val="00B86E18"/>
    <w:rsid w:val="00B87159"/>
    <w:rsid w:val="00B87966"/>
    <w:rsid w:val="00B9087F"/>
    <w:rsid w:val="00B92554"/>
    <w:rsid w:val="00B925EF"/>
    <w:rsid w:val="00B937FC"/>
    <w:rsid w:val="00B93E54"/>
    <w:rsid w:val="00B94496"/>
    <w:rsid w:val="00B979E2"/>
    <w:rsid w:val="00B97E57"/>
    <w:rsid w:val="00BA03AD"/>
    <w:rsid w:val="00BA0B88"/>
    <w:rsid w:val="00BA0EAE"/>
    <w:rsid w:val="00BA0F61"/>
    <w:rsid w:val="00BA2149"/>
    <w:rsid w:val="00BA36F0"/>
    <w:rsid w:val="00BA381C"/>
    <w:rsid w:val="00BA3938"/>
    <w:rsid w:val="00BA3987"/>
    <w:rsid w:val="00BA43B3"/>
    <w:rsid w:val="00BA45B6"/>
    <w:rsid w:val="00BA571F"/>
    <w:rsid w:val="00BA5A42"/>
    <w:rsid w:val="00BA79F5"/>
    <w:rsid w:val="00BA7D1A"/>
    <w:rsid w:val="00BB13DB"/>
    <w:rsid w:val="00BB21B8"/>
    <w:rsid w:val="00BB3D53"/>
    <w:rsid w:val="00BB3EE6"/>
    <w:rsid w:val="00BB5763"/>
    <w:rsid w:val="00BB712E"/>
    <w:rsid w:val="00BB733F"/>
    <w:rsid w:val="00BC0894"/>
    <w:rsid w:val="00BC2E60"/>
    <w:rsid w:val="00BC3677"/>
    <w:rsid w:val="00BC3EC2"/>
    <w:rsid w:val="00BC4A1E"/>
    <w:rsid w:val="00BC4A29"/>
    <w:rsid w:val="00BC4F01"/>
    <w:rsid w:val="00BC5999"/>
    <w:rsid w:val="00BC5DE3"/>
    <w:rsid w:val="00BC60D0"/>
    <w:rsid w:val="00BC6233"/>
    <w:rsid w:val="00BD14D5"/>
    <w:rsid w:val="00BD20DC"/>
    <w:rsid w:val="00BD2EF0"/>
    <w:rsid w:val="00BD3C62"/>
    <w:rsid w:val="00BD4EAC"/>
    <w:rsid w:val="00BD528F"/>
    <w:rsid w:val="00BD56CC"/>
    <w:rsid w:val="00BD753B"/>
    <w:rsid w:val="00BD791B"/>
    <w:rsid w:val="00BE1C83"/>
    <w:rsid w:val="00BE4359"/>
    <w:rsid w:val="00BE4E26"/>
    <w:rsid w:val="00BE511F"/>
    <w:rsid w:val="00BE557F"/>
    <w:rsid w:val="00BE7319"/>
    <w:rsid w:val="00BE7A64"/>
    <w:rsid w:val="00BF0174"/>
    <w:rsid w:val="00BF02F6"/>
    <w:rsid w:val="00BF0587"/>
    <w:rsid w:val="00BF07CE"/>
    <w:rsid w:val="00BF1601"/>
    <w:rsid w:val="00BF17E2"/>
    <w:rsid w:val="00BF1A87"/>
    <w:rsid w:val="00BF23A5"/>
    <w:rsid w:val="00BF2EC0"/>
    <w:rsid w:val="00BF49A4"/>
    <w:rsid w:val="00BF5102"/>
    <w:rsid w:val="00BF51D9"/>
    <w:rsid w:val="00BF5711"/>
    <w:rsid w:val="00BF6160"/>
    <w:rsid w:val="00BF7B69"/>
    <w:rsid w:val="00BF7BA9"/>
    <w:rsid w:val="00BF7F64"/>
    <w:rsid w:val="00BF7FC9"/>
    <w:rsid w:val="00C002AB"/>
    <w:rsid w:val="00C00777"/>
    <w:rsid w:val="00C007F9"/>
    <w:rsid w:val="00C01A28"/>
    <w:rsid w:val="00C03920"/>
    <w:rsid w:val="00C04486"/>
    <w:rsid w:val="00C04489"/>
    <w:rsid w:val="00C059E7"/>
    <w:rsid w:val="00C06311"/>
    <w:rsid w:val="00C070FC"/>
    <w:rsid w:val="00C07B77"/>
    <w:rsid w:val="00C07E33"/>
    <w:rsid w:val="00C108B5"/>
    <w:rsid w:val="00C10B83"/>
    <w:rsid w:val="00C10CF1"/>
    <w:rsid w:val="00C10E54"/>
    <w:rsid w:val="00C11672"/>
    <w:rsid w:val="00C1176E"/>
    <w:rsid w:val="00C11B31"/>
    <w:rsid w:val="00C1316F"/>
    <w:rsid w:val="00C14444"/>
    <w:rsid w:val="00C144BA"/>
    <w:rsid w:val="00C14DA4"/>
    <w:rsid w:val="00C15F11"/>
    <w:rsid w:val="00C16515"/>
    <w:rsid w:val="00C169D1"/>
    <w:rsid w:val="00C16CAA"/>
    <w:rsid w:val="00C1787E"/>
    <w:rsid w:val="00C17C06"/>
    <w:rsid w:val="00C2010E"/>
    <w:rsid w:val="00C20307"/>
    <w:rsid w:val="00C2040B"/>
    <w:rsid w:val="00C20FC3"/>
    <w:rsid w:val="00C2153C"/>
    <w:rsid w:val="00C221E7"/>
    <w:rsid w:val="00C23251"/>
    <w:rsid w:val="00C243C6"/>
    <w:rsid w:val="00C2622E"/>
    <w:rsid w:val="00C26515"/>
    <w:rsid w:val="00C2797C"/>
    <w:rsid w:val="00C30491"/>
    <w:rsid w:val="00C3064A"/>
    <w:rsid w:val="00C3197D"/>
    <w:rsid w:val="00C33E90"/>
    <w:rsid w:val="00C345C3"/>
    <w:rsid w:val="00C3584C"/>
    <w:rsid w:val="00C3671D"/>
    <w:rsid w:val="00C401D1"/>
    <w:rsid w:val="00C4075F"/>
    <w:rsid w:val="00C416E4"/>
    <w:rsid w:val="00C419F9"/>
    <w:rsid w:val="00C43E89"/>
    <w:rsid w:val="00C4576B"/>
    <w:rsid w:val="00C4619A"/>
    <w:rsid w:val="00C472BB"/>
    <w:rsid w:val="00C51309"/>
    <w:rsid w:val="00C52026"/>
    <w:rsid w:val="00C523F6"/>
    <w:rsid w:val="00C53656"/>
    <w:rsid w:val="00C53948"/>
    <w:rsid w:val="00C54E9F"/>
    <w:rsid w:val="00C56248"/>
    <w:rsid w:val="00C5642B"/>
    <w:rsid w:val="00C570B5"/>
    <w:rsid w:val="00C57145"/>
    <w:rsid w:val="00C628AA"/>
    <w:rsid w:val="00C6428D"/>
    <w:rsid w:val="00C6470B"/>
    <w:rsid w:val="00C66F66"/>
    <w:rsid w:val="00C67E5B"/>
    <w:rsid w:val="00C7093C"/>
    <w:rsid w:val="00C70E3F"/>
    <w:rsid w:val="00C72195"/>
    <w:rsid w:val="00C72A63"/>
    <w:rsid w:val="00C72B49"/>
    <w:rsid w:val="00C735A2"/>
    <w:rsid w:val="00C7499C"/>
    <w:rsid w:val="00C760A7"/>
    <w:rsid w:val="00C7669F"/>
    <w:rsid w:val="00C768D9"/>
    <w:rsid w:val="00C77044"/>
    <w:rsid w:val="00C7706C"/>
    <w:rsid w:val="00C77DA1"/>
    <w:rsid w:val="00C80634"/>
    <w:rsid w:val="00C80CBE"/>
    <w:rsid w:val="00C81146"/>
    <w:rsid w:val="00C8170A"/>
    <w:rsid w:val="00C82351"/>
    <w:rsid w:val="00C823EA"/>
    <w:rsid w:val="00C8282D"/>
    <w:rsid w:val="00C85897"/>
    <w:rsid w:val="00C86019"/>
    <w:rsid w:val="00C8630F"/>
    <w:rsid w:val="00C873F0"/>
    <w:rsid w:val="00C901B8"/>
    <w:rsid w:val="00C95AB5"/>
    <w:rsid w:val="00C96F3F"/>
    <w:rsid w:val="00C9715E"/>
    <w:rsid w:val="00CA0442"/>
    <w:rsid w:val="00CA0696"/>
    <w:rsid w:val="00CA09CD"/>
    <w:rsid w:val="00CA0D1E"/>
    <w:rsid w:val="00CA10DB"/>
    <w:rsid w:val="00CA22B8"/>
    <w:rsid w:val="00CA26CC"/>
    <w:rsid w:val="00CA26E5"/>
    <w:rsid w:val="00CA4953"/>
    <w:rsid w:val="00CA5996"/>
    <w:rsid w:val="00CA6C0F"/>
    <w:rsid w:val="00CA79C8"/>
    <w:rsid w:val="00CA7DE7"/>
    <w:rsid w:val="00CB06AC"/>
    <w:rsid w:val="00CB0EBD"/>
    <w:rsid w:val="00CB212B"/>
    <w:rsid w:val="00CB3C60"/>
    <w:rsid w:val="00CB4397"/>
    <w:rsid w:val="00CB4DCC"/>
    <w:rsid w:val="00CB4F89"/>
    <w:rsid w:val="00CB56E5"/>
    <w:rsid w:val="00CB611C"/>
    <w:rsid w:val="00CB62D7"/>
    <w:rsid w:val="00CB65E2"/>
    <w:rsid w:val="00CB6BFA"/>
    <w:rsid w:val="00CC1A9F"/>
    <w:rsid w:val="00CC29DF"/>
    <w:rsid w:val="00CC3D71"/>
    <w:rsid w:val="00CC41A0"/>
    <w:rsid w:val="00CC5CA5"/>
    <w:rsid w:val="00CC5F9E"/>
    <w:rsid w:val="00CC790E"/>
    <w:rsid w:val="00CC7DD8"/>
    <w:rsid w:val="00CD0840"/>
    <w:rsid w:val="00CD0BE1"/>
    <w:rsid w:val="00CD1629"/>
    <w:rsid w:val="00CD2173"/>
    <w:rsid w:val="00CD2BC8"/>
    <w:rsid w:val="00CD3D8C"/>
    <w:rsid w:val="00CD4627"/>
    <w:rsid w:val="00CD4E62"/>
    <w:rsid w:val="00CD5627"/>
    <w:rsid w:val="00CD5A60"/>
    <w:rsid w:val="00CD5AEF"/>
    <w:rsid w:val="00CD5E8B"/>
    <w:rsid w:val="00CD6A67"/>
    <w:rsid w:val="00CE0530"/>
    <w:rsid w:val="00CE1609"/>
    <w:rsid w:val="00CE1C8D"/>
    <w:rsid w:val="00CE2C45"/>
    <w:rsid w:val="00CE385B"/>
    <w:rsid w:val="00CE6071"/>
    <w:rsid w:val="00CE6238"/>
    <w:rsid w:val="00CE7313"/>
    <w:rsid w:val="00CE77EB"/>
    <w:rsid w:val="00CE7C50"/>
    <w:rsid w:val="00CF1DD1"/>
    <w:rsid w:val="00CF30E2"/>
    <w:rsid w:val="00CF3B64"/>
    <w:rsid w:val="00CF3F6A"/>
    <w:rsid w:val="00CF4319"/>
    <w:rsid w:val="00CF45B7"/>
    <w:rsid w:val="00CF5363"/>
    <w:rsid w:val="00CF70DF"/>
    <w:rsid w:val="00CF7507"/>
    <w:rsid w:val="00CF7763"/>
    <w:rsid w:val="00D01DF5"/>
    <w:rsid w:val="00D023F8"/>
    <w:rsid w:val="00D02BC3"/>
    <w:rsid w:val="00D036D5"/>
    <w:rsid w:val="00D04C48"/>
    <w:rsid w:val="00D05D8C"/>
    <w:rsid w:val="00D069FA"/>
    <w:rsid w:val="00D06E97"/>
    <w:rsid w:val="00D07A75"/>
    <w:rsid w:val="00D1025F"/>
    <w:rsid w:val="00D10331"/>
    <w:rsid w:val="00D10846"/>
    <w:rsid w:val="00D11A77"/>
    <w:rsid w:val="00D1201C"/>
    <w:rsid w:val="00D1344F"/>
    <w:rsid w:val="00D1375B"/>
    <w:rsid w:val="00D1411A"/>
    <w:rsid w:val="00D154F6"/>
    <w:rsid w:val="00D16FCA"/>
    <w:rsid w:val="00D17C9A"/>
    <w:rsid w:val="00D20045"/>
    <w:rsid w:val="00D202DA"/>
    <w:rsid w:val="00D207A1"/>
    <w:rsid w:val="00D207B7"/>
    <w:rsid w:val="00D223C9"/>
    <w:rsid w:val="00D225A5"/>
    <w:rsid w:val="00D22DE6"/>
    <w:rsid w:val="00D23213"/>
    <w:rsid w:val="00D238E7"/>
    <w:rsid w:val="00D238F3"/>
    <w:rsid w:val="00D23B7F"/>
    <w:rsid w:val="00D25D3B"/>
    <w:rsid w:val="00D260CA"/>
    <w:rsid w:val="00D26850"/>
    <w:rsid w:val="00D27DE2"/>
    <w:rsid w:val="00D30E95"/>
    <w:rsid w:val="00D31751"/>
    <w:rsid w:val="00D31B67"/>
    <w:rsid w:val="00D32703"/>
    <w:rsid w:val="00D32F66"/>
    <w:rsid w:val="00D3347F"/>
    <w:rsid w:val="00D344AB"/>
    <w:rsid w:val="00D34A9F"/>
    <w:rsid w:val="00D35F03"/>
    <w:rsid w:val="00D35F2C"/>
    <w:rsid w:val="00D3656B"/>
    <w:rsid w:val="00D373F3"/>
    <w:rsid w:val="00D40814"/>
    <w:rsid w:val="00D41846"/>
    <w:rsid w:val="00D4249D"/>
    <w:rsid w:val="00D46493"/>
    <w:rsid w:val="00D46C7C"/>
    <w:rsid w:val="00D47C36"/>
    <w:rsid w:val="00D50365"/>
    <w:rsid w:val="00D50A2E"/>
    <w:rsid w:val="00D50CC7"/>
    <w:rsid w:val="00D517D4"/>
    <w:rsid w:val="00D51FCD"/>
    <w:rsid w:val="00D525AB"/>
    <w:rsid w:val="00D527AB"/>
    <w:rsid w:val="00D528F6"/>
    <w:rsid w:val="00D53009"/>
    <w:rsid w:val="00D55B9F"/>
    <w:rsid w:val="00D564CC"/>
    <w:rsid w:val="00D567E3"/>
    <w:rsid w:val="00D57863"/>
    <w:rsid w:val="00D606DF"/>
    <w:rsid w:val="00D60DB1"/>
    <w:rsid w:val="00D62907"/>
    <w:rsid w:val="00D62B28"/>
    <w:rsid w:val="00D62D7B"/>
    <w:rsid w:val="00D64BDD"/>
    <w:rsid w:val="00D65574"/>
    <w:rsid w:val="00D66568"/>
    <w:rsid w:val="00D67175"/>
    <w:rsid w:val="00D70DC3"/>
    <w:rsid w:val="00D72FF8"/>
    <w:rsid w:val="00D734C9"/>
    <w:rsid w:val="00D737ED"/>
    <w:rsid w:val="00D73844"/>
    <w:rsid w:val="00D73AC5"/>
    <w:rsid w:val="00D76231"/>
    <w:rsid w:val="00D775D7"/>
    <w:rsid w:val="00D803A1"/>
    <w:rsid w:val="00D805B9"/>
    <w:rsid w:val="00D8100C"/>
    <w:rsid w:val="00D8142B"/>
    <w:rsid w:val="00D81A46"/>
    <w:rsid w:val="00D827C4"/>
    <w:rsid w:val="00D83521"/>
    <w:rsid w:val="00D837D4"/>
    <w:rsid w:val="00D83F2A"/>
    <w:rsid w:val="00D8482E"/>
    <w:rsid w:val="00D8496D"/>
    <w:rsid w:val="00D84C18"/>
    <w:rsid w:val="00D855BC"/>
    <w:rsid w:val="00D86DC2"/>
    <w:rsid w:val="00D87FAD"/>
    <w:rsid w:val="00D903EA"/>
    <w:rsid w:val="00D905C0"/>
    <w:rsid w:val="00D90E31"/>
    <w:rsid w:val="00D90E82"/>
    <w:rsid w:val="00D9220A"/>
    <w:rsid w:val="00D92371"/>
    <w:rsid w:val="00D925B5"/>
    <w:rsid w:val="00D92ED5"/>
    <w:rsid w:val="00D930BB"/>
    <w:rsid w:val="00D937CE"/>
    <w:rsid w:val="00D945EB"/>
    <w:rsid w:val="00D95314"/>
    <w:rsid w:val="00D95B8A"/>
    <w:rsid w:val="00D96214"/>
    <w:rsid w:val="00D96ACF"/>
    <w:rsid w:val="00D9788C"/>
    <w:rsid w:val="00D97E12"/>
    <w:rsid w:val="00DA03E9"/>
    <w:rsid w:val="00DA045F"/>
    <w:rsid w:val="00DA14B0"/>
    <w:rsid w:val="00DA1687"/>
    <w:rsid w:val="00DA2260"/>
    <w:rsid w:val="00DA29B1"/>
    <w:rsid w:val="00DA3BC1"/>
    <w:rsid w:val="00DA3D8A"/>
    <w:rsid w:val="00DA4C21"/>
    <w:rsid w:val="00DA5EEE"/>
    <w:rsid w:val="00DA61FC"/>
    <w:rsid w:val="00DA67AD"/>
    <w:rsid w:val="00DA6E29"/>
    <w:rsid w:val="00DA7779"/>
    <w:rsid w:val="00DA7BB2"/>
    <w:rsid w:val="00DB002F"/>
    <w:rsid w:val="00DB017F"/>
    <w:rsid w:val="00DB0B40"/>
    <w:rsid w:val="00DB1631"/>
    <w:rsid w:val="00DB1CF2"/>
    <w:rsid w:val="00DB2BD4"/>
    <w:rsid w:val="00DB49EE"/>
    <w:rsid w:val="00DB60D8"/>
    <w:rsid w:val="00DB6319"/>
    <w:rsid w:val="00DB6DA2"/>
    <w:rsid w:val="00DB6F26"/>
    <w:rsid w:val="00DB746A"/>
    <w:rsid w:val="00DC052E"/>
    <w:rsid w:val="00DC182B"/>
    <w:rsid w:val="00DC2FA5"/>
    <w:rsid w:val="00DC3639"/>
    <w:rsid w:val="00DC3F2B"/>
    <w:rsid w:val="00DC484E"/>
    <w:rsid w:val="00DC7001"/>
    <w:rsid w:val="00DC7393"/>
    <w:rsid w:val="00DD1052"/>
    <w:rsid w:val="00DD16D9"/>
    <w:rsid w:val="00DD2E0C"/>
    <w:rsid w:val="00DD4139"/>
    <w:rsid w:val="00DD4224"/>
    <w:rsid w:val="00DD4F8A"/>
    <w:rsid w:val="00DD589B"/>
    <w:rsid w:val="00DD65C2"/>
    <w:rsid w:val="00DD67F3"/>
    <w:rsid w:val="00DD68E9"/>
    <w:rsid w:val="00DE14C8"/>
    <w:rsid w:val="00DE26DD"/>
    <w:rsid w:val="00DE2B21"/>
    <w:rsid w:val="00DE2E2A"/>
    <w:rsid w:val="00DE3926"/>
    <w:rsid w:val="00DE49D7"/>
    <w:rsid w:val="00DE5507"/>
    <w:rsid w:val="00DE5DDA"/>
    <w:rsid w:val="00DE611D"/>
    <w:rsid w:val="00DE7170"/>
    <w:rsid w:val="00DE7A9F"/>
    <w:rsid w:val="00DF02CB"/>
    <w:rsid w:val="00DF04AB"/>
    <w:rsid w:val="00DF1F13"/>
    <w:rsid w:val="00DF2156"/>
    <w:rsid w:val="00DF2DE1"/>
    <w:rsid w:val="00DF3B49"/>
    <w:rsid w:val="00DF45C1"/>
    <w:rsid w:val="00DF4722"/>
    <w:rsid w:val="00DF4904"/>
    <w:rsid w:val="00DF4F36"/>
    <w:rsid w:val="00E00569"/>
    <w:rsid w:val="00E007DF"/>
    <w:rsid w:val="00E00F9F"/>
    <w:rsid w:val="00E0278C"/>
    <w:rsid w:val="00E02A0A"/>
    <w:rsid w:val="00E0327E"/>
    <w:rsid w:val="00E05BE8"/>
    <w:rsid w:val="00E076BC"/>
    <w:rsid w:val="00E07C6D"/>
    <w:rsid w:val="00E10325"/>
    <w:rsid w:val="00E1055C"/>
    <w:rsid w:val="00E11E29"/>
    <w:rsid w:val="00E13B1E"/>
    <w:rsid w:val="00E1535D"/>
    <w:rsid w:val="00E1681A"/>
    <w:rsid w:val="00E17514"/>
    <w:rsid w:val="00E219F9"/>
    <w:rsid w:val="00E21D4A"/>
    <w:rsid w:val="00E22E32"/>
    <w:rsid w:val="00E23676"/>
    <w:rsid w:val="00E23F11"/>
    <w:rsid w:val="00E253F5"/>
    <w:rsid w:val="00E25E95"/>
    <w:rsid w:val="00E26324"/>
    <w:rsid w:val="00E26424"/>
    <w:rsid w:val="00E27CC0"/>
    <w:rsid w:val="00E30061"/>
    <w:rsid w:val="00E307DF"/>
    <w:rsid w:val="00E329BA"/>
    <w:rsid w:val="00E32C6F"/>
    <w:rsid w:val="00E3305B"/>
    <w:rsid w:val="00E344F0"/>
    <w:rsid w:val="00E34543"/>
    <w:rsid w:val="00E34EFE"/>
    <w:rsid w:val="00E35117"/>
    <w:rsid w:val="00E3532B"/>
    <w:rsid w:val="00E356DB"/>
    <w:rsid w:val="00E3573C"/>
    <w:rsid w:val="00E3608B"/>
    <w:rsid w:val="00E36496"/>
    <w:rsid w:val="00E3677E"/>
    <w:rsid w:val="00E37EEA"/>
    <w:rsid w:val="00E410C4"/>
    <w:rsid w:val="00E416B7"/>
    <w:rsid w:val="00E41874"/>
    <w:rsid w:val="00E42611"/>
    <w:rsid w:val="00E43E3E"/>
    <w:rsid w:val="00E4485F"/>
    <w:rsid w:val="00E45269"/>
    <w:rsid w:val="00E45D27"/>
    <w:rsid w:val="00E4717B"/>
    <w:rsid w:val="00E4750E"/>
    <w:rsid w:val="00E47CC6"/>
    <w:rsid w:val="00E47E6E"/>
    <w:rsid w:val="00E50275"/>
    <w:rsid w:val="00E504DF"/>
    <w:rsid w:val="00E50883"/>
    <w:rsid w:val="00E511B1"/>
    <w:rsid w:val="00E514E7"/>
    <w:rsid w:val="00E514F2"/>
    <w:rsid w:val="00E51B30"/>
    <w:rsid w:val="00E51D02"/>
    <w:rsid w:val="00E536D6"/>
    <w:rsid w:val="00E5454E"/>
    <w:rsid w:val="00E563A8"/>
    <w:rsid w:val="00E56654"/>
    <w:rsid w:val="00E56E0E"/>
    <w:rsid w:val="00E579FD"/>
    <w:rsid w:val="00E57A0E"/>
    <w:rsid w:val="00E60995"/>
    <w:rsid w:val="00E61825"/>
    <w:rsid w:val="00E62542"/>
    <w:rsid w:val="00E649D6"/>
    <w:rsid w:val="00E6784B"/>
    <w:rsid w:val="00E73A24"/>
    <w:rsid w:val="00E73EF8"/>
    <w:rsid w:val="00E740EB"/>
    <w:rsid w:val="00E75D7E"/>
    <w:rsid w:val="00E75F12"/>
    <w:rsid w:val="00E76E9D"/>
    <w:rsid w:val="00E7794F"/>
    <w:rsid w:val="00E8058B"/>
    <w:rsid w:val="00E80705"/>
    <w:rsid w:val="00E80F66"/>
    <w:rsid w:val="00E8120D"/>
    <w:rsid w:val="00E81A14"/>
    <w:rsid w:val="00E821A6"/>
    <w:rsid w:val="00E848DF"/>
    <w:rsid w:val="00E85740"/>
    <w:rsid w:val="00E86016"/>
    <w:rsid w:val="00E8770D"/>
    <w:rsid w:val="00E90326"/>
    <w:rsid w:val="00E91119"/>
    <w:rsid w:val="00E936B4"/>
    <w:rsid w:val="00E938A3"/>
    <w:rsid w:val="00E94532"/>
    <w:rsid w:val="00E9498A"/>
    <w:rsid w:val="00E94A85"/>
    <w:rsid w:val="00E94DE1"/>
    <w:rsid w:val="00E96CAC"/>
    <w:rsid w:val="00E97D5D"/>
    <w:rsid w:val="00E97F4D"/>
    <w:rsid w:val="00EA1DF0"/>
    <w:rsid w:val="00EA2603"/>
    <w:rsid w:val="00EA2FB7"/>
    <w:rsid w:val="00EA387B"/>
    <w:rsid w:val="00EA421B"/>
    <w:rsid w:val="00EA4EC0"/>
    <w:rsid w:val="00EA6498"/>
    <w:rsid w:val="00EA6B83"/>
    <w:rsid w:val="00EA7642"/>
    <w:rsid w:val="00EA78C7"/>
    <w:rsid w:val="00EA7FAD"/>
    <w:rsid w:val="00EB02E3"/>
    <w:rsid w:val="00EB0E75"/>
    <w:rsid w:val="00EB1BE4"/>
    <w:rsid w:val="00EB1D18"/>
    <w:rsid w:val="00EB2367"/>
    <w:rsid w:val="00EB251B"/>
    <w:rsid w:val="00EB49E3"/>
    <w:rsid w:val="00EB4B18"/>
    <w:rsid w:val="00EB6D29"/>
    <w:rsid w:val="00EC03CA"/>
    <w:rsid w:val="00EC12E5"/>
    <w:rsid w:val="00EC1360"/>
    <w:rsid w:val="00EC1EF2"/>
    <w:rsid w:val="00EC26D5"/>
    <w:rsid w:val="00EC2D6E"/>
    <w:rsid w:val="00EC5D84"/>
    <w:rsid w:val="00EC663C"/>
    <w:rsid w:val="00ED0706"/>
    <w:rsid w:val="00ED1E8D"/>
    <w:rsid w:val="00ED27D7"/>
    <w:rsid w:val="00ED2F29"/>
    <w:rsid w:val="00ED3304"/>
    <w:rsid w:val="00ED4FE0"/>
    <w:rsid w:val="00ED6904"/>
    <w:rsid w:val="00ED6EF0"/>
    <w:rsid w:val="00ED73A0"/>
    <w:rsid w:val="00ED7957"/>
    <w:rsid w:val="00ED7D11"/>
    <w:rsid w:val="00EE00A1"/>
    <w:rsid w:val="00EE0274"/>
    <w:rsid w:val="00EE0892"/>
    <w:rsid w:val="00EE1725"/>
    <w:rsid w:val="00EE33EC"/>
    <w:rsid w:val="00EE3F19"/>
    <w:rsid w:val="00EE4664"/>
    <w:rsid w:val="00EE471A"/>
    <w:rsid w:val="00EF03A9"/>
    <w:rsid w:val="00EF358D"/>
    <w:rsid w:val="00EF4DA2"/>
    <w:rsid w:val="00EF7B3A"/>
    <w:rsid w:val="00F00372"/>
    <w:rsid w:val="00F0190D"/>
    <w:rsid w:val="00F025AA"/>
    <w:rsid w:val="00F029AE"/>
    <w:rsid w:val="00F03FF3"/>
    <w:rsid w:val="00F046AE"/>
    <w:rsid w:val="00F05398"/>
    <w:rsid w:val="00F059D3"/>
    <w:rsid w:val="00F10D9D"/>
    <w:rsid w:val="00F111F6"/>
    <w:rsid w:val="00F11B66"/>
    <w:rsid w:val="00F1245F"/>
    <w:rsid w:val="00F13642"/>
    <w:rsid w:val="00F13B90"/>
    <w:rsid w:val="00F144B7"/>
    <w:rsid w:val="00F14674"/>
    <w:rsid w:val="00F14D74"/>
    <w:rsid w:val="00F167BC"/>
    <w:rsid w:val="00F16E04"/>
    <w:rsid w:val="00F16EC4"/>
    <w:rsid w:val="00F20A99"/>
    <w:rsid w:val="00F20D15"/>
    <w:rsid w:val="00F21965"/>
    <w:rsid w:val="00F23D8E"/>
    <w:rsid w:val="00F2400B"/>
    <w:rsid w:val="00F24C3A"/>
    <w:rsid w:val="00F24DD0"/>
    <w:rsid w:val="00F25670"/>
    <w:rsid w:val="00F2668D"/>
    <w:rsid w:val="00F26C51"/>
    <w:rsid w:val="00F27324"/>
    <w:rsid w:val="00F3071E"/>
    <w:rsid w:val="00F30EDA"/>
    <w:rsid w:val="00F315C9"/>
    <w:rsid w:val="00F327BE"/>
    <w:rsid w:val="00F327F1"/>
    <w:rsid w:val="00F3287B"/>
    <w:rsid w:val="00F333D2"/>
    <w:rsid w:val="00F33D00"/>
    <w:rsid w:val="00F33E4D"/>
    <w:rsid w:val="00F34117"/>
    <w:rsid w:val="00F34820"/>
    <w:rsid w:val="00F35CDB"/>
    <w:rsid w:val="00F36537"/>
    <w:rsid w:val="00F367F9"/>
    <w:rsid w:val="00F36BC6"/>
    <w:rsid w:val="00F37A95"/>
    <w:rsid w:val="00F4008D"/>
    <w:rsid w:val="00F416E0"/>
    <w:rsid w:val="00F41C95"/>
    <w:rsid w:val="00F431CC"/>
    <w:rsid w:val="00F4342D"/>
    <w:rsid w:val="00F45F00"/>
    <w:rsid w:val="00F462EF"/>
    <w:rsid w:val="00F46318"/>
    <w:rsid w:val="00F46B8E"/>
    <w:rsid w:val="00F4706A"/>
    <w:rsid w:val="00F4714E"/>
    <w:rsid w:val="00F51083"/>
    <w:rsid w:val="00F515E9"/>
    <w:rsid w:val="00F51AA8"/>
    <w:rsid w:val="00F52FB4"/>
    <w:rsid w:val="00F57120"/>
    <w:rsid w:val="00F573BC"/>
    <w:rsid w:val="00F57D50"/>
    <w:rsid w:val="00F60371"/>
    <w:rsid w:val="00F60FD7"/>
    <w:rsid w:val="00F63CC8"/>
    <w:rsid w:val="00F64404"/>
    <w:rsid w:val="00F6450C"/>
    <w:rsid w:val="00F649C9"/>
    <w:rsid w:val="00F65D4C"/>
    <w:rsid w:val="00F663FB"/>
    <w:rsid w:val="00F672EB"/>
    <w:rsid w:val="00F67458"/>
    <w:rsid w:val="00F702A8"/>
    <w:rsid w:val="00F70921"/>
    <w:rsid w:val="00F73945"/>
    <w:rsid w:val="00F73C38"/>
    <w:rsid w:val="00F74B7D"/>
    <w:rsid w:val="00F74CB1"/>
    <w:rsid w:val="00F75580"/>
    <w:rsid w:val="00F75FD0"/>
    <w:rsid w:val="00F765D5"/>
    <w:rsid w:val="00F771C5"/>
    <w:rsid w:val="00F77584"/>
    <w:rsid w:val="00F80D7F"/>
    <w:rsid w:val="00F81204"/>
    <w:rsid w:val="00F82464"/>
    <w:rsid w:val="00F82B4D"/>
    <w:rsid w:val="00F83262"/>
    <w:rsid w:val="00F8428C"/>
    <w:rsid w:val="00F84FD7"/>
    <w:rsid w:val="00F8527F"/>
    <w:rsid w:val="00F85F2D"/>
    <w:rsid w:val="00F872B3"/>
    <w:rsid w:val="00F90137"/>
    <w:rsid w:val="00F90F0A"/>
    <w:rsid w:val="00F924B3"/>
    <w:rsid w:val="00F92C42"/>
    <w:rsid w:val="00F93C04"/>
    <w:rsid w:val="00F93D1C"/>
    <w:rsid w:val="00F94143"/>
    <w:rsid w:val="00F963A0"/>
    <w:rsid w:val="00F9705C"/>
    <w:rsid w:val="00F97285"/>
    <w:rsid w:val="00F97466"/>
    <w:rsid w:val="00FA0231"/>
    <w:rsid w:val="00FA0518"/>
    <w:rsid w:val="00FA097F"/>
    <w:rsid w:val="00FA1AEC"/>
    <w:rsid w:val="00FA1D98"/>
    <w:rsid w:val="00FA2921"/>
    <w:rsid w:val="00FA3DB2"/>
    <w:rsid w:val="00FA3E3E"/>
    <w:rsid w:val="00FA485C"/>
    <w:rsid w:val="00FA4C5B"/>
    <w:rsid w:val="00FA642E"/>
    <w:rsid w:val="00FA7205"/>
    <w:rsid w:val="00FA7220"/>
    <w:rsid w:val="00FA75A7"/>
    <w:rsid w:val="00FB0497"/>
    <w:rsid w:val="00FB0EF1"/>
    <w:rsid w:val="00FB1567"/>
    <w:rsid w:val="00FB2470"/>
    <w:rsid w:val="00FB2BF7"/>
    <w:rsid w:val="00FB2CC2"/>
    <w:rsid w:val="00FB32D1"/>
    <w:rsid w:val="00FB38D1"/>
    <w:rsid w:val="00FB536F"/>
    <w:rsid w:val="00FB6301"/>
    <w:rsid w:val="00FB74BC"/>
    <w:rsid w:val="00FC069C"/>
    <w:rsid w:val="00FC071C"/>
    <w:rsid w:val="00FC1863"/>
    <w:rsid w:val="00FC1897"/>
    <w:rsid w:val="00FC1FCF"/>
    <w:rsid w:val="00FC265E"/>
    <w:rsid w:val="00FC2AF8"/>
    <w:rsid w:val="00FC3390"/>
    <w:rsid w:val="00FC3D36"/>
    <w:rsid w:val="00FC4347"/>
    <w:rsid w:val="00FC4D61"/>
    <w:rsid w:val="00FC504D"/>
    <w:rsid w:val="00FC5288"/>
    <w:rsid w:val="00FC6FF3"/>
    <w:rsid w:val="00FC7E76"/>
    <w:rsid w:val="00FD0122"/>
    <w:rsid w:val="00FD03B6"/>
    <w:rsid w:val="00FD045A"/>
    <w:rsid w:val="00FD1238"/>
    <w:rsid w:val="00FD241E"/>
    <w:rsid w:val="00FD278A"/>
    <w:rsid w:val="00FD342A"/>
    <w:rsid w:val="00FD35F8"/>
    <w:rsid w:val="00FD36D5"/>
    <w:rsid w:val="00FD464D"/>
    <w:rsid w:val="00FD4BB2"/>
    <w:rsid w:val="00FD4CAA"/>
    <w:rsid w:val="00FD5EFF"/>
    <w:rsid w:val="00FD70BF"/>
    <w:rsid w:val="00FD75D8"/>
    <w:rsid w:val="00FD7D5D"/>
    <w:rsid w:val="00FE0136"/>
    <w:rsid w:val="00FE0182"/>
    <w:rsid w:val="00FE075F"/>
    <w:rsid w:val="00FE0D71"/>
    <w:rsid w:val="00FE2529"/>
    <w:rsid w:val="00FE2C9A"/>
    <w:rsid w:val="00FE2F0B"/>
    <w:rsid w:val="00FE34B2"/>
    <w:rsid w:val="00FE4136"/>
    <w:rsid w:val="00FE4A2E"/>
    <w:rsid w:val="00FE4FE4"/>
    <w:rsid w:val="00FE508B"/>
    <w:rsid w:val="00FE5945"/>
    <w:rsid w:val="00FE639F"/>
    <w:rsid w:val="00FE6A25"/>
    <w:rsid w:val="00FF0439"/>
    <w:rsid w:val="00FF0FA0"/>
    <w:rsid w:val="00FF12F9"/>
    <w:rsid w:val="00FF1C01"/>
    <w:rsid w:val="00FF213E"/>
    <w:rsid w:val="00FF245A"/>
    <w:rsid w:val="00FF295E"/>
    <w:rsid w:val="00FF2CC0"/>
    <w:rsid w:val="00FF4138"/>
    <w:rsid w:val="00FF514A"/>
    <w:rsid w:val="00FF5B40"/>
    <w:rsid w:val="00FF68FF"/>
    <w:rsid w:val="00FF7B13"/>
    <w:rsid w:val="00FF7E0A"/>
    <w:rsid w:val="012A0E5E"/>
    <w:rsid w:val="01810833"/>
    <w:rsid w:val="04E31806"/>
    <w:rsid w:val="0D9D6C47"/>
    <w:rsid w:val="16DB374D"/>
    <w:rsid w:val="24BA0948"/>
    <w:rsid w:val="26750BAB"/>
    <w:rsid w:val="2D3021AB"/>
    <w:rsid w:val="3CE01EDF"/>
    <w:rsid w:val="40CB5509"/>
    <w:rsid w:val="497C4AB0"/>
    <w:rsid w:val="4B7F1A7E"/>
    <w:rsid w:val="5B774F6F"/>
    <w:rsid w:val="607C30F3"/>
    <w:rsid w:val="61C96410"/>
    <w:rsid w:val="62CF352D"/>
    <w:rsid w:val="67C420BA"/>
    <w:rsid w:val="6AB31DB9"/>
    <w:rsid w:val="70415194"/>
    <w:rsid w:val="715E6BA3"/>
    <w:rsid w:val="782A4F1B"/>
    <w:rsid w:val="789B03AD"/>
    <w:rsid w:val="7964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9"/>
    <w:qFormat/>
    <w:uiPriority w:val="9"/>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6"/>
    <w:qFormat/>
    <w:uiPriority w:val="9"/>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10"/>
    <w:autoRedefine/>
    <w:qFormat/>
    <w:uiPriority w:val="9"/>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9"/>
    <w:autoRedefine/>
    <w:qFormat/>
    <w:uiPriority w:val="9"/>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7"/>
    <w:autoRedefine/>
    <w:qFormat/>
    <w:uiPriority w:val="9"/>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5"/>
    <w:autoRedefine/>
    <w:qFormat/>
    <w:uiPriority w:val="9"/>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204"/>
    <w:autoRedefine/>
    <w:qFormat/>
    <w:uiPriority w:val="9"/>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93"/>
    <w:autoRedefine/>
    <w:qFormat/>
    <w:uiPriority w:val="9"/>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101"/>
    <w:autoRedefine/>
    <w:qFormat/>
    <w:uiPriority w:val="9"/>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4">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ind w:left="100" w:leftChars="400" w:hanging="200" w:hangingChars="200"/>
    </w:pPr>
    <w:rPr>
      <w:szCs w:val="24"/>
    </w:rPr>
  </w:style>
  <w:style w:type="paragraph" w:styleId="12">
    <w:name w:val="toc 7"/>
    <w:basedOn w:val="1"/>
    <w:next w:val="1"/>
    <w:qFormat/>
    <w:uiPriority w:val="39"/>
    <w:pPr>
      <w:widowControl w:val="0"/>
      <w:spacing w:line="240" w:lineRule="auto"/>
      <w:ind w:left="2520" w:leftChars="1200"/>
    </w:pPr>
    <w:rPr>
      <w:szCs w:val="24"/>
    </w:rPr>
  </w:style>
  <w:style w:type="paragraph" w:styleId="13">
    <w:name w:val="List Bullet 4"/>
    <w:basedOn w:val="1"/>
    <w:autoRedefine/>
    <w:qFormat/>
    <w:uiPriority w:val="0"/>
    <w:pPr>
      <w:widowControl w:val="0"/>
      <w:numPr>
        <w:ilvl w:val="0"/>
        <w:numId w:val="2"/>
      </w:numPr>
      <w:spacing w:line="240" w:lineRule="auto"/>
    </w:pPr>
    <w:rPr>
      <w:szCs w:val="24"/>
    </w:rPr>
  </w:style>
  <w:style w:type="paragraph" w:styleId="14">
    <w:name w:val="List Number"/>
    <w:basedOn w:val="1"/>
    <w:autoRedefine/>
    <w:qFormat/>
    <w:uiPriority w:val="0"/>
    <w:pPr>
      <w:widowControl w:val="0"/>
      <w:spacing w:line="240" w:lineRule="auto"/>
      <w:ind w:left="1544" w:hanging="360"/>
    </w:pPr>
    <w:rPr>
      <w:szCs w:val="24"/>
    </w:rPr>
  </w:style>
  <w:style w:type="paragraph" w:styleId="15">
    <w:name w:val="Normal Indent"/>
    <w:basedOn w:val="1"/>
    <w:link w:val="202"/>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9"/>
    <w:qFormat/>
    <w:uiPriority w:val="0"/>
    <w:pPr>
      <w:widowControl w:val="0"/>
      <w:spacing w:line="240" w:lineRule="auto"/>
    </w:pPr>
    <w:rPr>
      <w:rFonts w:ascii="Cambria" w:hAnsi="Cambria" w:eastAsia="黑体"/>
      <w:sz w:val="20"/>
      <w:szCs w:val="20"/>
      <w:lang w:val="zh-CN"/>
    </w:rPr>
  </w:style>
  <w:style w:type="paragraph" w:styleId="17">
    <w:name w:val="List Bullet"/>
    <w:basedOn w:val="1"/>
    <w:qFormat/>
    <w:uiPriority w:val="0"/>
    <w:pPr>
      <w:widowControl w:val="0"/>
      <w:tabs>
        <w:tab w:val="left" w:pos="360"/>
      </w:tabs>
      <w:spacing w:line="240" w:lineRule="auto"/>
      <w:ind w:left="360" w:hanging="360"/>
    </w:pPr>
    <w:rPr>
      <w:szCs w:val="24"/>
    </w:rPr>
  </w:style>
  <w:style w:type="paragraph" w:styleId="18">
    <w:name w:val="Document Map"/>
    <w:basedOn w:val="1"/>
    <w:link w:val="114"/>
    <w:qFormat/>
    <w:uiPriority w:val="0"/>
    <w:pPr>
      <w:widowControl w:val="0"/>
      <w:shd w:val="clear" w:color="auto" w:fill="000080"/>
      <w:spacing w:line="240" w:lineRule="auto"/>
    </w:pPr>
    <w:rPr>
      <w:szCs w:val="24"/>
      <w:lang w:val="zh-CN"/>
    </w:rPr>
  </w:style>
  <w:style w:type="paragraph" w:styleId="19">
    <w:name w:val="toa heading"/>
    <w:basedOn w:val="1"/>
    <w:next w:val="1"/>
    <w:link w:val="241"/>
    <w:autoRedefine/>
    <w:uiPriority w:val="0"/>
    <w:pPr>
      <w:widowControl w:val="0"/>
      <w:spacing w:before="120" w:line="240" w:lineRule="auto"/>
    </w:pPr>
    <w:rPr>
      <w:rFonts w:ascii="Arial" w:hAnsi="Arial"/>
      <w:sz w:val="24"/>
      <w:szCs w:val="24"/>
      <w:lang w:val="zh-CN"/>
    </w:rPr>
  </w:style>
  <w:style w:type="paragraph" w:styleId="20">
    <w:name w:val="annotation text"/>
    <w:basedOn w:val="1"/>
    <w:link w:val="118"/>
    <w:qFormat/>
    <w:uiPriority w:val="0"/>
    <w:pPr>
      <w:widowControl w:val="0"/>
      <w:spacing w:line="240" w:lineRule="auto"/>
      <w:jc w:val="left"/>
    </w:pPr>
    <w:rPr>
      <w:szCs w:val="24"/>
      <w:lang w:val="zh-CN"/>
    </w:rPr>
  </w:style>
  <w:style w:type="paragraph" w:styleId="21">
    <w:name w:val="Salutation"/>
    <w:basedOn w:val="1"/>
    <w:next w:val="1"/>
    <w:link w:val="197"/>
    <w:uiPriority w:val="0"/>
    <w:pPr>
      <w:widowControl w:val="0"/>
      <w:adjustRightInd w:val="0"/>
      <w:snapToGrid w:val="0"/>
    </w:pPr>
    <w:rPr>
      <w:spacing w:val="12"/>
      <w:kern w:val="0"/>
      <w:sz w:val="28"/>
      <w:szCs w:val="24"/>
      <w:lang w:val="zh-CN"/>
    </w:rPr>
  </w:style>
  <w:style w:type="paragraph" w:styleId="22">
    <w:name w:val="Body Text 3"/>
    <w:basedOn w:val="1"/>
    <w:link w:val="125"/>
    <w:qFormat/>
    <w:uiPriority w:val="0"/>
    <w:pPr>
      <w:widowControl w:val="0"/>
      <w:spacing w:after="120" w:line="240" w:lineRule="auto"/>
    </w:pPr>
    <w:rPr>
      <w:sz w:val="16"/>
      <w:szCs w:val="16"/>
      <w:lang w:val="zh-CN"/>
    </w:rPr>
  </w:style>
  <w:style w:type="paragraph" w:styleId="23">
    <w:name w:val="List Bullet 3"/>
    <w:basedOn w:val="1"/>
    <w:qFormat/>
    <w:uiPriority w:val="0"/>
    <w:pPr>
      <w:widowControl w:val="0"/>
      <w:tabs>
        <w:tab w:val="left" w:pos="1200"/>
      </w:tabs>
      <w:spacing w:line="240" w:lineRule="auto"/>
      <w:ind w:left="1200" w:hanging="360"/>
    </w:pPr>
    <w:rPr>
      <w:szCs w:val="24"/>
    </w:rPr>
  </w:style>
  <w:style w:type="paragraph" w:styleId="24">
    <w:name w:val="Body Text"/>
    <w:basedOn w:val="1"/>
    <w:link w:val="121"/>
    <w:qFormat/>
    <w:uiPriority w:val="99"/>
    <w:pPr>
      <w:widowControl w:val="0"/>
      <w:adjustRightInd w:val="0"/>
      <w:snapToGrid w:val="0"/>
      <w:spacing w:line="300" w:lineRule="auto"/>
      <w:ind w:firstLine="480" w:firstLineChars="200"/>
    </w:pPr>
    <w:rPr>
      <w:snapToGrid w:val="0"/>
      <w:color w:val="FF0000"/>
      <w:kern w:val="0"/>
      <w:sz w:val="24"/>
      <w:szCs w:val="21"/>
      <w:lang w:val="zh-CN"/>
    </w:rPr>
  </w:style>
  <w:style w:type="paragraph" w:styleId="25">
    <w:name w:val="Body Text Indent"/>
    <w:basedOn w:val="1"/>
    <w:link w:val="180"/>
    <w:qFormat/>
    <w:uiPriority w:val="0"/>
    <w:pPr>
      <w:widowControl w:val="0"/>
      <w:spacing w:after="120" w:line="240" w:lineRule="auto"/>
      <w:ind w:left="420" w:leftChars="200"/>
    </w:pPr>
    <w:rPr>
      <w:szCs w:val="24"/>
      <w:lang w:val="zh-CN"/>
    </w:rPr>
  </w:style>
  <w:style w:type="paragraph" w:styleId="26">
    <w:name w:val="List Number 3"/>
    <w:basedOn w:val="1"/>
    <w:autoRedefine/>
    <w:qFormat/>
    <w:uiPriority w:val="0"/>
    <w:pPr>
      <w:widowControl w:val="0"/>
      <w:tabs>
        <w:tab w:val="left" w:pos="432"/>
        <w:tab w:val="left" w:pos="1200"/>
      </w:tabs>
      <w:spacing w:line="240" w:lineRule="auto"/>
      <w:ind w:left="432" w:hanging="632"/>
      <w:contextualSpacing/>
    </w:pPr>
    <w:rPr>
      <w:szCs w:val="20"/>
    </w:rPr>
  </w:style>
  <w:style w:type="paragraph" w:styleId="27">
    <w:name w:val="List 2"/>
    <w:basedOn w:val="1"/>
    <w:autoRedefine/>
    <w:qFormat/>
    <w:uiPriority w:val="0"/>
    <w:pPr>
      <w:widowControl w:val="0"/>
      <w:spacing w:line="240" w:lineRule="auto"/>
      <w:ind w:left="100" w:leftChars="200" w:hanging="200" w:hangingChars="200"/>
    </w:pPr>
    <w:rPr>
      <w:szCs w:val="24"/>
    </w:rPr>
  </w:style>
  <w:style w:type="paragraph" w:styleId="28">
    <w:name w:val="Block Text"/>
    <w:basedOn w:val="1"/>
    <w:autoRedefine/>
    <w:qFormat/>
    <w:uiPriority w:val="99"/>
    <w:pPr>
      <w:widowControl w:val="0"/>
      <w:spacing w:line="288" w:lineRule="auto"/>
      <w:ind w:left="420" w:leftChars="200" w:right="26" w:firstLine="420" w:firstLineChars="200"/>
    </w:pPr>
    <w:rPr>
      <w:rFonts w:ascii="宋体" w:hAnsi="宋体"/>
      <w:szCs w:val="24"/>
    </w:rPr>
  </w:style>
  <w:style w:type="paragraph" w:styleId="29">
    <w:name w:val="List Bullet 2"/>
    <w:basedOn w:val="1"/>
    <w:uiPriority w:val="0"/>
    <w:pPr>
      <w:widowControl w:val="0"/>
      <w:numPr>
        <w:ilvl w:val="0"/>
        <w:numId w:val="3"/>
      </w:numPr>
      <w:spacing w:line="240" w:lineRule="auto"/>
    </w:pPr>
    <w:rPr>
      <w:szCs w:val="24"/>
    </w:rPr>
  </w:style>
  <w:style w:type="paragraph" w:styleId="30">
    <w:name w:val="index 4"/>
    <w:basedOn w:val="1"/>
    <w:next w:val="1"/>
    <w:qFormat/>
    <w:uiPriority w:val="0"/>
    <w:pPr>
      <w:widowControl w:val="0"/>
      <w:spacing w:line="240" w:lineRule="auto"/>
      <w:ind w:left="600" w:leftChars="600"/>
    </w:pPr>
    <w:rPr>
      <w:szCs w:val="24"/>
    </w:rPr>
  </w:style>
  <w:style w:type="paragraph" w:styleId="31">
    <w:name w:val="toc 5"/>
    <w:basedOn w:val="1"/>
    <w:next w:val="1"/>
    <w:qFormat/>
    <w:uiPriority w:val="39"/>
    <w:pPr>
      <w:widowControl w:val="0"/>
      <w:spacing w:line="240" w:lineRule="auto"/>
      <w:ind w:left="1680" w:leftChars="800"/>
    </w:pPr>
    <w:rPr>
      <w:szCs w:val="24"/>
    </w:rPr>
  </w:style>
  <w:style w:type="paragraph" w:styleId="32">
    <w:name w:val="toc 3"/>
    <w:basedOn w:val="1"/>
    <w:next w:val="1"/>
    <w:autoRedefine/>
    <w:qFormat/>
    <w:uiPriority w:val="39"/>
    <w:pPr>
      <w:widowControl w:val="0"/>
      <w:spacing w:line="300" w:lineRule="auto"/>
      <w:ind w:left="200" w:leftChars="200"/>
    </w:pPr>
    <w:rPr>
      <w:sz w:val="24"/>
      <w:szCs w:val="24"/>
    </w:rPr>
  </w:style>
  <w:style w:type="paragraph" w:styleId="33">
    <w:name w:val="Plain Text"/>
    <w:basedOn w:val="1"/>
    <w:link w:val="243"/>
    <w:qFormat/>
    <w:uiPriority w:val="0"/>
    <w:pPr>
      <w:widowControl w:val="0"/>
      <w:spacing w:line="240" w:lineRule="auto"/>
    </w:pPr>
    <w:rPr>
      <w:rFonts w:ascii="宋体" w:hAnsi="Courier New"/>
      <w:szCs w:val="20"/>
      <w:lang w:val="zh-CN"/>
    </w:rPr>
  </w:style>
  <w:style w:type="paragraph" w:styleId="34">
    <w:name w:val="List Bullet 5"/>
    <w:basedOn w:val="1"/>
    <w:autoRedefine/>
    <w:uiPriority w:val="0"/>
    <w:pPr>
      <w:widowControl w:val="0"/>
      <w:numPr>
        <w:ilvl w:val="0"/>
        <w:numId w:val="4"/>
      </w:numPr>
      <w:spacing w:line="240" w:lineRule="auto"/>
    </w:pPr>
    <w:rPr>
      <w:szCs w:val="24"/>
    </w:rPr>
  </w:style>
  <w:style w:type="paragraph" w:styleId="35">
    <w:name w:val="toc 8"/>
    <w:basedOn w:val="1"/>
    <w:next w:val="1"/>
    <w:qFormat/>
    <w:uiPriority w:val="39"/>
    <w:pPr>
      <w:widowControl w:val="0"/>
      <w:spacing w:line="240" w:lineRule="auto"/>
      <w:ind w:left="2940" w:leftChars="1400"/>
    </w:pPr>
    <w:rPr>
      <w:szCs w:val="24"/>
    </w:rPr>
  </w:style>
  <w:style w:type="paragraph" w:styleId="36">
    <w:name w:val="Date"/>
    <w:basedOn w:val="1"/>
    <w:next w:val="1"/>
    <w:link w:val="128"/>
    <w:autoRedefine/>
    <w:qFormat/>
    <w:uiPriority w:val="0"/>
    <w:pPr>
      <w:widowControl w:val="0"/>
      <w:spacing w:line="240" w:lineRule="auto"/>
      <w:ind w:left="100" w:leftChars="2500"/>
    </w:pPr>
    <w:rPr>
      <w:szCs w:val="24"/>
      <w:lang w:val="zh-CN"/>
    </w:rPr>
  </w:style>
  <w:style w:type="paragraph" w:styleId="37">
    <w:name w:val="Body Text Indent 2"/>
    <w:basedOn w:val="1"/>
    <w:link w:val="224"/>
    <w:qFormat/>
    <w:uiPriority w:val="0"/>
    <w:pPr>
      <w:widowControl w:val="0"/>
      <w:spacing w:after="120" w:line="480" w:lineRule="auto"/>
      <w:ind w:left="420" w:leftChars="200"/>
    </w:pPr>
    <w:rPr>
      <w:szCs w:val="24"/>
      <w:lang w:val="zh-CN"/>
    </w:rPr>
  </w:style>
  <w:style w:type="paragraph" w:styleId="38">
    <w:name w:val="endnote text"/>
    <w:basedOn w:val="1"/>
    <w:link w:val="130"/>
    <w:qFormat/>
    <w:uiPriority w:val="0"/>
    <w:pPr>
      <w:widowControl w:val="0"/>
      <w:snapToGrid w:val="0"/>
      <w:spacing w:line="240" w:lineRule="auto"/>
      <w:jc w:val="left"/>
    </w:pPr>
    <w:rPr>
      <w:szCs w:val="24"/>
      <w:lang w:val="zh-CN"/>
    </w:rPr>
  </w:style>
  <w:style w:type="paragraph" w:styleId="39">
    <w:name w:val="Balloon Text"/>
    <w:basedOn w:val="1"/>
    <w:link w:val="245"/>
    <w:qFormat/>
    <w:uiPriority w:val="0"/>
    <w:pPr>
      <w:widowControl w:val="0"/>
      <w:spacing w:line="240" w:lineRule="auto"/>
    </w:pPr>
    <w:rPr>
      <w:sz w:val="18"/>
      <w:szCs w:val="18"/>
      <w:lang w:val="zh-CN"/>
    </w:rPr>
  </w:style>
  <w:style w:type="paragraph" w:styleId="40">
    <w:name w:val="footer"/>
    <w:basedOn w:val="1"/>
    <w:link w:val="133"/>
    <w:qFormat/>
    <w:uiPriority w:val="0"/>
    <w:pPr>
      <w:widowControl w:val="0"/>
      <w:tabs>
        <w:tab w:val="center" w:pos="4153"/>
        <w:tab w:val="right" w:pos="8306"/>
      </w:tabs>
      <w:snapToGrid w:val="0"/>
      <w:spacing w:line="240" w:lineRule="auto"/>
      <w:jc w:val="left"/>
    </w:pPr>
    <w:rPr>
      <w:sz w:val="18"/>
      <w:szCs w:val="18"/>
      <w:lang w:val="zh-CN"/>
    </w:rPr>
  </w:style>
  <w:style w:type="paragraph" w:styleId="41">
    <w:name w:val="header"/>
    <w:link w:val="228"/>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2">
    <w:name w:val="toc 1"/>
    <w:basedOn w:val="1"/>
    <w:next w:val="1"/>
    <w:autoRedefine/>
    <w:qFormat/>
    <w:uiPriority w:val="39"/>
    <w:pPr>
      <w:widowControl w:val="0"/>
      <w:spacing w:line="300" w:lineRule="auto"/>
    </w:pPr>
    <w:rPr>
      <w:sz w:val="24"/>
      <w:szCs w:val="24"/>
    </w:rPr>
  </w:style>
  <w:style w:type="paragraph" w:styleId="43">
    <w:name w:val="toc 4"/>
    <w:basedOn w:val="1"/>
    <w:next w:val="1"/>
    <w:autoRedefine/>
    <w:qFormat/>
    <w:uiPriority w:val="39"/>
    <w:pPr>
      <w:widowControl w:val="0"/>
      <w:spacing w:line="300" w:lineRule="auto"/>
      <w:ind w:left="300" w:leftChars="300"/>
    </w:pPr>
    <w:rPr>
      <w:sz w:val="24"/>
      <w:szCs w:val="24"/>
    </w:rPr>
  </w:style>
  <w:style w:type="paragraph" w:styleId="44">
    <w:name w:val="Subtitle"/>
    <w:basedOn w:val="1"/>
    <w:next w:val="1"/>
    <w:link w:val="139"/>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5">
    <w:name w:val="List"/>
    <w:basedOn w:val="1"/>
    <w:autoRedefine/>
    <w:uiPriority w:val="0"/>
    <w:pPr>
      <w:widowControl w:val="0"/>
      <w:spacing w:line="240" w:lineRule="auto"/>
      <w:ind w:left="200" w:hanging="200" w:hangingChars="200"/>
    </w:pPr>
    <w:rPr>
      <w:szCs w:val="24"/>
    </w:rPr>
  </w:style>
  <w:style w:type="paragraph" w:styleId="46">
    <w:name w:val="footnote text"/>
    <w:basedOn w:val="1"/>
    <w:link w:val="136"/>
    <w:autoRedefine/>
    <w:qFormat/>
    <w:uiPriority w:val="99"/>
    <w:pPr>
      <w:widowControl w:val="0"/>
      <w:snapToGrid w:val="0"/>
      <w:spacing w:line="240" w:lineRule="auto"/>
      <w:jc w:val="left"/>
    </w:pPr>
    <w:rPr>
      <w:sz w:val="18"/>
      <w:szCs w:val="18"/>
      <w:lang w:val="zh-CN"/>
    </w:rPr>
  </w:style>
  <w:style w:type="paragraph" w:styleId="47">
    <w:name w:val="toc 6"/>
    <w:basedOn w:val="1"/>
    <w:next w:val="1"/>
    <w:qFormat/>
    <w:uiPriority w:val="39"/>
    <w:pPr>
      <w:widowControl w:val="0"/>
      <w:spacing w:line="240" w:lineRule="auto"/>
      <w:ind w:left="2100" w:leftChars="1000"/>
    </w:pPr>
    <w:rPr>
      <w:szCs w:val="24"/>
    </w:rPr>
  </w:style>
  <w:style w:type="paragraph" w:styleId="48">
    <w:name w:val="Body Text Indent 3"/>
    <w:basedOn w:val="1"/>
    <w:link w:val="142"/>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49">
    <w:name w:val="table of figures"/>
    <w:basedOn w:val="1"/>
    <w:next w:val="1"/>
    <w:qFormat/>
    <w:uiPriority w:val="0"/>
    <w:pPr>
      <w:widowControl w:val="0"/>
      <w:adjustRightInd w:val="0"/>
      <w:snapToGrid w:val="0"/>
      <w:ind w:left="200" w:leftChars="200" w:hanging="200" w:hangingChars="200"/>
    </w:pPr>
    <w:rPr>
      <w:szCs w:val="24"/>
    </w:rPr>
  </w:style>
  <w:style w:type="paragraph" w:styleId="50">
    <w:name w:val="toc 2"/>
    <w:basedOn w:val="1"/>
    <w:next w:val="1"/>
    <w:autoRedefine/>
    <w:qFormat/>
    <w:uiPriority w:val="39"/>
    <w:pPr>
      <w:widowControl w:val="0"/>
      <w:spacing w:line="300" w:lineRule="auto"/>
      <w:ind w:left="100" w:leftChars="100"/>
    </w:pPr>
    <w:rPr>
      <w:sz w:val="24"/>
      <w:szCs w:val="24"/>
    </w:rPr>
  </w:style>
  <w:style w:type="paragraph" w:styleId="51">
    <w:name w:val="toc 9"/>
    <w:basedOn w:val="1"/>
    <w:next w:val="1"/>
    <w:autoRedefine/>
    <w:qFormat/>
    <w:uiPriority w:val="39"/>
    <w:pPr>
      <w:widowControl w:val="0"/>
      <w:spacing w:line="240" w:lineRule="auto"/>
      <w:ind w:left="3360" w:leftChars="1600"/>
    </w:pPr>
    <w:rPr>
      <w:szCs w:val="24"/>
    </w:rPr>
  </w:style>
  <w:style w:type="paragraph" w:styleId="52">
    <w:name w:val="Body Text 2"/>
    <w:basedOn w:val="1"/>
    <w:link w:val="250"/>
    <w:autoRedefine/>
    <w:qFormat/>
    <w:uiPriority w:val="99"/>
    <w:pPr>
      <w:widowControl w:val="0"/>
      <w:spacing w:after="120" w:line="480" w:lineRule="auto"/>
    </w:pPr>
    <w:rPr>
      <w:szCs w:val="24"/>
      <w:lang w:val="zh-CN"/>
    </w:rPr>
  </w:style>
  <w:style w:type="paragraph" w:styleId="53">
    <w:name w:val="HTML Preformatted"/>
    <w:basedOn w:val="1"/>
    <w:link w:val="24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4">
    <w:name w:val="Normal (Web)"/>
    <w:basedOn w:val="1"/>
    <w:link w:val="149"/>
    <w:qFormat/>
    <w:uiPriority w:val="0"/>
    <w:pPr>
      <w:spacing w:before="100" w:beforeAutospacing="1" w:after="100" w:afterAutospacing="1" w:line="240" w:lineRule="auto"/>
      <w:jc w:val="left"/>
    </w:pPr>
    <w:rPr>
      <w:rFonts w:ascii="宋体" w:hAnsi="宋体"/>
      <w:kern w:val="0"/>
      <w:sz w:val="24"/>
      <w:szCs w:val="24"/>
      <w:lang w:val="zh-CN"/>
    </w:rPr>
  </w:style>
  <w:style w:type="paragraph" w:styleId="55">
    <w:name w:val="index 1"/>
    <w:basedOn w:val="1"/>
    <w:next w:val="1"/>
    <w:autoRedefine/>
    <w:qFormat/>
    <w:uiPriority w:val="0"/>
    <w:pPr>
      <w:widowControl w:val="0"/>
      <w:spacing w:line="240" w:lineRule="auto"/>
    </w:pPr>
    <w:rPr>
      <w:szCs w:val="24"/>
    </w:rPr>
  </w:style>
  <w:style w:type="paragraph" w:styleId="56">
    <w:name w:val="Title"/>
    <w:basedOn w:val="1"/>
    <w:next w:val="1"/>
    <w:link w:val="253"/>
    <w:autoRedefine/>
    <w:qFormat/>
    <w:uiPriority w:val="10"/>
    <w:pPr>
      <w:widowControl w:val="0"/>
      <w:spacing w:before="240" w:after="60" w:line="240" w:lineRule="auto"/>
      <w:jc w:val="center"/>
      <w:outlineLvl w:val="0"/>
    </w:pPr>
    <w:rPr>
      <w:rFonts w:ascii="Cambria" w:hAnsi="Cambria"/>
      <w:b/>
      <w:bCs/>
      <w:sz w:val="32"/>
      <w:szCs w:val="32"/>
      <w:lang w:val="zh-CN"/>
    </w:rPr>
  </w:style>
  <w:style w:type="paragraph" w:styleId="57">
    <w:name w:val="annotation subject"/>
    <w:basedOn w:val="20"/>
    <w:next w:val="20"/>
    <w:link w:val="158"/>
    <w:autoRedefine/>
    <w:qFormat/>
    <w:uiPriority w:val="0"/>
    <w:rPr>
      <w:b/>
      <w:bCs/>
    </w:rPr>
  </w:style>
  <w:style w:type="paragraph" w:styleId="58">
    <w:name w:val="Body Text First Indent"/>
    <w:basedOn w:val="24"/>
    <w:link w:val="246"/>
    <w:qFormat/>
    <w:uiPriority w:val="0"/>
    <w:pPr>
      <w:ind w:firstLine="420" w:firstLineChars="100"/>
    </w:pPr>
  </w:style>
  <w:style w:type="paragraph" w:styleId="59">
    <w:name w:val="Body Text First Indent 2"/>
    <w:basedOn w:val="25"/>
    <w:link w:val="233"/>
    <w:qFormat/>
    <w:uiPriority w:val="0"/>
    <w:pPr>
      <w:ind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Grid 1"/>
    <w:basedOn w:val="60"/>
    <w:autoRedefine/>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Medium Grid 1 Accent 2"/>
    <w:basedOn w:val="60"/>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5">
    <w:name w:val="Strong"/>
    <w:autoRedefine/>
    <w:qFormat/>
    <w:uiPriority w:val="0"/>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99"/>
    <w:rPr>
      <w:color w:val="800080"/>
      <w:u w:val="single"/>
    </w:rPr>
  </w:style>
  <w:style w:type="character" w:styleId="69">
    <w:name w:val="Emphasis"/>
    <w:autoRedefine/>
    <w:qFormat/>
    <w:uiPriority w:val="0"/>
    <w:rPr>
      <w:color w:val="CC0033"/>
    </w:rPr>
  </w:style>
  <w:style w:type="character" w:styleId="70">
    <w:name w:val="HTML Definition"/>
    <w:autoRedefine/>
    <w:qFormat/>
    <w:uiPriority w:val="0"/>
  </w:style>
  <w:style w:type="character" w:styleId="71">
    <w:name w:val="HTML Typewriter"/>
    <w:autoRedefine/>
    <w:qFormat/>
    <w:uiPriority w:val="0"/>
    <w:rPr>
      <w:rFonts w:ascii="黑体" w:hAnsi="Courier New" w:eastAsia="黑体" w:cs="Courier New"/>
      <w:sz w:val="20"/>
      <w:szCs w:val="20"/>
    </w:rPr>
  </w:style>
  <w:style w:type="character" w:styleId="72">
    <w:name w:val="HTML Acronym"/>
    <w:qFormat/>
    <w:uiPriority w:val="0"/>
  </w:style>
  <w:style w:type="character" w:styleId="73">
    <w:name w:val="HTML Variable"/>
    <w:autoRedefine/>
    <w:qFormat/>
    <w:uiPriority w:val="0"/>
  </w:style>
  <w:style w:type="character" w:styleId="74">
    <w:name w:val="Hyperlink"/>
    <w:autoRedefine/>
    <w:qFormat/>
    <w:uiPriority w:val="99"/>
    <w:rPr>
      <w:color w:val="0000FF"/>
      <w:u w:val="single"/>
    </w:rPr>
  </w:style>
  <w:style w:type="character" w:styleId="75">
    <w:name w:val="HTML Code"/>
    <w:autoRedefine/>
    <w:qFormat/>
    <w:uiPriority w:val="0"/>
    <w:rPr>
      <w:rFonts w:ascii="Courier New" w:hAnsi="Courier New"/>
      <w:sz w:val="20"/>
    </w:rPr>
  </w:style>
  <w:style w:type="character" w:styleId="76">
    <w:name w:val="annotation reference"/>
    <w:autoRedefine/>
    <w:qFormat/>
    <w:uiPriority w:val="0"/>
    <w:rPr>
      <w:sz w:val="21"/>
      <w:szCs w:val="21"/>
    </w:rPr>
  </w:style>
  <w:style w:type="character" w:styleId="77">
    <w:name w:val="HTML Cite"/>
    <w:autoRedefine/>
    <w:qFormat/>
    <w:uiPriority w:val="0"/>
    <w:rPr>
      <w:i/>
      <w:iCs/>
    </w:rPr>
  </w:style>
  <w:style w:type="character" w:styleId="78">
    <w:name w:val="footnote reference"/>
    <w:autoRedefine/>
    <w:qFormat/>
    <w:uiPriority w:val="0"/>
    <w:rPr>
      <w:vertAlign w:val="superscript"/>
    </w:rPr>
  </w:style>
  <w:style w:type="paragraph" w:styleId="79">
    <w:name w:val="List Paragraph"/>
    <w:basedOn w:val="1"/>
    <w:link w:val="753"/>
    <w:qFormat/>
    <w:uiPriority w:val="34"/>
    <w:pPr>
      <w:widowControl w:val="0"/>
      <w:adjustRightInd w:val="0"/>
      <w:snapToGrid w:val="0"/>
      <w:spacing w:line="300" w:lineRule="auto"/>
      <w:ind w:firstLine="480" w:firstLineChars="200"/>
    </w:pPr>
    <w:rPr>
      <w:snapToGrid w:val="0"/>
      <w:color w:val="FF0000"/>
      <w:sz w:val="24"/>
      <w:szCs w:val="24"/>
    </w:rPr>
  </w:style>
  <w:style w:type="character" w:customStyle="1" w:styleId="80">
    <w:name w:val="Char Char111"/>
    <w:autoRedefine/>
    <w:qFormat/>
    <w:uiPriority w:val="0"/>
    <w:rPr>
      <w:rFonts w:ascii="宋体" w:hAnsi="Courier New" w:eastAsia="宋体"/>
      <w:kern w:val="2"/>
      <w:sz w:val="21"/>
      <w:lang w:val="en-US" w:eastAsia="zh-CN" w:bidi="ar-SA"/>
    </w:rPr>
  </w:style>
  <w:style w:type="character" w:customStyle="1" w:styleId="81">
    <w:name w:val="页脚 Char1"/>
    <w:autoRedefine/>
    <w:qFormat/>
    <w:uiPriority w:val="0"/>
    <w:rPr>
      <w:rFonts w:eastAsia="宋体"/>
      <w:kern w:val="2"/>
      <w:sz w:val="18"/>
      <w:szCs w:val="18"/>
      <w:lang w:val="en-US" w:eastAsia="zh-CN" w:bidi="ar-SA"/>
    </w:rPr>
  </w:style>
  <w:style w:type="character" w:customStyle="1" w:styleId="82">
    <w:name w:val="引用 字符"/>
    <w:autoRedefine/>
    <w:qFormat/>
    <w:uiPriority w:val="29"/>
    <w:rPr>
      <w:i/>
      <w:iCs/>
      <w:color w:val="404040"/>
      <w:kern w:val="2"/>
      <w:sz w:val="21"/>
      <w:szCs w:val="22"/>
    </w:rPr>
  </w:style>
  <w:style w:type="character" w:customStyle="1" w:styleId="83">
    <w:name w:val="页眉 Char1"/>
    <w:autoRedefine/>
    <w:qFormat/>
    <w:uiPriority w:val="0"/>
    <w:rPr>
      <w:rFonts w:eastAsia="宋体"/>
      <w:kern w:val="2"/>
      <w:sz w:val="18"/>
      <w:szCs w:val="18"/>
      <w:lang w:val="en-US" w:eastAsia="zh-CN" w:bidi="ar-SA"/>
    </w:rPr>
  </w:style>
  <w:style w:type="character" w:customStyle="1" w:styleId="84">
    <w:name w:val="批注主题 Char1"/>
    <w:autoRedefine/>
    <w:qFormat/>
    <w:uiPriority w:val="0"/>
    <w:rPr>
      <w:b/>
      <w:bCs/>
      <w:kern w:val="2"/>
      <w:sz w:val="21"/>
      <w:szCs w:val="22"/>
    </w:rPr>
  </w:style>
  <w:style w:type="character" w:customStyle="1" w:styleId="85">
    <w:name w:val="正文文本缩进 2 Char"/>
    <w:autoRedefine/>
    <w:qFormat/>
    <w:uiPriority w:val="0"/>
    <w:rPr>
      <w:rFonts w:eastAsia="宋体"/>
      <w:kern w:val="2"/>
      <w:sz w:val="21"/>
      <w:szCs w:val="24"/>
      <w:lang w:val="en-US" w:eastAsia="zh-CN" w:bidi="ar-SA"/>
    </w:rPr>
  </w:style>
  <w:style w:type="character" w:customStyle="1" w:styleId="86">
    <w:name w:val="正文文本 Char2"/>
    <w:autoRedefine/>
    <w:qFormat/>
    <w:uiPriority w:val="0"/>
    <w:rPr>
      <w:rFonts w:eastAsia="宋体"/>
      <w:kern w:val="2"/>
      <w:sz w:val="21"/>
      <w:szCs w:val="24"/>
      <w:lang w:val="en-US" w:eastAsia="zh-CN" w:bidi="ar-SA"/>
    </w:rPr>
  </w:style>
  <w:style w:type="character" w:customStyle="1" w:styleId="87">
    <w:name w:val="明显引用 字符"/>
    <w:autoRedefine/>
    <w:qFormat/>
    <w:uiPriority w:val="30"/>
    <w:rPr>
      <w:i/>
      <w:iCs/>
      <w:color w:val="4472C4"/>
      <w:kern w:val="2"/>
      <w:sz w:val="21"/>
      <w:szCs w:val="22"/>
    </w:rPr>
  </w:style>
  <w:style w:type="character" w:customStyle="1" w:styleId="88">
    <w:name w:val="文档结构图 字符1"/>
    <w:autoRedefine/>
    <w:semiHidden/>
    <w:qFormat/>
    <w:uiPriority w:val="99"/>
    <w:rPr>
      <w:rFonts w:ascii="Microsoft YaHei UI" w:eastAsia="Microsoft YaHei UI" w:cs="Times New Roman"/>
      <w:kern w:val="2"/>
      <w:sz w:val="18"/>
      <w:szCs w:val="18"/>
    </w:rPr>
  </w:style>
  <w:style w:type="character" w:customStyle="1" w:styleId="89">
    <w:name w:val="标题 Char1"/>
    <w:autoRedefine/>
    <w:qFormat/>
    <w:uiPriority w:val="0"/>
    <w:rPr>
      <w:rFonts w:ascii="Cambria" w:hAnsi="Cambria"/>
      <w:b/>
      <w:bCs/>
      <w:kern w:val="2"/>
      <w:sz w:val="32"/>
      <w:szCs w:val="32"/>
      <w:lang w:bidi="ar-SA"/>
    </w:rPr>
  </w:style>
  <w:style w:type="character" w:customStyle="1" w:styleId="90">
    <w:name w:val="明显参考1"/>
    <w:autoRedefine/>
    <w:qFormat/>
    <w:uiPriority w:val="32"/>
    <w:rPr>
      <w:b/>
      <w:bCs/>
      <w:smallCaps/>
      <w:color w:val="C0504D"/>
      <w:spacing w:val="5"/>
      <w:u w:val="single"/>
    </w:rPr>
  </w:style>
  <w:style w:type="character" w:customStyle="1" w:styleId="91">
    <w:name w:val="日期 字符1"/>
    <w:autoRedefine/>
    <w:semiHidden/>
    <w:qFormat/>
    <w:uiPriority w:val="99"/>
    <w:rPr>
      <w:rFonts w:cs="Times New Roman"/>
      <w:kern w:val="2"/>
      <w:szCs w:val="24"/>
    </w:rPr>
  </w:style>
  <w:style w:type="character" w:customStyle="1" w:styleId="92">
    <w:name w:val="标题 4 Char"/>
    <w:autoRedefine/>
    <w:qFormat/>
    <w:uiPriority w:val="0"/>
    <w:rPr>
      <w:rFonts w:eastAsia="华文中宋"/>
      <w:b/>
      <w:bCs/>
      <w:kern w:val="2"/>
      <w:sz w:val="28"/>
      <w:szCs w:val="32"/>
      <w:lang w:val="en-US" w:eastAsia="zh-CN" w:bidi="ar-SA"/>
    </w:rPr>
  </w:style>
  <w:style w:type="character" w:customStyle="1" w:styleId="93">
    <w:name w:val="标题 8 字符"/>
    <w:link w:val="9"/>
    <w:autoRedefine/>
    <w:qFormat/>
    <w:uiPriority w:val="9"/>
    <w:rPr>
      <w:rFonts w:ascii="Arial" w:hAnsi="Arial" w:eastAsia="黑体"/>
      <w:kern w:val="2"/>
      <w:sz w:val="24"/>
      <w:szCs w:val="24"/>
    </w:rPr>
  </w:style>
  <w:style w:type="character" w:customStyle="1" w:styleId="94">
    <w:name w:val="正文文本 2 字符1"/>
    <w:autoRedefine/>
    <w:semiHidden/>
    <w:qFormat/>
    <w:uiPriority w:val="99"/>
    <w:rPr>
      <w:rFonts w:cs="Times New Roman"/>
      <w:kern w:val="2"/>
      <w:szCs w:val="24"/>
    </w:rPr>
  </w:style>
  <w:style w:type="character" w:customStyle="1" w:styleId="95">
    <w:name w:val="批注文字 Char3"/>
    <w:autoRedefine/>
    <w:qFormat/>
    <w:uiPriority w:val="0"/>
    <w:rPr>
      <w:rFonts w:eastAsia="宋体"/>
      <w:kern w:val="2"/>
      <w:sz w:val="21"/>
      <w:szCs w:val="24"/>
      <w:lang w:val="en-US" w:eastAsia="zh-CN" w:bidi="ar-SA"/>
    </w:rPr>
  </w:style>
  <w:style w:type="character" w:customStyle="1" w:styleId="96">
    <w:name w:val="标题 2 字符"/>
    <w:link w:val="3"/>
    <w:autoRedefine/>
    <w:qFormat/>
    <w:uiPriority w:val="9"/>
    <w:rPr>
      <w:rFonts w:eastAsia="华文中宋"/>
      <w:b/>
      <w:bCs/>
      <w:kern w:val="2"/>
      <w:sz w:val="32"/>
      <w:szCs w:val="32"/>
    </w:rPr>
  </w:style>
  <w:style w:type="character" w:customStyle="1" w:styleId="97">
    <w:name w:val="正文首行缩进 2 字符1"/>
    <w:autoRedefine/>
    <w:semiHidden/>
    <w:qFormat/>
    <w:uiPriority w:val="99"/>
    <w:rPr>
      <w:rFonts w:cs="Times New Roman"/>
      <w:kern w:val="2"/>
      <w:szCs w:val="24"/>
    </w:rPr>
  </w:style>
  <w:style w:type="character" w:customStyle="1" w:styleId="98">
    <w:name w:val="日期 Char1"/>
    <w:autoRedefine/>
    <w:qFormat/>
    <w:uiPriority w:val="0"/>
    <w:rPr>
      <w:kern w:val="2"/>
      <w:sz w:val="21"/>
      <w:szCs w:val="22"/>
    </w:rPr>
  </w:style>
  <w:style w:type="character" w:customStyle="1" w:styleId="99">
    <w:name w:val="标题 4 字符"/>
    <w:link w:val="5"/>
    <w:autoRedefine/>
    <w:qFormat/>
    <w:uiPriority w:val="9"/>
    <w:rPr>
      <w:rFonts w:eastAsia="华文中宋"/>
      <w:b/>
      <w:bCs/>
      <w:kern w:val="2"/>
      <w:sz w:val="28"/>
      <w:szCs w:val="32"/>
    </w:rPr>
  </w:style>
  <w:style w:type="character" w:customStyle="1" w:styleId="100">
    <w:name w:val="批注框文本 Char1"/>
    <w:autoRedefine/>
    <w:qFormat/>
    <w:uiPriority w:val="0"/>
    <w:rPr>
      <w:kern w:val="2"/>
      <w:sz w:val="18"/>
      <w:szCs w:val="18"/>
    </w:rPr>
  </w:style>
  <w:style w:type="character" w:customStyle="1" w:styleId="101">
    <w:name w:val="标题 9 字符"/>
    <w:link w:val="10"/>
    <w:autoRedefine/>
    <w:qFormat/>
    <w:uiPriority w:val="9"/>
    <w:rPr>
      <w:rFonts w:ascii="Arial" w:hAnsi="Arial" w:eastAsia="黑体"/>
      <w:kern w:val="2"/>
      <w:sz w:val="24"/>
      <w:szCs w:val="24"/>
    </w:rPr>
  </w:style>
  <w:style w:type="character" w:customStyle="1" w:styleId="102">
    <w:name w:val="引用 Char"/>
    <w:autoRedefine/>
    <w:qFormat/>
    <w:uiPriority w:val="0"/>
    <w:rPr>
      <w:i/>
      <w:iCs/>
      <w:color w:val="000000"/>
      <w:kern w:val="2"/>
    </w:rPr>
  </w:style>
  <w:style w:type="character" w:customStyle="1" w:styleId="103">
    <w:name w:val="Char Char30"/>
    <w:autoRedefine/>
    <w:qFormat/>
    <w:uiPriority w:val="0"/>
    <w:rPr>
      <w:rFonts w:eastAsia="华文中宋"/>
      <w:b/>
      <w:bCs/>
      <w:kern w:val="2"/>
      <w:sz w:val="30"/>
      <w:szCs w:val="30"/>
      <w:lang w:val="en-US" w:eastAsia="zh-CN" w:bidi="ar-SA"/>
    </w:rPr>
  </w:style>
  <w:style w:type="character" w:customStyle="1" w:styleId="104">
    <w:name w:val="apple-style-span"/>
    <w:autoRedefine/>
    <w:qFormat/>
    <w:uiPriority w:val="0"/>
  </w:style>
  <w:style w:type="character" w:customStyle="1" w:styleId="105">
    <w:name w:val="标题 6 字符"/>
    <w:link w:val="7"/>
    <w:autoRedefine/>
    <w:qFormat/>
    <w:uiPriority w:val="9"/>
    <w:rPr>
      <w:rFonts w:ascii="Arial" w:hAnsi="Arial" w:eastAsia="黑体"/>
      <w:b/>
      <w:bCs/>
      <w:kern w:val="2"/>
      <w:sz w:val="24"/>
      <w:szCs w:val="24"/>
    </w:rPr>
  </w:style>
  <w:style w:type="character" w:customStyle="1" w:styleId="106">
    <w:name w:val="Char Char91"/>
    <w:autoRedefine/>
    <w:qFormat/>
    <w:uiPriority w:val="0"/>
    <w:rPr>
      <w:kern w:val="2"/>
      <w:sz w:val="21"/>
      <w:szCs w:val="22"/>
    </w:rPr>
  </w:style>
  <w:style w:type="character" w:customStyle="1" w:styleId="107">
    <w:name w:val="Char Char32"/>
    <w:autoRedefine/>
    <w:qFormat/>
    <w:uiPriority w:val="0"/>
    <w:rPr>
      <w:rFonts w:eastAsia="华文中宋"/>
      <w:b/>
      <w:bCs/>
      <w:kern w:val="44"/>
      <w:sz w:val="36"/>
      <w:szCs w:val="36"/>
      <w:lang w:val="en-US" w:eastAsia="zh-CN" w:bidi="ar-SA"/>
    </w:rPr>
  </w:style>
  <w:style w:type="character" w:customStyle="1" w:styleId="108">
    <w:name w:val="标题5 Char Char"/>
    <w:link w:val="109"/>
    <w:autoRedefine/>
    <w:qFormat/>
    <w:uiPriority w:val="0"/>
    <w:rPr>
      <w:rFonts w:ascii="Arial" w:hAnsi="Arial"/>
      <w:b/>
      <w:bCs/>
      <w:sz w:val="24"/>
      <w:szCs w:val="32"/>
    </w:rPr>
  </w:style>
  <w:style w:type="paragraph" w:customStyle="1" w:styleId="109">
    <w:name w:val="标题5"/>
    <w:basedOn w:val="4"/>
    <w:link w:val="108"/>
    <w:qFormat/>
    <w:uiPriority w:val="0"/>
    <w:pPr>
      <w:spacing w:before="260" w:after="260" w:line="413" w:lineRule="auto"/>
      <w:jc w:val="both"/>
    </w:pPr>
    <w:rPr>
      <w:rFonts w:ascii="Arial" w:hAnsi="Arial" w:eastAsia="宋体"/>
      <w:kern w:val="0"/>
      <w:sz w:val="24"/>
      <w:szCs w:val="32"/>
    </w:rPr>
  </w:style>
  <w:style w:type="character" w:customStyle="1" w:styleId="110">
    <w:name w:val="标题 3 字符1"/>
    <w:link w:val="4"/>
    <w:autoRedefine/>
    <w:qFormat/>
    <w:uiPriority w:val="0"/>
    <w:rPr>
      <w:rFonts w:eastAsia="华文中宋"/>
      <w:b/>
      <w:bCs/>
      <w:kern w:val="2"/>
      <w:sz w:val="30"/>
      <w:szCs w:val="30"/>
    </w:rPr>
  </w:style>
  <w:style w:type="character" w:customStyle="1" w:styleId="111">
    <w:name w:val="Char Char291"/>
    <w:autoRedefine/>
    <w:qFormat/>
    <w:uiPriority w:val="0"/>
    <w:rPr>
      <w:rFonts w:eastAsia="华文中宋"/>
      <w:b/>
      <w:bCs/>
      <w:kern w:val="2"/>
      <w:sz w:val="30"/>
      <w:szCs w:val="30"/>
      <w:lang w:val="en-US" w:eastAsia="zh-CN" w:bidi="ar-SA"/>
    </w:rPr>
  </w:style>
  <w:style w:type="character" w:customStyle="1" w:styleId="112">
    <w:name w:val="Char Char42"/>
    <w:autoRedefine/>
    <w:qFormat/>
    <w:uiPriority w:val="0"/>
    <w:rPr>
      <w:rFonts w:eastAsia="华文中宋"/>
      <w:b/>
      <w:bCs/>
      <w:kern w:val="44"/>
      <w:sz w:val="36"/>
      <w:szCs w:val="36"/>
      <w:lang w:val="en-US" w:eastAsia="zh-CN" w:bidi="ar-SA"/>
    </w:rPr>
  </w:style>
  <w:style w:type="character" w:customStyle="1" w:styleId="113">
    <w:name w:val="font01"/>
    <w:autoRedefine/>
    <w:qFormat/>
    <w:uiPriority w:val="0"/>
    <w:rPr>
      <w:rFonts w:hint="eastAsia" w:ascii="宋体" w:hAnsi="宋体" w:eastAsia="宋体" w:cs="宋体"/>
      <w:color w:val="000000"/>
      <w:sz w:val="20"/>
      <w:szCs w:val="20"/>
      <w:u w:val="none"/>
    </w:rPr>
  </w:style>
  <w:style w:type="character" w:customStyle="1" w:styleId="114">
    <w:name w:val="文档结构图 字符"/>
    <w:link w:val="18"/>
    <w:autoRedefine/>
    <w:qFormat/>
    <w:uiPriority w:val="99"/>
    <w:rPr>
      <w:kern w:val="2"/>
      <w:sz w:val="21"/>
      <w:szCs w:val="24"/>
      <w:shd w:val="clear" w:color="auto" w:fill="000080"/>
    </w:rPr>
  </w:style>
  <w:style w:type="character" w:customStyle="1" w:styleId="115">
    <w:name w:val="Char Char"/>
    <w:autoRedefine/>
    <w:qFormat/>
    <w:uiPriority w:val="0"/>
    <w:rPr>
      <w:rFonts w:ascii="Arial" w:hAnsi="Arial" w:eastAsia="宋体" w:cs="Arial"/>
      <w:sz w:val="11"/>
      <w:szCs w:val="11"/>
      <w:lang w:val="en-US" w:eastAsia="zh-CN" w:bidi="ar-SA"/>
    </w:rPr>
  </w:style>
  <w:style w:type="character" w:customStyle="1" w:styleId="116">
    <w:name w:val="Char Char26"/>
    <w:autoRedefine/>
    <w:qFormat/>
    <w:uiPriority w:val="0"/>
    <w:rPr>
      <w:rFonts w:eastAsia="宋体"/>
      <w:b/>
      <w:bCs/>
      <w:kern w:val="2"/>
      <w:sz w:val="24"/>
      <w:szCs w:val="24"/>
      <w:lang w:val="en-US" w:eastAsia="zh-CN" w:bidi="ar-SA"/>
    </w:rPr>
  </w:style>
  <w:style w:type="character" w:customStyle="1" w:styleId="117">
    <w:name w:val="批注文字 Char"/>
    <w:autoRedefine/>
    <w:qFormat/>
    <w:uiPriority w:val="0"/>
    <w:rPr>
      <w:rFonts w:ascii="Times New Roman" w:hAnsi="Times New Roman" w:eastAsia="宋体" w:cs="Times New Roman"/>
      <w:szCs w:val="24"/>
    </w:rPr>
  </w:style>
  <w:style w:type="character" w:customStyle="1" w:styleId="118">
    <w:name w:val="批注文字 字符"/>
    <w:link w:val="20"/>
    <w:autoRedefine/>
    <w:qFormat/>
    <w:uiPriority w:val="0"/>
    <w:rPr>
      <w:kern w:val="2"/>
      <w:sz w:val="21"/>
      <w:szCs w:val="24"/>
    </w:rPr>
  </w:style>
  <w:style w:type="character" w:customStyle="1" w:styleId="119">
    <w:name w:val="明显引用 Char"/>
    <w:autoRedefine/>
    <w:qFormat/>
    <w:uiPriority w:val="0"/>
    <w:rPr>
      <w:b/>
      <w:bCs/>
      <w:i/>
      <w:iCs/>
      <w:color w:val="4F81BD"/>
      <w:kern w:val="2"/>
    </w:rPr>
  </w:style>
  <w:style w:type="character" w:customStyle="1" w:styleId="120">
    <w:name w:val="正文文本 Char"/>
    <w:autoRedefine/>
    <w:qFormat/>
    <w:uiPriority w:val="0"/>
    <w:rPr>
      <w:rFonts w:ascii="Times New Roman" w:hAnsi="Times New Roman" w:eastAsia="宋体" w:cs="Times New Roman"/>
      <w:kern w:val="2"/>
      <w:sz w:val="21"/>
      <w:szCs w:val="24"/>
      <w:lang w:eastAsia="zh-CN" w:bidi="ar-SA"/>
    </w:rPr>
  </w:style>
  <w:style w:type="character" w:customStyle="1" w:styleId="121">
    <w:name w:val="正文文本 字符"/>
    <w:link w:val="24"/>
    <w:autoRedefine/>
    <w:qFormat/>
    <w:uiPriority w:val="99"/>
    <w:rPr>
      <w:snapToGrid w:val="0"/>
      <w:color w:val="FF0000"/>
      <w:sz w:val="24"/>
      <w:szCs w:val="21"/>
      <w:lang w:val="zh-CN"/>
    </w:rPr>
  </w:style>
  <w:style w:type="character" w:customStyle="1" w:styleId="122">
    <w:name w:val="HTML 预设格式 Char"/>
    <w:autoRedefine/>
    <w:qFormat/>
    <w:uiPriority w:val="0"/>
    <w:rPr>
      <w:rFonts w:ascii="Arial" w:hAnsi="Arial" w:cs="Arial"/>
      <w:sz w:val="11"/>
      <w:szCs w:val="11"/>
    </w:rPr>
  </w:style>
  <w:style w:type="character" w:customStyle="1" w:styleId="123">
    <w:name w:val="Char Char13"/>
    <w:autoRedefine/>
    <w:qFormat/>
    <w:uiPriority w:val="0"/>
    <w:rPr>
      <w:rFonts w:ascii="宋体" w:hAnsi="Courier New" w:eastAsia="宋体"/>
      <w:kern w:val="2"/>
      <w:sz w:val="21"/>
      <w:lang w:val="en-US" w:eastAsia="zh-CN" w:bidi="ar-SA"/>
    </w:rPr>
  </w:style>
  <w:style w:type="character" w:customStyle="1" w:styleId="124">
    <w:name w:val="Char Char28"/>
    <w:autoRedefine/>
    <w:qFormat/>
    <w:uiPriority w:val="0"/>
    <w:rPr>
      <w:rFonts w:eastAsia="华文中宋"/>
      <w:b/>
      <w:bCs/>
      <w:kern w:val="2"/>
      <w:sz w:val="28"/>
      <w:szCs w:val="32"/>
      <w:lang w:val="en-US" w:eastAsia="zh-CN" w:bidi="ar-SA"/>
    </w:rPr>
  </w:style>
  <w:style w:type="character" w:customStyle="1" w:styleId="125">
    <w:name w:val="正文文本 3 字符"/>
    <w:link w:val="22"/>
    <w:autoRedefine/>
    <w:qFormat/>
    <w:uiPriority w:val="0"/>
    <w:rPr>
      <w:kern w:val="2"/>
      <w:sz w:val="16"/>
      <w:szCs w:val="16"/>
    </w:rPr>
  </w:style>
  <w:style w:type="character" w:customStyle="1" w:styleId="126">
    <w:name w:val="BulletRoundIndentMorePlus Char"/>
    <w:link w:val="127"/>
    <w:autoRedefine/>
    <w:qFormat/>
    <w:uiPriority w:val="0"/>
    <w:rPr>
      <w:rFonts w:ascii="Univers" w:hAnsi="Univers" w:eastAsia="Century" w:cs="Tunga"/>
      <w:iCs/>
      <w:sz w:val="22"/>
      <w:lang w:val="zh-CN" w:bidi="zh-CN"/>
    </w:rPr>
  </w:style>
  <w:style w:type="paragraph" w:customStyle="1" w:styleId="127">
    <w:name w:val="BulletRoundIndentMorePlus"/>
    <w:basedOn w:val="1"/>
    <w:link w:val="126"/>
    <w:autoRedefine/>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8">
    <w:name w:val="日期 字符"/>
    <w:link w:val="36"/>
    <w:autoRedefine/>
    <w:qFormat/>
    <w:uiPriority w:val="0"/>
    <w:rPr>
      <w:kern w:val="2"/>
      <w:sz w:val="21"/>
      <w:szCs w:val="24"/>
    </w:rPr>
  </w:style>
  <w:style w:type="character" w:customStyle="1" w:styleId="129">
    <w:name w:val="标题 3 Char"/>
    <w:autoRedefine/>
    <w:qFormat/>
    <w:uiPriority w:val="0"/>
    <w:rPr>
      <w:i/>
      <w:iCs/>
      <w:smallCaps/>
      <w:spacing w:val="5"/>
      <w:sz w:val="26"/>
      <w:szCs w:val="26"/>
    </w:rPr>
  </w:style>
  <w:style w:type="character" w:customStyle="1" w:styleId="130">
    <w:name w:val="尾注文本 字符"/>
    <w:link w:val="38"/>
    <w:autoRedefine/>
    <w:qFormat/>
    <w:uiPriority w:val="0"/>
    <w:rPr>
      <w:kern w:val="2"/>
      <w:sz w:val="21"/>
      <w:szCs w:val="24"/>
    </w:rPr>
  </w:style>
  <w:style w:type="character" w:customStyle="1" w:styleId="131">
    <w:name w:val="font5 Char Char"/>
    <w:autoRedefine/>
    <w:qFormat/>
    <w:uiPriority w:val="0"/>
    <w:rPr>
      <w:rFonts w:cs="Arial Unicode MS"/>
      <w:sz w:val="24"/>
      <w:szCs w:val="24"/>
    </w:rPr>
  </w:style>
  <w:style w:type="character" w:customStyle="1" w:styleId="132">
    <w:name w:val="标题 6 Char"/>
    <w:autoRedefine/>
    <w:qFormat/>
    <w:uiPriority w:val="0"/>
    <w:rPr>
      <w:b/>
      <w:bCs/>
      <w:color w:val="595959"/>
      <w:spacing w:val="5"/>
      <w:shd w:val="clear" w:color="auto" w:fill="FFFFFF"/>
    </w:rPr>
  </w:style>
  <w:style w:type="character" w:customStyle="1" w:styleId="133">
    <w:name w:val="页脚 字符"/>
    <w:link w:val="40"/>
    <w:autoRedefine/>
    <w:qFormat/>
    <w:uiPriority w:val="0"/>
    <w:rPr>
      <w:kern w:val="2"/>
      <w:sz w:val="18"/>
      <w:szCs w:val="18"/>
    </w:rPr>
  </w:style>
  <w:style w:type="character" w:customStyle="1" w:styleId="134">
    <w:name w:val="Char Char38"/>
    <w:autoRedefine/>
    <w:qFormat/>
    <w:uiPriority w:val="0"/>
    <w:rPr>
      <w:rFonts w:ascii="Arial" w:hAnsi="Arial" w:cs="Arial"/>
      <w:b/>
      <w:bCs/>
      <w:kern w:val="2"/>
      <w:sz w:val="24"/>
      <w:szCs w:val="24"/>
    </w:rPr>
  </w:style>
  <w:style w:type="character" w:customStyle="1" w:styleId="135">
    <w:name w:val="标题 7 Char"/>
    <w:autoRedefine/>
    <w:qFormat/>
    <w:uiPriority w:val="0"/>
    <w:rPr>
      <w:b/>
      <w:bCs/>
      <w:i/>
      <w:iCs/>
      <w:color w:val="5A5A5A"/>
      <w:sz w:val="20"/>
      <w:szCs w:val="20"/>
    </w:rPr>
  </w:style>
  <w:style w:type="character" w:customStyle="1" w:styleId="136">
    <w:name w:val="脚注文本 字符"/>
    <w:link w:val="46"/>
    <w:autoRedefine/>
    <w:qFormat/>
    <w:uiPriority w:val="99"/>
    <w:rPr>
      <w:kern w:val="2"/>
      <w:sz w:val="18"/>
      <w:szCs w:val="18"/>
    </w:rPr>
  </w:style>
  <w:style w:type="character" w:customStyle="1" w:styleId="137">
    <w:name w:val="Char Char40"/>
    <w:autoRedefine/>
    <w:qFormat/>
    <w:uiPriority w:val="0"/>
    <w:rPr>
      <w:rFonts w:eastAsia="华文中宋"/>
      <w:b/>
      <w:bCs/>
      <w:kern w:val="2"/>
      <w:sz w:val="30"/>
      <w:szCs w:val="30"/>
      <w:lang w:val="en-US" w:eastAsia="zh-CN" w:bidi="ar-SA"/>
    </w:rPr>
  </w:style>
  <w:style w:type="character" w:customStyle="1" w:styleId="138">
    <w:name w:val="副标题 Char"/>
    <w:autoRedefine/>
    <w:qFormat/>
    <w:uiPriority w:val="0"/>
    <w:rPr>
      <w:i/>
      <w:iCs/>
      <w:smallCaps/>
      <w:spacing w:val="10"/>
      <w:sz w:val="28"/>
      <w:szCs w:val="28"/>
    </w:rPr>
  </w:style>
  <w:style w:type="character" w:customStyle="1" w:styleId="139">
    <w:name w:val="副标题 字符1"/>
    <w:link w:val="44"/>
    <w:autoRedefine/>
    <w:qFormat/>
    <w:uiPriority w:val="11"/>
    <w:rPr>
      <w:rFonts w:ascii="Cambria" w:hAnsi="Cambria"/>
      <w:b/>
      <w:bCs/>
      <w:kern w:val="28"/>
      <w:sz w:val="32"/>
      <w:szCs w:val="32"/>
    </w:rPr>
  </w:style>
  <w:style w:type="character" w:customStyle="1" w:styleId="140">
    <w:name w:val="正文文本 Char3"/>
    <w:autoRedefine/>
    <w:qFormat/>
    <w:uiPriority w:val="0"/>
    <w:rPr>
      <w:rFonts w:eastAsia="宋体"/>
      <w:kern w:val="2"/>
      <w:sz w:val="21"/>
      <w:szCs w:val="24"/>
      <w:lang w:val="en-US" w:eastAsia="zh-CN" w:bidi="ar-SA"/>
    </w:rPr>
  </w:style>
  <w:style w:type="character" w:customStyle="1" w:styleId="141">
    <w:name w:val="标题 8 Char"/>
    <w:autoRedefine/>
    <w:qFormat/>
    <w:uiPriority w:val="0"/>
    <w:rPr>
      <w:b/>
      <w:bCs/>
      <w:color w:val="7F7F7F"/>
      <w:sz w:val="20"/>
      <w:szCs w:val="20"/>
    </w:rPr>
  </w:style>
  <w:style w:type="character" w:customStyle="1" w:styleId="142">
    <w:name w:val="正文文本缩进 3 字符1"/>
    <w:link w:val="48"/>
    <w:autoRedefine/>
    <w:qFormat/>
    <w:uiPriority w:val="99"/>
    <w:rPr>
      <w:rFonts w:ascii="宋体" w:hAnsi="宋体"/>
      <w:color w:val="FF0000"/>
      <w:kern w:val="2"/>
      <w:sz w:val="21"/>
      <w:szCs w:val="24"/>
      <w:u w:val="single"/>
    </w:rPr>
  </w:style>
  <w:style w:type="character" w:customStyle="1" w:styleId="143">
    <w:name w:val="批注框文本 Char3"/>
    <w:autoRedefine/>
    <w:qFormat/>
    <w:uiPriority w:val="0"/>
    <w:rPr>
      <w:rFonts w:eastAsia="宋体"/>
      <w:kern w:val="2"/>
      <w:sz w:val="18"/>
      <w:szCs w:val="18"/>
      <w:lang w:val="en-US" w:eastAsia="zh-CN" w:bidi="ar-SA"/>
    </w:rPr>
  </w:style>
  <w:style w:type="character" w:customStyle="1" w:styleId="144">
    <w:name w:val="Char Char21"/>
    <w:autoRedefine/>
    <w:qFormat/>
    <w:uiPriority w:val="0"/>
    <w:rPr>
      <w:rFonts w:eastAsia="华文中宋"/>
      <w:b/>
      <w:bCs/>
      <w:kern w:val="44"/>
      <w:sz w:val="36"/>
      <w:szCs w:val="36"/>
      <w:lang w:val="en-US" w:eastAsia="zh-CN" w:bidi="ar-SA"/>
    </w:rPr>
  </w:style>
  <w:style w:type="character" w:customStyle="1" w:styleId="145">
    <w:name w:val="HTML 预设格式 字符"/>
    <w:autoRedefine/>
    <w:qFormat/>
    <w:uiPriority w:val="0"/>
    <w:rPr>
      <w:rFonts w:ascii="Courier New" w:hAnsi="Courier New" w:cs="Courier New"/>
      <w:kern w:val="2"/>
    </w:rPr>
  </w:style>
  <w:style w:type="character" w:customStyle="1" w:styleId="146">
    <w:name w:val="表格标题 Char Char"/>
    <w:qFormat/>
    <w:uiPriority w:val="0"/>
    <w:rPr>
      <w:rFonts w:eastAsia="宋体"/>
      <w:b/>
      <w:sz w:val="24"/>
      <w:lang w:val="en-US" w:eastAsia="zh-CN" w:bidi="ar-SA"/>
    </w:rPr>
  </w:style>
  <w:style w:type="character" w:customStyle="1" w:styleId="147">
    <w:name w:val="正文首行缩进 Char1"/>
    <w:autoRedefine/>
    <w:qFormat/>
    <w:uiPriority w:val="99"/>
    <w:rPr>
      <w:rFonts w:ascii="Times New Roman" w:hAnsi="Times New Roman" w:eastAsia="宋体" w:cs="Times New Roman"/>
      <w:kern w:val="2"/>
      <w:sz w:val="21"/>
      <w:szCs w:val="24"/>
      <w:lang w:val="en-US" w:eastAsia="zh-CN" w:bidi="ar-SA"/>
    </w:rPr>
  </w:style>
  <w:style w:type="character" w:customStyle="1" w:styleId="148">
    <w:name w:val="批注框文本 Char"/>
    <w:autoRedefine/>
    <w:qFormat/>
    <w:uiPriority w:val="0"/>
    <w:rPr>
      <w:rFonts w:ascii="Times New Roman" w:hAnsi="Times New Roman" w:eastAsia="宋体" w:cs="Times New Roman"/>
      <w:kern w:val="2"/>
      <w:sz w:val="18"/>
      <w:szCs w:val="18"/>
      <w:lang w:eastAsia="zh-CN" w:bidi="ar-SA"/>
    </w:rPr>
  </w:style>
  <w:style w:type="character" w:customStyle="1" w:styleId="149">
    <w:name w:val="普通(网站) 字符"/>
    <w:link w:val="54"/>
    <w:qFormat/>
    <w:uiPriority w:val="0"/>
    <w:rPr>
      <w:rFonts w:ascii="宋体" w:hAnsi="宋体"/>
      <w:sz w:val="24"/>
      <w:szCs w:val="24"/>
    </w:rPr>
  </w:style>
  <w:style w:type="character" w:customStyle="1" w:styleId="150">
    <w:name w:val="条标题1.1.1 Char"/>
    <w:autoRedefine/>
    <w:qFormat/>
    <w:uiPriority w:val="0"/>
    <w:rPr>
      <w:rFonts w:eastAsia="黑体"/>
      <w:b/>
      <w:sz w:val="24"/>
      <w:lang w:val="en-US" w:eastAsia="zh-CN" w:bidi="ar-SA"/>
    </w:rPr>
  </w:style>
  <w:style w:type="character" w:customStyle="1" w:styleId="151">
    <w:name w:val="标题 5 Char2"/>
    <w:autoRedefine/>
    <w:qFormat/>
    <w:uiPriority w:val="0"/>
    <w:rPr>
      <w:rFonts w:ascii="Arial" w:hAnsi="Arial" w:eastAsia="宋体" w:cs="Arial"/>
      <w:b/>
      <w:bCs/>
      <w:kern w:val="2"/>
      <w:sz w:val="24"/>
      <w:szCs w:val="24"/>
      <w:lang w:val="en-US" w:eastAsia="zh-CN" w:bidi="ar-SA"/>
    </w:rPr>
  </w:style>
  <w:style w:type="character" w:customStyle="1" w:styleId="152">
    <w:name w:val="style71"/>
    <w:autoRedefine/>
    <w:qFormat/>
    <w:uiPriority w:val="0"/>
    <w:rPr>
      <w:color w:val="000000"/>
      <w:sz w:val="18"/>
      <w:szCs w:val="18"/>
    </w:rPr>
  </w:style>
  <w:style w:type="character" w:customStyle="1" w:styleId="153">
    <w:name w:val="标题 字符"/>
    <w:autoRedefine/>
    <w:qFormat/>
    <w:uiPriority w:val="10"/>
    <w:rPr>
      <w:rFonts w:ascii="等线 Light" w:hAnsi="等线 Light" w:cs="Times New Roman"/>
      <w:b/>
      <w:bCs/>
      <w:kern w:val="2"/>
      <w:sz w:val="32"/>
      <w:szCs w:val="32"/>
    </w:rPr>
  </w:style>
  <w:style w:type="character" w:customStyle="1" w:styleId="154">
    <w:name w:val="须知小标题 Char Char"/>
    <w:link w:val="155"/>
    <w:autoRedefine/>
    <w:qFormat/>
    <w:uiPriority w:val="0"/>
    <w:rPr>
      <w:rFonts w:ascii="黑体" w:eastAsia="黑体"/>
      <w:b/>
      <w:sz w:val="28"/>
    </w:rPr>
  </w:style>
  <w:style w:type="paragraph" w:customStyle="1" w:styleId="155">
    <w:name w:val="须知小标题"/>
    <w:basedOn w:val="1"/>
    <w:link w:val="154"/>
    <w:autoRedefine/>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6">
    <w:name w:val="标题 4 Char3"/>
    <w:autoRedefine/>
    <w:qFormat/>
    <w:uiPriority w:val="0"/>
    <w:rPr>
      <w:rFonts w:eastAsia="华文中宋"/>
      <w:b/>
      <w:bCs/>
      <w:kern w:val="2"/>
      <w:sz w:val="28"/>
      <w:szCs w:val="32"/>
      <w:lang w:val="en-US" w:eastAsia="zh-CN" w:bidi="ar-SA"/>
    </w:rPr>
  </w:style>
  <w:style w:type="character" w:customStyle="1" w:styleId="157">
    <w:name w:val="页眉 Char"/>
    <w:autoRedefine/>
    <w:qFormat/>
    <w:uiPriority w:val="0"/>
    <w:rPr>
      <w:rFonts w:eastAsia="宋体"/>
      <w:kern w:val="2"/>
      <w:sz w:val="18"/>
      <w:szCs w:val="18"/>
      <w:lang w:eastAsia="zh-CN" w:bidi="ar-SA"/>
    </w:rPr>
  </w:style>
  <w:style w:type="character" w:customStyle="1" w:styleId="158">
    <w:name w:val="批注主题 字符"/>
    <w:link w:val="57"/>
    <w:autoRedefine/>
    <w:qFormat/>
    <w:uiPriority w:val="99"/>
    <w:rPr>
      <w:b/>
      <w:bCs/>
      <w:kern w:val="2"/>
      <w:sz w:val="21"/>
      <w:szCs w:val="24"/>
    </w:rPr>
  </w:style>
  <w:style w:type="character" w:customStyle="1" w:styleId="159">
    <w:name w:val="文档结构图 Char3"/>
    <w:autoRedefine/>
    <w:qFormat/>
    <w:uiPriority w:val="0"/>
    <w:rPr>
      <w:rFonts w:eastAsia="宋体"/>
      <w:kern w:val="2"/>
      <w:sz w:val="21"/>
      <w:szCs w:val="24"/>
      <w:lang w:val="en-US" w:eastAsia="zh-CN" w:bidi="ar-SA"/>
    </w:rPr>
  </w:style>
  <w:style w:type="character" w:customStyle="1" w:styleId="160">
    <w:name w:val="标题 8 Char1"/>
    <w:autoRedefine/>
    <w:qFormat/>
    <w:uiPriority w:val="0"/>
    <w:rPr>
      <w:rFonts w:ascii="Arial" w:hAnsi="Arial" w:eastAsia="黑体" w:cs="Arial"/>
      <w:kern w:val="2"/>
      <w:sz w:val="24"/>
      <w:szCs w:val="24"/>
      <w:lang w:val="en-US" w:eastAsia="zh-CN" w:bidi="ar-SA"/>
    </w:rPr>
  </w:style>
  <w:style w:type="character" w:customStyle="1" w:styleId="161">
    <w:name w:val="表格字体"/>
    <w:autoRedefine/>
    <w:qFormat/>
    <w:uiPriority w:val="0"/>
    <w:rPr>
      <w:rFonts w:ascii="Times New Roman" w:hAnsi="Times New Roman" w:eastAsia="宋体"/>
      <w:sz w:val="21"/>
      <w:szCs w:val="21"/>
    </w:rPr>
  </w:style>
  <w:style w:type="character" w:customStyle="1" w:styleId="162">
    <w:name w:val="标题 9 Char3"/>
    <w:autoRedefine/>
    <w:qFormat/>
    <w:uiPriority w:val="0"/>
    <w:rPr>
      <w:rFonts w:ascii="Arial" w:hAnsi="Arial" w:eastAsia="黑体" w:cs="Arial"/>
      <w:kern w:val="2"/>
      <w:sz w:val="24"/>
      <w:szCs w:val="24"/>
      <w:lang w:val="en-US" w:eastAsia="zh-CN" w:bidi="ar-SA"/>
    </w:rPr>
  </w:style>
  <w:style w:type="character" w:customStyle="1" w:styleId="163">
    <w:name w:val="批注框文本 Char2"/>
    <w:autoRedefine/>
    <w:qFormat/>
    <w:uiPriority w:val="0"/>
    <w:rPr>
      <w:rFonts w:eastAsia="宋体"/>
      <w:kern w:val="2"/>
      <w:sz w:val="18"/>
      <w:szCs w:val="18"/>
      <w:lang w:val="en-US" w:eastAsia="zh-CN" w:bidi="ar-SA"/>
    </w:rPr>
  </w:style>
  <w:style w:type="character" w:customStyle="1" w:styleId="164">
    <w:name w:val="bule1"/>
    <w:qFormat/>
    <w:uiPriority w:val="0"/>
    <w:rPr>
      <w:rFonts w:hint="default" w:ascii="ˎ̥" w:hAnsi="ˎ̥"/>
      <w:b/>
      <w:bCs/>
      <w:color w:val="3275B4"/>
      <w:sz w:val="24"/>
      <w:szCs w:val="24"/>
      <w:u w:val="none"/>
    </w:rPr>
  </w:style>
  <w:style w:type="character" w:customStyle="1" w:styleId="165">
    <w:name w:val="标题 3 Char2"/>
    <w:autoRedefine/>
    <w:qFormat/>
    <w:uiPriority w:val="0"/>
    <w:rPr>
      <w:rFonts w:eastAsia="华文中宋"/>
      <w:b/>
      <w:bCs/>
      <w:kern w:val="2"/>
      <w:sz w:val="30"/>
      <w:szCs w:val="30"/>
      <w:lang w:val="en-US" w:eastAsia="zh-CN" w:bidi="ar-SA"/>
    </w:rPr>
  </w:style>
  <w:style w:type="character" w:customStyle="1" w:styleId="166">
    <w:name w:val="标题 3 Char1"/>
    <w:autoRedefine/>
    <w:qFormat/>
    <w:uiPriority w:val="0"/>
    <w:rPr>
      <w:rFonts w:eastAsia="华文中宋"/>
      <w:b/>
      <w:bCs/>
      <w:kern w:val="2"/>
      <w:sz w:val="30"/>
      <w:szCs w:val="30"/>
      <w:lang w:val="en-US" w:eastAsia="zh-CN" w:bidi="ar-SA"/>
    </w:rPr>
  </w:style>
  <w:style w:type="character" w:customStyle="1" w:styleId="167">
    <w:name w:val="Char Char1"/>
    <w:autoRedefine/>
    <w:qFormat/>
    <w:locked/>
    <w:uiPriority w:val="0"/>
    <w:rPr>
      <w:rFonts w:ascii="宋体" w:hAnsi="Courier New" w:eastAsia="宋体"/>
      <w:kern w:val="2"/>
      <w:sz w:val="21"/>
      <w:lang w:val="en-US" w:eastAsia="zh-CN" w:bidi="ar-SA"/>
    </w:rPr>
  </w:style>
  <w:style w:type="character" w:customStyle="1" w:styleId="168">
    <w:name w:val="Char Char3"/>
    <w:autoRedefine/>
    <w:qFormat/>
    <w:uiPriority w:val="0"/>
    <w:rPr>
      <w:rFonts w:eastAsia="宋体"/>
      <w:sz w:val="18"/>
      <w:lang w:val="en-US" w:eastAsia="zh-CN" w:bidi="ar-SA"/>
    </w:rPr>
  </w:style>
  <w:style w:type="character" w:customStyle="1" w:styleId="169">
    <w:name w:val="标题 2 Char2"/>
    <w:autoRedefine/>
    <w:qFormat/>
    <w:uiPriority w:val="0"/>
    <w:rPr>
      <w:rFonts w:eastAsia="华文中宋"/>
      <w:b/>
      <w:bCs/>
      <w:kern w:val="2"/>
      <w:sz w:val="32"/>
      <w:szCs w:val="32"/>
      <w:lang w:val="en-US" w:eastAsia="zh-CN" w:bidi="ar-SA"/>
    </w:rPr>
  </w:style>
  <w:style w:type="character" w:customStyle="1" w:styleId="170">
    <w:name w:val="标题 2 Char1"/>
    <w:autoRedefine/>
    <w:qFormat/>
    <w:uiPriority w:val="0"/>
    <w:rPr>
      <w:rFonts w:eastAsia="华文中宋"/>
      <w:b/>
      <w:bCs/>
      <w:kern w:val="2"/>
      <w:sz w:val="32"/>
      <w:szCs w:val="32"/>
      <w:lang w:val="en-US" w:eastAsia="zh-CN" w:bidi="ar-SA"/>
    </w:rPr>
  </w:style>
  <w:style w:type="character" w:customStyle="1" w:styleId="171">
    <w:name w:val="content"/>
    <w:qFormat/>
    <w:uiPriority w:val="0"/>
  </w:style>
  <w:style w:type="character" w:customStyle="1" w:styleId="172">
    <w:name w:val="XL图名 Char"/>
    <w:link w:val="173"/>
    <w:autoRedefine/>
    <w:qFormat/>
    <w:uiPriority w:val="0"/>
    <w:rPr>
      <w:rFonts w:eastAsia="黑体"/>
      <w:szCs w:val="24"/>
    </w:rPr>
  </w:style>
  <w:style w:type="paragraph" w:customStyle="1" w:styleId="173">
    <w:name w:val="XL图名"/>
    <w:basedOn w:val="1"/>
    <w:link w:val="172"/>
    <w:autoRedefine/>
    <w:qFormat/>
    <w:uiPriority w:val="0"/>
    <w:pPr>
      <w:widowControl w:val="0"/>
      <w:adjustRightInd w:val="0"/>
      <w:snapToGrid w:val="0"/>
      <w:jc w:val="center"/>
    </w:pPr>
    <w:rPr>
      <w:rFonts w:eastAsia="黑体"/>
      <w:kern w:val="0"/>
      <w:sz w:val="20"/>
      <w:szCs w:val="24"/>
      <w:lang w:val="zh-CN"/>
    </w:rPr>
  </w:style>
  <w:style w:type="character" w:customStyle="1" w:styleId="174">
    <w:name w:val="批注主题 Char"/>
    <w:autoRedefine/>
    <w:qFormat/>
    <w:uiPriority w:val="0"/>
    <w:rPr>
      <w:rFonts w:eastAsia="宋体"/>
      <w:b/>
      <w:bCs/>
      <w:kern w:val="2"/>
      <w:sz w:val="21"/>
      <w:szCs w:val="24"/>
      <w:lang w:val="en-US" w:eastAsia="zh-CN" w:bidi="ar-SA"/>
    </w:rPr>
  </w:style>
  <w:style w:type="character" w:customStyle="1" w:styleId="175">
    <w:name w:val="批注文字 Char Char"/>
    <w:qFormat/>
    <w:uiPriority w:val="0"/>
    <w:rPr>
      <w:rFonts w:ascii="宋体" w:hAnsi="Times New Roman" w:eastAsia="宋体" w:cs="Times New Roman"/>
      <w:sz w:val="28"/>
      <w:szCs w:val="20"/>
    </w:rPr>
  </w:style>
  <w:style w:type="character" w:customStyle="1" w:styleId="176">
    <w:name w:val="标题 1 Char1"/>
    <w:autoRedefine/>
    <w:qFormat/>
    <w:uiPriority w:val="0"/>
    <w:rPr>
      <w:rFonts w:eastAsia="华文中宋"/>
      <w:b/>
      <w:bCs/>
      <w:kern w:val="44"/>
      <w:sz w:val="36"/>
      <w:szCs w:val="36"/>
      <w:lang w:val="en-US" w:eastAsia="zh-CN" w:bidi="ar-SA"/>
    </w:rPr>
  </w:style>
  <w:style w:type="character" w:customStyle="1" w:styleId="177">
    <w:name w:val="标题 9 Char"/>
    <w:qFormat/>
    <w:uiPriority w:val="0"/>
    <w:rPr>
      <w:rFonts w:ascii="Arial" w:hAnsi="Arial" w:eastAsia="黑体" w:cs="Arial"/>
      <w:kern w:val="2"/>
      <w:sz w:val="24"/>
      <w:szCs w:val="24"/>
      <w:lang w:val="en-US" w:eastAsia="zh-CN" w:bidi="ar-SA"/>
    </w:rPr>
  </w:style>
  <w:style w:type="character" w:customStyle="1" w:styleId="178">
    <w:name w:val="称呼 Char2"/>
    <w:autoRedefine/>
    <w:semiHidden/>
    <w:qFormat/>
    <w:uiPriority w:val="99"/>
    <w:rPr>
      <w:sz w:val="24"/>
      <w:szCs w:val="24"/>
    </w:rPr>
  </w:style>
  <w:style w:type="character" w:customStyle="1" w:styleId="179">
    <w:name w:val="脚注文本 Char"/>
    <w:autoRedefine/>
    <w:qFormat/>
    <w:uiPriority w:val="0"/>
    <w:rPr>
      <w:rFonts w:eastAsia="宋体"/>
      <w:kern w:val="2"/>
      <w:sz w:val="18"/>
      <w:szCs w:val="18"/>
      <w:lang w:val="en-US" w:eastAsia="zh-CN" w:bidi="ar-SA"/>
    </w:rPr>
  </w:style>
  <w:style w:type="character" w:customStyle="1" w:styleId="180">
    <w:name w:val="正文文本缩进 字符"/>
    <w:link w:val="25"/>
    <w:autoRedefine/>
    <w:qFormat/>
    <w:uiPriority w:val="0"/>
    <w:rPr>
      <w:kern w:val="2"/>
      <w:sz w:val="21"/>
      <w:szCs w:val="24"/>
    </w:rPr>
  </w:style>
  <w:style w:type="character" w:customStyle="1" w:styleId="181">
    <w:name w:val="标题 2 Char"/>
    <w:autoRedefine/>
    <w:qFormat/>
    <w:uiPriority w:val="0"/>
    <w:rPr>
      <w:smallCaps/>
      <w:sz w:val="28"/>
      <w:szCs w:val="28"/>
    </w:rPr>
  </w:style>
  <w:style w:type="character" w:customStyle="1" w:styleId="182">
    <w:name w:val="纯文本 Char"/>
    <w:autoRedefine/>
    <w:qFormat/>
    <w:uiPriority w:val="0"/>
    <w:rPr>
      <w:rFonts w:ascii="宋体" w:hAnsi="Courier New" w:eastAsia="宋体"/>
      <w:kern w:val="2"/>
      <w:sz w:val="21"/>
      <w:lang w:val="en-US" w:eastAsia="zh-CN" w:bidi="ar-SA"/>
    </w:rPr>
  </w:style>
  <w:style w:type="character" w:customStyle="1" w:styleId="183">
    <w:name w:val="yincang1"/>
    <w:autoRedefine/>
    <w:qFormat/>
    <w:uiPriority w:val="0"/>
    <w:rPr>
      <w:color w:val="FFFFFF"/>
      <w:sz w:val="15"/>
      <w:szCs w:val="15"/>
    </w:rPr>
  </w:style>
  <w:style w:type="character" w:customStyle="1" w:styleId="184">
    <w:name w:val="页眉 Char2"/>
    <w:autoRedefine/>
    <w:qFormat/>
    <w:uiPriority w:val="0"/>
    <w:rPr>
      <w:rFonts w:eastAsia="宋体"/>
      <w:kern w:val="2"/>
      <w:sz w:val="18"/>
      <w:szCs w:val="18"/>
      <w:lang w:val="en-US" w:eastAsia="zh-CN" w:bidi="ar-SA"/>
    </w:rPr>
  </w:style>
  <w:style w:type="character" w:customStyle="1" w:styleId="185">
    <w:name w:val="Char Char7"/>
    <w:qFormat/>
    <w:uiPriority w:val="0"/>
    <w:rPr>
      <w:rFonts w:eastAsia="宋体"/>
      <w:kern w:val="2"/>
      <w:sz w:val="18"/>
      <w:szCs w:val="18"/>
      <w:lang w:val="en-US" w:eastAsia="zh-CN" w:bidi="ar-SA"/>
    </w:rPr>
  </w:style>
  <w:style w:type="character" w:customStyle="1" w:styleId="186">
    <w:name w:val="标题 9 Char2"/>
    <w:qFormat/>
    <w:uiPriority w:val="0"/>
    <w:rPr>
      <w:rFonts w:ascii="Arial" w:hAnsi="Arial" w:eastAsia="黑体" w:cs="Arial"/>
      <w:kern w:val="2"/>
      <w:sz w:val="24"/>
      <w:szCs w:val="24"/>
      <w:lang w:val="en-US" w:eastAsia="zh-CN" w:bidi="ar-SA"/>
    </w:rPr>
  </w:style>
  <w:style w:type="character" w:customStyle="1" w:styleId="187">
    <w:name w:val="节2 Char"/>
    <w:autoRedefine/>
    <w:qFormat/>
    <w:uiPriority w:val="0"/>
    <w:rPr>
      <w:rFonts w:ascii="仿宋_GB2312" w:hAnsi="宋体" w:eastAsia="仿宋_GB2312"/>
      <w:b/>
      <w:kern w:val="58"/>
      <w:sz w:val="24"/>
      <w:szCs w:val="24"/>
      <w:lang w:val="en-US" w:eastAsia="zh-CN" w:bidi="ar-SA"/>
    </w:rPr>
  </w:style>
  <w:style w:type="character" w:customStyle="1" w:styleId="188">
    <w:name w:val="Char Char34"/>
    <w:autoRedefine/>
    <w:qFormat/>
    <w:uiPriority w:val="0"/>
    <w:rPr>
      <w:rFonts w:ascii="Cambria" w:hAnsi="Cambria"/>
      <w:b/>
      <w:bCs/>
      <w:kern w:val="2"/>
      <w:sz w:val="32"/>
      <w:szCs w:val="32"/>
      <w:lang w:bidi="ar-SA"/>
    </w:rPr>
  </w:style>
  <w:style w:type="character" w:customStyle="1" w:styleId="189">
    <w:name w:val="标题 1 字符"/>
    <w:link w:val="2"/>
    <w:autoRedefine/>
    <w:qFormat/>
    <w:uiPriority w:val="9"/>
    <w:rPr>
      <w:rFonts w:eastAsia="华文中宋"/>
      <w:b/>
      <w:bCs/>
      <w:kern w:val="44"/>
      <w:sz w:val="36"/>
      <w:szCs w:val="36"/>
    </w:rPr>
  </w:style>
  <w:style w:type="character" w:customStyle="1" w:styleId="190">
    <w:name w:val="正文文本缩进 2 Char2"/>
    <w:semiHidden/>
    <w:qFormat/>
    <w:uiPriority w:val="99"/>
    <w:rPr>
      <w:sz w:val="24"/>
      <w:szCs w:val="24"/>
    </w:rPr>
  </w:style>
  <w:style w:type="character" w:customStyle="1" w:styleId="191">
    <w:name w:val="标题 4 Char2"/>
    <w:autoRedefine/>
    <w:qFormat/>
    <w:uiPriority w:val="0"/>
    <w:rPr>
      <w:rFonts w:eastAsia="华文中宋"/>
      <w:b/>
      <w:bCs/>
      <w:kern w:val="2"/>
      <w:sz w:val="28"/>
      <w:szCs w:val="32"/>
      <w:lang w:val="en-US" w:eastAsia="zh-CN" w:bidi="ar-SA"/>
    </w:rPr>
  </w:style>
  <w:style w:type="character" w:customStyle="1" w:styleId="192">
    <w:name w:val="标题 3 字符"/>
    <w:autoRedefine/>
    <w:qFormat/>
    <w:uiPriority w:val="9"/>
    <w:rPr>
      <w:b/>
      <w:bCs/>
      <w:kern w:val="2"/>
      <w:sz w:val="32"/>
      <w:szCs w:val="32"/>
    </w:rPr>
  </w:style>
  <w:style w:type="character" w:customStyle="1" w:styleId="193">
    <w:name w:val="公告正文 Char Char"/>
    <w:link w:val="194"/>
    <w:autoRedefine/>
    <w:qFormat/>
    <w:uiPriority w:val="0"/>
    <w:rPr>
      <w:sz w:val="24"/>
      <w:szCs w:val="24"/>
    </w:rPr>
  </w:style>
  <w:style w:type="paragraph" w:customStyle="1" w:styleId="194">
    <w:name w:val="公告正文"/>
    <w:basedOn w:val="1"/>
    <w:link w:val="193"/>
    <w:autoRedefine/>
    <w:qFormat/>
    <w:uiPriority w:val="0"/>
    <w:pPr>
      <w:widowControl w:val="0"/>
      <w:adjustRightInd w:val="0"/>
      <w:snapToGrid w:val="0"/>
      <w:spacing w:line="400" w:lineRule="atLeast"/>
      <w:ind w:firstLine="437"/>
    </w:pPr>
    <w:rPr>
      <w:kern w:val="0"/>
      <w:sz w:val="24"/>
      <w:szCs w:val="24"/>
      <w:lang w:val="zh-CN"/>
    </w:rPr>
  </w:style>
  <w:style w:type="character" w:customStyle="1" w:styleId="195">
    <w:name w:val="批注主题 字符1"/>
    <w:autoRedefine/>
    <w:semiHidden/>
    <w:qFormat/>
    <w:uiPriority w:val="99"/>
    <w:rPr>
      <w:rFonts w:cs="Times New Roman"/>
      <w:b/>
      <w:bCs/>
      <w:kern w:val="2"/>
      <w:szCs w:val="24"/>
    </w:rPr>
  </w:style>
  <w:style w:type="character" w:customStyle="1" w:styleId="196">
    <w:name w:val="标题 6 Char1"/>
    <w:autoRedefine/>
    <w:qFormat/>
    <w:uiPriority w:val="0"/>
    <w:rPr>
      <w:rFonts w:ascii="Arial" w:hAnsi="Arial" w:eastAsia="黑体" w:cs="Arial"/>
      <w:b/>
      <w:bCs/>
      <w:kern w:val="2"/>
      <w:sz w:val="24"/>
      <w:szCs w:val="24"/>
      <w:lang w:val="en-US" w:eastAsia="zh-CN" w:bidi="ar-SA"/>
    </w:rPr>
  </w:style>
  <w:style w:type="character" w:customStyle="1" w:styleId="197">
    <w:name w:val="称呼 字符"/>
    <w:link w:val="21"/>
    <w:qFormat/>
    <w:uiPriority w:val="0"/>
    <w:rPr>
      <w:spacing w:val="12"/>
      <w:sz w:val="28"/>
      <w:szCs w:val="24"/>
    </w:rPr>
  </w:style>
  <w:style w:type="character" w:customStyle="1" w:styleId="198">
    <w:name w:val="样式9 Char"/>
    <w:link w:val="199"/>
    <w:qFormat/>
    <w:locked/>
    <w:uiPriority w:val="0"/>
    <w:rPr>
      <w:rFonts w:ascii="宋体" w:hAnsi="宋体"/>
      <w:sz w:val="28"/>
      <w:szCs w:val="28"/>
    </w:rPr>
  </w:style>
  <w:style w:type="paragraph" w:customStyle="1" w:styleId="199">
    <w:name w:val="样式9"/>
    <w:basedOn w:val="1"/>
    <w:link w:val="198"/>
    <w:autoRedefine/>
    <w:qFormat/>
    <w:uiPriority w:val="0"/>
    <w:pPr>
      <w:widowControl w:val="0"/>
      <w:spacing w:line="240" w:lineRule="auto"/>
      <w:jc w:val="center"/>
      <w:outlineLvl w:val="1"/>
    </w:pPr>
    <w:rPr>
      <w:rFonts w:ascii="宋体" w:hAnsi="宋体"/>
      <w:kern w:val="0"/>
      <w:sz w:val="28"/>
      <w:szCs w:val="28"/>
      <w:lang w:val="zh-CN"/>
    </w:rPr>
  </w:style>
  <w:style w:type="character" w:customStyle="1" w:styleId="200">
    <w:name w:val="Char Char211"/>
    <w:qFormat/>
    <w:uiPriority w:val="0"/>
    <w:rPr>
      <w:rFonts w:eastAsia="华文中宋"/>
      <w:b/>
      <w:bCs/>
      <w:kern w:val="44"/>
      <w:sz w:val="36"/>
      <w:szCs w:val="36"/>
      <w:lang w:val="en-US" w:eastAsia="zh-CN" w:bidi="ar-SA"/>
    </w:rPr>
  </w:style>
  <w:style w:type="character" w:customStyle="1" w:styleId="201">
    <w:name w:val="Char Char35"/>
    <w:autoRedefine/>
    <w:qFormat/>
    <w:uiPriority w:val="0"/>
    <w:rPr>
      <w:rFonts w:ascii="Arial" w:hAnsi="Arial" w:eastAsia="黑体" w:cs="Arial"/>
      <w:kern w:val="2"/>
      <w:sz w:val="24"/>
      <w:szCs w:val="24"/>
    </w:rPr>
  </w:style>
  <w:style w:type="character" w:customStyle="1" w:styleId="202">
    <w:name w:val="正文缩进 字符"/>
    <w:link w:val="15"/>
    <w:autoRedefine/>
    <w:qFormat/>
    <w:uiPriority w:val="0"/>
    <w:rPr>
      <w:sz w:val="24"/>
    </w:rPr>
  </w:style>
  <w:style w:type="character" w:customStyle="1" w:styleId="203">
    <w:name w:val="称呼 Char"/>
    <w:autoRedefine/>
    <w:qFormat/>
    <w:uiPriority w:val="0"/>
    <w:rPr>
      <w:spacing w:val="12"/>
      <w:kern w:val="2"/>
      <w:sz w:val="28"/>
      <w:szCs w:val="24"/>
    </w:rPr>
  </w:style>
  <w:style w:type="character" w:customStyle="1" w:styleId="204">
    <w:name w:val="标题 7 字符"/>
    <w:link w:val="8"/>
    <w:autoRedefine/>
    <w:qFormat/>
    <w:uiPriority w:val="9"/>
    <w:rPr>
      <w:b/>
      <w:bCs/>
      <w:kern w:val="2"/>
      <w:sz w:val="24"/>
      <w:szCs w:val="24"/>
    </w:rPr>
  </w:style>
  <w:style w:type="character" w:customStyle="1" w:styleId="205">
    <w:name w:val="样式 标题 2 + (符号) 宋体 Char Char"/>
    <w:link w:val="206"/>
    <w:autoRedefine/>
    <w:qFormat/>
    <w:uiPriority w:val="0"/>
    <w:rPr>
      <w:b/>
      <w:sz w:val="32"/>
      <w:szCs w:val="28"/>
    </w:rPr>
  </w:style>
  <w:style w:type="paragraph" w:customStyle="1" w:styleId="206">
    <w:name w:val="样式 标题 2 + (符号) 宋体"/>
    <w:basedOn w:val="3"/>
    <w:link w:val="205"/>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7">
    <w:name w:val="标题 5 字符"/>
    <w:link w:val="6"/>
    <w:autoRedefine/>
    <w:qFormat/>
    <w:uiPriority w:val="9"/>
    <w:rPr>
      <w:rFonts w:ascii="Arial" w:hAnsi="Arial"/>
      <w:b/>
      <w:bCs/>
      <w:kern w:val="2"/>
      <w:sz w:val="24"/>
      <w:szCs w:val="24"/>
    </w:rPr>
  </w:style>
  <w:style w:type="character" w:customStyle="1" w:styleId="208">
    <w:name w:val="表格内容 Char Char Char"/>
    <w:autoRedefine/>
    <w:qFormat/>
    <w:uiPriority w:val="0"/>
    <w:rPr>
      <w:rFonts w:eastAsia="宋体"/>
      <w:color w:val="000000"/>
      <w:sz w:val="24"/>
      <w:szCs w:val="24"/>
      <w:lang w:val="en-US" w:eastAsia="zh-CN" w:bidi="ar-SA"/>
    </w:rPr>
  </w:style>
  <w:style w:type="character" w:customStyle="1" w:styleId="209">
    <w:name w:val="标题4 Char Char"/>
    <w:link w:val="210"/>
    <w:autoRedefine/>
    <w:qFormat/>
    <w:uiPriority w:val="0"/>
    <w:rPr>
      <w:rFonts w:ascii="Arial" w:hAnsi="Arial"/>
      <w:b/>
      <w:bCs/>
      <w:sz w:val="24"/>
      <w:szCs w:val="32"/>
    </w:rPr>
  </w:style>
  <w:style w:type="paragraph" w:customStyle="1" w:styleId="210">
    <w:name w:val="标题4"/>
    <w:basedOn w:val="3"/>
    <w:next w:val="30"/>
    <w:link w:val="209"/>
    <w:autoRedefine/>
    <w:qFormat/>
    <w:uiPriority w:val="0"/>
    <w:pPr>
      <w:spacing w:before="260" w:after="260" w:line="413" w:lineRule="auto"/>
      <w:jc w:val="both"/>
    </w:pPr>
    <w:rPr>
      <w:rFonts w:ascii="Arial" w:hAnsi="Arial" w:eastAsia="宋体"/>
      <w:kern w:val="0"/>
      <w:sz w:val="24"/>
    </w:rPr>
  </w:style>
  <w:style w:type="character" w:customStyle="1" w:styleId="211">
    <w:name w:val="正文文本缩进 2 Char1"/>
    <w:autoRedefine/>
    <w:qFormat/>
    <w:uiPriority w:val="0"/>
    <w:rPr>
      <w:rFonts w:eastAsia="宋体"/>
      <w:kern w:val="2"/>
      <w:sz w:val="21"/>
      <w:szCs w:val="24"/>
      <w:lang w:val="en-US" w:eastAsia="zh-CN" w:bidi="ar-SA"/>
    </w:rPr>
  </w:style>
  <w:style w:type="character" w:customStyle="1" w:styleId="212">
    <w:name w:val="textcontents"/>
    <w:autoRedefine/>
    <w:qFormat/>
    <w:uiPriority w:val="0"/>
    <w:rPr>
      <w:rFonts w:cs="Times New Roman"/>
    </w:rPr>
  </w:style>
  <w:style w:type="character" w:customStyle="1" w:styleId="213">
    <w:name w:val="标题 4 Char Char Char Char"/>
    <w:autoRedefine/>
    <w:qFormat/>
    <w:uiPriority w:val="0"/>
    <w:rPr>
      <w:rFonts w:eastAsia="楷体_GB2312"/>
      <w:b/>
      <w:snapToGrid w:val="0"/>
      <w:sz w:val="24"/>
      <w:lang w:val="en-US" w:eastAsia="zh-CN" w:bidi="ar-SA"/>
    </w:rPr>
  </w:style>
  <w:style w:type="character" w:customStyle="1" w:styleId="214">
    <w:name w:val="正文文本 3 Char1"/>
    <w:autoRedefine/>
    <w:qFormat/>
    <w:uiPriority w:val="99"/>
    <w:rPr>
      <w:rFonts w:ascii="宋体" w:eastAsia="宋体"/>
      <w:kern w:val="2"/>
      <w:sz w:val="24"/>
      <w:lang w:val="en-US" w:eastAsia="zh-CN" w:bidi="ar-SA"/>
    </w:rPr>
  </w:style>
  <w:style w:type="character" w:customStyle="1" w:styleId="215">
    <w:name w:val="引用 字符1"/>
    <w:link w:val="216"/>
    <w:autoRedefine/>
    <w:qFormat/>
    <w:uiPriority w:val="29"/>
    <w:rPr>
      <w:i/>
      <w:iCs/>
      <w:color w:val="000000"/>
      <w:kern w:val="2"/>
      <w:sz w:val="21"/>
      <w:szCs w:val="22"/>
    </w:rPr>
  </w:style>
  <w:style w:type="paragraph" w:styleId="216">
    <w:name w:val="Quote"/>
    <w:basedOn w:val="1"/>
    <w:next w:val="1"/>
    <w:link w:val="215"/>
    <w:autoRedefine/>
    <w:qFormat/>
    <w:uiPriority w:val="29"/>
    <w:pPr>
      <w:widowControl w:val="0"/>
      <w:spacing w:line="240" w:lineRule="auto"/>
    </w:pPr>
    <w:rPr>
      <w:i/>
      <w:iCs/>
      <w:color w:val="000000"/>
      <w:lang w:val="zh-CN"/>
    </w:rPr>
  </w:style>
  <w:style w:type="character" w:customStyle="1" w:styleId="217">
    <w:name w:val="正文文本缩进 2 字符1"/>
    <w:autoRedefine/>
    <w:semiHidden/>
    <w:qFormat/>
    <w:uiPriority w:val="99"/>
    <w:rPr>
      <w:rFonts w:cs="Times New Roman"/>
      <w:kern w:val="2"/>
      <w:szCs w:val="24"/>
    </w:rPr>
  </w:style>
  <w:style w:type="character" w:customStyle="1" w:styleId="218">
    <w:name w:val="明显引用 字符1"/>
    <w:link w:val="219"/>
    <w:autoRedefine/>
    <w:qFormat/>
    <w:uiPriority w:val="30"/>
    <w:rPr>
      <w:b/>
      <w:bCs/>
      <w:i/>
      <w:iCs/>
      <w:color w:val="4F81BD"/>
      <w:kern w:val="2"/>
      <w:sz w:val="21"/>
      <w:szCs w:val="22"/>
    </w:rPr>
  </w:style>
  <w:style w:type="paragraph" w:styleId="219">
    <w:name w:val="Intense Quote"/>
    <w:basedOn w:val="1"/>
    <w:next w:val="1"/>
    <w:link w:val="218"/>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20">
    <w:name w:val="表格标题 Char"/>
    <w:autoRedefine/>
    <w:qFormat/>
    <w:uiPriority w:val="0"/>
    <w:rPr>
      <w:rFonts w:eastAsia="宋体"/>
      <w:b/>
      <w:kern w:val="2"/>
      <w:sz w:val="24"/>
      <w:szCs w:val="24"/>
      <w:lang w:val="en-US" w:eastAsia="zh-CN" w:bidi="ar-SA"/>
    </w:rPr>
  </w:style>
  <w:style w:type="character" w:customStyle="1" w:styleId="221">
    <w:name w:val="脚注文本 字符1"/>
    <w:autoRedefine/>
    <w:semiHidden/>
    <w:qFormat/>
    <w:uiPriority w:val="99"/>
    <w:rPr>
      <w:rFonts w:cs="Times New Roman"/>
      <w:kern w:val="2"/>
      <w:sz w:val="18"/>
      <w:szCs w:val="18"/>
    </w:rPr>
  </w:style>
  <w:style w:type="character" w:customStyle="1" w:styleId="222">
    <w:name w:val="Char Char6"/>
    <w:autoRedefine/>
    <w:qFormat/>
    <w:uiPriority w:val="0"/>
    <w:rPr>
      <w:rFonts w:ascii="Arial" w:hAnsi="Arial" w:eastAsia="黑体"/>
      <w:b/>
      <w:kern w:val="2"/>
      <w:sz w:val="32"/>
      <w:lang w:val="en-US" w:eastAsia="zh-CN" w:bidi="ar-SA"/>
    </w:rPr>
  </w:style>
  <w:style w:type="character" w:customStyle="1" w:styleId="223">
    <w:name w:val="正文文本 3 字符1"/>
    <w:autoRedefine/>
    <w:semiHidden/>
    <w:qFormat/>
    <w:uiPriority w:val="99"/>
    <w:rPr>
      <w:rFonts w:cs="Times New Roman"/>
      <w:kern w:val="2"/>
      <w:sz w:val="16"/>
      <w:szCs w:val="16"/>
    </w:rPr>
  </w:style>
  <w:style w:type="character" w:customStyle="1" w:styleId="224">
    <w:name w:val="正文文本缩进 2 字符"/>
    <w:link w:val="37"/>
    <w:autoRedefine/>
    <w:qFormat/>
    <w:uiPriority w:val="0"/>
    <w:rPr>
      <w:kern w:val="2"/>
      <w:sz w:val="21"/>
      <w:szCs w:val="24"/>
    </w:rPr>
  </w:style>
  <w:style w:type="character" w:customStyle="1" w:styleId="225">
    <w:name w:val="正文1 Char Char"/>
    <w:autoRedefine/>
    <w:qFormat/>
    <w:uiPriority w:val="0"/>
    <w:rPr>
      <w:rFonts w:ascii="Arial" w:hAnsi="Arial" w:eastAsia="黑体" w:cs="Arial"/>
      <w:b/>
      <w:bCs/>
      <w:kern w:val="2"/>
      <w:sz w:val="24"/>
      <w:szCs w:val="24"/>
      <w:lang w:val="en-US" w:eastAsia="zh-CN" w:bidi="ar-SA"/>
    </w:rPr>
  </w:style>
  <w:style w:type="character" w:customStyle="1" w:styleId="226">
    <w:name w:val="Char Char29"/>
    <w:autoRedefine/>
    <w:qFormat/>
    <w:uiPriority w:val="0"/>
    <w:rPr>
      <w:rFonts w:eastAsia="华文中宋"/>
      <w:b/>
      <w:bCs/>
      <w:kern w:val="2"/>
      <w:sz w:val="30"/>
      <w:szCs w:val="30"/>
      <w:lang w:val="en-US" w:eastAsia="zh-CN" w:bidi="ar-SA"/>
    </w:rPr>
  </w:style>
  <w:style w:type="character" w:customStyle="1" w:styleId="227">
    <w:name w:val="正文文字 Char"/>
    <w:autoRedefine/>
    <w:qFormat/>
    <w:uiPriority w:val="0"/>
    <w:rPr>
      <w:rFonts w:ascii="宋体" w:eastAsia="宋体"/>
      <w:kern w:val="2"/>
      <w:sz w:val="28"/>
      <w:lang w:val="en-US" w:eastAsia="zh-CN" w:bidi="ar-SA"/>
    </w:rPr>
  </w:style>
  <w:style w:type="character" w:customStyle="1" w:styleId="228">
    <w:name w:val="页眉 字符"/>
    <w:link w:val="41"/>
    <w:autoRedefine/>
    <w:qFormat/>
    <w:uiPriority w:val="0"/>
    <w:rPr>
      <w:kern w:val="2"/>
      <w:sz w:val="18"/>
      <w:szCs w:val="18"/>
      <w:lang w:val="en-US" w:eastAsia="zh-CN" w:bidi="ar-SA"/>
    </w:rPr>
  </w:style>
  <w:style w:type="character" w:customStyle="1" w:styleId="229">
    <w:name w:val="表格内容 Char Char1"/>
    <w:autoRedefine/>
    <w:qFormat/>
    <w:uiPriority w:val="0"/>
    <w:rPr>
      <w:rFonts w:eastAsia="宋体"/>
      <w:color w:val="000000"/>
      <w:sz w:val="24"/>
      <w:szCs w:val="24"/>
      <w:lang w:val="en-US" w:eastAsia="zh-CN" w:bidi="ar-SA"/>
    </w:rPr>
  </w:style>
  <w:style w:type="character" w:customStyle="1" w:styleId="230">
    <w:name w:val="副标题 字符"/>
    <w:autoRedefine/>
    <w:qFormat/>
    <w:uiPriority w:val="11"/>
    <w:rPr>
      <w:rFonts w:ascii="等线 Light" w:hAnsi="等线 Light" w:cs="Times New Roman"/>
      <w:b/>
      <w:bCs/>
      <w:kern w:val="28"/>
      <w:sz w:val="32"/>
      <w:szCs w:val="32"/>
    </w:rPr>
  </w:style>
  <w:style w:type="character" w:customStyle="1" w:styleId="231">
    <w:name w:val="正文文本缩进 3 字符"/>
    <w:autoRedefine/>
    <w:qFormat/>
    <w:uiPriority w:val="0"/>
    <w:rPr>
      <w:kern w:val="2"/>
      <w:sz w:val="16"/>
      <w:szCs w:val="16"/>
    </w:rPr>
  </w:style>
  <w:style w:type="character" w:customStyle="1" w:styleId="232">
    <w:name w:val="样式 粉红"/>
    <w:autoRedefine/>
    <w:qFormat/>
    <w:uiPriority w:val="0"/>
    <w:rPr>
      <w:color w:val="auto"/>
      <w:u w:val="none"/>
    </w:rPr>
  </w:style>
  <w:style w:type="character" w:customStyle="1" w:styleId="233">
    <w:name w:val="正文文本首行缩进 2 字符"/>
    <w:basedOn w:val="180"/>
    <w:link w:val="59"/>
    <w:autoRedefine/>
    <w:qFormat/>
    <w:uiPriority w:val="0"/>
    <w:rPr>
      <w:kern w:val="2"/>
      <w:sz w:val="21"/>
      <w:szCs w:val="24"/>
    </w:rPr>
  </w:style>
  <w:style w:type="character" w:customStyle="1" w:styleId="234">
    <w:name w:val="表后文"/>
    <w:autoRedefine/>
    <w:qFormat/>
    <w:uiPriority w:val="0"/>
    <w:rPr>
      <w:rFonts w:eastAsia="宋体"/>
      <w:sz w:val="24"/>
      <w:lang w:val="en-US" w:eastAsia="zh-CN" w:bidi="ar-SA"/>
    </w:rPr>
  </w:style>
  <w:style w:type="character" w:customStyle="1" w:styleId="235">
    <w:name w:val="zbggmain style9"/>
    <w:autoRedefine/>
    <w:qFormat/>
    <w:uiPriority w:val="0"/>
  </w:style>
  <w:style w:type="character" w:customStyle="1" w:styleId="236">
    <w:name w:val="首行缩进两字 Char2"/>
    <w:autoRedefine/>
    <w:qFormat/>
    <w:uiPriority w:val="0"/>
    <w:rPr>
      <w:sz w:val="24"/>
    </w:rPr>
  </w:style>
  <w:style w:type="character" w:customStyle="1" w:styleId="237">
    <w:name w:val="正文文本 字符1"/>
    <w:autoRedefine/>
    <w:semiHidden/>
    <w:qFormat/>
    <w:uiPriority w:val="99"/>
    <w:rPr>
      <w:rFonts w:cs="Times New Roman"/>
      <w:kern w:val="2"/>
      <w:szCs w:val="24"/>
    </w:rPr>
  </w:style>
  <w:style w:type="character" w:customStyle="1" w:styleId="238">
    <w:name w:val="正文首行缩进 2 Char1"/>
    <w:autoRedefine/>
    <w:semiHidden/>
    <w:qFormat/>
    <w:uiPriority w:val="99"/>
    <w:rPr>
      <w:kern w:val="2"/>
      <w:sz w:val="24"/>
      <w:szCs w:val="24"/>
    </w:rPr>
  </w:style>
  <w:style w:type="character" w:customStyle="1" w:styleId="239">
    <w:name w:val="题注 字符"/>
    <w:link w:val="16"/>
    <w:autoRedefine/>
    <w:qFormat/>
    <w:locked/>
    <w:uiPriority w:val="0"/>
    <w:rPr>
      <w:rFonts w:ascii="Cambria" w:hAnsi="Cambria" w:eastAsia="黑体"/>
      <w:kern w:val="2"/>
    </w:rPr>
  </w:style>
  <w:style w:type="character" w:customStyle="1" w:styleId="240">
    <w:name w:val="尾注文本 字符1"/>
    <w:autoRedefine/>
    <w:semiHidden/>
    <w:uiPriority w:val="99"/>
    <w:rPr>
      <w:rFonts w:cs="Times New Roman"/>
      <w:kern w:val="0"/>
      <w:sz w:val="24"/>
      <w:szCs w:val="24"/>
    </w:rPr>
  </w:style>
  <w:style w:type="character" w:customStyle="1" w:styleId="241">
    <w:name w:val="引文目录标题 字符"/>
    <w:link w:val="19"/>
    <w:autoRedefine/>
    <w:uiPriority w:val="0"/>
    <w:rPr>
      <w:rFonts w:ascii="Arial" w:hAnsi="Arial"/>
      <w:kern w:val="2"/>
      <w:sz w:val="24"/>
      <w:szCs w:val="24"/>
    </w:rPr>
  </w:style>
  <w:style w:type="character" w:customStyle="1" w:styleId="242">
    <w:name w:val="Char Char112"/>
    <w:autoRedefine/>
    <w:uiPriority w:val="0"/>
    <w:rPr>
      <w:rFonts w:ascii="宋体" w:hAnsi="Courier New" w:eastAsia="宋体"/>
      <w:kern w:val="2"/>
      <w:sz w:val="21"/>
      <w:lang w:val="en-US" w:eastAsia="zh-CN" w:bidi="ar-SA"/>
    </w:rPr>
  </w:style>
  <w:style w:type="character" w:customStyle="1" w:styleId="243">
    <w:name w:val="纯文本 字符"/>
    <w:link w:val="33"/>
    <w:qFormat/>
    <w:uiPriority w:val="0"/>
    <w:rPr>
      <w:rFonts w:ascii="宋体" w:hAnsi="Courier New"/>
      <w:kern w:val="2"/>
      <w:sz w:val="21"/>
    </w:rPr>
  </w:style>
  <w:style w:type="character" w:customStyle="1" w:styleId="244">
    <w:name w:val="正文1 Char Char1"/>
    <w:autoRedefine/>
    <w:uiPriority w:val="0"/>
    <w:rPr>
      <w:rFonts w:ascii="Arial" w:hAnsi="Arial" w:eastAsia="黑体" w:cs="Arial"/>
      <w:b/>
      <w:bCs/>
      <w:kern w:val="2"/>
      <w:sz w:val="24"/>
      <w:szCs w:val="24"/>
    </w:rPr>
  </w:style>
  <w:style w:type="character" w:customStyle="1" w:styleId="245">
    <w:name w:val="批注框文本 字符"/>
    <w:link w:val="39"/>
    <w:qFormat/>
    <w:uiPriority w:val="0"/>
    <w:rPr>
      <w:kern w:val="2"/>
      <w:sz w:val="18"/>
      <w:szCs w:val="18"/>
    </w:rPr>
  </w:style>
  <w:style w:type="character" w:customStyle="1" w:styleId="246">
    <w:name w:val="正文文本首行缩进 字符"/>
    <w:basedOn w:val="121"/>
    <w:link w:val="58"/>
    <w:autoRedefine/>
    <w:qFormat/>
    <w:uiPriority w:val="0"/>
    <w:rPr>
      <w:snapToGrid w:val="0"/>
      <w:color w:val="FF0000"/>
      <w:kern w:val="2"/>
      <w:sz w:val="21"/>
      <w:szCs w:val="24"/>
      <w:lang w:val="zh-CN"/>
    </w:rPr>
  </w:style>
  <w:style w:type="character" w:customStyle="1" w:styleId="247">
    <w:name w:val="htd01"/>
    <w:uiPriority w:val="0"/>
  </w:style>
  <w:style w:type="character" w:customStyle="1" w:styleId="248">
    <w:name w:val="content1"/>
    <w:qFormat/>
    <w:uiPriority w:val="0"/>
    <w:rPr>
      <w:rFonts w:hint="eastAsia" w:ascii="宋体" w:hAnsi="宋体" w:eastAsia="宋体"/>
      <w:sz w:val="21"/>
      <w:szCs w:val="21"/>
      <w:u w:val="none"/>
    </w:rPr>
  </w:style>
  <w:style w:type="character" w:customStyle="1" w:styleId="249">
    <w:name w:val="HTML 预设格式 字符1"/>
    <w:link w:val="53"/>
    <w:autoRedefine/>
    <w:uiPriority w:val="0"/>
    <w:rPr>
      <w:rFonts w:ascii="Arial" w:hAnsi="Arial"/>
      <w:sz w:val="11"/>
      <w:szCs w:val="11"/>
    </w:rPr>
  </w:style>
  <w:style w:type="character" w:customStyle="1" w:styleId="250">
    <w:name w:val="正文文本 2 字符"/>
    <w:link w:val="52"/>
    <w:qFormat/>
    <w:uiPriority w:val="99"/>
    <w:rPr>
      <w:kern w:val="2"/>
      <w:sz w:val="21"/>
      <w:szCs w:val="24"/>
    </w:rPr>
  </w:style>
  <w:style w:type="character" w:customStyle="1" w:styleId="251">
    <w:name w:val="！表名！ Char"/>
    <w:link w:val="252"/>
    <w:qFormat/>
    <w:uiPriority w:val="0"/>
    <w:rPr>
      <w:rFonts w:eastAsia="黑体"/>
      <w:szCs w:val="21"/>
    </w:rPr>
  </w:style>
  <w:style w:type="paragraph" w:customStyle="1" w:styleId="252">
    <w:name w:val="！表名！"/>
    <w:basedOn w:val="1"/>
    <w:link w:val="251"/>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3">
    <w:name w:val="标题 字符1"/>
    <w:link w:val="56"/>
    <w:qFormat/>
    <w:uiPriority w:val="10"/>
    <w:rPr>
      <w:rFonts w:ascii="Cambria" w:hAnsi="Cambria"/>
      <w:b/>
      <w:bCs/>
      <w:kern w:val="2"/>
      <w:sz w:val="32"/>
      <w:szCs w:val="32"/>
    </w:rPr>
  </w:style>
  <w:style w:type="character" w:customStyle="1" w:styleId="254">
    <w:name w:val="明显强调1"/>
    <w:qFormat/>
    <w:uiPriority w:val="21"/>
    <w:rPr>
      <w:b/>
      <w:bCs/>
      <w:i/>
      <w:iCs/>
      <w:color w:val="4F81BD"/>
    </w:rPr>
  </w:style>
  <w:style w:type="character" w:customStyle="1" w:styleId="255">
    <w:name w:val="Char Char9"/>
    <w:autoRedefine/>
    <w:uiPriority w:val="0"/>
    <w:rPr>
      <w:kern w:val="2"/>
      <w:sz w:val="21"/>
      <w:szCs w:val="22"/>
    </w:rPr>
  </w:style>
  <w:style w:type="character" w:customStyle="1" w:styleId="256">
    <w:name w:val="不明显强调1"/>
    <w:autoRedefine/>
    <w:qFormat/>
    <w:uiPriority w:val="0"/>
    <w:rPr>
      <w:i/>
      <w:iCs/>
      <w:color w:val="808080"/>
    </w:rPr>
  </w:style>
  <w:style w:type="character" w:customStyle="1" w:styleId="257">
    <w:name w:val="正文文本 Char1"/>
    <w:autoRedefine/>
    <w:qFormat/>
    <w:uiPriority w:val="0"/>
    <w:rPr>
      <w:kern w:val="2"/>
      <w:sz w:val="21"/>
      <w:szCs w:val="22"/>
    </w:rPr>
  </w:style>
  <w:style w:type="character" w:customStyle="1" w:styleId="258">
    <w:name w:val="纯文本 Char2"/>
    <w:autoRedefine/>
    <w:qFormat/>
    <w:uiPriority w:val="0"/>
    <w:rPr>
      <w:rFonts w:ascii="宋体" w:hAnsi="Courier New" w:eastAsia="宋体"/>
      <w:kern w:val="2"/>
      <w:sz w:val="21"/>
      <w:lang w:val="en-US" w:eastAsia="zh-CN" w:bidi="ar-SA"/>
    </w:rPr>
  </w:style>
  <w:style w:type="character" w:customStyle="1" w:styleId="259">
    <w:name w:val="不明显参考1"/>
    <w:autoRedefine/>
    <w:qFormat/>
    <w:uiPriority w:val="0"/>
    <w:rPr>
      <w:smallCaps/>
      <w:color w:val="C0504D"/>
      <w:u w:val="single"/>
    </w:rPr>
  </w:style>
  <w:style w:type="character" w:customStyle="1" w:styleId="260">
    <w:name w:val="书籍标题1"/>
    <w:autoRedefine/>
    <w:qFormat/>
    <w:uiPriority w:val="0"/>
    <w:rPr>
      <w:b/>
      <w:bCs/>
      <w:smallCaps/>
      <w:spacing w:val="5"/>
    </w:rPr>
  </w:style>
  <w:style w:type="character" w:customStyle="1" w:styleId="261">
    <w:name w:val="文档结构图 Char1"/>
    <w:qFormat/>
    <w:uiPriority w:val="0"/>
    <w:rPr>
      <w:rFonts w:ascii="宋体"/>
      <w:kern w:val="2"/>
      <w:sz w:val="18"/>
      <w:szCs w:val="18"/>
    </w:rPr>
  </w:style>
  <w:style w:type="character" w:customStyle="1" w:styleId="262">
    <w:name w:val="无间隔 字符"/>
    <w:link w:val="263"/>
    <w:autoRedefine/>
    <w:uiPriority w:val="0"/>
    <w:rPr>
      <w:rFonts w:ascii="Calibri" w:hAnsi="Calibri"/>
      <w:kern w:val="2"/>
      <w:sz w:val="21"/>
      <w:szCs w:val="22"/>
      <w:lang w:val="en-US" w:eastAsia="zh-CN" w:bidi="ar-SA"/>
    </w:rPr>
  </w:style>
  <w:style w:type="paragraph" w:styleId="263">
    <w:name w:val="No Spacing"/>
    <w:link w:val="262"/>
    <w:qFormat/>
    <w:uiPriority w:val="1"/>
    <w:pPr>
      <w:widowControl w:val="0"/>
      <w:jc w:val="both"/>
    </w:pPr>
    <w:rPr>
      <w:rFonts w:ascii="Calibri" w:hAnsi="Calibri" w:eastAsia="宋体" w:cs="Times New Roman"/>
      <w:kern w:val="2"/>
      <w:sz w:val="21"/>
      <w:szCs w:val="22"/>
      <w:lang w:val="en-US" w:eastAsia="zh-CN" w:bidi="ar-SA"/>
    </w:rPr>
  </w:style>
  <w:style w:type="character" w:customStyle="1" w:styleId="264">
    <w:name w:val="正文段 Char"/>
    <w:link w:val="265"/>
    <w:autoRedefine/>
    <w:uiPriority w:val="0"/>
    <w:rPr>
      <w:sz w:val="24"/>
    </w:rPr>
  </w:style>
  <w:style w:type="paragraph" w:customStyle="1" w:styleId="265">
    <w:name w:val="正文段"/>
    <w:basedOn w:val="1"/>
    <w:link w:val="264"/>
    <w:qFormat/>
    <w:uiPriority w:val="0"/>
    <w:pPr>
      <w:snapToGrid w:val="0"/>
      <w:spacing w:afterLines="50" w:line="240" w:lineRule="auto"/>
      <w:ind w:firstLine="200" w:firstLineChars="200"/>
    </w:pPr>
    <w:rPr>
      <w:kern w:val="0"/>
      <w:sz w:val="24"/>
      <w:szCs w:val="20"/>
      <w:lang w:val="zh-CN"/>
    </w:rPr>
  </w:style>
  <w:style w:type="character" w:customStyle="1" w:styleId="266">
    <w:name w:val="正文文本缩进 Char1"/>
    <w:link w:val="267"/>
    <w:autoRedefine/>
    <w:qFormat/>
    <w:uiPriority w:val="0"/>
    <w:rPr>
      <w:rFonts w:eastAsia="宋体"/>
      <w:kern w:val="2"/>
      <w:sz w:val="21"/>
      <w:szCs w:val="24"/>
      <w:lang w:val="en-US" w:eastAsia="zh-CN" w:bidi="ar-SA"/>
    </w:rPr>
  </w:style>
  <w:style w:type="paragraph" w:customStyle="1" w:styleId="267">
    <w:name w:val="正文文本缩进1"/>
    <w:basedOn w:val="1"/>
    <w:link w:val="266"/>
    <w:qFormat/>
    <w:uiPriority w:val="0"/>
    <w:pPr>
      <w:widowControl w:val="0"/>
      <w:spacing w:line="480" w:lineRule="exact"/>
      <w:ind w:firstLine="480" w:firstLineChars="200"/>
    </w:pPr>
    <w:rPr>
      <w:szCs w:val="24"/>
    </w:rPr>
  </w:style>
  <w:style w:type="character" w:customStyle="1" w:styleId="268">
    <w:name w:val="标题 1 Char"/>
    <w:autoRedefine/>
    <w:uiPriority w:val="0"/>
    <w:rPr>
      <w:smallCaps/>
      <w:spacing w:val="5"/>
      <w:sz w:val="36"/>
      <w:szCs w:val="36"/>
    </w:rPr>
  </w:style>
  <w:style w:type="character" w:customStyle="1" w:styleId="269">
    <w:name w:val="批注文字 Char1"/>
    <w:uiPriority w:val="99"/>
    <w:rPr>
      <w:kern w:val="2"/>
      <w:sz w:val="21"/>
      <w:szCs w:val="24"/>
    </w:rPr>
  </w:style>
  <w:style w:type="character" w:customStyle="1" w:styleId="270">
    <w:name w:val="Char Char20"/>
    <w:uiPriority w:val="0"/>
    <w:rPr>
      <w:rFonts w:eastAsia="华文中宋"/>
      <w:b/>
      <w:bCs/>
      <w:kern w:val="2"/>
      <w:sz w:val="32"/>
      <w:szCs w:val="32"/>
      <w:lang w:val="en-US" w:eastAsia="zh-CN" w:bidi="ar-SA"/>
    </w:rPr>
  </w:style>
  <w:style w:type="character" w:customStyle="1" w:styleId="271">
    <w:name w:val="标题 9 Char1"/>
    <w:autoRedefine/>
    <w:uiPriority w:val="0"/>
    <w:rPr>
      <w:rFonts w:ascii="Arial" w:hAnsi="Arial" w:eastAsia="黑体"/>
      <w:kern w:val="2"/>
      <w:sz w:val="21"/>
      <w:szCs w:val="21"/>
      <w:lang w:val="en-US" w:eastAsia="zh-CN" w:bidi="ar-SA"/>
    </w:rPr>
  </w:style>
  <w:style w:type="character" w:customStyle="1" w:styleId="272">
    <w:name w:val="纯文本 Char1"/>
    <w:autoRedefine/>
    <w:qFormat/>
    <w:uiPriority w:val="0"/>
    <w:rPr>
      <w:rFonts w:ascii="黑体" w:hAnsi="Courier New" w:eastAsia="黑体"/>
      <w:kern w:val="2"/>
      <w:sz w:val="28"/>
      <w:lang w:eastAsia="zh-CN" w:bidi="ar-SA"/>
    </w:rPr>
  </w:style>
  <w:style w:type="character" w:customStyle="1" w:styleId="273">
    <w:name w:val="标题 5 Char"/>
    <w:qFormat/>
    <w:uiPriority w:val="0"/>
    <w:rPr>
      <w:i/>
      <w:iCs/>
      <w:sz w:val="24"/>
      <w:szCs w:val="24"/>
    </w:rPr>
  </w:style>
  <w:style w:type="character" w:customStyle="1" w:styleId="274">
    <w:name w:val="标题 4 Char1"/>
    <w:autoRedefine/>
    <w:qFormat/>
    <w:uiPriority w:val="0"/>
    <w:rPr>
      <w:rFonts w:ascii="Arial" w:hAnsi="Arial" w:eastAsia="黑体"/>
      <w:b/>
      <w:bCs/>
      <w:kern w:val="2"/>
      <w:sz w:val="28"/>
      <w:szCs w:val="28"/>
      <w:lang w:val="en-US" w:eastAsia="zh-CN" w:bidi="ar-SA"/>
    </w:rPr>
  </w:style>
  <w:style w:type="character" w:customStyle="1" w:styleId="275">
    <w:name w:val="页脚 Char"/>
    <w:qFormat/>
    <w:uiPriority w:val="0"/>
    <w:rPr>
      <w:rFonts w:eastAsia="宋体"/>
      <w:kern w:val="2"/>
      <w:sz w:val="18"/>
      <w:szCs w:val="18"/>
      <w:lang w:eastAsia="zh-CN" w:bidi="ar-SA"/>
    </w:rPr>
  </w:style>
  <w:style w:type="character" w:customStyle="1" w:styleId="276">
    <w:name w:val="文档结构图 Char"/>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7">
    <w:name w:val="标题 Char"/>
    <w:qFormat/>
    <w:uiPriority w:val="99"/>
    <w:rPr>
      <w:smallCaps/>
      <w:sz w:val="52"/>
      <w:szCs w:val="52"/>
    </w:rPr>
  </w:style>
  <w:style w:type="character" w:customStyle="1" w:styleId="278">
    <w:name w:val="font5 Char"/>
    <w:link w:val="279"/>
    <w:autoRedefine/>
    <w:uiPriority w:val="0"/>
    <w:rPr>
      <w:rFonts w:ascii="宋体" w:hAnsi="宋体"/>
      <w:sz w:val="18"/>
      <w:szCs w:val="18"/>
    </w:rPr>
  </w:style>
  <w:style w:type="paragraph" w:customStyle="1" w:styleId="279">
    <w:name w:val="font5"/>
    <w:basedOn w:val="1"/>
    <w:link w:val="278"/>
    <w:autoRedefine/>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80">
    <w:name w:val="Char Char292"/>
    <w:uiPriority w:val="0"/>
    <w:rPr>
      <w:rFonts w:eastAsia="华文中宋"/>
      <w:b/>
      <w:bCs/>
      <w:kern w:val="2"/>
      <w:sz w:val="30"/>
      <w:szCs w:val="30"/>
      <w:lang w:val="en-US" w:eastAsia="zh-CN" w:bidi="ar-SA"/>
    </w:rPr>
  </w:style>
  <w:style w:type="character" w:customStyle="1" w:styleId="281">
    <w:name w:val="正文首行缩进 Char"/>
    <w:qFormat/>
    <w:uiPriority w:val="99"/>
    <w:rPr>
      <w:rFonts w:eastAsia="宋体"/>
      <w:kern w:val="2"/>
      <w:sz w:val="21"/>
      <w:szCs w:val="24"/>
      <w:lang w:val="en-US" w:eastAsia="zh-CN" w:bidi="ar-SA"/>
    </w:rPr>
  </w:style>
  <w:style w:type="character" w:customStyle="1" w:styleId="282">
    <w:name w:val="正文文本 2 Char"/>
    <w:qFormat/>
    <w:uiPriority w:val="0"/>
    <w:rPr>
      <w:rFonts w:eastAsia="宋体"/>
      <w:kern w:val="2"/>
      <w:sz w:val="21"/>
      <w:szCs w:val="24"/>
      <w:lang w:val="en-US" w:eastAsia="zh-CN" w:bidi="ar-SA"/>
    </w:rPr>
  </w:style>
  <w:style w:type="character" w:customStyle="1" w:styleId="283">
    <w:name w:val="引文目录标题 Char"/>
    <w:autoRedefine/>
    <w:uiPriority w:val="0"/>
    <w:rPr>
      <w:rFonts w:ascii="Arial" w:hAnsi="Arial" w:eastAsia="宋体" w:cs="Arial"/>
      <w:kern w:val="2"/>
      <w:sz w:val="24"/>
      <w:szCs w:val="24"/>
      <w:lang w:eastAsia="zh-CN" w:bidi="ar-SA"/>
    </w:rPr>
  </w:style>
  <w:style w:type="character" w:customStyle="1" w:styleId="284">
    <w:name w:val="正文文本缩进 Char"/>
    <w:autoRedefine/>
    <w:qFormat/>
    <w:uiPriority w:val="0"/>
    <w:rPr>
      <w:rFonts w:eastAsia="宋体"/>
      <w:kern w:val="2"/>
      <w:sz w:val="21"/>
      <w:szCs w:val="24"/>
      <w:lang w:val="en-US" w:eastAsia="zh-CN" w:bidi="ar-SA"/>
    </w:rPr>
  </w:style>
  <w:style w:type="character" w:customStyle="1" w:styleId="285">
    <w:name w:val="正文缩进 Char"/>
    <w:autoRedefine/>
    <w:qFormat/>
    <w:uiPriority w:val="0"/>
    <w:rPr>
      <w:rFonts w:eastAsia="宋体"/>
      <w:sz w:val="24"/>
      <w:lang w:val="en-US" w:eastAsia="zh-CN" w:bidi="ar-SA"/>
    </w:rPr>
  </w:style>
  <w:style w:type="character" w:customStyle="1" w:styleId="286">
    <w:name w:val="文档结构图 Char2"/>
    <w:qFormat/>
    <w:uiPriority w:val="99"/>
    <w:rPr>
      <w:rFonts w:eastAsia="宋体"/>
      <w:kern w:val="2"/>
      <w:sz w:val="21"/>
      <w:szCs w:val="24"/>
      <w:lang w:val="en-US" w:eastAsia="zh-CN" w:bidi="ar-SA"/>
    </w:rPr>
  </w:style>
  <w:style w:type="character" w:customStyle="1" w:styleId="287">
    <w:name w:val="批注文字 Char2"/>
    <w:autoRedefine/>
    <w:qFormat/>
    <w:uiPriority w:val="0"/>
    <w:rPr>
      <w:rFonts w:eastAsia="宋体"/>
      <w:kern w:val="2"/>
      <w:sz w:val="21"/>
      <w:szCs w:val="24"/>
      <w:lang w:val="en-US" w:eastAsia="zh-CN" w:bidi="ar-SA"/>
    </w:rPr>
  </w:style>
  <w:style w:type="character" w:customStyle="1" w:styleId="288">
    <w:name w:val="正文文本 3 Char"/>
    <w:qFormat/>
    <w:uiPriority w:val="0"/>
    <w:rPr>
      <w:rFonts w:ascii="宋体" w:eastAsia="宋体"/>
      <w:kern w:val="2"/>
      <w:sz w:val="24"/>
      <w:lang w:val="en-US" w:eastAsia="zh-CN" w:bidi="ar-SA"/>
    </w:rPr>
  </w:style>
  <w:style w:type="character" w:customStyle="1" w:styleId="289">
    <w:name w:val="副标题 Char1"/>
    <w:uiPriority w:val="0"/>
    <w:rPr>
      <w:rFonts w:ascii="Cambria" w:hAnsi="Cambria"/>
      <w:b/>
      <w:bCs/>
      <w:kern w:val="28"/>
      <w:sz w:val="32"/>
      <w:szCs w:val="32"/>
      <w:lang w:bidi="ar-SA"/>
    </w:rPr>
  </w:style>
  <w:style w:type="character" w:customStyle="1" w:styleId="290">
    <w:name w:val="正文文本缩进 3 Char"/>
    <w:autoRedefine/>
    <w:qFormat/>
    <w:uiPriority w:val="0"/>
    <w:rPr>
      <w:rFonts w:ascii="宋体" w:hAnsi="宋体" w:eastAsia="宋体"/>
      <w:color w:val="FF0000"/>
      <w:kern w:val="2"/>
      <w:sz w:val="21"/>
      <w:szCs w:val="24"/>
      <w:u w:val="single"/>
      <w:lang w:eastAsia="zh-CN" w:bidi="ar-SA"/>
    </w:rPr>
  </w:style>
  <w:style w:type="character" w:customStyle="1" w:styleId="291">
    <w:name w:val="日期 Char"/>
    <w:autoRedefine/>
    <w:uiPriority w:val="0"/>
    <w:rPr>
      <w:rFonts w:eastAsia="宋体"/>
      <w:kern w:val="2"/>
      <w:sz w:val="21"/>
      <w:szCs w:val="24"/>
      <w:lang w:val="en-US" w:eastAsia="zh-CN" w:bidi="ar-SA"/>
    </w:rPr>
  </w:style>
  <w:style w:type="character" w:customStyle="1" w:styleId="292">
    <w:name w:val="标题 5 Char1"/>
    <w:qFormat/>
    <w:uiPriority w:val="0"/>
    <w:rPr>
      <w:rFonts w:ascii="Arial" w:hAnsi="Arial" w:eastAsia="宋体" w:cs="Arial"/>
      <w:b/>
      <w:bCs/>
      <w:kern w:val="2"/>
      <w:sz w:val="24"/>
      <w:szCs w:val="24"/>
      <w:lang w:val="en-US" w:eastAsia="zh-CN" w:bidi="ar-SA"/>
    </w:rPr>
  </w:style>
  <w:style w:type="character" w:customStyle="1" w:styleId="293">
    <w:name w:val="标题 7 Char1"/>
    <w:uiPriority w:val="0"/>
    <w:rPr>
      <w:rFonts w:eastAsia="宋体"/>
      <w:b/>
      <w:bCs/>
      <w:kern w:val="2"/>
      <w:sz w:val="24"/>
      <w:szCs w:val="24"/>
      <w:lang w:val="en-US" w:eastAsia="zh-CN" w:bidi="ar-SA"/>
    </w:rPr>
  </w:style>
  <w:style w:type="character" w:customStyle="1" w:styleId="294">
    <w:name w:val="Char Char19"/>
    <w:autoRedefine/>
    <w:uiPriority w:val="0"/>
    <w:rPr>
      <w:rFonts w:eastAsia="宋体"/>
      <w:kern w:val="2"/>
      <w:sz w:val="18"/>
      <w:szCs w:val="18"/>
      <w:lang w:val="en-US" w:eastAsia="zh-CN" w:bidi="ar-SA"/>
    </w:rPr>
  </w:style>
  <w:style w:type="character" w:customStyle="1" w:styleId="295">
    <w:name w:val="Char Char37"/>
    <w:qFormat/>
    <w:uiPriority w:val="0"/>
    <w:rPr>
      <w:b/>
      <w:bCs/>
      <w:kern w:val="2"/>
      <w:sz w:val="24"/>
      <w:szCs w:val="24"/>
    </w:rPr>
  </w:style>
  <w:style w:type="character" w:customStyle="1" w:styleId="296">
    <w:name w:val="Char Char33"/>
    <w:autoRedefine/>
    <w:qFormat/>
    <w:uiPriority w:val="0"/>
    <w:rPr>
      <w:rFonts w:eastAsia="宋体"/>
      <w:kern w:val="2"/>
      <w:sz w:val="18"/>
      <w:szCs w:val="18"/>
      <w:lang w:val="en-US" w:eastAsia="zh-CN" w:bidi="ar-SA"/>
    </w:rPr>
  </w:style>
  <w:style w:type="character" w:customStyle="1" w:styleId="297">
    <w:name w:val="Char Char27"/>
    <w:qFormat/>
    <w:uiPriority w:val="0"/>
    <w:rPr>
      <w:rFonts w:ascii="Arial" w:hAnsi="Arial" w:eastAsia="宋体" w:cs="Arial"/>
      <w:b/>
      <w:bCs/>
      <w:kern w:val="2"/>
      <w:sz w:val="24"/>
      <w:szCs w:val="24"/>
      <w:lang w:val="en-US" w:eastAsia="zh-CN" w:bidi="ar-SA"/>
    </w:rPr>
  </w:style>
  <w:style w:type="character" w:customStyle="1" w:styleId="298">
    <w:name w:val="Char Char25"/>
    <w:autoRedefine/>
    <w:uiPriority w:val="0"/>
    <w:rPr>
      <w:rFonts w:ascii="Arial" w:hAnsi="Arial" w:eastAsia="黑体" w:cs="Arial"/>
      <w:kern w:val="2"/>
      <w:sz w:val="24"/>
      <w:szCs w:val="24"/>
      <w:lang w:val="en-US" w:eastAsia="zh-CN" w:bidi="ar-SA"/>
    </w:rPr>
  </w:style>
  <w:style w:type="character" w:customStyle="1" w:styleId="299">
    <w:name w:val="Char Char39"/>
    <w:uiPriority w:val="0"/>
    <w:rPr>
      <w:rFonts w:eastAsia="华文中宋"/>
      <w:b/>
      <w:bCs/>
      <w:kern w:val="2"/>
      <w:sz w:val="28"/>
      <w:szCs w:val="32"/>
      <w:lang w:val="en-US" w:eastAsia="zh-CN" w:bidi="ar-SA"/>
    </w:rPr>
  </w:style>
  <w:style w:type="character" w:customStyle="1" w:styleId="300">
    <w:name w:val="Char Char24"/>
    <w:autoRedefine/>
    <w:qFormat/>
    <w:uiPriority w:val="0"/>
    <w:rPr>
      <w:rFonts w:ascii="Arial" w:hAnsi="Arial" w:eastAsia="黑体" w:cs="Arial"/>
      <w:kern w:val="2"/>
      <w:sz w:val="24"/>
      <w:szCs w:val="24"/>
      <w:lang w:val="en-US" w:eastAsia="zh-CN" w:bidi="ar-SA"/>
    </w:rPr>
  </w:style>
  <w:style w:type="character" w:customStyle="1" w:styleId="301">
    <w:name w:val="Char Char22"/>
    <w:qFormat/>
    <w:uiPriority w:val="0"/>
    <w:rPr>
      <w:rFonts w:ascii="Cambria" w:hAnsi="Cambria"/>
      <w:b/>
      <w:bCs/>
      <w:kern w:val="2"/>
      <w:sz w:val="32"/>
      <w:szCs w:val="32"/>
      <w:lang w:bidi="ar-SA"/>
    </w:rPr>
  </w:style>
  <w:style w:type="character" w:customStyle="1" w:styleId="302">
    <w:name w:val="Char Char41"/>
    <w:autoRedefine/>
    <w:uiPriority w:val="0"/>
    <w:rPr>
      <w:rFonts w:eastAsia="华文中宋"/>
      <w:b/>
      <w:bCs/>
      <w:kern w:val="2"/>
      <w:sz w:val="32"/>
      <w:szCs w:val="32"/>
      <w:lang w:val="en-US" w:eastAsia="zh-CN" w:bidi="ar-SA"/>
    </w:rPr>
  </w:style>
  <w:style w:type="character" w:customStyle="1" w:styleId="303">
    <w:name w:val="Char Char36"/>
    <w:qFormat/>
    <w:uiPriority w:val="0"/>
    <w:rPr>
      <w:rFonts w:ascii="Arial" w:hAnsi="Arial" w:eastAsia="黑体" w:cs="Arial"/>
      <w:kern w:val="2"/>
      <w:sz w:val="24"/>
      <w:szCs w:val="24"/>
    </w:rPr>
  </w:style>
  <w:style w:type="character" w:customStyle="1" w:styleId="304">
    <w:name w:val="Char Char31"/>
    <w:autoRedefine/>
    <w:uiPriority w:val="0"/>
    <w:rPr>
      <w:rFonts w:eastAsia="华文中宋"/>
      <w:b/>
      <w:bCs/>
      <w:kern w:val="2"/>
      <w:sz w:val="32"/>
      <w:szCs w:val="32"/>
      <w:lang w:val="en-US" w:eastAsia="zh-CN" w:bidi="ar-SA"/>
    </w:rPr>
  </w:style>
  <w:style w:type="character" w:customStyle="1" w:styleId="305">
    <w:name w:val="纯文本 Char Char Char Char Char Char Char Char Char1"/>
    <w:qFormat/>
    <w:uiPriority w:val="0"/>
    <w:rPr>
      <w:rFonts w:ascii="宋体" w:hAnsi="Courier New" w:eastAsia="宋体"/>
      <w:kern w:val="2"/>
      <w:sz w:val="21"/>
      <w:lang w:val="en-US" w:eastAsia="zh-CN" w:bidi="ar-SA"/>
    </w:rPr>
  </w:style>
  <w:style w:type="character" w:customStyle="1" w:styleId="306">
    <w:name w:val="正文缩进 Char1"/>
    <w:qFormat/>
    <w:uiPriority w:val="0"/>
    <w:rPr>
      <w:rFonts w:eastAsia="宋体"/>
      <w:sz w:val="24"/>
      <w:lang w:val="en-US" w:eastAsia="zh-CN" w:bidi="ar-SA"/>
    </w:rPr>
  </w:style>
  <w:style w:type="character" w:customStyle="1" w:styleId="307">
    <w:name w:val="标题 8 Char2"/>
    <w:uiPriority w:val="0"/>
    <w:rPr>
      <w:rFonts w:ascii="Arial" w:hAnsi="Arial" w:eastAsia="黑体" w:cs="Arial"/>
      <w:kern w:val="2"/>
      <w:sz w:val="24"/>
      <w:szCs w:val="24"/>
      <w:lang w:val="en-US" w:eastAsia="zh-CN" w:bidi="ar-SA"/>
    </w:rPr>
  </w:style>
  <w:style w:type="character" w:customStyle="1" w:styleId="308">
    <w:name w:val="标题 6 Char2"/>
    <w:autoRedefine/>
    <w:qFormat/>
    <w:uiPriority w:val="0"/>
    <w:rPr>
      <w:rFonts w:ascii="Arial" w:hAnsi="Arial" w:eastAsia="黑体" w:cs="Arial"/>
      <w:b/>
      <w:bCs/>
      <w:kern w:val="2"/>
      <w:sz w:val="24"/>
      <w:szCs w:val="24"/>
      <w:lang w:val="en-US" w:eastAsia="zh-CN" w:bidi="ar-SA"/>
    </w:rPr>
  </w:style>
  <w:style w:type="character" w:customStyle="1" w:styleId="309">
    <w:name w:val="标题 1 Char2"/>
    <w:autoRedefine/>
    <w:uiPriority w:val="0"/>
    <w:rPr>
      <w:rFonts w:eastAsia="华文中宋"/>
      <w:b/>
      <w:bCs/>
      <w:kern w:val="44"/>
      <w:sz w:val="36"/>
      <w:szCs w:val="36"/>
      <w:lang w:val="en-US" w:eastAsia="zh-CN" w:bidi="ar-SA"/>
    </w:rPr>
  </w:style>
  <w:style w:type="character" w:customStyle="1" w:styleId="310">
    <w:name w:val="批注主题 Char2"/>
    <w:autoRedefine/>
    <w:semiHidden/>
    <w:uiPriority w:val="0"/>
    <w:rPr>
      <w:rFonts w:ascii="Times New Roman" w:hAnsi="Times New Roman" w:eastAsia="宋体" w:cs="Times New Roman"/>
      <w:b/>
      <w:bCs/>
      <w:kern w:val="2"/>
      <w:sz w:val="21"/>
      <w:szCs w:val="24"/>
      <w:lang w:val="en-US" w:eastAsia="zh-CN" w:bidi="ar-SA"/>
    </w:rPr>
  </w:style>
  <w:style w:type="character" w:customStyle="1" w:styleId="311">
    <w:name w:val="脚注文本 Char1"/>
    <w:qFormat/>
    <w:uiPriority w:val="0"/>
    <w:rPr>
      <w:rFonts w:eastAsia="宋体"/>
      <w:kern w:val="2"/>
      <w:sz w:val="18"/>
      <w:szCs w:val="18"/>
      <w:lang w:val="en-US" w:eastAsia="zh-CN" w:bidi="ar-SA"/>
    </w:rPr>
  </w:style>
  <w:style w:type="character" w:customStyle="1" w:styleId="312">
    <w:name w:val="引文目录标题 Char1"/>
    <w:autoRedefine/>
    <w:semiHidden/>
    <w:uiPriority w:val="0"/>
    <w:rPr>
      <w:rFonts w:ascii="Arial" w:hAnsi="Arial" w:eastAsia="宋体" w:cs="Arial"/>
      <w:kern w:val="2"/>
      <w:sz w:val="24"/>
      <w:szCs w:val="24"/>
      <w:lang w:eastAsia="zh-CN" w:bidi="ar-SA"/>
    </w:rPr>
  </w:style>
  <w:style w:type="character" w:customStyle="1" w:styleId="313">
    <w:name w:val="标题 Char2"/>
    <w:uiPriority w:val="0"/>
    <w:rPr>
      <w:rFonts w:ascii="Cambria" w:hAnsi="Cambria"/>
      <w:b/>
      <w:bCs/>
      <w:kern w:val="2"/>
      <w:sz w:val="32"/>
      <w:szCs w:val="32"/>
      <w:lang w:bidi="ar-SA"/>
    </w:rPr>
  </w:style>
  <w:style w:type="character" w:customStyle="1" w:styleId="314">
    <w:name w:val="页脚 Char2"/>
    <w:autoRedefine/>
    <w:uiPriority w:val="0"/>
    <w:rPr>
      <w:rFonts w:eastAsia="宋体"/>
      <w:kern w:val="2"/>
      <w:sz w:val="18"/>
      <w:szCs w:val="18"/>
      <w:lang w:val="en-US" w:eastAsia="zh-CN" w:bidi="ar-SA"/>
    </w:rPr>
  </w:style>
  <w:style w:type="character" w:customStyle="1" w:styleId="315">
    <w:name w:val="正文文本缩进 3 Char1"/>
    <w:autoRedefine/>
    <w:qFormat/>
    <w:uiPriority w:val="0"/>
    <w:rPr>
      <w:kern w:val="2"/>
      <w:sz w:val="16"/>
      <w:szCs w:val="16"/>
    </w:rPr>
  </w:style>
  <w:style w:type="character" w:customStyle="1" w:styleId="316">
    <w:name w:val="正文文本 2 Char1"/>
    <w:uiPriority w:val="0"/>
    <w:rPr>
      <w:rFonts w:eastAsia="宋体"/>
      <w:kern w:val="2"/>
      <w:sz w:val="21"/>
      <w:szCs w:val="24"/>
      <w:lang w:val="en-US" w:eastAsia="zh-CN" w:bidi="ar-SA"/>
    </w:rPr>
  </w:style>
  <w:style w:type="character" w:customStyle="1" w:styleId="317">
    <w:name w:val="标题 7 Char2"/>
    <w:autoRedefine/>
    <w:uiPriority w:val="0"/>
    <w:rPr>
      <w:rFonts w:eastAsia="宋体"/>
      <w:b/>
      <w:bCs/>
      <w:kern w:val="2"/>
      <w:sz w:val="24"/>
      <w:szCs w:val="24"/>
      <w:lang w:val="en-US" w:eastAsia="zh-CN" w:bidi="ar-SA"/>
    </w:rPr>
  </w:style>
  <w:style w:type="character" w:customStyle="1" w:styleId="318">
    <w:name w:val="副标题 Char2"/>
    <w:uiPriority w:val="0"/>
    <w:rPr>
      <w:rFonts w:ascii="Cambria" w:hAnsi="Cambria"/>
      <w:b/>
      <w:bCs/>
      <w:kern w:val="28"/>
      <w:sz w:val="32"/>
      <w:szCs w:val="32"/>
      <w:lang w:bidi="ar-SA"/>
    </w:rPr>
  </w:style>
  <w:style w:type="character" w:customStyle="1" w:styleId="319">
    <w:name w:val="日期 Char2"/>
    <w:uiPriority w:val="0"/>
    <w:rPr>
      <w:rFonts w:eastAsia="宋体"/>
      <w:kern w:val="2"/>
      <w:sz w:val="21"/>
      <w:szCs w:val="24"/>
      <w:lang w:val="en-US" w:eastAsia="zh-CN" w:bidi="ar-SA"/>
    </w:rPr>
  </w:style>
  <w:style w:type="character" w:customStyle="1" w:styleId="320">
    <w:name w:val="正文文本缩进 字符1"/>
    <w:semiHidden/>
    <w:qFormat/>
    <w:uiPriority w:val="99"/>
    <w:rPr>
      <w:rFonts w:cs="Times New Roman"/>
      <w:kern w:val="2"/>
      <w:szCs w:val="24"/>
    </w:rPr>
  </w:style>
  <w:style w:type="character" w:customStyle="1" w:styleId="321">
    <w:name w:val="页脚 字符1"/>
    <w:autoRedefine/>
    <w:semiHidden/>
    <w:uiPriority w:val="99"/>
    <w:rPr>
      <w:rFonts w:cs="Times New Roman"/>
      <w:kern w:val="2"/>
      <w:sz w:val="18"/>
      <w:szCs w:val="18"/>
    </w:rPr>
  </w:style>
  <w:style w:type="character" w:customStyle="1" w:styleId="322">
    <w:name w:val="批注框文本 字符1"/>
    <w:semiHidden/>
    <w:qFormat/>
    <w:uiPriority w:val="99"/>
    <w:rPr>
      <w:rFonts w:cs="Times New Roman"/>
      <w:kern w:val="2"/>
      <w:sz w:val="18"/>
      <w:szCs w:val="18"/>
    </w:rPr>
  </w:style>
  <w:style w:type="character" w:customStyle="1" w:styleId="323">
    <w:name w:val="页眉 字符1"/>
    <w:autoRedefine/>
    <w:semiHidden/>
    <w:uiPriority w:val="99"/>
    <w:rPr>
      <w:rFonts w:cs="Times New Roman"/>
      <w:kern w:val="2"/>
      <w:sz w:val="18"/>
      <w:szCs w:val="18"/>
    </w:rPr>
  </w:style>
  <w:style w:type="character" w:customStyle="1" w:styleId="324">
    <w:name w:val="正文首行缩进 字符1"/>
    <w:semiHidden/>
    <w:qFormat/>
    <w:uiPriority w:val="99"/>
    <w:rPr>
      <w:rFonts w:cs="Times New Roman"/>
      <w:kern w:val="2"/>
      <w:szCs w:val="24"/>
    </w:rPr>
  </w:style>
  <w:style w:type="character" w:customStyle="1" w:styleId="325">
    <w:name w:val="批注文字 字符1"/>
    <w:qFormat/>
    <w:uiPriority w:val="99"/>
    <w:rPr>
      <w:rFonts w:cs="Times New Roman"/>
      <w:kern w:val="2"/>
      <w:szCs w:val="24"/>
    </w:rPr>
  </w:style>
  <w:style w:type="character" w:customStyle="1" w:styleId="326">
    <w:name w:val="纯文本 字符1"/>
    <w:qFormat/>
    <w:uiPriority w:val="0"/>
    <w:rPr>
      <w:rFonts w:ascii="等线" w:hAnsi="Courier New" w:eastAsia="等线" w:cs="Courier New"/>
      <w:kern w:val="2"/>
      <w:szCs w:val="24"/>
    </w:rPr>
  </w:style>
  <w:style w:type="character" w:customStyle="1" w:styleId="327">
    <w:name w:val="Char Char12"/>
    <w:uiPriority w:val="0"/>
    <w:rPr>
      <w:rFonts w:ascii="宋体" w:hAnsi="Courier New" w:eastAsia="宋体"/>
      <w:kern w:val="2"/>
      <w:sz w:val="21"/>
      <w:lang w:val="en-US" w:eastAsia="zh-CN" w:bidi="ar-SA"/>
    </w:rPr>
  </w:style>
  <w:style w:type="character" w:customStyle="1" w:styleId="328">
    <w:name w:val="HTML 预设格式 Char1"/>
    <w:autoRedefine/>
    <w:qFormat/>
    <w:uiPriority w:val="0"/>
    <w:rPr>
      <w:rFonts w:ascii="Courier New" w:hAnsi="Courier New" w:cs="Courier New"/>
      <w:kern w:val="2"/>
    </w:rPr>
  </w:style>
  <w:style w:type="character" w:customStyle="1" w:styleId="329">
    <w:name w:val="p21"/>
    <w:uiPriority w:val="0"/>
    <w:rPr>
      <w:sz w:val="9"/>
      <w:szCs w:val="9"/>
    </w:rPr>
  </w:style>
  <w:style w:type="character" w:customStyle="1" w:styleId="330">
    <w:name w:val="无间隔 Char"/>
    <w:uiPriority w:val="0"/>
    <w:rPr>
      <w:rFonts w:ascii="Calibri" w:hAnsi="Calibri"/>
      <w:kern w:val="2"/>
    </w:rPr>
  </w:style>
  <w:style w:type="character" w:customStyle="1" w:styleId="331">
    <w:name w:val="Char Char92"/>
    <w:qFormat/>
    <w:uiPriority w:val="0"/>
    <w:rPr>
      <w:kern w:val="2"/>
      <w:sz w:val="21"/>
      <w:szCs w:val="22"/>
    </w:rPr>
  </w:style>
  <w:style w:type="character" w:customStyle="1" w:styleId="332">
    <w:name w:val="Char Char201"/>
    <w:qFormat/>
    <w:uiPriority w:val="0"/>
    <w:rPr>
      <w:rFonts w:eastAsia="华文中宋"/>
      <w:b/>
      <w:bCs/>
      <w:kern w:val="2"/>
      <w:sz w:val="32"/>
      <w:szCs w:val="32"/>
      <w:lang w:val="en-US" w:eastAsia="zh-CN" w:bidi="ar-SA"/>
    </w:rPr>
  </w:style>
  <w:style w:type="character" w:customStyle="1" w:styleId="333">
    <w:name w:val="引用 Char1"/>
    <w:uiPriority w:val="99"/>
    <w:rPr>
      <w:i/>
      <w:iCs/>
      <w:color w:val="000000"/>
      <w:kern w:val="2"/>
      <w:sz w:val="21"/>
      <w:szCs w:val="24"/>
    </w:rPr>
  </w:style>
  <w:style w:type="character" w:customStyle="1" w:styleId="334">
    <w:name w:val="明显引用 Char1"/>
    <w:autoRedefine/>
    <w:uiPriority w:val="99"/>
    <w:rPr>
      <w:b/>
      <w:bCs/>
      <w:i/>
      <w:iCs/>
      <w:color w:val="4F81BD"/>
      <w:kern w:val="2"/>
      <w:sz w:val="21"/>
      <w:szCs w:val="24"/>
    </w:rPr>
  </w:style>
  <w:style w:type="character" w:customStyle="1" w:styleId="335">
    <w:name w:val="正文首行缩进 2 Char"/>
    <w:link w:val="336"/>
    <w:uiPriority w:val="0"/>
  </w:style>
  <w:style w:type="paragraph" w:customStyle="1" w:styleId="336">
    <w:name w:val="_Style 433"/>
    <w:basedOn w:val="1"/>
    <w:next w:val="1"/>
    <w:link w:val="335"/>
    <w:qFormat/>
    <w:uiPriority w:val="0"/>
    <w:pPr>
      <w:widowControl w:val="0"/>
      <w:spacing w:line="300" w:lineRule="auto"/>
    </w:pPr>
    <w:rPr>
      <w:kern w:val="0"/>
      <w:sz w:val="20"/>
      <w:szCs w:val="20"/>
    </w:rPr>
  </w:style>
  <w:style w:type="character" w:customStyle="1" w:styleId="337">
    <w:name w:val="食标题4 Char Char"/>
    <w:autoRedefine/>
    <w:qFormat/>
    <w:uiPriority w:val="0"/>
    <w:rPr>
      <w:rFonts w:ascii="楷体_GB2312" w:hAnsi="宋体" w:eastAsia="楷体_GB2312" w:cs="宋体"/>
      <w:sz w:val="28"/>
      <w:szCs w:val="28"/>
      <w:lang w:val="en-US" w:eastAsia="zh-CN" w:bidi="ar-SA"/>
    </w:rPr>
  </w:style>
  <w:style w:type="character" w:customStyle="1" w:styleId="338">
    <w:name w:val="正文文本 2 Char2"/>
    <w:semiHidden/>
    <w:qFormat/>
    <w:uiPriority w:val="99"/>
    <w:rPr>
      <w:sz w:val="24"/>
      <w:szCs w:val="24"/>
    </w:rPr>
  </w:style>
  <w:style w:type="character" w:customStyle="1" w:styleId="339">
    <w:name w:val="Char Char51"/>
    <w:locked/>
    <w:uiPriority w:val="0"/>
    <w:rPr>
      <w:rFonts w:eastAsia="宋体"/>
      <w:b/>
      <w:kern w:val="44"/>
      <w:sz w:val="28"/>
      <w:lang w:val="en-US" w:eastAsia="zh-CN" w:bidi="ar-SA"/>
    </w:rPr>
  </w:style>
  <w:style w:type="character" w:customStyle="1" w:styleId="340">
    <w:name w:val="样式 标题 2 + (符号) 宋体 Char"/>
    <w:qFormat/>
    <w:uiPriority w:val="0"/>
    <w:rPr>
      <w:rFonts w:eastAsia="宋体"/>
      <w:b/>
      <w:bCs/>
      <w:color w:val="auto"/>
      <w:sz w:val="30"/>
      <w:lang w:val="en-US" w:eastAsia="zh-CN" w:bidi="ar-SA"/>
    </w:rPr>
  </w:style>
  <w:style w:type="character" w:customStyle="1" w:styleId="341">
    <w:name w:val="textfont1"/>
    <w:qFormat/>
    <w:uiPriority w:val="0"/>
    <w:rPr>
      <w:sz w:val="22"/>
      <w:szCs w:val="22"/>
    </w:rPr>
  </w:style>
  <w:style w:type="character" w:customStyle="1" w:styleId="342">
    <w:name w:val="Char Char2"/>
    <w:qFormat/>
    <w:uiPriority w:val="0"/>
    <w:rPr>
      <w:rFonts w:ascii="宋体" w:hAnsi="Courier New" w:eastAsia="宋体"/>
      <w:kern w:val="2"/>
      <w:sz w:val="18"/>
      <w:szCs w:val="18"/>
      <w:lang w:val="en-US" w:eastAsia="zh-CN" w:bidi="ar-SA"/>
    </w:rPr>
  </w:style>
  <w:style w:type="character" w:customStyle="1" w:styleId="343">
    <w:name w:val="食标题4 Char"/>
    <w:qFormat/>
    <w:uiPriority w:val="0"/>
    <w:rPr>
      <w:rFonts w:ascii="楷体_GB2312" w:hAnsi="宋体" w:eastAsia="楷体_GB2312" w:cs="宋体"/>
      <w:sz w:val="28"/>
      <w:szCs w:val="28"/>
      <w:lang w:val="en-US" w:eastAsia="zh-CN" w:bidi="ar-SA"/>
    </w:rPr>
  </w:style>
  <w:style w:type="character" w:customStyle="1" w:styleId="344">
    <w:name w:val="附表 Char Char"/>
    <w:link w:val="345"/>
    <w:qFormat/>
    <w:uiPriority w:val="0"/>
    <w:rPr>
      <w:b/>
      <w:sz w:val="24"/>
      <w:szCs w:val="24"/>
    </w:rPr>
  </w:style>
  <w:style w:type="paragraph" w:customStyle="1" w:styleId="345">
    <w:name w:val="附表"/>
    <w:basedOn w:val="155"/>
    <w:link w:val="344"/>
    <w:autoRedefine/>
    <w:qFormat/>
    <w:uiPriority w:val="0"/>
    <w:pPr>
      <w:spacing w:line="440" w:lineRule="exact"/>
    </w:pPr>
    <w:rPr>
      <w:rFonts w:ascii="Times New Roman" w:eastAsia="宋体"/>
      <w:sz w:val="24"/>
      <w:szCs w:val="24"/>
    </w:rPr>
  </w:style>
  <w:style w:type="character" w:customStyle="1" w:styleId="346">
    <w:name w:val="标题 2 -1"/>
    <w:qFormat/>
    <w:uiPriority w:val="0"/>
    <w:rPr>
      <w:rFonts w:eastAsia="宋体"/>
      <w:b/>
      <w:color w:val="00FF00"/>
      <w:sz w:val="30"/>
    </w:rPr>
  </w:style>
  <w:style w:type="character" w:customStyle="1" w:styleId="347">
    <w:name w:val="Char Char5"/>
    <w:qFormat/>
    <w:uiPriority w:val="0"/>
    <w:rPr>
      <w:kern w:val="2"/>
      <w:sz w:val="18"/>
    </w:rPr>
  </w:style>
  <w:style w:type="character" w:customStyle="1" w:styleId="348">
    <w:name w:val="标题 3 Char Char Char Char"/>
    <w:autoRedefine/>
    <w:qFormat/>
    <w:uiPriority w:val="0"/>
    <w:rPr>
      <w:rFonts w:eastAsia="黑体"/>
      <w:b/>
      <w:sz w:val="24"/>
      <w:lang w:val="en-US" w:eastAsia="zh-CN" w:bidi="ar-SA"/>
    </w:rPr>
  </w:style>
  <w:style w:type="character" w:customStyle="1" w:styleId="349">
    <w:name w:val="首行缩进两字 Char1"/>
    <w:link w:val="350"/>
    <w:autoRedefine/>
    <w:qFormat/>
    <w:uiPriority w:val="0"/>
    <w:rPr>
      <w:rFonts w:eastAsia="宋体"/>
      <w:sz w:val="24"/>
      <w:lang w:val="en-US" w:eastAsia="zh-CN" w:bidi="ar-SA"/>
    </w:rPr>
  </w:style>
  <w:style w:type="paragraph" w:customStyle="1" w:styleId="350">
    <w:name w:val="正文缩进1"/>
    <w:basedOn w:val="1"/>
    <w:link w:val="349"/>
    <w:autoRedefine/>
    <w:qFormat/>
    <w:uiPriority w:val="0"/>
    <w:pPr>
      <w:adjustRightInd w:val="0"/>
      <w:snapToGrid w:val="0"/>
      <w:spacing w:line="480" w:lineRule="exact"/>
      <w:ind w:firstLine="567"/>
    </w:pPr>
    <w:rPr>
      <w:kern w:val="0"/>
      <w:sz w:val="24"/>
      <w:szCs w:val="20"/>
    </w:rPr>
  </w:style>
  <w:style w:type="character" w:customStyle="1" w:styleId="351">
    <w:name w:val="个人答复风格"/>
    <w:autoRedefine/>
    <w:qFormat/>
    <w:uiPriority w:val="0"/>
    <w:rPr>
      <w:rFonts w:ascii="Arial" w:hAnsi="Arial" w:eastAsia="宋体" w:cs="Arial"/>
      <w:color w:val="auto"/>
      <w:sz w:val="20"/>
    </w:rPr>
  </w:style>
  <w:style w:type="character" w:customStyle="1" w:styleId="352">
    <w:name w:val="Char Char11"/>
    <w:autoRedefine/>
    <w:qFormat/>
    <w:uiPriority w:val="0"/>
    <w:rPr>
      <w:rFonts w:eastAsia="宋体"/>
      <w:kern w:val="2"/>
      <w:sz w:val="18"/>
      <w:szCs w:val="18"/>
      <w:lang w:val="en-US" w:eastAsia="zh-CN" w:bidi="ar-SA"/>
    </w:rPr>
  </w:style>
  <w:style w:type="character" w:customStyle="1" w:styleId="353">
    <w:name w:val="下标"/>
    <w:qFormat/>
    <w:uiPriority w:val="0"/>
    <w:rPr>
      <w:rFonts w:eastAsia="宋体"/>
      <w:sz w:val="18"/>
    </w:rPr>
  </w:style>
  <w:style w:type="character" w:customStyle="1" w:styleId="354">
    <w:name w:val="正文文本 Char Char Char2"/>
    <w:autoRedefine/>
    <w:qFormat/>
    <w:uiPriority w:val="0"/>
    <w:rPr>
      <w:rFonts w:ascii="宋体" w:eastAsia="宋体"/>
      <w:kern w:val="2"/>
      <w:sz w:val="28"/>
      <w:lang w:val="en-US" w:eastAsia="zh-CN" w:bidi="ar-SA"/>
    </w:rPr>
  </w:style>
  <w:style w:type="character" w:customStyle="1" w:styleId="355">
    <w:name w:val="apple-converted-space"/>
    <w:autoRedefine/>
    <w:qFormat/>
    <w:uiPriority w:val="0"/>
  </w:style>
  <w:style w:type="character" w:customStyle="1" w:styleId="356">
    <w:name w:val="个人撰写风格"/>
    <w:autoRedefine/>
    <w:qFormat/>
    <w:uiPriority w:val="0"/>
    <w:rPr>
      <w:rFonts w:ascii="Arial" w:hAnsi="Arial" w:eastAsia="宋体" w:cs="Arial"/>
      <w:color w:val="auto"/>
      <w:sz w:val="20"/>
    </w:rPr>
  </w:style>
  <w:style w:type="character" w:customStyle="1" w:styleId="357">
    <w:name w:val="Char Char4"/>
    <w:autoRedefine/>
    <w:qFormat/>
    <w:uiPriority w:val="0"/>
    <w:rPr>
      <w:rFonts w:eastAsia="宋体"/>
      <w:sz w:val="18"/>
      <w:lang w:val="en-US" w:eastAsia="zh-CN" w:bidi="ar-SA"/>
    </w:rPr>
  </w:style>
  <w:style w:type="character" w:customStyle="1" w:styleId="358">
    <w:name w:val="font161"/>
    <w:qFormat/>
    <w:uiPriority w:val="0"/>
    <w:rPr>
      <w:b/>
      <w:bCs/>
      <w:sz w:val="32"/>
      <w:szCs w:val="32"/>
    </w:rPr>
  </w:style>
  <w:style w:type="character" w:customStyle="1" w:styleId="359">
    <w:name w:val="PIM 4 Char1"/>
    <w:autoRedefine/>
    <w:qFormat/>
    <w:uiPriority w:val="0"/>
    <w:rPr>
      <w:rFonts w:eastAsia="楷体_GB2312"/>
      <w:b/>
      <w:snapToGrid w:val="0"/>
      <w:sz w:val="24"/>
      <w:lang w:val="en-US" w:eastAsia="zh-CN" w:bidi="ar-SA"/>
    </w:rPr>
  </w:style>
  <w:style w:type="character" w:customStyle="1" w:styleId="360">
    <w:name w:val="样式 粉红 下划线"/>
    <w:autoRedefine/>
    <w:qFormat/>
    <w:uiPriority w:val="0"/>
    <w:rPr>
      <w:color w:val="auto"/>
      <w:u w:val="none"/>
    </w:rPr>
  </w:style>
  <w:style w:type="character" w:customStyle="1" w:styleId="361">
    <w:name w:val="批注主题 Char3"/>
    <w:semiHidden/>
    <w:qFormat/>
    <w:uiPriority w:val="99"/>
    <w:rPr>
      <w:b/>
      <w:bCs/>
      <w:sz w:val="24"/>
      <w:szCs w:val="24"/>
    </w:rPr>
  </w:style>
  <w:style w:type="character" w:customStyle="1" w:styleId="362">
    <w:name w:val="正文样式 Char"/>
    <w:link w:val="363"/>
    <w:qFormat/>
    <w:uiPriority w:val="0"/>
    <w:rPr>
      <w:rFonts w:ascii="Calibri" w:hAnsi="Calibri"/>
      <w:sz w:val="24"/>
      <w:szCs w:val="24"/>
    </w:rPr>
  </w:style>
  <w:style w:type="paragraph" w:customStyle="1" w:styleId="363">
    <w:name w:val="正文样式"/>
    <w:basedOn w:val="1"/>
    <w:link w:val="362"/>
    <w:autoRedefine/>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4">
    <w:name w:val="书籍标题10"/>
    <w:autoRedefine/>
    <w:qFormat/>
    <w:uiPriority w:val="0"/>
    <w:rPr>
      <w:b/>
      <w:bCs/>
      <w:smallCaps/>
      <w:spacing w:val="5"/>
    </w:rPr>
  </w:style>
  <w:style w:type="character" w:customStyle="1" w:styleId="365">
    <w:name w:val="正文文本缩进 3 Char3"/>
    <w:autoRedefine/>
    <w:semiHidden/>
    <w:uiPriority w:val="99"/>
    <w:rPr>
      <w:sz w:val="16"/>
      <w:szCs w:val="16"/>
    </w:rPr>
  </w:style>
  <w:style w:type="character" w:customStyle="1" w:styleId="366">
    <w:name w:val="称呼 字符1"/>
    <w:qFormat/>
    <w:uiPriority w:val="99"/>
    <w:rPr>
      <w:kern w:val="2"/>
      <w:sz w:val="21"/>
      <w:szCs w:val="24"/>
    </w:rPr>
  </w:style>
  <w:style w:type="character" w:customStyle="1" w:styleId="367">
    <w:name w:val="Char Char93"/>
    <w:autoRedefine/>
    <w:qFormat/>
    <w:uiPriority w:val="0"/>
    <w:rPr>
      <w:kern w:val="2"/>
      <w:sz w:val="21"/>
      <w:szCs w:val="22"/>
    </w:rPr>
  </w:style>
  <w:style w:type="character" w:customStyle="1" w:styleId="368">
    <w:name w:val="未处理的提及1"/>
    <w:unhideWhenUsed/>
    <w:uiPriority w:val="99"/>
    <w:rPr>
      <w:color w:val="605E5C"/>
      <w:shd w:val="clear" w:color="auto" w:fill="E1DFDD"/>
    </w:rPr>
  </w:style>
  <w:style w:type="character" w:customStyle="1" w:styleId="369">
    <w:name w:val="Char Char8"/>
    <w:autoRedefine/>
    <w:uiPriority w:val="0"/>
    <w:rPr>
      <w:rFonts w:ascii="Arial" w:hAnsi="Arial" w:eastAsia="宋体" w:cs="Arial"/>
      <w:sz w:val="11"/>
      <w:szCs w:val="11"/>
      <w:lang w:val="en-US" w:eastAsia="zh-CN" w:bidi="ar-SA"/>
    </w:rPr>
  </w:style>
  <w:style w:type="character" w:customStyle="1" w:styleId="370">
    <w:name w:val="Char Char212"/>
    <w:qFormat/>
    <w:uiPriority w:val="0"/>
    <w:rPr>
      <w:rFonts w:eastAsia="华文中宋"/>
      <w:b/>
      <w:bCs/>
      <w:kern w:val="44"/>
      <w:sz w:val="36"/>
      <w:szCs w:val="36"/>
      <w:lang w:val="en-US" w:eastAsia="zh-CN" w:bidi="ar-SA"/>
    </w:rPr>
  </w:style>
  <w:style w:type="character" w:customStyle="1" w:styleId="371">
    <w:name w:val="Char Char202"/>
    <w:autoRedefine/>
    <w:qFormat/>
    <w:uiPriority w:val="0"/>
    <w:rPr>
      <w:rFonts w:eastAsia="华文中宋"/>
      <w:b/>
      <w:bCs/>
      <w:kern w:val="2"/>
      <w:sz w:val="32"/>
      <w:szCs w:val="32"/>
      <w:lang w:val="en-US" w:eastAsia="zh-CN" w:bidi="ar-SA"/>
    </w:rPr>
  </w:style>
  <w:style w:type="paragraph" w:customStyle="1" w:styleId="372">
    <w:name w:val="xl95"/>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3">
    <w:name w:val="pbulletcmt"/>
    <w:basedOn w:val="1"/>
    <w:autoRedefine/>
    <w:qFormat/>
    <w:uiPriority w:val="0"/>
    <w:pPr>
      <w:spacing w:before="100" w:beforeAutospacing="1" w:after="100" w:afterAutospacing="1" w:line="240" w:lineRule="auto"/>
      <w:jc w:val="left"/>
    </w:pPr>
    <w:rPr>
      <w:rFonts w:eastAsia="Times New Roman"/>
      <w:kern w:val="0"/>
      <w:sz w:val="24"/>
      <w:szCs w:val="24"/>
    </w:rPr>
  </w:style>
  <w:style w:type="paragraph" w:customStyle="1" w:styleId="374">
    <w:name w:val="样式1"/>
    <w:basedOn w:val="1"/>
    <w:next w:val="5"/>
    <w:qFormat/>
    <w:uiPriority w:val="0"/>
    <w:pPr>
      <w:widowControl w:val="0"/>
      <w:spacing w:line="360" w:lineRule="auto"/>
      <w:ind w:firstLine="420" w:firstLineChars="200"/>
    </w:pPr>
    <w:rPr>
      <w:rFonts w:ascii="宋体" w:hAnsi="宋体"/>
      <w:szCs w:val="20"/>
    </w:rPr>
  </w:style>
  <w:style w:type="paragraph" w:customStyle="1" w:styleId="375">
    <w:name w:val="xl9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6">
    <w:name w:val="样式 标题 3 + 四号 左 段前: 0 磅 段后: 0 磅"/>
    <w:basedOn w:val="4"/>
    <w:uiPriority w:val="0"/>
    <w:pPr>
      <w:numPr>
        <w:ilvl w:val="2"/>
        <w:numId w:val="5"/>
      </w:numPr>
      <w:spacing w:before="0" w:after="0"/>
      <w:jc w:val="left"/>
    </w:pPr>
    <w:rPr>
      <w:rFonts w:cs="宋体"/>
      <w:sz w:val="28"/>
      <w:szCs w:val="20"/>
    </w:rPr>
  </w:style>
  <w:style w:type="paragraph" w:customStyle="1" w:styleId="377">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8">
    <w:name w:val="方案正文"/>
    <w:basedOn w:val="1"/>
    <w:autoRedefine/>
    <w:uiPriority w:val="0"/>
    <w:pPr>
      <w:widowControl w:val="0"/>
      <w:spacing w:line="360" w:lineRule="auto"/>
    </w:pPr>
    <w:rPr>
      <w:sz w:val="24"/>
      <w:szCs w:val="24"/>
    </w:rPr>
  </w:style>
  <w:style w:type="paragraph" w:customStyle="1" w:styleId="379">
    <w:name w:val="xl6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80">
    <w:name w:val="xl10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81">
    <w:name w:val="xl66"/>
    <w:basedOn w:val="1"/>
    <w:autoRedefine/>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2">
    <w:name w:val="样式4"/>
    <w:basedOn w:val="3"/>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3">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4">
    <w:name w:val="Char"/>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5">
    <w:name w:val="xl87"/>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6">
    <w:name w:val="空半行"/>
    <w:basedOn w:val="1"/>
    <w:autoRedefine/>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7">
    <w:name w:val="TOC 标题1"/>
    <w:basedOn w:val="2"/>
    <w:next w:val="1"/>
    <w:autoRedefine/>
    <w:qFormat/>
    <w:uiPriority w:val="0"/>
    <w:pPr>
      <w:spacing w:before="340" w:after="330" w:line="576" w:lineRule="auto"/>
      <w:jc w:val="both"/>
      <w:outlineLvl w:val="9"/>
    </w:pPr>
    <w:rPr>
      <w:rFonts w:ascii="Calibri" w:hAnsi="Calibri" w:eastAsia="宋体"/>
      <w:sz w:val="44"/>
      <w:szCs w:val="44"/>
    </w:rPr>
  </w:style>
  <w:style w:type="paragraph" w:customStyle="1" w:styleId="388">
    <w:name w:val="样式 正文文本缩进 2 + 小四 首行缩进:  2 字符"/>
    <w:basedOn w:val="37"/>
    <w:autoRedefine/>
    <w:uiPriority w:val="0"/>
    <w:pPr>
      <w:spacing w:after="0" w:line="360" w:lineRule="auto"/>
      <w:ind w:left="0" w:leftChars="0" w:firstLine="200" w:firstLineChars="200"/>
    </w:pPr>
    <w:rPr>
      <w:rFonts w:cs="宋体"/>
      <w:sz w:val="24"/>
      <w:szCs w:val="20"/>
    </w:rPr>
  </w:style>
  <w:style w:type="paragraph" w:customStyle="1" w:styleId="389">
    <w:name w:val="Char2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90">
    <w:name w:val="样式 标题 3 + 两端对齐"/>
    <w:basedOn w:val="4"/>
    <w:uiPriority w:val="0"/>
    <w:pPr>
      <w:ind w:firstLine="200" w:firstLineChars="200"/>
      <w:jc w:val="left"/>
    </w:pPr>
    <w:rPr>
      <w:rFonts w:cs="宋体"/>
      <w:szCs w:val="20"/>
    </w:rPr>
  </w:style>
  <w:style w:type="paragraph" w:customStyle="1" w:styleId="39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2">
    <w:name w:val="xl6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3">
    <w:name w:val="xl83"/>
    <w:basedOn w:val="1"/>
    <w:uiPriority w:val="0"/>
    <w:pPr>
      <w:spacing w:before="100" w:beforeAutospacing="1" w:after="100" w:afterAutospacing="1" w:line="240" w:lineRule="auto"/>
      <w:jc w:val="left"/>
    </w:pPr>
    <w:rPr>
      <w:rFonts w:ascii="宋体" w:hAnsi="宋体" w:cs="宋体"/>
      <w:kern w:val="0"/>
      <w:sz w:val="24"/>
      <w:szCs w:val="24"/>
    </w:rPr>
  </w:style>
  <w:style w:type="paragraph" w:customStyle="1" w:styleId="394">
    <w:name w:val="列出段落11"/>
    <w:basedOn w:val="1"/>
    <w:uiPriority w:val="0"/>
    <w:pPr>
      <w:widowControl w:val="0"/>
      <w:spacing w:line="240" w:lineRule="auto"/>
      <w:ind w:firstLine="420" w:firstLineChars="200"/>
    </w:pPr>
    <w:rPr>
      <w:rFonts w:ascii="Calibri" w:hAnsi="Calibri"/>
      <w:szCs w:val="24"/>
    </w:rPr>
  </w:style>
  <w:style w:type="paragraph" w:customStyle="1" w:styleId="39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6">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8">
    <w:name w:val="xl96"/>
    <w:basedOn w:val="1"/>
    <w:autoRedefine/>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9">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400">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01">
    <w:name w:val="文档正文"/>
    <w:basedOn w:val="1"/>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2">
    <w:name w:val="默认段落字体 Para Char"/>
    <w:basedOn w:val="1"/>
    <w:uiPriority w:val="0"/>
    <w:pPr>
      <w:widowControl w:val="0"/>
      <w:spacing w:line="240" w:lineRule="auto"/>
      <w:ind w:left="540"/>
    </w:pPr>
    <w:rPr>
      <w:szCs w:val="24"/>
    </w:rPr>
  </w:style>
  <w:style w:type="paragraph" w:customStyle="1" w:styleId="403">
    <w:name w:val="xl49"/>
    <w:basedOn w:val="1"/>
    <w:qFormat/>
    <w:uiPriority w:val="0"/>
    <w:pPr>
      <w:spacing w:before="100" w:beforeAutospacing="1" w:after="100" w:afterAutospacing="1" w:line="240" w:lineRule="auto"/>
      <w:jc w:val="center"/>
    </w:pPr>
    <w:rPr>
      <w:kern w:val="0"/>
      <w:sz w:val="20"/>
      <w:szCs w:val="20"/>
    </w:rPr>
  </w:style>
  <w:style w:type="paragraph" w:customStyle="1" w:styleId="404">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5">
    <w:name w:val="节"/>
    <w:basedOn w:val="3"/>
    <w:autoRedefine/>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6">
    <w:name w:val="样式 样式 标题 2 + 两端对齐 + 首行缩进:  2 字符"/>
    <w:basedOn w:val="1"/>
    <w:autoRedefine/>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7">
    <w:name w:val="xl82"/>
    <w:basedOn w:val="1"/>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8">
    <w:name w:val="xl50"/>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9">
    <w:name w:val="样式 标题 1 + 宋体"/>
    <w:basedOn w:val="2"/>
    <w:qFormat/>
    <w:uiPriority w:val="0"/>
    <w:rPr>
      <w:rFonts w:ascii="宋体" w:hAnsi="宋体"/>
    </w:rPr>
  </w:style>
  <w:style w:type="paragraph" w:customStyle="1" w:styleId="410">
    <w:name w:val="标题2"/>
    <w:basedOn w:val="3"/>
    <w:next w:val="1"/>
    <w:autoRedefine/>
    <w:uiPriority w:val="0"/>
    <w:pPr>
      <w:spacing w:before="260" w:after="260"/>
    </w:pPr>
  </w:style>
  <w:style w:type="paragraph" w:customStyle="1" w:styleId="411">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2">
    <w:name w:val="Char Char24 Char Char"/>
    <w:basedOn w:val="1"/>
    <w:qFormat/>
    <w:uiPriority w:val="0"/>
    <w:pPr>
      <w:spacing w:after="160" w:line="240" w:lineRule="exact"/>
      <w:jc w:val="left"/>
    </w:pPr>
    <w:rPr>
      <w:szCs w:val="24"/>
    </w:rPr>
  </w:style>
  <w:style w:type="paragraph" w:customStyle="1" w:styleId="413">
    <w:name w:val="xl62"/>
    <w:basedOn w:val="1"/>
    <w:autoRedefine/>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4">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5">
    <w:name w:val="样式 小四 左 行距: 多倍行距 1.25 字行"/>
    <w:basedOn w:val="1"/>
    <w:uiPriority w:val="0"/>
    <w:pPr>
      <w:widowControl w:val="0"/>
      <w:spacing w:line="300" w:lineRule="auto"/>
      <w:jc w:val="left"/>
    </w:pPr>
    <w:rPr>
      <w:rFonts w:cs="宋体"/>
      <w:sz w:val="24"/>
      <w:szCs w:val="20"/>
    </w:rPr>
  </w:style>
  <w:style w:type="paragraph" w:customStyle="1" w:styleId="416">
    <w:name w:val="样式 样式 标题 2 + 左 + 小三"/>
    <w:basedOn w:val="417"/>
    <w:autoRedefine/>
    <w:qFormat/>
    <w:uiPriority w:val="0"/>
    <w:rPr>
      <w:sz w:val="30"/>
    </w:rPr>
  </w:style>
  <w:style w:type="paragraph" w:customStyle="1" w:styleId="417">
    <w:name w:val="样式 标题 2 + 左"/>
    <w:basedOn w:val="3"/>
    <w:uiPriority w:val="0"/>
    <w:pPr>
      <w:keepNext w:val="0"/>
      <w:keepLines w:val="0"/>
      <w:adjustRightInd w:val="0"/>
      <w:snapToGrid w:val="0"/>
      <w:spacing w:before="120" w:after="120"/>
      <w:ind w:firstLine="496" w:firstLineChars="155"/>
      <w:jc w:val="both"/>
    </w:pPr>
    <w:rPr>
      <w:rFonts w:cs="宋体"/>
      <w:color w:val="FF0000"/>
      <w:szCs w:val="20"/>
    </w:rPr>
  </w:style>
  <w:style w:type="paragraph" w:customStyle="1" w:styleId="418">
    <w:name w:val="节(3级-2)标题"/>
    <w:basedOn w:val="4"/>
    <w:next w:val="1"/>
    <w:autoRedefine/>
    <w:qFormat/>
    <w:uiPriority w:val="0"/>
    <w:pPr>
      <w:spacing w:before="0" w:after="0"/>
      <w:ind w:firstLine="200" w:firstLineChars="200"/>
      <w:jc w:val="left"/>
    </w:pPr>
    <w:rPr>
      <w:sz w:val="24"/>
    </w:rPr>
  </w:style>
  <w:style w:type="paragraph" w:customStyle="1" w:styleId="419">
    <w:name w:val="列出段落1"/>
    <w:basedOn w:val="1"/>
    <w:autoRedefine/>
    <w:qFormat/>
    <w:uiPriority w:val="0"/>
    <w:pPr>
      <w:widowControl w:val="0"/>
      <w:spacing w:line="240" w:lineRule="auto"/>
      <w:ind w:firstLine="420" w:firstLineChars="200"/>
    </w:pPr>
    <w:rPr>
      <w:szCs w:val="24"/>
    </w:rPr>
  </w:style>
  <w:style w:type="paragraph" w:customStyle="1" w:styleId="420">
    <w:name w:val="标题1"/>
    <w:basedOn w:val="2"/>
    <w:next w:val="1"/>
    <w:uiPriority w:val="0"/>
    <w:pPr>
      <w:spacing w:before="340" w:after="330"/>
    </w:pPr>
  </w:style>
  <w:style w:type="paragraph" w:customStyle="1" w:styleId="421">
    <w:name w:val="Char Char Char Char11"/>
    <w:basedOn w:val="1"/>
    <w:autoRedefine/>
    <w:uiPriority w:val="0"/>
    <w:pPr>
      <w:widowControl w:val="0"/>
      <w:spacing w:line="240" w:lineRule="auto"/>
    </w:pPr>
    <w:rPr>
      <w:rFonts w:ascii="Tahoma" w:hAnsi="Tahoma"/>
      <w:sz w:val="24"/>
      <w:szCs w:val="20"/>
    </w:rPr>
  </w:style>
  <w:style w:type="paragraph" w:customStyle="1" w:styleId="422">
    <w:name w:val="xl54"/>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3">
    <w:name w:val="Char Char Char Char Char Char Char Char Char Char Char Char"/>
    <w:basedOn w:val="1"/>
    <w:qFormat/>
    <w:uiPriority w:val="0"/>
    <w:pPr>
      <w:spacing w:after="160" w:line="240" w:lineRule="exact"/>
      <w:jc w:val="left"/>
    </w:pPr>
    <w:rPr>
      <w:szCs w:val="24"/>
    </w:rPr>
  </w:style>
  <w:style w:type="paragraph" w:customStyle="1" w:styleId="424">
    <w:name w:val="样式 标题 3 + 段前: 7.8 磅"/>
    <w:basedOn w:val="4"/>
    <w:autoRedefine/>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5">
    <w:name w:val="样式 标题 3 + (中文) 黑体 小四 非加粗 段前: 7.8 磅 段后: 0 磅 行距: 固定值 20 磅"/>
    <w:basedOn w:val="4"/>
    <w:qFormat/>
    <w:uiPriority w:val="0"/>
    <w:pPr>
      <w:spacing w:before="0" w:after="0" w:line="400" w:lineRule="exact"/>
      <w:jc w:val="both"/>
    </w:pPr>
    <w:rPr>
      <w:rFonts w:eastAsia="黑体" w:cs="宋体"/>
      <w:b w:val="0"/>
      <w:bCs w:val="0"/>
      <w:sz w:val="24"/>
      <w:szCs w:val="20"/>
    </w:rPr>
  </w:style>
  <w:style w:type="paragraph" w:customStyle="1" w:styleId="426">
    <w:name w:val="样式 标题 2 + Times New Roman 四号 非加粗 段前: 5 磅 段后: 0 磅 行距: 固定值 20..."/>
    <w:basedOn w:val="3"/>
    <w:qFormat/>
    <w:uiPriority w:val="0"/>
    <w:pPr>
      <w:spacing w:before="100" w:after="0" w:line="400" w:lineRule="exact"/>
      <w:jc w:val="both"/>
    </w:pPr>
    <w:rPr>
      <w:rFonts w:eastAsia="黑体" w:cs="宋体"/>
      <w:b w:val="0"/>
      <w:bCs w:val="0"/>
      <w:kern w:val="0"/>
      <w:sz w:val="28"/>
      <w:szCs w:val="20"/>
    </w:rPr>
  </w:style>
  <w:style w:type="paragraph" w:customStyle="1" w:styleId="427">
    <w:name w:val="bt1bt1"/>
    <w:basedOn w:val="2"/>
    <w:autoRedefine/>
    <w:uiPriority w:val="0"/>
    <w:pPr>
      <w:spacing w:before="340" w:after="330" w:line="240" w:lineRule="auto"/>
    </w:pPr>
    <w:rPr>
      <w:rFonts w:ascii="黑体" w:eastAsia="黑体"/>
      <w:b w:val="0"/>
    </w:rPr>
  </w:style>
  <w:style w:type="paragraph" w:customStyle="1" w:styleId="428">
    <w:name w:val="Char11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429">
    <w:name w:val="Char Char2 Char"/>
    <w:basedOn w:val="1"/>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3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1">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2">
    <w:name w:val="须知二级小标题"/>
    <w:basedOn w:val="1"/>
    <w:qFormat/>
    <w:uiPriority w:val="0"/>
    <w:pPr>
      <w:widowControl w:val="0"/>
      <w:spacing w:line="500" w:lineRule="exact"/>
    </w:pPr>
    <w:rPr>
      <w:rFonts w:ascii="宋体"/>
      <w:b/>
      <w:sz w:val="24"/>
      <w:szCs w:val="20"/>
    </w:rPr>
  </w:style>
  <w:style w:type="paragraph" w:customStyle="1" w:styleId="433">
    <w:name w:val="xl67"/>
    <w:basedOn w:val="1"/>
    <w:autoRedefine/>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4">
    <w:name w:val="xl100"/>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5">
    <w:name w:val="xl105"/>
    <w:basedOn w:val="1"/>
    <w:autoRedefine/>
    <w:uiPriority w:val="0"/>
    <w:pPr>
      <w:spacing w:before="100" w:beforeAutospacing="1" w:after="100" w:afterAutospacing="1" w:line="240" w:lineRule="auto"/>
      <w:jc w:val="right"/>
    </w:pPr>
    <w:rPr>
      <w:rFonts w:ascii="宋体" w:hAnsi="宋体" w:cs="宋体"/>
      <w:kern w:val="0"/>
      <w:sz w:val="24"/>
      <w:szCs w:val="24"/>
    </w:rPr>
  </w:style>
  <w:style w:type="paragraph" w:customStyle="1" w:styleId="436">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7">
    <w:name w:val="样式 样式 标题 3 + 两端对齐 + 首行缩进:  2 字符"/>
    <w:basedOn w:val="4"/>
    <w:next w:val="24"/>
    <w:qFormat/>
    <w:uiPriority w:val="0"/>
    <w:pPr>
      <w:spacing w:before="0" w:after="0"/>
      <w:ind w:firstLine="200" w:firstLineChars="200"/>
      <w:jc w:val="left"/>
    </w:pPr>
    <w:rPr>
      <w:sz w:val="28"/>
      <w:szCs w:val="28"/>
    </w:rPr>
  </w:style>
  <w:style w:type="paragraph" w:customStyle="1" w:styleId="438">
    <w:name w:val="xl3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9">
    <w:name w:val="xl69"/>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0">
    <w:name w:val="Char Char Char Char"/>
    <w:basedOn w:val="1"/>
    <w:uiPriority w:val="0"/>
    <w:pPr>
      <w:widowControl w:val="0"/>
      <w:spacing w:line="240" w:lineRule="auto"/>
    </w:pPr>
    <w:rPr>
      <w:szCs w:val="24"/>
    </w:rPr>
  </w:style>
  <w:style w:type="paragraph" w:customStyle="1" w:styleId="441">
    <w:name w:val="样式 标题 4 + 首行缩进:  2 字符"/>
    <w:basedOn w:val="5"/>
    <w:autoRedefine/>
    <w:uiPriority w:val="0"/>
    <w:rPr>
      <w:rFonts w:cs="宋体"/>
      <w:szCs w:val="20"/>
    </w:rPr>
  </w:style>
  <w:style w:type="paragraph" w:customStyle="1" w:styleId="442">
    <w:name w:val="xl48"/>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3">
    <w:name w:val="List Paragraph1"/>
    <w:basedOn w:val="1"/>
    <w:autoRedefine/>
    <w:qFormat/>
    <w:uiPriority w:val="0"/>
    <w:pPr>
      <w:widowControl w:val="0"/>
      <w:spacing w:line="240" w:lineRule="auto"/>
      <w:ind w:firstLine="420" w:firstLineChars="200"/>
    </w:pPr>
    <w:rPr>
      <w:szCs w:val="24"/>
    </w:rPr>
  </w:style>
  <w:style w:type="paragraph" w:customStyle="1" w:styleId="444">
    <w:name w:val="xl5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5">
    <w:name w:val="Char Char Char Char Char Char Char Char Char Char"/>
    <w:basedOn w:val="1"/>
    <w:qFormat/>
    <w:uiPriority w:val="0"/>
    <w:pPr>
      <w:widowControl w:val="0"/>
      <w:spacing w:line="240" w:lineRule="auto"/>
    </w:pPr>
    <w:rPr>
      <w:szCs w:val="20"/>
    </w:rPr>
  </w:style>
  <w:style w:type="paragraph" w:customStyle="1" w:styleId="446">
    <w:name w:val="Char11"/>
    <w:basedOn w:val="1"/>
    <w:autoRedefine/>
    <w:qFormat/>
    <w:uiPriority w:val="0"/>
    <w:pPr>
      <w:widowControl w:val="0"/>
      <w:spacing w:line="240" w:lineRule="auto"/>
    </w:pPr>
    <w:rPr>
      <w:rFonts w:ascii="仿宋_GB2312" w:eastAsia="仿宋_GB2312"/>
      <w:b/>
      <w:sz w:val="32"/>
      <w:szCs w:val="32"/>
    </w:rPr>
  </w:style>
  <w:style w:type="paragraph" w:customStyle="1" w:styleId="447">
    <w:name w:val="Char1 Char Char Char Char Char Char"/>
    <w:basedOn w:val="1"/>
    <w:qFormat/>
    <w:uiPriority w:val="0"/>
    <w:pPr>
      <w:widowControl w:val="0"/>
      <w:spacing w:line="240" w:lineRule="auto"/>
    </w:pPr>
    <w:rPr>
      <w:rFonts w:ascii="Tahoma" w:hAnsi="Tahoma"/>
      <w:szCs w:val="20"/>
    </w:rPr>
  </w:style>
  <w:style w:type="paragraph" w:customStyle="1" w:styleId="448">
    <w:name w:val="Char Char1 Char Char Char1"/>
    <w:basedOn w:val="1"/>
    <w:autoRedefine/>
    <w:uiPriority w:val="0"/>
    <w:pPr>
      <w:widowControl w:val="0"/>
      <w:spacing w:line="240" w:lineRule="auto"/>
    </w:pPr>
    <w:rPr>
      <w:kern w:val="0"/>
      <w:sz w:val="20"/>
      <w:szCs w:val="20"/>
    </w:rPr>
  </w:style>
  <w:style w:type="paragraph" w:customStyle="1" w:styleId="449">
    <w:name w:val="标题3"/>
    <w:basedOn w:val="4"/>
    <w:next w:val="1"/>
    <w:autoRedefine/>
    <w:qFormat/>
    <w:uiPriority w:val="0"/>
    <w:pPr>
      <w:spacing w:before="260" w:after="260"/>
    </w:pPr>
  </w:style>
  <w:style w:type="paragraph" w:customStyle="1" w:styleId="450">
    <w:name w:val="xl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51">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3">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4">
    <w:name w:val="Char Char1 Char Char Char"/>
    <w:basedOn w:val="1"/>
    <w:autoRedefine/>
    <w:qFormat/>
    <w:uiPriority w:val="0"/>
    <w:pPr>
      <w:widowControl w:val="0"/>
      <w:spacing w:line="240" w:lineRule="auto"/>
    </w:pPr>
    <w:rPr>
      <w:kern w:val="0"/>
      <w:sz w:val="20"/>
      <w:szCs w:val="20"/>
    </w:rPr>
  </w:style>
  <w:style w:type="paragraph" w:customStyle="1" w:styleId="455">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6">
    <w:name w:val="表格文字"/>
    <w:basedOn w:val="1"/>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7">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8">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9">
    <w:name w:val="默认段落字体 Para Char Char Char Char Char Char Char"/>
    <w:basedOn w:val="1"/>
    <w:uiPriority w:val="0"/>
    <w:pPr>
      <w:widowControl w:val="0"/>
      <w:adjustRightInd w:val="0"/>
      <w:spacing w:line="360" w:lineRule="auto"/>
      <w:ind w:left="200" w:hanging="200" w:hangingChars="200"/>
    </w:pPr>
    <w:rPr>
      <w:szCs w:val="20"/>
    </w:rPr>
  </w:style>
  <w:style w:type="paragraph" w:customStyle="1" w:styleId="460">
    <w:name w:val="xl59"/>
    <w:basedOn w:val="1"/>
    <w:autoRedefine/>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61">
    <w:name w:val="正文+首缩"/>
    <w:basedOn w:val="1"/>
    <w:next w:val="1"/>
    <w:autoRedefine/>
    <w:uiPriority w:val="0"/>
    <w:pPr>
      <w:widowControl w:val="0"/>
      <w:spacing w:line="360" w:lineRule="auto"/>
      <w:ind w:firstLine="420" w:firstLineChars="200"/>
    </w:pPr>
    <w:rPr>
      <w:rFonts w:ascii="Arial" w:hAnsi="Arial"/>
      <w:kern w:val="0"/>
      <w:sz w:val="20"/>
      <w:szCs w:val="20"/>
    </w:rPr>
  </w:style>
  <w:style w:type="paragraph" w:customStyle="1" w:styleId="462">
    <w:name w:val="flNote"/>
    <w:basedOn w:val="1"/>
    <w:autoRedefine/>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3">
    <w:name w:val="xl85"/>
    <w:basedOn w:val="1"/>
    <w:autoRedefine/>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4">
    <w:name w:val="条款节部分"/>
    <w:basedOn w:val="1"/>
    <w:qFormat/>
    <w:uiPriority w:val="0"/>
    <w:pPr>
      <w:widowControl w:val="0"/>
      <w:numPr>
        <w:ilvl w:val="0"/>
        <w:numId w:val="6"/>
      </w:numPr>
      <w:spacing w:line="240" w:lineRule="auto"/>
    </w:pPr>
    <w:rPr>
      <w:rFonts w:eastAsia="仿宋_GB2312"/>
      <w:sz w:val="32"/>
      <w:szCs w:val="32"/>
    </w:rPr>
  </w:style>
  <w:style w:type="paragraph" w:customStyle="1" w:styleId="465">
    <w:name w:val="Char Char Char Char Char Char Char Char Char Char11"/>
    <w:basedOn w:val="1"/>
    <w:qFormat/>
    <w:uiPriority w:val="0"/>
    <w:pPr>
      <w:widowControl w:val="0"/>
      <w:spacing w:line="240" w:lineRule="auto"/>
    </w:pPr>
    <w:rPr>
      <w:szCs w:val="20"/>
    </w:rPr>
  </w:style>
  <w:style w:type="paragraph" w:customStyle="1" w:styleId="466">
    <w:name w:val="xl81"/>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69">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70">
    <w:name w:val="xl90"/>
    <w:basedOn w:val="1"/>
    <w:autoRedefine/>
    <w:uiPriority w:val="0"/>
    <w:pPr>
      <w:spacing w:before="100" w:beforeAutospacing="1" w:after="100" w:afterAutospacing="1" w:line="240" w:lineRule="auto"/>
      <w:jc w:val="left"/>
    </w:pPr>
    <w:rPr>
      <w:rFonts w:ascii="宋体" w:hAnsi="宋体" w:cs="宋体"/>
      <w:kern w:val="0"/>
      <w:sz w:val="20"/>
      <w:szCs w:val="20"/>
    </w:rPr>
  </w:style>
  <w:style w:type="paragraph" w:customStyle="1" w:styleId="471">
    <w:name w:val="xl10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2">
    <w:name w:val="表名A"/>
    <w:basedOn w:val="1"/>
    <w:qFormat/>
    <w:uiPriority w:val="4"/>
    <w:pPr>
      <w:tabs>
        <w:tab w:val="left" w:pos="0"/>
      </w:tabs>
      <w:adjustRightInd w:val="0"/>
      <w:snapToGrid w:val="0"/>
      <w:spacing w:beforeLines="80" w:afterLines="20" w:line="240" w:lineRule="auto"/>
      <w:jc w:val="center"/>
    </w:pPr>
    <w:rPr>
      <w:b/>
      <w:kern w:val="0"/>
      <w:szCs w:val="20"/>
    </w:rPr>
  </w:style>
  <w:style w:type="paragraph" w:customStyle="1" w:styleId="47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4">
    <w:name w:val="Char Char1 Char Char Char Char Char Char11"/>
    <w:basedOn w:val="1"/>
    <w:autoRedefine/>
    <w:uiPriority w:val="0"/>
    <w:pPr>
      <w:spacing w:after="160" w:line="240" w:lineRule="exact"/>
      <w:jc w:val="left"/>
    </w:pPr>
    <w:rPr>
      <w:rFonts w:ascii="Verdana" w:hAnsi="Verdana" w:eastAsia="仿宋_GB2312"/>
      <w:kern w:val="0"/>
      <w:sz w:val="24"/>
      <w:szCs w:val="20"/>
      <w:lang w:eastAsia="en-US"/>
    </w:rPr>
  </w:style>
  <w:style w:type="paragraph" w:customStyle="1" w:styleId="47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6">
    <w:name w:val="xl82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7">
    <w:name w:val="xl2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8">
    <w:name w:val="表文C"/>
    <w:basedOn w:val="1"/>
    <w:qFormat/>
    <w:uiPriority w:val="4"/>
    <w:pPr>
      <w:tabs>
        <w:tab w:val="left" w:pos="0"/>
      </w:tabs>
      <w:adjustRightInd w:val="0"/>
      <w:snapToGrid w:val="0"/>
      <w:spacing w:line="240" w:lineRule="auto"/>
      <w:jc w:val="center"/>
    </w:pPr>
    <w:rPr>
      <w:kern w:val="0"/>
      <w:szCs w:val="20"/>
    </w:rPr>
  </w:style>
  <w:style w:type="paragraph" w:customStyle="1" w:styleId="47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80">
    <w:name w:val="Char Char24 Char Char11"/>
    <w:basedOn w:val="1"/>
    <w:autoRedefine/>
    <w:uiPriority w:val="0"/>
    <w:pPr>
      <w:spacing w:after="160" w:line="240" w:lineRule="exact"/>
      <w:jc w:val="left"/>
    </w:pPr>
    <w:rPr>
      <w:szCs w:val="24"/>
    </w:rPr>
  </w:style>
  <w:style w:type="paragraph" w:customStyle="1" w:styleId="48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2">
    <w:name w:val="样式1 Char Char"/>
    <w:basedOn w:val="1"/>
    <w:autoRedefine/>
    <w:qFormat/>
    <w:uiPriority w:val="0"/>
    <w:pPr>
      <w:widowControl w:val="0"/>
      <w:adjustRightInd w:val="0"/>
      <w:snapToGrid w:val="0"/>
      <w:spacing w:line="360" w:lineRule="auto"/>
      <w:ind w:firstLine="359" w:firstLineChars="171"/>
    </w:pPr>
    <w:rPr>
      <w:szCs w:val="21"/>
    </w:rPr>
  </w:style>
  <w:style w:type="paragraph" w:customStyle="1" w:styleId="483">
    <w:name w:val="xl20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4">
    <w:name w:val="msonormal"/>
    <w:basedOn w:val="1"/>
    <w:uiPriority w:val="0"/>
    <w:pPr>
      <w:spacing w:before="100" w:beforeAutospacing="1" w:after="100" w:afterAutospacing="1" w:line="240" w:lineRule="auto"/>
      <w:jc w:val="left"/>
    </w:pPr>
    <w:rPr>
      <w:rFonts w:ascii="宋体" w:hAnsi="宋体" w:cs="宋体"/>
      <w:kern w:val="0"/>
      <w:sz w:val="24"/>
      <w:szCs w:val="24"/>
    </w:rPr>
  </w:style>
  <w:style w:type="paragraph" w:customStyle="1" w:styleId="485">
    <w:name w:val="xl99"/>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6">
    <w:name w:val="样式 标题 1标题 1XWA标题1Document Header1标题 1 Char1 + 宋体 四号 加粗 两端..."/>
    <w:basedOn w:val="2"/>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7">
    <w:name w:val="xl20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8">
    <w:name w:val="Char1 Char Char Char Char Char Char Char Char Char Char Char Char Char Char Char"/>
    <w:basedOn w:val="1"/>
    <w:qFormat/>
    <w:uiPriority w:val="0"/>
    <w:pPr>
      <w:widowControl w:val="0"/>
      <w:spacing w:line="240" w:lineRule="auto"/>
    </w:pPr>
    <w:rPr>
      <w:szCs w:val="20"/>
    </w:rPr>
  </w:style>
  <w:style w:type="paragraph" w:customStyle="1" w:styleId="489">
    <w:name w:val="xl111"/>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90">
    <w:name w:val="Char Char Char Char Char Char Char Char Char Char Char Char Char Char Char Char Char Char Char1"/>
    <w:basedOn w:val="1"/>
    <w:autoRedefine/>
    <w:qFormat/>
    <w:uiPriority w:val="0"/>
    <w:pPr>
      <w:widowControl w:val="0"/>
      <w:tabs>
        <w:tab w:val="left" w:pos="1155"/>
      </w:tabs>
      <w:adjustRightInd w:val="0"/>
      <w:snapToGrid w:val="0"/>
      <w:ind w:left="1155" w:hanging="210"/>
    </w:pPr>
    <w:rPr>
      <w:szCs w:val="24"/>
    </w:rPr>
  </w:style>
  <w:style w:type="paragraph" w:customStyle="1" w:styleId="491">
    <w:name w:val="样式 正文文字缩进 2 + (符号) 宋体 小四 居中 首行缩进:  2 字符 行距: 固定值 18 磅"/>
    <w:basedOn w:val="37"/>
    <w:qFormat/>
    <w:uiPriority w:val="0"/>
    <w:pPr>
      <w:spacing w:after="0" w:line="360" w:lineRule="exact"/>
      <w:ind w:left="0" w:leftChars="0"/>
      <w:jc w:val="center"/>
    </w:pPr>
    <w:rPr>
      <w:sz w:val="24"/>
      <w:lang w:val="en-US"/>
    </w:rPr>
  </w:style>
  <w:style w:type="paragraph" w:customStyle="1" w:styleId="492">
    <w:name w:val="xl20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3">
    <w:name w:val="xl172"/>
    <w:basedOn w:val="1"/>
    <w:autoRedefine/>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4">
    <w:name w:val="Blockquote"/>
    <w:basedOn w:val="1"/>
    <w:autoRedefine/>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5">
    <w:name w:val="xl80"/>
    <w:basedOn w:val="1"/>
    <w:autoRedefine/>
    <w:uiPriority w:val="0"/>
    <w:pPr>
      <w:spacing w:before="100" w:beforeAutospacing="1" w:after="100" w:afterAutospacing="1" w:line="240" w:lineRule="auto"/>
      <w:jc w:val="left"/>
    </w:pPr>
    <w:rPr>
      <w:rFonts w:ascii="宋体" w:hAnsi="宋体" w:cs="宋体"/>
      <w:kern w:val="0"/>
      <w:sz w:val="24"/>
      <w:szCs w:val="24"/>
    </w:rPr>
  </w:style>
  <w:style w:type="paragraph" w:customStyle="1" w:styleId="496">
    <w:name w:val="标题B"/>
    <w:basedOn w:val="4"/>
    <w:next w:val="15"/>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7">
    <w:name w:val="表格内容 Char"/>
    <w:basedOn w:val="1"/>
    <w:qFormat/>
    <w:uiPriority w:val="0"/>
    <w:pPr>
      <w:widowControl w:val="0"/>
      <w:adjustRightInd w:val="0"/>
      <w:snapToGrid w:val="0"/>
      <w:jc w:val="center"/>
      <w:textAlignment w:val="baseline"/>
    </w:pPr>
    <w:rPr>
      <w:b/>
      <w:kern w:val="0"/>
      <w:szCs w:val="20"/>
    </w:rPr>
  </w:style>
  <w:style w:type="paragraph" w:customStyle="1" w:styleId="498">
    <w:name w:val="xl2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9">
    <w:name w:val="Char Char Char Char Char Char Char Char Char Char Char Char Char Char Char Char Char Char Char Char Char Char Char Char Char Char Char Char Char Char Char Char Char2"/>
    <w:basedOn w:val="1"/>
    <w:qFormat/>
    <w:uiPriority w:val="0"/>
    <w:pPr>
      <w:spacing w:after="160" w:line="240" w:lineRule="exact"/>
      <w:jc w:val="left"/>
    </w:pPr>
    <w:rPr>
      <w:szCs w:val="24"/>
    </w:rPr>
  </w:style>
  <w:style w:type="paragraph" w:customStyle="1" w:styleId="500">
    <w:name w:val="xl173"/>
    <w:basedOn w:val="1"/>
    <w:autoRedefine/>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501">
    <w:name w:val="xl89"/>
    <w:basedOn w:val="1"/>
    <w:autoRedefine/>
    <w:uiPriority w:val="0"/>
    <w:pPr>
      <w:spacing w:before="100" w:beforeAutospacing="1" w:after="100" w:afterAutospacing="1" w:line="240" w:lineRule="auto"/>
      <w:jc w:val="center"/>
    </w:pPr>
    <w:rPr>
      <w:rFonts w:ascii="宋体" w:hAnsi="宋体" w:cs="宋体"/>
      <w:kern w:val="0"/>
      <w:sz w:val="20"/>
      <w:szCs w:val="20"/>
    </w:rPr>
  </w:style>
  <w:style w:type="paragraph" w:customStyle="1" w:styleId="502">
    <w:name w:val="Char Char Char Char Char Char Char Char Char Char Char Char1"/>
    <w:basedOn w:val="1"/>
    <w:uiPriority w:val="0"/>
    <w:pPr>
      <w:spacing w:after="160" w:line="240" w:lineRule="exact"/>
      <w:jc w:val="left"/>
    </w:pPr>
    <w:rPr>
      <w:szCs w:val="24"/>
    </w:rPr>
  </w:style>
  <w:style w:type="paragraph" w:customStyle="1" w:styleId="503">
    <w:name w:val="_Style 9"/>
    <w:basedOn w:val="1"/>
    <w:autoRedefine/>
    <w:uiPriority w:val="0"/>
    <w:pPr>
      <w:widowControl w:val="0"/>
      <w:snapToGrid w:val="0"/>
      <w:spacing w:line="500" w:lineRule="exact"/>
      <w:ind w:firstLine="480" w:firstLineChars="200"/>
    </w:pPr>
    <w:rPr>
      <w:szCs w:val="24"/>
    </w:rPr>
  </w:style>
  <w:style w:type="paragraph" w:customStyle="1" w:styleId="504">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5">
    <w:name w:val="Char Char Char Char Char Char Char Char Char Char Char Char Char Char Char1 Char Char Char Char Char Char1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06">
    <w:name w:val="xl7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7">
    <w:name w:val="font8"/>
    <w:basedOn w:val="1"/>
    <w:qFormat/>
    <w:uiPriority w:val="0"/>
    <w:pPr>
      <w:spacing w:before="100" w:beforeAutospacing="1" w:after="100" w:afterAutospacing="1" w:line="240" w:lineRule="auto"/>
      <w:jc w:val="left"/>
    </w:pPr>
    <w:rPr>
      <w:kern w:val="0"/>
      <w:sz w:val="28"/>
      <w:szCs w:val="28"/>
    </w:rPr>
  </w:style>
  <w:style w:type="paragraph" w:customStyle="1" w:styleId="508">
    <w:name w:val="xl17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9">
    <w:name w:val="xl106"/>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10">
    <w:name w:val="xl91"/>
    <w:basedOn w:val="1"/>
    <w:autoRedefine/>
    <w:uiPriority w:val="0"/>
    <w:pPr>
      <w:spacing w:before="100" w:beforeAutospacing="1" w:after="100" w:afterAutospacing="1" w:line="240" w:lineRule="auto"/>
      <w:jc w:val="right"/>
    </w:pPr>
    <w:rPr>
      <w:rFonts w:ascii="宋体" w:hAnsi="宋体" w:cs="宋体"/>
      <w:kern w:val="0"/>
      <w:sz w:val="20"/>
      <w:szCs w:val="20"/>
    </w:rPr>
  </w:style>
  <w:style w:type="paragraph" w:customStyle="1" w:styleId="511">
    <w:name w:val="表格内容 Char Char"/>
    <w:basedOn w:val="1"/>
    <w:autoRedefine/>
    <w:qFormat/>
    <w:uiPriority w:val="0"/>
    <w:pPr>
      <w:widowControl w:val="0"/>
      <w:adjustRightInd w:val="0"/>
      <w:snapToGrid w:val="0"/>
      <w:jc w:val="center"/>
    </w:pPr>
    <w:rPr>
      <w:color w:val="000000"/>
      <w:kern w:val="0"/>
      <w:szCs w:val="24"/>
    </w:rPr>
  </w:style>
  <w:style w:type="paragraph" w:customStyle="1" w:styleId="512">
    <w:name w:val="bg_b3"/>
    <w:basedOn w:val="1"/>
    <w:autoRedefine/>
    <w:qFormat/>
    <w:uiPriority w:val="0"/>
    <w:pPr>
      <w:widowControl w:val="0"/>
      <w:adjustRightInd w:val="0"/>
      <w:snapToGrid w:val="0"/>
      <w:spacing w:line="360" w:lineRule="auto"/>
      <w:outlineLvl w:val="2"/>
    </w:pPr>
    <w:rPr>
      <w:b/>
      <w:sz w:val="28"/>
      <w:szCs w:val="20"/>
    </w:rPr>
  </w:style>
  <w:style w:type="paragraph" w:customStyle="1" w:styleId="513">
    <w:name w:val="列出段落2"/>
    <w:basedOn w:val="1"/>
    <w:qFormat/>
    <w:uiPriority w:val="0"/>
    <w:pPr>
      <w:widowControl w:val="0"/>
      <w:spacing w:line="240" w:lineRule="auto"/>
      <w:ind w:firstLine="420" w:firstLineChars="200"/>
    </w:pPr>
    <w:rPr>
      <w:szCs w:val="24"/>
    </w:rPr>
  </w:style>
  <w:style w:type="paragraph" w:customStyle="1" w:styleId="514">
    <w:name w:val="xl1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5">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6">
    <w:name w:val="首行缩进:  1.96 字符 Char"/>
    <w:basedOn w:val="1"/>
    <w:autoRedefine/>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7">
    <w:name w:val="xl78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8">
    <w:name w:val="Char Char231"/>
    <w:basedOn w:val="1"/>
    <w:autoRedefine/>
    <w:uiPriority w:val="0"/>
    <w:pPr>
      <w:spacing w:after="160" w:line="240" w:lineRule="exact"/>
      <w:jc w:val="left"/>
    </w:pPr>
    <w:rPr>
      <w:szCs w:val="24"/>
    </w:rPr>
  </w:style>
  <w:style w:type="paragraph" w:customStyle="1" w:styleId="519">
    <w:name w:val="xl1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20">
    <w:name w:val="卷"/>
    <w:basedOn w:val="1"/>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21">
    <w:name w:val="xl1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2">
    <w:name w:val="xl78"/>
    <w:basedOn w:val="1"/>
    <w:autoRedefine/>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3">
    <w:name w:val="font7"/>
    <w:basedOn w:val="1"/>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4">
    <w:name w:val="Char Char1 Char Char Char2"/>
    <w:basedOn w:val="1"/>
    <w:autoRedefine/>
    <w:qFormat/>
    <w:uiPriority w:val="0"/>
    <w:pPr>
      <w:widowControl w:val="0"/>
      <w:spacing w:line="240" w:lineRule="auto"/>
    </w:pPr>
    <w:rPr>
      <w:kern w:val="0"/>
      <w:sz w:val="20"/>
      <w:szCs w:val="20"/>
    </w:rPr>
  </w:style>
  <w:style w:type="paragraph" w:customStyle="1" w:styleId="525">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6">
    <w:name w:val="Char Char Char Char Char Char"/>
    <w:basedOn w:val="1"/>
    <w:uiPriority w:val="0"/>
    <w:pPr>
      <w:widowControl w:val="0"/>
      <w:spacing w:line="240" w:lineRule="auto"/>
      <w:ind w:firstLine="200" w:firstLineChars="200"/>
    </w:pPr>
    <w:rPr>
      <w:rFonts w:ascii="Tahoma" w:hAnsi="Tahoma"/>
      <w:sz w:val="24"/>
      <w:szCs w:val="20"/>
    </w:rPr>
  </w:style>
  <w:style w:type="paragraph" w:customStyle="1" w:styleId="527">
    <w:name w:val="样式 表格内容 + 首行缩进:  2 字符1"/>
    <w:basedOn w:val="528"/>
    <w:qFormat/>
    <w:uiPriority w:val="0"/>
    <w:rPr>
      <w:color w:val="auto"/>
      <w:szCs w:val="20"/>
    </w:rPr>
  </w:style>
  <w:style w:type="paragraph" w:customStyle="1" w:styleId="528">
    <w:name w:val="表格内容"/>
    <w:basedOn w:val="1"/>
    <w:autoRedefine/>
    <w:qFormat/>
    <w:uiPriority w:val="0"/>
    <w:pPr>
      <w:widowControl w:val="0"/>
      <w:adjustRightInd w:val="0"/>
      <w:snapToGrid w:val="0"/>
      <w:jc w:val="center"/>
    </w:pPr>
    <w:rPr>
      <w:color w:val="000000"/>
      <w:kern w:val="0"/>
      <w:szCs w:val="24"/>
    </w:rPr>
  </w:style>
  <w:style w:type="paragraph" w:customStyle="1" w:styleId="529">
    <w:name w:val="Char Char Char Char Char Char Char Char Char Char Char Char2"/>
    <w:basedOn w:val="1"/>
    <w:qFormat/>
    <w:uiPriority w:val="0"/>
    <w:pPr>
      <w:spacing w:after="160" w:line="240" w:lineRule="exact"/>
      <w:jc w:val="left"/>
    </w:pPr>
    <w:rPr>
      <w:szCs w:val="24"/>
    </w:rPr>
  </w:style>
  <w:style w:type="paragraph" w:customStyle="1" w:styleId="530">
    <w:name w:val="Char3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531">
    <w:name w:val="xl1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2">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3">
    <w:name w:val="样式 标题 1 + 黑体 三号 非加粗 居中 段前: 6 磅 段后: 6 磅 行距: 固定值 20 磅"/>
    <w:basedOn w:val="2"/>
    <w:autoRedefine/>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4">
    <w:name w:val="Char Char Char Char Char Char1 Char"/>
    <w:basedOn w:val="1"/>
    <w:uiPriority w:val="0"/>
    <w:pPr>
      <w:widowControl w:val="0"/>
      <w:spacing w:line="240" w:lineRule="auto"/>
    </w:pPr>
    <w:rPr>
      <w:szCs w:val="20"/>
    </w:rPr>
  </w:style>
  <w:style w:type="paragraph" w:customStyle="1" w:styleId="535">
    <w:name w:val="Char Char Char Char Char Char Char Char Char Char2"/>
    <w:basedOn w:val="1"/>
    <w:autoRedefine/>
    <w:qFormat/>
    <w:uiPriority w:val="0"/>
    <w:pPr>
      <w:widowControl w:val="0"/>
      <w:spacing w:line="240" w:lineRule="auto"/>
    </w:pPr>
    <w:rPr>
      <w:szCs w:val="20"/>
    </w:rPr>
  </w:style>
  <w:style w:type="paragraph" w:customStyle="1" w:styleId="536">
    <w:name w:val="xl180"/>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7">
    <w:name w:val="xl61"/>
    <w:basedOn w:val="1"/>
    <w:autoRedefine/>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8">
    <w:name w:val="SS正文首行缩进 +"/>
    <w:basedOn w:val="58"/>
    <w:uiPriority w:val="0"/>
    <w:pPr>
      <w:spacing w:beforeLines="50" w:afterLines="50" w:line="360" w:lineRule="auto"/>
      <w:ind w:firstLine="480" w:firstLineChars="200"/>
    </w:pPr>
    <w:rPr>
      <w:szCs w:val="20"/>
    </w:rPr>
  </w:style>
  <w:style w:type="paragraph" w:customStyle="1" w:styleId="539">
    <w:name w:val="Char121"/>
    <w:basedOn w:val="1"/>
    <w:qFormat/>
    <w:uiPriority w:val="0"/>
    <w:pPr>
      <w:widowControl w:val="0"/>
      <w:spacing w:line="240" w:lineRule="auto"/>
    </w:pPr>
    <w:rPr>
      <w:szCs w:val="24"/>
    </w:rPr>
  </w:style>
  <w:style w:type="paragraph" w:customStyle="1" w:styleId="540">
    <w:name w:val="Char Char Char Char21"/>
    <w:basedOn w:val="1"/>
    <w:autoRedefine/>
    <w:qFormat/>
    <w:uiPriority w:val="0"/>
    <w:pPr>
      <w:widowControl w:val="0"/>
      <w:spacing w:line="240" w:lineRule="auto"/>
    </w:pPr>
    <w:rPr>
      <w:szCs w:val="24"/>
    </w:rPr>
  </w:style>
  <w:style w:type="paragraph" w:customStyle="1" w:styleId="541">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2">
    <w:name w:val="Char1"/>
    <w:basedOn w:val="1"/>
    <w:autoRedefine/>
    <w:qFormat/>
    <w:uiPriority w:val="0"/>
    <w:pPr>
      <w:widowControl w:val="0"/>
      <w:spacing w:line="240" w:lineRule="auto"/>
    </w:pPr>
    <w:rPr>
      <w:rFonts w:ascii="仿宋_GB2312" w:eastAsia="仿宋_GB2312"/>
      <w:b/>
      <w:sz w:val="32"/>
      <w:szCs w:val="32"/>
    </w:rPr>
  </w:style>
  <w:style w:type="paragraph" w:customStyle="1" w:styleId="543">
    <w:name w:val="样式2"/>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4">
    <w:name w:val="Table Paragraph"/>
    <w:basedOn w:val="1"/>
    <w:qFormat/>
    <w:uiPriority w:val="1"/>
    <w:pPr>
      <w:widowControl w:val="0"/>
      <w:autoSpaceDE w:val="0"/>
      <w:autoSpaceDN w:val="0"/>
      <w:adjustRightInd w:val="0"/>
      <w:spacing w:line="240" w:lineRule="auto"/>
      <w:jc w:val="left"/>
    </w:pPr>
    <w:rPr>
      <w:kern w:val="0"/>
      <w:sz w:val="24"/>
      <w:szCs w:val="24"/>
    </w:rPr>
  </w:style>
  <w:style w:type="paragraph" w:customStyle="1" w:styleId="545">
    <w:name w:val="xl1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6">
    <w:name w:val="xl104"/>
    <w:basedOn w:val="1"/>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7">
    <w:name w:val="节2"/>
    <w:basedOn w:val="1"/>
    <w:autoRedefine/>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8">
    <w:name w:val="font525846"/>
    <w:basedOn w:val="1"/>
    <w:qFormat/>
    <w:uiPriority w:val="0"/>
    <w:pPr>
      <w:widowControl w:val="0"/>
      <w:adjustRightInd w:val="0"/>
      <w:snapToGrid w:val="0"/>
      <w:spacing w:before="100" w:beforeAutospacing="1" w:after="100" w:afterAutospacing="1"/>
    </w:pPr>
    <w:rPr>
      <w:kern w:val="0"/>
      <w:sz w:val="18"/>
      <w:szCs w:val="18"/>
    </w:rPr>
  </w:style>
  <w:style w:type="paragraph" w:customStyle="1" w:styleId="549">
    <w:name w:val="Char Char1 Char Char Char3"/>
    <w:basedOn w:val="1"/>
    <w:autoRedefine/>
    <w:qFormat/>
    <w:uiPriority w:val="0"/>
    <w:pPr>
      <w:widowControl w:val="0"/>
      <w:spacing w:line="240" w:lineRule="auto"/>
    </w:pPr>
    <w:rPr>
      <w:kern w:val="0"/>
      <w:sz w:val="20"/>
      <w:szCs w:val="20"/>
    </w:rPr>
  </w:style>
  <w:style w:type="paragraph" w:customStyle="1" w:styleId="550">
    <w:name w:val="_Style 1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2">
    <w:name w:val="样式 样式 样式 正文文本缩进 + 首行缩进:  2 字符 + 首行缩进:  2 字符 + 首行缩进:  2 字符"/>
    <w:basedOn w:val="1"/>
    <w:autoRedefine/>
    <w:qFormat/>
    <w:uiPriority w:val="0"/>
    <w:pPr>
      <w:widowControl w:val="0"/>
      <w:adjustRightInd w:val="0"/>
      <w:snapToGrid w:val="0"/>
      <w:spacing w:line="600" w:lineRule="exact"/>
      <w:ind w:firstLine="480" w:firstLineChars="200"/>
    </w:pPr>
    <w:rPr>
      <w:bCs/>
      <w:color w:val="000000"/>
      <w:szCs w:val="28"/>
    </w:rPr>
  </w:style>
  <w:style w:type="paragraph" w:customStyle="1" w:styleId="553">
    <w:name w:val="xl1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4">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5">
    <w:name w:val="Char Char Char"/>
    <w:basedOn w:val="1"/>
    <w:autoRedefine/>
    <w:qFormat/>
    <w:uiPriority w:val="0"/>
    <w:pPr>
      <w:widowControl w:val="0"/>
      <w:spacing w:line="240" w:lineRule="auto"/>
    </w:pPr>
    <w:rPr>
      <w:rFonts w:ascii="Tahoma" w:hAnsi="Tahoma"/>
      <w:sz w:val="24"/>
      <w:szCs w:val="20"/>
    </w:rPr>
  </w:style>
  <w:style w:type="paragraph" w:customStyle="1" w:styleId="556">
    <w:name w:val="Char Char Char Char Char Char Char Char Char Char1"/>
    <w:basedOn w:val="1"/>
    <w:autoRedefine/>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7">
    <w:name w:val="Char Char Char Char Char Char Char Char Char Char Char Char Char Char Char Char Char Char 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58">
    <w:name w:val="表格"/>
    <w:basedOn w:val="1"/>
    <w:autoRedefine/>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9">
    <w:name w:val="xl18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0">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61">
    <w:name w:val="xl58"/>
    <w:basedOn w:val="1"/>
    <w:autoRedefine/>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2">
    <w:name w:val="Char Char Char2 Char"/>
    <w:basedOn w:val="1"/>
    <w:autoRedefine/>
    <w:qFormat/>
    <w:uiPriority w:val="0"/>
    <w:pPr>
      <w:widowControl w:val="0"/>
      <w:tabs>
        <w:tab w:val="left" w:pos="1174"/>
      </w:tabs>
      <w:adjustRightInd w:val="0"/>
      <w:snapToGrid w:val="0"/>
      <w:ind w:left="1174" w:hanging="720"/>
    </w:pPr>
    <w:rPr>
      <w:szCs w:val="24"/>
    </w:rPr>
  </w:style>
  <w:style w:type="paragraph" w:customStyle="1" w:styleId="563">
    <w:name w:val="Char Char Char Char Char Char3 Char Char Char Char Char Char Char"/>
    <w:basedOn w:val="1"/>
    <w:next w:val="1"/>
    <w:autoRedefine/>
    <w:qFormat/>
    <w:uiPriority w:val="0"/>
    <w:pPr>
      <w:widowControl w:val="0"/>
      <w:adjustRightInd w:val="0"/>
      <w:snapToGrid w:val="0"/>
    </w:pPr>
    <w:rPr>
      <w:rFonts w:eastAsia="黑体"/>
      <w:sz w:val="28"/>
      <w:szCs w:val="24"/>
    </w:rPr>
  </w:style>
  <w:style w:type="paragraph" w:customStyle="1" w:styleId="564">
    <w:name w:val="xl1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5">
    <w:name w:val="Char Char1 Char Char Char Char Char Char Char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566">
    <w:name w:val="表格标题 Char Char Char Char"/>
    <w:basedOn w:val="1"/>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7">
    <w:name w:val="默认段落字体 Para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68">
    <w:name w:val="xl18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9">
    <w:name w:val="样式3"/>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70">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71">
    <w:name w:val="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72">
    <w:name w:val="标题 3+Times New Roman"/>
    <w:basedOn w:val="5"/>
    <w:autoRedefine/>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3">
    <w:name w:val="xl1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4">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5">
    <w:name w:val="xl65"/>
    <w:basedOn w:val="1"/>
    <w:autoRedefine/>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6">
    <w:name w:val="正文 Char Char"/>
    <w:basedOn w:val="1"/>
    <w:autoRedefine/>
    <w:qFormat/>
    <w:uiPriority w:val="0"/>
    <w:pPr>
      <w:widowControl w:val="0"/>
      <w:adjustRightInd w:val="0"/>
      <w:snapToGrid w:val="0"/>
      <w:spacing w:line="360" w:lineRule="auto"/>
      <w:ind w:firstLine="437"/>
    </w:pPr>
    <w:rPr>
      <w:szCs w:val="24"/>
    </w:rPr>
  </w:style>
  <w:style w:type="paragraph" w:customStyle="1" w:styleId="577">
    <w:name w:val="xl8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8">
    <w:name w:val="Char1 Char"/>
    <w:basedOn w:val="1"/>
    <w:autoRedefine/>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9">
    <w:name w:val="样式7表名"/>
    <w:next w:val="1"/>
    <w:autoRedefine/>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80">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1">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2">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3">
    <w:name w:val="章"/>
    <w:basedOn w:val="2"/>
    <w:autoRedefine/>
    <w:qFormat/>
    <w:uiPriority w:val="0"/>
    <w:pPr>
      <w:adjustRightInd w:val="0"/>
      <w:snapToGrid w:val="0"/>
      <w:spacing w:before="0" w:after="0" w:line="340" w:lineRule="exact"/>
    </w:pPr>
    <w:rPr>
      <w:rFonts w:eastAsia="宋体"/>
      <w:bCs w:val="0"/>
      <w:szCs w:val="20"/>
      <w:lang w:val="en-US"/>
    </w:rPr>
  </w:style>
  <w:style w:type="paragraph" w:customStyle="1" w:styleId="584">
    <w:name w:val="修订10"/>
    <w:autoRedefine/>
    <w:qFormat/>
    <w:uiPriority w:val="0"/>
    <w:rPr>
      <w:rFonts w:ascii="Times New Roman" w:hAnsi="Times New Roman" w:eastAsia="宋体" w:cs="Times New Roman"/>
      <w:kern w:val="2"/>
      <w:sz w:val="21"/>
      <w:szCs w:val="22"/>
      <w:lang w:val="en-US" w:eastAsia="zh-CN" w:bidi="ar-SA"/>
    </w:rPr>
  </w:style>
  <w:style w:type="paragraph" w:customStyle="1" w:styleId="58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6">
    <w:name w:val="文本（正文）"/>
    <w:autoRedefine/>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7">
    <w:name w:val="xl1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8">
    <w:name w:val="xl55"/>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9">
    <w:name w:val="xl9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90">
    <w:name w:val="xl7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1">
    <w:name w:val="xl84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2">
    <w:name w:val="contentarticle"/>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3">
    <w:name w:val="xl1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84"/>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5">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6">
    <w:name w:val="xl22"/>
    <w:basedOn w:val="1"/>
    <w:autoRedefine/>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7">
    <w:name w:val="金安桥正文"/>
    <w:basedOn w:val="25"/>
    <w:autoRedefine/>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8">
    <w:name w:val="Char Char Char2"/>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9">
    <w:name w:val="xl8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0">
    <w:name w:val="Char Char Char Char Char Char Char Char Char Char Char Char Char Char Char Char Char Char Char Char Char Char Char Char Char Char Char Char Char Char Char Char Char3"/>
    <w:basedOn w:val="1"/>
    <w:autoRedefine/>
    <w:qFormat/>
    <w:uiPriority w:val="0"/>
    <w:pPr>
      <w:spacing w:after="160" w:line="240" w:lineRule="exact"/>
      <w:jc w:val="left"/>
    </w:pPr>
    <w:rPr>
      <w:szCs w:val="24"/>
    </w:rPr>
  </w:style>
  <w:style w:type="paragraph" w:customStyle="1" w:styleId="601">
    <w:name w:val="xl19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2">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3">
    <w:name w:val="Char2"/>
    <w:basedOn w:val="1"/>
    <w:autoRedefine/>
    <w:qFormat/>
    <w:uiPriority w:val="0"/>
    <w:pPr>
      <w:widowControl w:val="0"/>
      <w:snapToGrid w:val="0"/>
      <w:spacing w:line="500" w:lineRule="exact"/>
      <w:ind w:firstLine="480" w:firstLineChars="200"/>
    </w:pPr>
    <w:rPr>
      <w:szCs w:val="24"/>
    </w:rPr>
  </w:style>
  <w:style w:type="paragraph" w:customStyle="1" w:styleId="604">
    <w:name w:val="xl86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5">
    <w:name w:val="保留正文"/>
    <w:basedOn w:val="1"/>
    <w:autoRedefine/>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6">
    <w:name w:val="Char Char1 Char Char"/>
    <w:basedOn w:val="1"/>
    <w:autoRedefine/>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7">
    <w:name w:val="xl28"/>
    <w:basedOn w:val="1"/>
    <w:autoRedefine/>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8">
    <w:name w:val="xl19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9">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10">
    <w:name w:val="Char Char23"/>
    <w:basedOn w:val="1"/>
    <w:autoRedefine/>
    <w:qFormat/>
    <w:uiPriority w:val="0"/>
    <w:pPr>
      <w:spacing w:after="160" w:line="240" w:lineRule="exact"/>
      <w:jc w:val="left"/>
    </w:pPr>
    <w:rPr>
      <w:szCs w:val="24"/>
    </w:rPr>
  </w:style>
  <w:style w:type="paragraph" w:customStyle="1" w:styleId="611">
    <w:name w:val="xl64"/>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2">
    <w:name w:val="正文文本 22"/>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3">
    <w:name w:val="xl29"/>
    <w:basedOn w:val="1"/>
    <w:autoRedefine/>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4">
    <w:name w:val="xl19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5">
    <w:name w:val="Char Char20 Char Char Char Char"/>
    <w:basedOn w:val="1"/>
    <w:autoRedefine/>
    <w:qFormat/>
    <w:uiPriority w:val="0"/>
    <w:pPr>
      <w:widowControl w:val="0"/>
      <w:snapToGrid w:val="0"/>
      <w:spacing w:afterLines="30" w:line="360" w:lineRule="auto"/>
      <w:ind w:firstLine="200" w:firstLineChars="200"/>
    </w:pPr>
    <w:rPr>
      <w:szCs w:val="24"/>
    </w:rPr>
  </w:style>
  <w:style w:type="paragraph" w:customStyle="1" w:styleId="616">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7">
    <w:name w:val="Normal0"/>
    <w:autoRedefine/>
    <w:qFormat/>
    <w:uiPriority w:val="0"/>
    <w:rPr>
      <w:rFonts w:ascii="宋体" w:hAnsi="宋体" w:eastAsia="宋体" w:cs="Times New Roman"/>
      <w:kern w:val="2"/>
      <w:sz w:val="24"/>
      <w:szCs w:val="22"/>
      <w:lang w:val="zh-CN" w:eastAsia="zh-CN" w:bidi="ar-SA"/>
    </w:rPr>
  </w:style>
  <w:style w:type="paragraph" w:customStyle="1" w:styleId="618">
    <w:name w:val="xl75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9">
    <w:name w:val="正文文本 New"/>
    <w:basedOn w:val="1"/>
    <w:autoRedefine/>
    <w:qFormat/>
    <w:uiPriority w:val="0"/>
    <w:pPr>
      <w:widowControl w:val="0"/>
      <w:adjustRightInd w:val="0"/>
      <w:snapToGrid w:val="0"/>
    </w:pPr>
    <w:rPr>
      <w:sz w:val="28"/>
      <w:szCs w:val="24"/>
    </w:rPr>
  </w:style>
  <w:style w:type="paragraph" w:customStyle="1" w:styleId="620">
    <w:name w:val="font9"/>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21">
    <w:name w:val="xl195"/>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2">
    <w:name w:val="Char Char Char Char Char Char Char Char Char Char Char Char Char Char Char Char Char Char Char Char Char Char Char Char Char Char Char Char Char Char Char Char Char1"/>
    <w:basedOn w:val="1"/>
    <w:autoRedefine/>
    <w:qFormat/>
    <w:uiPriority w:val="0"/>
    <w:pPr>
      <w:spacing w:after="160" w:line="240" w:lineRule="exact"/>
      <w:jc w:val="left"/>
    </w:pPr>
    <w:rPr>
      <w:szCs w:val="24"/>
    </w:rPr>
  </w:style>
  <w:style w:type="paragraph" w:customStyle="1" w:styleId="623">
    <w:name w:val="font6"/>
    <w:basedOn w:val="1"/>
    <w:autoRedefine/>
    <w:qFormat/>
    <w:uiPriority w:val="0"/>
    <w:pPr>
      <w:spacing w:before="100" w:beforeAutospacing="1" w:after="100" w:afterAutospacing="1" w:line="240" w:lineRule="auto"/>
      <w:jc w:val="left"/>
    </w:pPr>
    <w:rPr>
      <w:kern w:val="0"/>
      <w:sz w:val="20"/>
      <w:szCs w:val="20"/>
    </w:rPr>
  </w:style>
  <w:style w:type="paragraph" w:customStyle="1" w:styleId="624">
    <w:name w:val="Char Char Char Char Char Char Char Char Char Char Char Char3"/>
    <w:basedOn w:val="1"/>
    <w:autoRedefine/>
    <w:qFormat/>
    <w:uiPriority w:val="0"/>
    <w:pPr>
      <w:spacing w:after="160" w:line="240" w:lineRule="exact"/>
      <w:jc w:val="left"/>
    </w:pPr>
    <w:rPr>
      <w:szCs w:val="24"/>
    </w:rPr>
  </w:style>
  <w:style w:type="paragraph" w:customStyle="1" w:styleId="625">
    <w:name w:val="xl7425846"/>
    <w:basedOn w:val="1"/>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6">
    <w:name w:val="标题4 + 小四"/>
    <w:basedOn w:val="1"/>
    <w:autoRedefine/>
    <w:qFormat/>
    <w:uiPriority w:val="0"/>
    <w:pPr>
      <w:widowControl w:val="0"/>
      <w:autoSpaceDE w:val="0"/>
      <w:autoSpaceDN w:val="0"/>
      <w:adjustRightInd w:val="0"/>
      <w:snapToGrid w:val="0"/>
      <w:textAlignment w:val="baseline"/>
    </w:pPr>
    <w:rPr>
      <w:kern w:val="0"/>
      <w:szCs w:val="24"/>
    </w:rPr>
  </w:style>
  <w:style w:type="paragraph" w:customStyle="1" w:styleId="627">
    <w:name w:val="Char Char Char Char Char Char Char Char Char Char Char Char Char Char Char Char Char Char Char"/>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28">
    <w:name w:val="xl19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9">
    <w:name w:val="Char Char23 Char Char"/>
    <w:basedOn w:val="1"/>
    <w:autoRedefine/>
    <w:qFormat/>
    <w:uiPriority w:val="0"/>
    <w:pPr>
      <w:spacing w:after="160" w:line="240" w:lineRule="exact"/>
      <w:jc w:val="left"/>
    </w:pPr>
    <w:rPr>
      <w:szCs w:val="24"/>
    </w:rPr>
  </w:style>
  <w:style w:type="paragraph" w:customStyle="1" w:styleId="630">
    <w:name w:val="Char Char Char Char Char Char1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31">
    <w:name w:val="Char Char Char Char Char Char3 Char Char Char Char Char Char Char1"/>
    <w:basedOn w:val="1"/>
    <w:next w:val="1"/>
    <w:autoRedefine/>
    <w:qFormat/>
    <w:uiPriority w:val="0"/>
    <w:pPr>
      <w:widowControl w:val="0"/>
      <w:adjustRightInd w:val="0"/>
      <w:snapToGrid w:val="0"/>
    </w:pPr>
    <w:rPr>
      <w:rFonts w:eastAsia="黑体"/>
      <w:sz w:val="28"/>
      <w:szCs w:val="24"/>
    </w:rPr>
  </w:style>
  <w:style w:type="paragraph" w:customStyle="1" w:styleId="632">
    <w:name w:val="Char Char24 Char Char1"/>
    <w:basedOn w:val="1"/>
    <w:autoRedefine/>
    <w:qFormat/>
    <w:uiPriority w:val="0"/>
    <w:pPr>
      <w:spacing w:after="160" w:line="240" w:lineRule="exact"/>
      <w:jc w:val="left"/>
    </w:pPr>
    <w:rPr>
      <w:szCs w:val="24"/>
    </w:rPr>
  </w:style>
  <w:style w:type="paragraph" w:customStyle="1" w:styleId="633">
    <w:name w:val="xl1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4">
    <w:name w:val="xl103"/>
    <w:basedOn w:val="1"/>
    <w:autoRedefine/>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5">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6">
    <w:name w:val="Char Char232"/>
    <w:basedOn w:val="1"/>
    <w:autoRedefine/>
    <w:qFormat/>
    <w:uiPriority w:val="0"/>
    <w:pPr>
      <w:spacing w:after="160" w:line="240" w:lineRule="exact"/>
      <w:jc w:val="left"/>
    </w:pPr>
    <w:rPr>
      <w:szCs w:val="24"/>
    </w:rPr>
  </w:style>
  <w:style w:type="paragraph" w:customStyle="1" w:styleId="637">
    <w:name w:val="表头"/>
    <w:basedOn w:val="1"/>
    <w:qFormat/>
    <w:uiPriority w:val="0"/>
    <w:pPr>
      <w:widowControl w:val="0"/>
      <w:adjustRightInd w:val="0"/>
      <w:snapToGrid w:val="0"/>
      <w:ind w:firstLine="200" w:firstLineChars="200"/>
    </w:pPr>
    <w:rPr>
      <w:b/>
      <w:szCs w:val="24"/>
    </w:rPr>
  </w:style>
  <w:style w:type="paragraph" w:customStyle="1" w:styleId="638">
    <w:name w:val="正文文本 21"/>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9">
    <w:name w:val="font13"/>
    <w:basedOn w:val="1"/>
    <w:autoRedefine/>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40">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41">
    <w:name w:val="样式 标题 4 + 首行缩进:  2 字符1"/>
    <w:basedOn w:val="5"/>
    <w:autoRedefine/>
    <w:qFormat/>
    <w:uiPriority w:val="0"/>
    <w:pPr>
      <w:ind w:firstLine="0" w:firstLineChars="0"/>
      <w:jc w:val="center"/>
    </w:pPr>
    <w:rPr>
      <w:rFonts w:cs="宋体"/>
      <w:szCs w:val="20"/>
    </w:rPr>
  </w:style>
  <w:style w:type="paragraph" w:customStyle="1" w:styleId="642">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3">
    <w:name w:val="列表段落1"/>
    <w:basedOn w:val="1"/>
    <w:qFormat/>
    <w:uiPriority w:val="0"/>
    <w:pPr>
      <w:widowControl w:val="0"/>
      <w:spacing w:line="240" w:lineRule="auto"/>
      <w:ind w:firstLine="420" w:firstLineChars="200"/>
    </w:pPr>
    <w:rPr>
      <w:szCs w:val="24"/>
    </w:rPr>
  </w:style>
  <w:style w:type="paragraph" w:customStyle="1" w:styleId="644">
    <w:name w:val="封面标准名称"/>
    <w:autoRedefine/>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5">
    <w:name w:val="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46">
    <w:name w:val="TOC 标题10"/>
    <w:basedOn w:val="2"/>
    <w:next w:val="1"/>
    <w:autoRedefine/>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7">
    <w:name w:val="xl19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8">
    <w:name w:val="Char Char Char Char3"/>
    <w:basedOn w:val="1"/>
    <w:autoRedefine/>
    <w:qFormat/>
    <w:uiPriority w:val="0"/>
    <w:pPr>
      <w:widowControl w:val="0"/>
      <w:spacing w:line="240" w:lineRule="auto"/>
    </w:pPr>
    <w:rPr>
      <w:szCs w:val="24"/>
    </w:rPr>
  </w:style>
  <w:style w:type="paragraph" w:customStyle="1" w:styleId="649">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50">
    <w:name w:val="Char Char20 Char Char Char Char11"/>
    <w:basedOn w:val="1"/>
    <w:autoRedefine/>
    <w:qFormat/>
    <w:uiPriority w:val="0"/>
    <w:pPr>
      <w:widowControl w:val="0"/>
      <w:snapToGrid w:val="0"/>
      <w:spacing w:after="93" w:afterLines="30" w:line="360" w:lineRule="auto"/>
      <w:ind w:firstLine="200" w:firstLineChars="200"/>
    </w:pPr>
    <w:rPr>
      <w:szCs w:val="24"/>
    </w:rPr>
  </w:style>
  <w:style w:type="paragraph" w:customStyle="1" w:styleId="651">
    <w:name w:val="xl8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2">
    <w:name w:val="首行缩进2 Char Char Char"/>
    <w:basedOn w:val="1"/>
    <w:autoRedefine/>
    <w:qFormat/>
    <w:uiPriority w:val="0"/>
    <w:pPr>
      <w:widowControl w:val="0"/>
      <w:adjustRightInd w:val="0"/>
      <w:snapToGrid w:val="0"/>
      <w:spacing w:line="360" w:lineRule="auto"/>
      <w:ind w:firstLine="480" w:firstLineChars="200"/>
    </w:pPr>
    <w:rPr>
      <w:szCs w:val="24"/>
    </w:rPr>
  </w:style>
  <w:style w:type="paragraph" w:customStyle="1" w:styleId="653">
    <w:name w:val="Char Char Char1"/>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4">
    <w:name w:val="xl20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5">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6">
    <w:name w:val="xl7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7">
    <w:name w:val="xl1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8">
    <w:name w:val="正文A"/>
    <w:autoRedefine/>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9">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60">
    <w:name w:val="font11"/>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61">
    <w:name w:val="XW正文"/>
    <w:basedOn w:val="25"/>
    <w:autoRedefine/>
    <w:qFormat/>
    <w:uiPriority w:val="0"/>
    <w:pPr>
      <w:adjustRightInd w:val="0"/>
      <w:snapToGrid w:val="0"/>
      <w:spacing w:after="0" w:line="300" w:lineRule="auto"/>
      <w:ind w:left="0" w:leftChars="0" w:firstLine="520" w:firstLineChars="200"/>
      <w:jc w:val="left"/>
    </w:pPr>
    <w:rPr>
      <w:kern w:val="0"/>
      <w:lang w:val="en-US"/>
    </w:rPr>
  </w:style>
  <w:style w:type="paragraph" w:customStyle="1" w:styleId="662">
    <w:name w:val="1"/>
    <w:next w:val="1"/>
    <w:link w:val="79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表格标题"/>
    <w:basedOn w:val="1"/>
    <w:autoRedefine/>
    <w:qFormat/>
    <w:uiPriority w:val="0"/>
    <w:pPr>
      <w:widowControl w:val="0"/>
      <w:adjustRightInd w:val="0"/>
      <w:snapToGrid w:val="0"/>
      <w:spacing w:line="460" w:lineRule="exact"/>
      <w:textAlignment w:val="baseline"/>
    </w:pPr>
    <w:rPr>
      <w:rFonts w:eastAsia="黑体"/>
      <w:kern w:val="0"/>
      <w:szCs w:val="24"/>
    </w:rPr>
  </w:style>
  <w:style w:type="paragraph" w:customStyle="1" w:styleId="664">
    <w:name w:val="3"/>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Char3"/>
    <w:basedOn w:val="1"/>
    <w:autoRedefine/>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6">
    <w:name w:val="2"/>
    <w:next w:val="1"/>
    <w:autoRedefine/>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7">
    <w:name w:val="font10"/>
    <w:basedOn w:val="1"/>
    <w:autoRedefine/>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8">
    <w:name w:val="Char Char Char Char Char Char Char Char Char Char Char Char Char"/>
    <w:basedOn w:val="1"/>
    <w:uiPriority w:val="0"/>
    <w:pPr>
      <w:widowControl w:val="0"/>
      <w:adjustRightInd w:val="0"/>
      <w:snapToGrid w:val="0"/>
      <w:spacing w:line="360" w:lineRule="auto"/>
      <w:ind w:firstLine="200" w:firstLineChars="200"/>
    </w:pPr>
    <w:rPr>
      <w:szCs w:val="24"/>
    </w:rPr>
  </w:style>
  <w:style w:type="paragraph" w:customStyle="1" w:styleId="669">
    <w:name w:val="t_black_12_b"/>
    <w:basedOn w:val="1"/>
    <w:autoRedefine/>
    <w:qFormat/>
    <w:uiPriority w:val="0"/>
    <w:pPr>
      <w:spacing w:line="240" w:lineRule="auto"/>
      <w:jc w:val="left"/>
    </w:pPr>
    <w:rPr>
      <w:rFonts w:ascii="宋体" w:hAnsi="宋体" w:cs="宋体"/>
      <w:b/>
      <w:bCs/>
      <w:color w:val="212121"/>
      <w:kern w:val="0"/>
      <w:sz w:val="9"/>
      <w:szCs w:val="9"/>
    </w:rPr>
  </w:style>
  <w:style w:type="paragraph" w:customStyle="1" w:styleId="670">
    <w:name w:val="_Style 221"/>
    <w:next w:val="1"/>
    <w:autoRedefine/>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表格标题 Char Char Char"/>
    <w:basedOn w:val="1"/>
    <w:qFormat/>
    <w:uiPriority w:val="0"/>
    <w:pPr>
      <w:widowControl w:val="0"/>
      <w:adjustRightInd w:val="0"/>
      <w:snapToGrid w:val="0"/>
      <w:spacing w:beforeLines="50" w:afterLines="50"/>
      <w:jc w:val="center"/>
    </w:pPr>
    <w:rPr>
      <w:b/>
      <w:kern w:val="0"/>
      <w:szCs w:val="20"/>
    </w:rPr>
  </w:style>
  <w:style w:type="paragraph" w:customStyle="1" w:styleId="672">
    <w:name w:val="font125846"/>
    <w:basedOn w:val="1"/>
    <w:qFormat/>
    <w:uiPriority w:val="0"/>
    <w:pPr>
      <w:widowControl w:val="0"/>
      <w:adjustRightInd w:val="0"/>
      <w:snapToGrid w:val="0"/>
      <w:spacing w:before="100" w:beforeAutospacing="1" w:after="100" w:afterAutospacing="1"/>
    </w:pPr>
    <w:rPr>
      <w:color w:val="000000"/>
      <w:kern w:val="0"/>
      <w:sz w:val="22"/>
    </w:rPr>
  </w:style>
  <w:style w:type="paragraph" w:customStyle="1" w:styleId="673">
    <w:name w:val="xl6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4">
    <w:name w:val="p0"/>
    <w:basedOn w:val="1"/>
    <w:qFormat/>
    <w:uiPriority w:val="0"/>
    <w:pPr>
      <w:spacing w:line="240" w:lineRule="auto"/>
    </w:pPr>
    <w:rPr>
      <w:kern w:val="0"/>
      <w:szCs w:val="21"/>
    </w:rPr>
  </w:style>
  <w:style w:type="paragraph" w:customStyle="1" w:styleId="675">
    <w:name w:val="xl24"/>
    <w:basedOn w:val="1"/>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6">
    <w:name w:val="xl27"/>
    <w:basedOn w:val="1"/>
    <w:autoRedefine/>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7">
    <w:name w:val="xl7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8">
    <w:name w:val="1 Char"/>
    <w:basedOn w:val="1"/>
    <w:qFormat/>
    <w:uiPriority w:val="0"/>
    <w:pPr>
      <w:widowControl w:val="0"/>
      <w:tabs>
        <w:tab w:val="left" w:pos="360"/>
      </w:tabs>
      <w:adjustRightInd w:val="0"/>
      <w:snapToGrid w:val="0"/>
    </w:pPr>
    <w:rPr>
      <w:szCs w:val="24"/>
    </w:rPr>
  </w:style>
  <w:style w:type="paragraph" w:customStyle="1" w:styleId="679">
    <w:name w:val="表格居中"/>
    <w:basedOn w:val="1"/>
    <w:autoRedefine/>
    <w:qFormat/>
    <w:uiPriority w:val="0"/>
    <w:pPr>
      <w:widowControl w:val="0"/>
      <w:adjustRightInd w:val="0"/>
      <w:snapToGrid w:val="0"/>
      <w:jc w:val="center"/>
    </w:pPr>
    <w:rPr>
      <w:szCs w:val="20"/>
    </w:rPr>
  </w:style>
  <w:style w:type="paragraph" w:customStyle="1" w:styleId="680">
    <w:name w:val="Char Char20 Char Char Char Char1"/>
    <w:basedOn w:val="1"/>
    <w:autoRedefine/>
    <w:qFormat/>
    <w:uiPriority w:val="0"/>
    <w:pPr>
      <w:widowControl w:val="0"/>
      <w:snapToGrid w:val="0"/>
      <w:spacing w:after="93" w:afterLines="30" w:line="360" w:lineRule="auto"/>
      <w:ind w:firstLine="200" w:firstLineChars="200"/>
    </w:pPr>
    <w:rPr>
      <w:szCs w:val="24"/>
    </w:rPr>
  </w:style>
  <w:style w:type="paragraph" w:customStyle="1" w:styleId="681">
    <w:name w:val="font8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82">
    <w:name w:val="font0"/>
    <w:basedOn w:val="1"/>
    <w:autoRedefine/>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3">
    <w:name w:val="xl26"/>
    <w:basedOn w:val="1"/>
    <w:autoRedefine/>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4">
    <w:name w:val="密级编号"/>
    <w:basedOn w:val="1"/>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5">
    <w:name w:val="Char12"/>
    <w:basedOn w:val="1"/>
    <w:qFormat/>
    <w:uiPriority w:val="0"/>
    <w:pPr>
      <w:widowControl w:val="0"/>
      <w:adjustRightInd w:val="0"/>
      <w:snapToGrid w:val="0"/>
    </w:pPr>
    <w:rPr>
      <w:szCs w:val="24"/>
    </w:rPr>
  </w:style>
  <w:style w:type="paragraph" w:customStyle="1" w:styleId="686">
    <w:name w:val="xl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7">
    <w:name w:val="_Style 38"/>
    <w:next w:val="1"/>
    <w:qFormat/>
    <w:uiPriority w:val="0"/>
    <w:rPr>
      <w:rFonts w:ascii="Times New Roman" w:hAnsi="Times New Roman" w:eastAsia="宋体" w:cs="Times New Roman"/>
      <w:kern w:val="2"/>
      <w:sz w:val="24"/>
      <w:szCs w:val="24"/>
      <w:lang w:val="en-US" w:eastAsia="zh-CN" w:bidi="ar-SA"/>
    </w:rPr>
  </w:style>
  <w:style w:type="paragraph" w:customStyle="1" w:styleId="688">
    <w:name w:val="Char Char1 Char Char Char Char Char Char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689">
    <w:name w:val="xl23"/>
    <w:basedOn w:val="1"/>
    <w:qFormat/>
    <w:uiPriority w:val="0"/>
    <w:pPr>
      <w:widowControl w:val="0"/>
      <w:adjustRightInd w:val="0"/>
      <w:snapToGrid w:val="0"/>
      <w:spacing w:before="100" w:beforeAutospacing="1" w:after="100" w:afterAutospacing="1"/>
      <w:jc w:val="center"/>
    </w:pPr>
    <w:rPr>
      <w:kern w:val="0"/>
      <w:szCs w:val="24"/>
    </w:rPr>
  </w:style>
  <w:style w:type="paragraph" w:customStyle="1" w:styleId="690">
    <w:name w:val="Char4"/>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691">
    <w:name w:val="xl76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2">
    <w:name w:val="纯文本1"/>
    <w:basedOn w:val="1"/>
    <w:autoRedefine/>
    <w:qFormat/>
    <w:uiPriority w:val="0"/>
    <w:pPr>
      <w:widowControl w:val="0"/>
      <w:adjustRightInd w:val="0"/>
      <w:snapToGrid w:val="0"/>
    </w:pPr>
    <w:rPr>
      <w:rFonts w:hAnsi="Courier New" w:eastAsia="Times New Roman"/>
      <w:kern w:val="0"/>
      <w:sz w:val="20"/>
      <w:szCs w:val="20"/>
    </w:rPr>
  </w:style>
  <w:style w:type="paragraph" w:customStyle="1" w:styleId="693">
    <w:name w:val="Char Char Char Char Char Char Char Char Char Char3"/>
    <w:basedOn w:val="1"/>
    <w:qFormat/>
    <w:uiPriority w:val="0"/>
    <w:pPr>
      <w:widowControl w:val="0"/>
      <w:spacing w:line="240" w:lineRule="auto"/>
    </w:pPr>
    <w:rPr>
      <w:szCs w:val="20"/>
    </w:rPr>
  </w:style>
  <w:style w:type="paragraph" w:customStyle="1" w:styleId="694">
    <w:name w:val="Char Char Char Char Char Char Char Char Char Char Char Char Char Char Char Char Char Char Char2"/>
    <w:basedOn w:val="1"/>
    <w:autoRedefine/>
    <w:uiPriority w:val="0"/>
    <w:pPr>
      <w:widowControl w:val="0"/>
      <w:snapToGrid w:val="0"/>
      <w:spacing w:line="360" w:lineRule="auto"/>
      <w:ind w:firstLine="200" w:firstLineChars="200"/>
    </w:pPr>
    <w:rPr>
      <w:rFonts w:eastAsia="仿宋_GB2312"/>
      <w:sz w:val="24"/>
      <w:szCs w:val="24"/>
    </w:rPr>
  </w:style>
  <w:style w:type="paragraph" w:customStyle="1" w:styleId="695">
    <w:name w:val="Char Char1 Char"/>
    <w:basedOn w:val="1"/>
    <w:autoRedefine/>
    <w:qFormat/>
    <w:uiPriority w:val="0"/>
    <w:pPr>
      <w:widowControl w:val="0"/>
      <w:adjustRightInd w:val="0"/>
      <w:snapToGrid w:val="0"/>
      <w:spacing w:after="160" w:line="240" w:lineRule="exact"/>
    </w:pPr>
    <w:rPr>
      <w:szCs w:val="24"/>
    </w:rPr>
  </w:style>
  <w:style w:type="paragraph" w:customStyle="1" w:styleId="696">
    <w:name w:val="xl73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7">
    <w:name w:val="Char Char23 Char Char1"/>
    <w:basedOn w:val="1"/>
    <w:qFormat/>
    <w:uiPriority w:val="0"/>
    <w:pPr>
      <w:spacing w:after="160" w:line="240" w:lineRule="exact"/>
      <w:jc w:val="left"/>
    </w:pPr>
    <w:rPr>
      <w:szCs w:val="24"/>
    </w:rPr>
  </w:style>
  <w:style w:type="paragraph" w:customStyle="1" w:styleId="698">
    <w:name w:val="font725846"/>
    <w:basedOn w:val="1"/>
    <w:qFormat/>
    <w:uiPriority w:val="0"/>
    <w:pPr>
      <w:widowControl w:val="0"/>
      <w:adjustRightInd w:val="0"/>
      <w:snapToGrid w:val="0"/>
      <w:spacing w:before="100" w:beforeAutospacing="1" w:after="100" w:afterAutospacing="1"/>
    </w:pPr>
    <w:rPr>
      <w:kern w:val="0"/>
      <w:sz w:val="22"/>
    </w:rPr>
  </w:style>
  <w:style w:type="paragraph" w:customStyle="1" w:styleId="699">
    <w:name w:val="xl2917089"/>
    <w:basedOn w:val="1"/>
    <w:autoRedefine/>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700">
    <w:name w:val="完成日期"/>
    <w:basedOn w:val="1"/>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701">
    <w:name w:val="Char Char Char Char Char Char1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702">
    <w:name w:val="正文 + 首行缩进:  2 字符"/>
    <w:basedOn w:val="1"/>
    <w:qFormat/>
    <w:uiPriority w:val="0"/>
    <w:pPr>
      <w:widowControl w:val="0"/>
      <w:adjustRightInd w:val="0"/>
      <w:snapToGrid w:val="0"/>
      <w:spacing w:line="360" w:lineRule="auto"/>
      <w:ind w:firstLine="480" w:firstLineChars="200"/>
    </w:pPr>
    <w:rPr>
      <w:szCs w:val="24"/>
    </w:rPr>
  </w:style>
  <w:style w:type="paragraph" w:customStyle="1" w:styleId="703">
    <w:name w:val="font14"/>
    <w:basedOn w:val="1"/>
    <w:autoRedefine/>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4">
    <w:name w:val="前附表"/>
    <w:basedOn w:val="1"/>
    <w:autoRedefine/>
    <w:qFormat/>
    <w:uiPriority w:val="0"/>
    <w:pPr>
      <w:widowControl w:val="0"/>
      <w:adjustRightInd w:val="0"/>
      <w:snapToGrid w:val="0"/>
      <w:jc w:val="center"/>
    </w:pPr>
    <w:rPr>
      <w:b/>
      <w:sz w:val="32"/>
      <w:szCs w:val="32"/>
    </w:rPr>
  </w:style>
  <w:style w:type="paragraph" w:customStyle="1" w:styleId="705">
    <w:name w:val="正文001"/>
    <w:basedOn w:val="1"/>
    <w:qFormat/>
    <w:uiPriority w:val="0"/>
    <w:pPr>
      <w:widowControl w:val="0"/>
      <w:adjustRightInd w:val="0"/>
      <w:snapToGrid w:val="0"/>
      <w:spacing w:before="60" w:line="460" w:lineRule="exact"/>
      <w:ind w:firstLine="482"/>
    </w:pPr>
    <w:rPr>
      <w:szCs w:val="20"/>
    </w:rPr>
  </w:style>
  <w:style w:type="paragraph" w:customStyle="1" w:styleId="706">
    <w:name w:val="Char Char Char Char1"/>
    <w:basedOn w:val="1"/>
    <w:autoRedefine/>
    <w:qFormat/>
    <w:uiPriority w:val="0"/>
    <w:pPr>
      <w:widowControl w:val="0"/>
      <w:adjustRightInd w:val="0"/>
      <w:snapToGrid w:val="0"/>
      <w:spacing w:line="480" w:lineRule="exact"/>
    </w:pPr>
    <w:rPr>
      <w:szCs w:val="24"/>
    </w:rPr>
  </w:style>
  <w:style w:type="paragraph" w:customStyle="1" w:styleId="707">
    <w:name w:val="Char Char Char Char Char Char Char Char Char Char Char Char Char Char Char Char Char Char Char Char Char Char Char Char Char Char Char Char Char Char Char Char Char4"/>
    <w:basedOn w:val="1"/>
    <w:autoRedefine/>
    <w:uiPriority w:val="0"/>
    <w:pPr>
      <w:spacing w:after="160" w:line="240" w:lineRule="exact"/>
      <w:jc w:val="left"/>
    </w:pPr>
    <w:rPr>
      <w:szCs w:val="24"/>
    </w:rPr>
  </w:style>
  <w:style w:type="paragraph" w:customStyle="1" w:styleId="708">
    <w:name w:val="xl8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9">
    <w:name w:val="font6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710">
    <w:name w:val="XL表格内容"/>
    <w:basedOn w:val="1"/>
    <w:next w:val="1"/>
    <w:qFormat/>
    <w:uiPriority w:val="0"/>
    <w:pPr>
      <w:widowControl w:val="0"/>
      <w:adjustRightInd w:val="0"/>
      <w:snapToGrid w:val="0"/>
      <w:contextualSpacing/>
      <w:jc w:val="center"/>
    </w:pPr>
    <w:rPr>
      <w:kern w:val="0"/>
      <w:szCs w:val="21"/>
    </w:rPr>
  </w:style>
  <w:style w:type="paragraph" w:customStyle="1" w:styleId="711">
    <w:name w:val="样式 表格内容 + 首行缩进:  2 字符"/>
    <w:basedOn w:val="528"/>
    <w:qFormat/>
    <w:uiPriority w:val="0"/>
    <w:rPr>
      <w:color w:val="auto"/>
      <w:szCs w:val="20"/>
    </w:rPr>
  </w:style>
  <w:style w:type="paragraph" w:customStyle="1" w:styleId="712">
    <w:name w:val="Char Char23 Char Char2"/>
    <w:basedOn w:val="1"/>
    <w:autoRedefine/>
    <w:qFormat/>
    <w:uiPriority w:val="0"/>
    <w:pPr>
      <w:spacing w:after="160" w:line="240" w:lineRule="exact"/>
      <w:jc w:val="left"/>
    </w:pPr>
    <w:rPr>
      <w:szCs w:val="24"/>
    </w:rPr>
  </w:style>
  <w:style w:type="paragraph" w:customStyle="1" w:styleId="713">
    <w:name w:val="_Style 4"/>
    <w:basedOn w:val="1"/>
    <w:autoRedefine/>
    <w:qFormat/>
    <w:uiPriority w:val="0"/>
    <w:pPr>
      <w:widowControl w:val="0"/>
      <w:adjustRightInd w:val="0"/>
      <w:snapToGrid w:val="0"/>
    </w:pPr>
    <w:rPr>
      <w:szCs w:val="24"/>
    </w:rPr>
  </w:style>
  <w:style w:type="paragraph" w:customStyle="1" w:styleId="714">
    <w:name w:val="xl85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5">
    <w:name w:val="正  文"/>
    <w:basedOn w:val="1"/>
    <w:autoRedefine/>
    <w:uiPriority w:val="0"/>
    <w:pPr>
      <w:widowControl w:val="0"/>
      <w:adjustRightInd w:val="0"/>
      <w:snapToGrid w:val="0"/>
    </w:pPr>
    <w:rPr>
      <w:szCs w:val="24"/>
    </w:rPr>
  </w:style>
  <w:style w:type="paragraph" w:customStyle="1" w:styleId="716">
    <w:name w:val="样式 首行缩进:  0 字符"/>
    <w:basedOn w:val="1"/>
    <w:autoRedefine/>
    <w:qFormat/>
    <w:uiPriority w:val="0"/>
    <w:pPr>
      <w:widowControl w:val="0"/>
      <w:adjustRightInd w:val="0"/>
      <w:snapToGrid w:val="0"/>
      <w:ind w:firstLine="502" w:firstLineChars="200"/>
    </w:pPr>
    <w:rPr>
      <w:snapToGrid w:val="0"/>
      <w:kern w:val="0"/>
      <w:szCs w:val="20"/>
    </w:rPr>
  </w:style>
  <w:style w:type="paragraph" w:customStyle="1" w:styleId="717">
    <w:name w:val="表格内容小"/>
    <w:basedOn w:val="1"/>
    <w:autoRedefine/>
    <w:qFormat/>
    <w:uiPriority w:val="0"/>
    <w:pPr>
      <w:widowControl w:val="0"/>
      <w:adjustRightInd w:val="0"/>
      <w:snapToGrid w:val="0"/>
    </w:pPr>
    <w:rPr>
      <w:szCs w:val="21"/>
    </w:rPr>
  </w:style>
  <w:style w:type="paragraph" w:customStyle="1" w:styleId="718">
    <w:name w:val="样式 标题 3 + 左侧:  0.49 厘米 右侧:  0.49 厘米"/>
    <w:basedOn w:val="4"/>
    <w:autoRedefine/>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9">
    <w:name w:val="Char Char Char Char2"/>
    <w:basedOn w:val="1"/>
    <w:qFormat/>
    <w:uiPriority w:val="0"/>
    <w:pPr>
      <w:widowControl w:val="0"/>
      <w:adjustRightInd w:val="0"/>
      <w:snapToGrid w:val="0"/>
      <w:spacing w:after="160" w:line="240" w:lineRule="exact"/>
    </w:pPr>
    <w:rPr>
      <w:szCs w:val="20"/>
    </w:rPr>
  </w:style>
  <w:style w:type="paragraph" w:customStyle="1" w:styleId="720">
    <w:name w:val="食标题4"/>
    <w:basedOn w:val="1"/>
    <w:autoRedefine/>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21">
    <w:name w:val="xl88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2">
    <w:name w:val="公告小标题"/>
    <w:basedOn w:val="1"/>
    <w:autoRedefine/>
    <w:qFormat/>
    <w:uiPriority w:val="0"/>
    <w:pPr>
      <w:widowControl w:val="0"/>
      <w:adjustRightInd w:val="0"/>
      <w:snapToGrid w:val="0"/>
      <w:spacing w:line="500" w:lineRule="exact"/>
    </w:pPr>
    <w:rPr>
      <w:b/>
      <w:szCs w:val="20"/>
    </w:rPr>
  </w:style>
  <w:style w:type="paragraph" w:customStyle="1" w:styleId="723">
    <w:name w:val="xl72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4">
    <w:name w:val="表格内文字"/>
    <w:basedOn w:val="1"/>
    <w:qFormat/>
    <w:uiPriority w:val="0"/>
    <w:pPr>
      <w:widowControl w:val="0"/>
      <w:adjustRightInd w:val="0"/>
      <w:snapToGrid w:val="0"/>
      <w:spacing w:line="360" w:lineRule="exact"/>
      <w:textAlignment w:val="baseline"/>
    </w:pPr>
    <w:rPr>
      <w:kern w:val="0"/>
      <w:sz w:val="18"/>
      <w:szCs w:val="18"/>
    </w:rPr>
  </w:style>
  <w:style w:type="paragraph" w:customStyle="1" w:styleId="725">
    <w:name w:val="XW悬挂正文"/>
    <w:basedOn w:val="661"/>
    <w:qFormat/>
    <w:uiPriority w:val="0"/>
    <w:pPr>
      <w:snapToGrid/>
      <w:spacing w:line="360" w:lineRule="auto"/>
      <w:ind w:left="1474" w:hanging="340" w:firstLineChars="0"/>
    </w:pPr>
    <w:rPr>
      <w:rFonts w:hAnsi="宋体"/>
      <w:sz w:val="24"/>
      <w:szCs w:val="20"/>
    </w:rPr>
  </w:style>
  <w:style w:type="paragraph" w:customStyle="1" w:styleId="726">
    <w:name w:val="xl83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7">
    <w:name w:val="Char Char Char Char4"/>
    <w:basedOn w:val="1"/>
    <w:autoRedefine/>
    <w:qFormat/>
    <w:uiPriority w:val="0"/>
    <w:pPr>
      <w:widowControl w:val="0"/>
      <w:spacing w:line="240" w:lineRule="auto"/>
    </w:pPr>
    <w:rPr>
      <w:szCs w:val="24"/>
    </w:rPr>
  </w:style>
  <w:style w:type="paragraph" w:customStyle="1" w:styleId="728">
    <w:name w:val="正文缩进2"/>
    <w:basedOn w:val="1"/>
    <w:next w:val="1"/>
    <w:qFormat/>
    <w:uiPriority w:val="0"/>
    <w:pPr>
      <w:widowControl w:val="0"/>
      <w:adjustRightInd w:val="0"/>
      <w:snapToGrid w:val="0"/>
      <w:spacing w:line="500" w:lineRule="exact"/>
      <w:ind w:firstLine="567"/>
    </w:pPr>
    <w:rPr>
      <w:szCs w:val="20"/>
    </w:rPr>
  </w:style>
  <w:style w:type="paragraph" w:customStyle="1" w:styleId="729">
    <w:name w:val="Char Char Char Char Char Char Char Char Char Char Char Char Char Char Char Char Char Char Char Char Char Char Char Char Char Char Char Char Char Char Char1"/>
    <w:basedOn w:val="1"/>
    <w:autoRedefine/>
    <w:uiPriority w:val="0"/>
    <w:pPr>
      <w:widowControl w:val="0"/>
      <w:adjustRightInd w:val="0"/>
      <w:snapToGrid w:val="0"/>
      <w:spacing w:line="360" w:lineRule="auto"/>
      <w:ind w:firstLine="200" w:firstLineChars="200"/>
    </w:pPr>
    <w:rPr>
      <w:szCs w:val="24"/>
    </w:rPr>
  </w:style>
  <w:style w:type="paragraph" w:customStyle="1" w:styleId="730">
    <w:name w:val="样式 居中 首行缩进:  2 字符"/>
    <w:basedOn w:val="1"/>
    <w:autoRedefine/>
    <w:qFormat/>
    <w:uiPriority w:val="0"/>
    <w:pPr>
      <w:widowControl w:val="0"/>
      <w:adjustRightInd w:val="0"/>
      <w:snapToGrid w:val="0"/>
      <w:spacing w:line="360" w:lineRule="auto"/>
      <w:jc w:val="center"/>
    </w:pPr>
    <w:rPr>
      <w:szCs w:val="20"/>
    </w:rPr>
  </w:style>
  <w:style w:type="paragraph" w:customStyle="1" w:styleId="73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2">
    <w:name w:val="_Style 13"/>
    <w:basedOn w:val="1"/>
    <w:autoRedefine/>
    <w:qFormat/>
    <w:uiPriority w:val="0"/>
    <w:pPr>
      <w:widowControl w:val="0"/>
      <w:adjustRightInd w:val="0"/>
      <w:snapToGrid w:val="0"/>
    </w:pPr>
    <w:rPr>
      <w:szCs w:val="24"/>
    </w:rPr>
  </w:style>
  <w:style w:type="paragraph" w:customStyle="1" w:styleId="733">
    <w:name w:val="Char Char1 Char Char Char4"/>
    <w:basedOn w:val="1"/>
    <w:autoRedefine/>
    <w:qFormat/>
    <w:uiPriority w:val="0"/>
    <w:pPr>
      <w:widowControl w:val="0"/>
      <w:spacing w:line="240" w:lineRule="auto"/>
    </w:pPr>
    <w:rPr>
      <w:kern w:val="0"/>
      <w:sz w:val="20"/>
      <w:szCs w:val="20"/>
    </w:rPr>
  </w:style>
  <w:style w:type="paragraph" w:customStyle="1" w:styleId="734">
    <w:name w:val="xl90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5">
    <w:name w:val="Char Char Char Char Char Char Char Char Char Char4"/>
    <w:basedOn w:val="1"/>
    <w:autoRedefine/>
    <w:qFormat/>
    <w:uiPriority w:val="0"/>
    <w:pPr>
      <w:widowControl w:val="0"/>
      <w:spacing w:line="240" w:lineRule="auto"/>
    </w:pPr>
    <w:rPr>
      <w:szCs w:val="20"/>
    </w:rPr>
  </w:style>
  <w:style w:type="paragraph" w:customStyle="1" w:styleId="736">
    <w:name w:val="Char Char Char Char Char Char Char2"/>
    <w:basedOn w:val="1"/>
    <w:qFormat/>
    <w:uiPriority w:val="0"/>
    <w:pPr>
      <w:widowControl w:val="0"/>
      <w:adjustRightInd w:val="0"/>
      <w:snapToGrid w:val="0"/>
      <w:spacing w:line="360" w:lineRule="auto"/>
      <w:ind w:firstLine="200" w:firstLineChars="200"/>
    </w:pPr>
    <w:rPr>
      <w:szCs w:val="24"/>
    </w:rPr>
  </w:style>
  <w:style w:type="paragraph" w:customStyle="1" w:styleId="737">
    <w:name w:val="8.1.1b Char Char Char Char Char Char Char"/>
    <w:next w:val="1"/>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8">
    <w:name w:val="网格型1"/>
    <w:basedOn w:val="60"/>
    <w:autoRedefine/>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9">
    <w:name w:val="标题 2 Char3"/>
    <w:qFormat/>
    <w:uiPriority w:val="9"/>
    <w:rPr>
      <w:rFonts w:eastAsia="华文中宋"/>
      <w:b/>
      <w:bCs/>
      <w:kern w:val="2"/>
      <w:sz w:val="32"/>
      <w:szCs w:val="32"/>
    </w:rPr>
  </w:style>
  <w:style w:type="paragraph" w:customStyle="1" w:styleId="740">
    <w:name w:val="_Style 731"/>
    <w:basedOn w:val="1"/>
    <w:next w:val="79"/>
    <w:autoRedefine/>
    <w:qFormat/>
    <w:uiPriority w:val="34"/>
    <w:pPr>
      <w:widowControl w:val="0"/>
      <w:spacing w:line="240" w:lineRule="auto"/>
      <w:ind w:firstLine="420" w:firstLineChars="200"/>
    </w:pPr>
    <w:rPr>
      <w:rFonts w:ascii="Calibri" w:hAnsi="Calibri"/>
    </w:rPr>
  </w:style>
  <w:style w:type="character" w:customStyle="1" w:styleId="741">
    <w:name w:val="纯文本 Char4"/>
    <w:autoRedefine/>
    <w:locked/>
    <w:uiPriority w:val="99"/>
    <w:rPr>
      <w:rFonts w:ascii="宋体" w:hAnsi="Courier New" w:eastAsia="宋体"/>
      <w:kern w:val="2"/>
      <w:sz w:val="21"/>
      <w:lang w:val="en-US" w:eastAsia="zh-CN" w:bidi="ar-SA"/>
    </w:rPr>
  </w:style>
  <w:style w:type="character" w:customStyle="1" w:styleId="742">
    <w:name w:val="纯文本 字符2"/>
    <w:autoRedefine/>
    <w:qFormat/>
    <w:uiPriority w:val="0"/>
    <w:rPr>
      <w:rFonts w:hint="eastAsia" w:ascii="宋体" w:hAnsi="Courier New" w:eastAsia="宋体" w:cs="宋体"/>
      <w:kern w:val="2"/>
      <w:sz w:val="21"/>
    </w:rPr>
  </w:style>
  <w:style w:type="paragraph" w:customStyle="1" w:styleId="743">
    <w:name w:val="图例"/>
    <w:basedOn w:val="1"/>
    <w:qFormat/>
    <w:uiPriority w:val="0"/>
    <w:pPr>
      <w:widowControl w:val="0"/>
      <w:spacing w:before="120" w:after="120" w:line="360" w:lineRule="auto"/>
      <w:jc w:val="center"/>
    </w:pPr>
    <w:rPr>
      <w:rFonts w:eastAsia="仿宋_GB2312"/>
      <w:b/>
      <w:sz w:val="24"/>
      <w:szCs w:val="20"/>
    </w:rPr>
  </w:style>
  <w:style w:type="character" w:customStyle="1" w:styleId="744">
    <w:name w:val="c21"/>
    <w:autoRedefine/>
    <w:qFormat/>
    <w:uiPriority w:val="0"/>
    <w:rPr>
      <w:rFonts w:hint="default" w:ascii="ˎ̥" w:hAnsi="ˎ̥"/>
      <w:color w:val="000000"/>
      <w:sz w:val="20"/>
      <w:szCs w:val="20"/>
      <w:u w:val="none"/>
    </w:rPr>
  </w:style>
  <w:style w:type="character" w:customStyle="1" w:styleId="745">
    <w:name w:val="title4"/>
    <w:qFormat/>
    <w:uiPriority w:val="0"/>
    <w:rPr>
      <w:b/>
      <w:bCs/>
      <w:color w:val="1D87B3"/>
      <w:sz w:val="15"/>
      <w:szCs w:val="15"/>
    </w:rPr>
  </w:style>
  <w:style w:type="character" w:customStyle="1" w:styleId="746">
    <w:name w:val="标题 2 Char Char"/>
    <w:autoRedefine/>
    <w:qFormat/>
    <w:uiPriority w:val="0"/>
    <w:rPr>
      <w:rFonts w:ascii="Arial" w:hAnsi="Arial" w:eastAsia="黑体"/>
      <w:b/>
      <w:bCs/>
      <w:kern w:val="2"/>
      <w:sz w:val="32"/>
      <w:szCs w:val="32"/>
      <w:lang w:val="en-US" w:eastAsia="zh-CN" w:bidi="ar-SA"/>
    </w:rPr>
  </w:style>
  <w:style w:type="character" w:customStyle="1" w:styleId="747">
    <w:name w:val="black1"/>
    <w:autoRedefine/>
    <w:qFormat/>
    <w:uiPriority w:val="0"/>
    <w:rPr>
      <w:color w:val="000000"/>
    </w:rPr>
  </w:style>
  <w:style w:type="character" w:customStyle="1" w:styleId="748">
    <w:name w:val="street-address"/>
    <w:basedOn w:val="64"/>
    <w:autoRedefine/>
    <w:qFormat/>
    <w:uiPriority w:val="0"/>
  </w:style>
  <w:style w:type="character" w:customStyle="1" w:styleId="749">
    <w:name w:val="locality"/>
    <w:basedOn w:val="64"/>
    <w:autoRedefine/>
    <w:qFormat/>
    <w:uiPriority w:val="0"/>
  </w:style>
  <w:style w:type="character" w:customStyle="1" w:styleId="750">
    <w:name w:val="txt"/>
    <w:basedOn w:val="64"/>
    <w:autoRedefine/>
    <w:qFormat/>
    <w:uiPriority w:val="0"/>
  </w:style>
  <w:style w:type="character" w:customStyle="1" w:styleId="751">
    <w:name w:val="普通文字1 Char1"/>
    <w:autoRedefine/>
    <w:qFormat/>
    <w:uiPriority w:val="0"/>
    <w:rPr>
      <w:rFonts w:ascii="宋体" w:hAnsi="Courier New" w:eastAsia="宋体"/>
      <w:kern w:val="2"/>
      <w:sz w:val="21"/>
      <w:lang w:val="en-US" w:eastAsia="zh-CN" w:bidi="ar-SA"/>
    </w:rPr>
  </w:style>
  <w:style w:type="character" w:customStyle="1" w:styleId="752">
    <w:name w:val="chanpin1"/>
    <w:autoRedefine/>
    <w:qFormat/>
    <w:uiPriority w:val="0"/>
    <w:rPr>
      <w:rFonts w:hint="default" w:ascii="ˎ̥" w:hAnsi="ˎ̥"/>
      <w:color w:val="000000"/>
      <w:sz w:val="20"/>
      <w:szCs w:val="20"/>
      <w:u w:val="none"/>
    </w:rPr>
  </w:style>
  <w:style w:type="character" w:customStyle="1" w:styleId="753">
    <w:name w:val="列表段落 字符"/>
    <w:link w:val="79"/>
    <w:qFormat/>
    <w:uiPriority w:val="34"/>
    <w:rPr>
      <w:snapToGrid w:val="0"/>
      <w:color w:val="FF0000"/>
      <w:kern w:val="2"/>
      <w:sz w:val="24"/>
      <w:szCs w:val="24"/>
    </w:rPr>
  </w:style>
  <w:style w:type="character" w:customStyle="1" w:styleId="754">
    <w:name w:val="标题 3 Char Char"/>
    <w:autoRedefine/>
    <w:qFormat/>
    <w:uiPriority w:val="0"/>
    <w:rPr>
      <w:rFonts w:eastAsia="宋体"/>
      <w:b/>
      <w:bCs/>
      <w:kern w:val="2"/>
      <w:sz w:val="32"/>
      <w:szCs w:val="32"/>
      <w:lang w:val="en-US" w:eastAsia="zh-CN" w:bidi="ar-SA"/>
    </w:rPr>
  </w:style>
  <w:style w:type="character" w:customStyle="1" w:styleId="755">
    <w:name w:val="chanpin拷贝"/>
    <w:basedOn w:val="64"/>
    <w:autoRedefine/>
    <w:qFormat/>
    <w:uiPriority w:val="0"/>
  </w:style>
  <w:style w:type="paragraph" w:customStyle="1" w:styleId="756">
    <w:name w:val="二级条标题"/>
    <w:basedOn w:val="757"/>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7">
    <w:name w:val="一级条标题"/>
    <w:basedOn w:val="758"/>
    <w:next w:val="1"/>
    <w:autoRedefine/>
    <w:qFormat/>
    <w:uiPriority w:val="0"/>
    <w:pPr>
      <w:numPr>
        <w:ilvl w:val="1"/>
      </w:numPr>
      <w:tabs>
        <w:tab w:val="left" w:pos="360"/>
        <w:tab w:val="left" w:pos="432"/>
        <w:tab w:val="left" w:pos="840"/>
      </w:tabs>
      <w:ind w:left="0" w:hanging="840"/>
      <w:outlineLvl w:val="1"/>
    </w:pPr>
  </w:style>
  <w:style w:type="paragraph" w:customStyle="1" w:styleId="75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9">
    <w:name w:val="字元 字元"/>
    <w:basedOn w:val="1"/>
    <w:qFormat/>
    <w:uiPriority w:val="0"/>
    <w:pPr>
      <w:widowControl w:val="0"/>
      <w:spacing w:line="240" w:lineRule="auto"/>
    </w:pPr>
    <w:rPr>
      <w:rFonts w:ascii="Tahoma" w:hAnsi="Tahoma"/>
      <w:sz w:val="24"/>
      <w:szCs w:val="20"/>
    </w:rPr>
  </w:style>
  <w:style w:type="paragraph" w:customStyle="1" w:styleId="760">
    <w:name w:val="Char3 Char Char Char"/>
    <w:basedOn w:val="1"/>
    <w:autoRedefine/>
    <w:qFormat/>
    <w:uiPriority w:val="0"/>
    <w:pPr>
      <w:widowControl w:val="0"/>
      <w:spacing w:line="240" w:lineRule="auto"/>
    </w:pPr>
    <w:rPr>
      <w:rFonts w:ascii="Tahoma" w:hAnsi="Tahoma"/>
      <w:sz w:val="24"/>
      <w:szCs w:val="20"/>
    </w:rPr>
  </w:style>
  <w:style w:type="paragraph" w:customStyle="1" w:styleId="761">
    <w:name w:val="项目编号2"/>
    <w:basedOn w:val="762"/>
    <w:qFormat/>
    <w:uiPriority w:val="0"/>
    <w:pPr>
      <w:numPr>
        <w:ilvl w:val="0"/>
        <w:numId w:val="5"/>
      </w:numPr>
      <w:tabs>
        <w:tab w:val="left" w:pos="2040"/>
      </w:tabs>
    </w:pPr>
  </w:style>
  <w:style w:type="paragraph" w:customStyle="1" w:styleId="762">
    <w:name w:val="项目编号1"/>
    <w:basedOn w:val="1"/>
    <w:autoRedefine/>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3">
    <w:name w:val="图中文字"/>
    <w:basedOn w:val="1"/>
    <w:qFormat/>
    <w:uiPriority w:val="0"/>
    <w:pPr>
      <w:widowControl w:val="0"/>
      <w:adjustRightInd w:val="0"/>
      <w:snapToGrid w:val="0"/>
      <w:spacing w:line="0" w:lineRule="atLeast"/>
      <w:jc w:val="center"/>
    </w:pPr>
    <w:rPr>
      <w:sz w:val="24"/>
      <w:szCs w:val="20"/>
    </w:rPr>
  </w:style>
  <w:style w:type="paragraph" w:customStyle="1" w:styleId="764">
    <w:name w:val="background1"/>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5">
    <w:name w:val="正文 + 宋体"/>
    <w:basedOn w:val="1"/>
    <w:autoRedefine/>
    <w:qFormat/>
    <w:uiPriority w:val="0"/>
    <w:pPr>
      <w:spacing w:line="240" w:lineRule="auto"/>
      <w:ind w:left="360" w:hanging="360"/>
      <w:jc w:val="left"/>
    </w:pPr>
    <w:rPr>
      <w:rFonts w:ascii="宋体" w:hAnsi="宋体" w:cs="宋体"/>
      <w:b/>
      <w:bCs/>
      <w:color w:val="000000"/>
      <w:kern w:val="0"/>
      <w:sz w:val="18"/>
      <w:szCs w:val="18"/>
    </w:rPr>
  </w:style>
  <w:style w:type="paragraph" w:customStyle="1" w:styleId="766">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7">
    <w:name w:val="Char Char Char Char Char Char Char Char Char Char Char Char Char Char Char Char"/>
    <w:basedOn w:val="1"/>
    <w:autoRedefine/>
    <w:qFormat/>
    <w:uiPriority w:val="0"/>
    <w:pPr>
      <w:spacing w:after="160" w:line="240" w:lineRule="exact"/>
      <w:jc w:val="center"/>
    </w:pPr>
    <w:rPr>
      <w:rFonts w:ascii="宋体" w:hAnsi="宋体"/>
      <w:b/>
      <w:kern w:val="0"/>
      <w:sz w:val="30"/>
      <w:szCs w:val="30"/>
      <w:lang w:eastAsia="en-US"/>
    </w:rPr>
  </w:style>
  <w:style w:type="paragraph" w:customStyle="1" w:styleId="768">
    <w:name w:val="样式 宋体 五号 行距: 单倍行距"/>
    <w:basedOn w:val="1"/>
    <w:autoRedefine/>
    <w:qFormat/>
    <w:uiPriority w:val="0"/>
    <w:pPr>
      <w:widowControl w:val="0"/>
      <w:adjustRightInd w:val="0"/>
      <w:spacing w:line="240" w:lineRule="auto"/>
      <w:jc w:val="left"/>
      <w:textAlignment w:val="baseline"/>
    </w:pPr>
    <w:rPr>
      <w:rFonts w:ascii="宋体" w:hAnsi="宋体"/>
      <w:kern w:val="0"/>
      <w:szCs w:val="20"/>
    </w:rPr>
  </w:style>
  <w:style w:type="paragraph" w:customStyle="1" w:styleId="769">
    <w:name w:val="Char1 Char Char Char1"/>
    <w:basedOn w:val="1"/>
    <w:qFormat/>
    <w:uiPriority w:val="0"/>
    <w:pPr>
      <w:widowControl w:val="0"/>
      <w:spacing w:line="240" w:lineRule="auto"/>
    </w:pPr>
    <w:rPr>
      <w:rFonts w:ascii="Tahoma" w:hAnsi="Tahoma" w:cs="仿宋_GB2312"/>
      <w:sz w:val="24"/>
      <w:szCs w:val="28"/>
    </w:rPr>
  </w:style>
  <w:style w:type="paragraph" w:customStyle="1" w:styleId="770">
    <w:name w:val="四级条标题"/>
    <w:basedOn w:val="771"/>
    <w:next w:val="1"/>
    <w:autoRedefine/>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71">
    <w:name w:val="三级条标题"/>
    <w:basedOn w:val="756"/>
    <w:next w:val="1"/>
    <w:autoRedefine/>
    <w:qFormat/>
    <w:uiPriority w:val="0"/>
    <w:pPr>
      <w:numPr>
        <w:ilvl w:val="3"/>
        <w:numId w:val="1"/>
      </w:numPr>
      <w:ind w:hanging="840"/>
      <w:outlineLvl w:val="3"/>
    </w:pPr>
  </w:style>
  <w:style w:type="paragraph" w:customStyle="1" w:styleId="77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3">
    <w:name w:val="样式 标题 2 + 宋体 五号 行距: 单倍行距"/>
    <w:basedOn w:val="3"/>
    <w:qFormat/>
    <w:uiPriority w:val="0"/>
    <w:pPr>
      <w:numPr>
        <w:ilvl w:val="1"/>
        <w:numId w:val="7"/>
      </w:numPr>
      <w:tabs>
        <w:tab w:val="left" w:pos="1188"/>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4">
    <w:name w:val="项目符号1"/>
    <w:basedOn w:val="775"/>
    <w:autoRedefine/>
    <w:qFormat/>
    <w:uiPriority w:val="0"/>
    <w:pPr>
      <w:ind w:left="-25" w:firstLine="0"/>
    </w:pPr>
  </w:style>
  <w:style w:type="paragraph" w:customStyle="1" w:styleId="775">
    <w:name w:val="正文文本样式"/>
    <w:basedOn w:val="1"/>
    <w:autoRedefine/>
    <w:qFormat/>
    <w:uiPriority w:val="0"/>
    <w:pPr>
      <w:widowControl w:val="0"/>
      <w:spacing w:line="360" w:lineRule="auto"/>
      <w:ind w:firstLine="482"/>
    </w:pPr>
    <w:rPr>
      <w:rFonts w:cs="宋体"/>
      <w:sz w:val="24"/>
      <w:szCs w:val="20"/>
    </w:rPr>
  </w:style>
  <w:style w:type="paragraph" w:customStyle="1" w:styleId="776">
    <w:name w:val="五级条标题"/>
    <w:basedOn w:val="770"/>
    <w:next w:val="1"/>
    <w:autoRedefine/>
    <w:qFormat/>
    <w:uiPriority w:val="0"/>
    <w:pPr>
      <w:numPr>
        <w:ilvl w:val="5"/>
      </w:numPr>
      <w:ind w:hanging="840"/>
      <w:outlineLvl w:val="5"/>
    </w:pPr>
  </w:style>
  <w:style w:type="paragraph" w:customStyle="1" w:styleId="777">
    <w:name w:val="Char Char Char1 Char"/>
    <w:basedOn w:val="1"/>
    <w:qFormat/>
    <w:uiPriority w:val="0"/>
    <w:pPr>
      <w:widowControl w:val="0"/>
      <w:spacing w:line="240" w:lineRule="auto"/>
    </w:pPr>
    <w:rPr>
      <w:rFonts w:ascii="Tahoma" w:hAnsi="Tahoma"/>
      <w:sz w:val="24"/>
      <w:szCs w:val="20"/>
    </w:rPr>
  </w:style>
  <w:style w:type="paragraph" w:customStyle="1" w:styleId="778">
    <w:name w:val="1名"/>
    <w:basedOn w:val="1"/>
    <w:autoRedefine/>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9">
    <w:name w:val="Char Char Char1 Char1"/>
    <w:basedOn w:val="1"/>
    <w:qFormat/>
    <w:uiPriority w:val="0"/>
    <w:pPr>
      <w:widowControl w:val="0"/>
      <w:spacing w:line="240" w:lineRule="auto"/>
    </w:pPr>
    <w:rPr>
      <w:rFonts w:ascii="Tahoma" w:hAnsi="Tahoma"/>
      <w:sz w:val="24"/>
      <w:szCs w:val="20"/>
    </w:rPr>
  </w:style>
  <w:style w:type="paragraph" w:customStyle="1" w:styleId="780">
    <w:name w:val="Char Char1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781">
    <w:name w:val="正文列项_字母"/>
    <w:basedOn w:val="1"/>
    <w:autoRedefine/>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2">
    <w:name w:val="缺省文本"/>
    <w:basedOn w:val="1"/>
    <w:autoRedefine/>
    <w:qFormat/>
    <w:uiPriority w:val="0"/>
    <w:pPr>
      <w:widowControl w:val="0"/>
      <w:autoSpaceDE w:val="0"/>
      <w:autoSpaceDN w:val="0"/>
      <w:adjustRightInd w:val="0"/>
      <w:spacing w:line="240" w:lineRule="auto"/>
      <w:jc w:val="left"/>
    </w:pPr>
    <w:rPr>
      <w:kern w:val="0"/>
      <w:sz w:val="24"/>
      <w:szCs w:val="24"/>
    </w:rPr>
  </w:style>
  <w:style w:type="paragraph" w:customStyle="1" w:styleId="783">
    <w:name w:val="正文 + 楷体_GB2312"/>
    <w:basedOn w:val="1"/>
    <w:qFormat/>
    <w:uiPriority w:val="0"/>
    <w:pPr>
      <w:spacing w:line="240" w:lineRule="auto"/>
      <w:jc w:val="left"/>
    </w:pPr>
    <w:rPr>
      <w:rFonts w:ascii="楷体_GB2312" w:eastAsia="楷体_GB2312" w:cs="Arial"/>
      <w:kern w:val="0"/>
      <w:sz w:val="24"/>
      <w:szCs w:val="24"/>
    </w:rPr>
  </w:style>
  <w:style w:type="paragraph" w:customStyle="1" w:styleId="784">
    <w:name w:val="1 Char Char Char Char"/>
    <w:basedOn w:val="1"/>
    <w:autoRedefine/>
    <w:qFormat/>
    <w:uiPriority w:val="0"/>
    <w:pPr>
      <w:widowControl w:val="0"/>
      <w:spacing w:line="240" w:lineRule="auto"/>
    </w:pPr>
    <w:rPr>
      <w:rFonts w:ascii="Tahoma" w:hAnsi="Tahoma"/>
      <w:sz w:val="24"/>
      <w:szCs w:val="20"/>
    </w:rPr>
  </w:style>
  <w:style w:type="paragraph" w:customStyle="1" w:styleId="785">
    <w:name w:val="default"/>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6">
    <w:name w:val="字元 字元1"/>
    <w:basedOn w:val="1"/>
    <w:autoRedefine/>
    <w:qFormat/>
    <w:uiPriority w:val="0"/>
    <w:pPr>
      <w:widowControl w:val="0"/>
      <w:spacing w:line="240" w:lineRule="auto"/>
    </w:pPr>
    <w:rPr>
      <w:rFonts w:ascii="Tahoma" w:hAnsi="Tahoma"/>
      <w:sz w:val="24"/>
      <w:szCs w:val="20"/>
    </w:rPr>
  </w:style>
  <w:style w:type="paragraph" w:customStyle="1" w:styleId="787">
    <w:name w:val="_Style 160"/>
    <w:qFormat/>
    <w:uiPriority w:val="0"/>
    <w:rPr>
      <w:rFonts w:ascii="Times New Roman" w:hAnsi="Times New Roman" w:eastAsia="宋体" w:cs="Times New Roman"/>
      <w:kern w:val="2"/>
      <w:sz w:val="21"/>
      <w:szCs w:val="24"/>
      <w:lang w:val="en-US" w:eastAsia="zh-CN" w:bidi="ar-SA"/>
    </w:rPr>
  </w:style>
  <w:style w:type="paragraph" w:customStyle="1" w:styleId="788">
    <w:name w:val="项目编号3"/>
    <w:basedOn w:val="775"/>
    <w:autoRedefine/>
    <w:qFormat/>
    <w:uiPriority w:val="0"/>
    <w:pPr>
      <w:tabs>
        <w:tab w:val="left" w:pos="780"/>
      </w:tabs>
      <w:ind w:left="780" w:hanging="360"/>
    </w:pPr>
  </w:style>
  <w:style w:type="paragraph" w:customStyle="1" w:styleId="789">
    <w:name w:val="正文文本样式 加粗"/>
    <w:basedOn w:val="775"/>
    <w:qFormat/>
    <w:uiPriority w:val="0"/>
    <w:rPr>
      <w:b/>
    </w:rPr>
  </w:style>
  <w:style w:type="paragraph" w:customStyle="1" w:styleId="790">
    <w:name w:val="Char2 Char Char Char Char Char Char"/>
    <w:basedOn w:val="1"/>
    <w:autoRedefine/>
    <w:qFormat/>
    <w:uiPriority w:val="0"/>
    <w:pPr>
      <w:spacing w:line="400" w:lineRule="exact"/>
      <w:jc w:val="center"/>
    </w:pPr>
    <w:rPr>
      <w:szCs w:val="24"/>
    </w:rPr>
  </w:style>
  <w:style w:type="paragraph" w:customStyle="1" w:styleId="791">
    <w:name w:val="Char3 Char Char Char1"/>
    <w:basedOn w:val="1"/>
    <w:qFormat/>
    <w:uiPriority w:val="0"/>
    <w:pPr>
      <w:widowControl w:val="0"/>
      <w:spacing w:line="240" w:lineRule="auto"/>
    </w:pPr>
    <w:rPr>
      <w:rFonts w:ascii="Tahoma" w:hAnsi="Tahoma"/>
      <w:sz w:val="24"/>
      <w:szCs w:val="20"/>
    </w:rPr>
  </w:style>
  <w:style w:type="paragraph" w:customStyle="1" w:styleId="792">
    <w:name w:val="22222222222222"/>
    <w:basedOn w:val="1"/>
    <w:autoRedefine/>
    <w:qFormat/>
    <w:uiPriority w:val="0"/>
    <w:pPr>
      <w:adjustRightInd w:val="0"/>
      <w:spacing w:line="360" w:lineRule="auto"/>
      <w:ind w:firstLine="480" w:firstLineChars="200"/>
      <w:jc w:val="left"/>
    </w:pPr>
    <w:rPr>
      <w:color w:val="FF0000"/>
      <w:kern w:val="0"/>
      <w:sz w:val="24"/>
      <w:szCs w:val="20"/>
    </w:rPr>
  </w:style>
  <w:style w:type="character" w:customStyle="1" w:styleId="793">
    <w:name w:val="中等深浅网格 1 - 强调文字颜色 2 Char"/>
    <w:link w:val="662"/>
    <w:autoRedefine/>
    <w:qFormat/>
    <w:uiPriority w:val="0"/>
    <w:rPr>
      <w:kern w:val="2"/>
      <w:sz w:val="21"/>
      <w:szCs w:val="24"/>
    </w:rPr>
  </w:style>
  <w:style w:type="paragraph" w:customStyle="1" w:styleId="794">
    <w:name w:val="图文"/>
    <w:basedOn w:val="1"/>
    <w:autoRedefine/>
    <w:qFormat/>
    <w:uiPriority w:val="0"/>
    <w:pPr>
      <w:widowControl w:val="0"/>
      <w:adjustRightInd w:val="0"/>
      <w:snapToGrid w:val="0"/>
      <w:spacing w:after="50" w:line="360" w:lineRule="auto"/>
    </w:pPr>
    <w:rPr>
      <w:sz w:val="24"/>
      <w:szCs w:val="24"/>
    </w:rPr>
  </w:style>
  <w:style w:type="paragraph" w:customStyle="1" w:styleId="795">
    <w:name w:val="正文表格"/>
    <w:basedOn w:val="1"/>
    <w:link w:val="796"/>
    <w:qFormat/>
    <w:uiPriority w:val="0"/>
    <w:pPr>
      <w:widowControl w:val="0"/>
      <w:adjustRightInd w:val="0"/>
      <w:snapToGrid w:val="0"/>
      <w:spacing w:line="240" w:lineRule="auto"/>
      <w:jc w:val="left"/>
    </w:pPr>
    <w:rPr>
      <w:rFonts w:ascii="宋体" w:hAnsi="宋体"/>
      <w:color w:val="000000"/>
      <w:szCs w:val="21"/>
    </w:rPr>
  </w:style>
  <w:style w:type="character" w:customStyle="1" w:styleId="796">
    <w:name w:val="正文表格 Char"/>
    <w:link w:val="795"/>
    <w:autoRedefine/>
    <w:qFormat/>
    <w:uiPriority w:val="0"/>
    <w:rPr>
      <w:rFonts w:ascii="宋体" w:hAnsi="宋体"/>
      <w:color w:val="000000"/>
      <w:kern w:val="2"/>
      <w:sz w:val="21"/>
      <w:szCs w:val="21"/>
    </w:rPr>
  </w:style>
  <w:style w:type="paragraph" w:customStyle="1" w:styleId="797">
    <w:name w:val="正文重点"/>
    <w:basedOn w:val="1"/>
    <w:link w:val="798"/>
    <w:autoRedefine/>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8">
    <w:name w:val="正文重点 Char"/>
    <w:link w:val="797"/>
    <w:qFormat/>
    <w:uiPriority w:val="0"/>
    <w:rPr>
      <w:b/>
      <w:sz w:val="24"/>
    </w:rPr>
  </w:style>
  <w:style w:type="paragraph" w:customStyle="1" w:styleId="799">
    <w:name w:val="标题1-附件"/>
    <w:basedOn w:val="2"/>
    <w:autoRedefine/>
    <w:qFormat/>
    <w:uiPriority w:val="0"/>
    <w:pPr>
      <w:autoSpaceDE w:val="0"/>
      <w:autoSpaceDN w:val="0"/>
      <w:adjustRightInd w:val="0"/>
      <w:spacing w:after="120"/>
      <w:jc w:val="left"/>
    </w:pPr>
    <w:rPr>
      <w:rFonts w:ascii="宋体" w:eastAsia="宋体"/>
      <w:bCs w:val="0"/>
      <w:sz w:val="24"/>
      <w:szCs w:val="24"/>
      <w:lang w:val="en-US"/>
    </w:rPr>
  </w:style>
  <w:style w:type="paragraph" w:customStyle="1" w:styleId="800">
    <w:name w:val="正文小标题"/>
    <w:basedOn w:val="1"/>
    <w:next w:val="15"/>
    <w:link w:val="801"/>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801">
    <w:name w:val="正文小标题 Char"/>
    <w:link w:val="800"/>
    <w:autoRedefine/>
    <w:qFormat/>
    <w:uiPriority w:val="0"/>
    <w:rPr>
      <w:rFonts w:ascii="宋体" w:hAnsi="宋体"/>
      <w:b/>
      <w:i/>
      <w:color w:val="FF0000"/>
      <w:kern w:val="2"/>
      <w:sz w:val="24"/>
    </w:rPr>
  </w:style>
  <w:style w:type="paragraph" w:customStyle="1" w:styleId="802">
    <w:name w:val="正文大标题"/>
    <w:basedOn w:val="800"/>
    <w:next w:val="15"/>
    <w:link w:val="803"/>
    <w:qFormat/>
    <w:uiPriority w:val="0"/>
    <w:pPr>
      <w:jc w:val="center"/>
    </w:pPr>
    <w:rPr>
      <w:i w:val="0"/>
      <w:color w:val="000000"/>
      <w:sz w:val="28"/>
      <w:szCs w:val="21"/>
    </w:rPr>
  </w:style>
  <w:style w:type="character" w:customStyle="1" w:styleId="803">
    <w:name w:val="正文大标题 Char"/>
    <w:link w:val="802"/>
    <w:autoRedefine/>
    <w:qFormat/>
    <w:uiPriority w:val="0"/>
    <w:rPr>
      <w:rFonts w:ascii="宋体" w:hAnsi="宋体"/>
      <w:b/>
      <w:color w:val="000000"/>
      <w:kern w:val="2"/>
      <w:sz w:val="28"/>
      <w:szCs w:val="21"/>
    </w:rPr>
  </w:style>
  <w:style w:type="paragraph" w:customStyle="1" w:styleId="804">
    <w:name w:val="注释"/>
    <w:basedOn w:val="1"/>
    <w:link w:val="805"/>
    <w:autoRedefine/>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5">
    <w:name w:val="注释 Char"/>
    <w:link w:val="804"/>
    <w:qFormat/>
    <w:uiPriority w:val="0"/>
    <w:rPr>
      <w:rFonts w:ascii="宋体" w:hAnsi="宋体"/>
      <w:kern w:val="2"/>
      <w:sz w:val="21"/>
      <w:szCs w:val="21"/>
    </w:rPr>
  </w:style>
  <w:style w:type="paragraph" w:customStyle="1" w:styleId="806">
    <w:name w:val="正文须知-1级"/>
    <w:basedOn w:val="1"/>
    <w:next w:val="1"/>
    <w:autoRedefine/>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7">
    <w:name w:val="正文须知-2级"/>
    <w:basedOn w:val="1"/>
    <w:autoRedefine/>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8">
    <w:name w:val="正文须知-3级"/>
    <w:basedOn w:val="1"/>
    <w:autoRedefine/>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9">
    <w:name w:val="表格1"/>
    <w:basedOn w:val="1"/>
    <w:autoRedefine/>
    <w:qFormat/>
    <w:uiPriority w:val="0"/>
    <w:pPr>
      <w:widowControl w:val="0"/>
      <w:spacing w:line="240" w:lineRule="auto"/>
      <w:ind w:firstLine="480" w:firstLineChars="200"/>
      <w:jc w:val="center"/>
    </w:pPr>
    <w:rPr>
      <w:sz w:val="24"/>
      <w:szCs w:val="20"/>
    </w:rPr>
  </w:style>
  <w:style w:type="character" w:customStyle="1" w:styleId="810">
    <w:name w:val="bjh-p"/>
    <w:qFormat/>
    <w:uiPriority w:val="0"/>
  </w:style>
  <w:style w:type="paragraph" w:customStyle="1" w:styleId="811">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812">
    <w:name w:val="正文格式 Char"/>
    <w:link w:val="813"/>
    <w:autoRedefine/>
    <w:qFormat/>
    <w:locked/>
    <w:uiPriority w:val="0"/>
    <w:rPr>
      <w:rFonts w:ascii="宋体" w:hAnsi="宋体"/>
      <w:sz w:val="24"/>
      <w:szCs w:val="24"/>
      <w:lang w:val="en-GB"/>
    </w:rPr>
  </w:style>
  <w:style w:type="paragraph" w:customStyle="1" w:styleId="813">
    <w:name w:val="正文格式"/>
    <w:basedOn w:val="1"/>
    <w:link w:val="812"/>
    <w:autoRedefine/>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4">
    <w:name w:val="列出段落 Char"/>
    <w:autoRedefine/>
    <w:qFormat/>
    <w:uiPriority w:val="0"/>
    <w:rPr>
      <w:rFonts w:ascii="Calibri" w:hAnsi="Calibri" w:eastAsia="宋体"/>
      <w:kern w:val="2"/>
      <w:sz w:val="21"/>
      <w:szCs w:val="22"/>
      <w:lang w:val="en-US" w:eastAsia="zh-CN" w:bidi="ar-SA"/>
    </w:rPr>
  </w:style>
  <w:style w:type="paragraph" w:customStyle="1" w:styleId="815">
    <w:name w:val="字元 字元2"/>
    <w:basedOn w:val="1"/>
    <w:autoRedefine/>
    <w:qFormat/>
    <w:uiPriority w:val="0"/>
    <w:pPr>
      <w:widowControl w:val="0"/>
      <w:spacing w:line="240" w:lineRule="auto"/>
    </w:pPr>
    <w:rPr>
      <w:rFonts w:ascii="Tahoma" w:hAnsi="Tahoma"/>
      <w:sz w:val="24"/>
      <w:szCs w:val="20"/>
    </w:rPr>
  </w:style>
  <w:style w:type="paragraph" w:customStyle="1" w:styleId="816">
    <w:name w:val="Char3 Char Char Char2"/>
    <w:basedOn w:val="1"/>
    <w:autoRedefine/>
    <w:qFormat/>
    <w:uiPriority w:val="0"/>
    <w:pPr>
      <w:widowControl w:val="0"/>
      <w:spacing w:line="240" w:lineRule="auto"/>
    </w:pPr>
    <w:rPr>
      <w:rFonts w:ascii="Tahoma" w:hAnsi="Tahoma"/>
      <w:sz w:val="24"/>
      <w:szCs w:val="20"/>
    </w:rPr>
  </w:style>
  <w:style w:type="paragraph" w:customStyle="1" w:styleId="817">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8">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9">
    <w:name w:val="Char Char Char1 Char2"/>
    <w:basedOn w:val="1"/>
    <w:autoRedefine/>
    <w:qFormat/>
    <w:uiPriority w:val="0"/>
    <w:pPr>
      <w:widowControl w:val="0"/>
      <w:spacing w:line="240" w:lineRule="auto"/>
    </w:pPr>
    <w:rPr>
      <w:rFonts w:ascii="Tahoma" w:hAnsi="Tahoma"/>
      <w:sz w:val="24"/>
      <w:szCs w:val="20"/>
    </w:rPr>
  </w:style>
  <w:style w:type="paragraph" w:customStyle="1" w:styleId="820">
    <w:name w:val="修订2"/>
    <w:qFormat/>
    <w:uiPriority w:val="0"/>
    <w:rPr>
      <w:rFonts w:ascii="Times New Roman" w:hAnsi="Times New Roman" w:eastAsia="宋体" w:cs="Times New Roman"/>
      <w:kern w:val="2"/>
      <w:sz w:val="21"/>
      <w:szCs w:val="24"/>
      <w:lang w:val="en-US" w:eastAsia="zh-CN" w:bidi="ar-SA"/>
    </w:rPr>
  </w:style>
  <w:style w:type="paragraph" w:customStyle="1" w:styleId="821">
    <w:name w:val="Char22"/>
    <w:basedOn w:val="1"/>
    <w:autoRedefine/>
    <w:qFormat/>
    <w:uiPriority w:val="0"/>
    <w:pPr>
      <w:widowControl w:val="0"/>
      <w:spacing w:line="240" w:lineRule="auto"/>
    </w:pPr>
    <w:rPr>
      <w:rFonts w:ascii="Tahoma" w:hAnsi="Tahoma"/>
      <w:sz w:val="24"/>
      <w:szCs w:val="20"/>
    </w:rPr>
  </w:style>
  <w:style w:type="paragraph" w:customStyle="1" w:styleId="822">
    <w:name w:val="Char2 Char Char Char Char Char Char1"/>
    <w:basedOn w:val="1"/>
    <w:qFormat/>
    <w:uiPriority w:val="0"/>
    <w:pPr>
      <w:spacing w:line="400" w:lineRule="exact"/>
      <w:jc w:val="center"/>
    </w:pPr>
    <w:rPr>
      <w:szCs w:val="24"/>
    </w:rPr>
  </w:style>
  <w:style w:type="table" w:customStyle="1" w:styleId="823">
    <w:name w:val="Normal Table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4">
    <w:name w:val="text-tag"/>
    <w:basedOn w:val="1"/>
    <w:autoRedefine/>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5">
    <w:name w:val="纯文本 Char_0"/>
    <w:link w:val="826"/>
    <w:autoRedefine/>
    <w:qFormat/>
    <w:uiPriority w:val="0"/>
    <w:rPr>
      <w:rFonts w:ascii="宋体" w:hAnsi="Courier New"/>
      <w:kern w:val="2"/>
      <w:sz w:val="21"/>
      <w:szCs w:val="21"/>
    </w:rPr>
  </w:style>
  <w:style w:type="paragraph" w:customStyle="1" w:styleId="826">
    <w:name w:val="纯文本_0_0"/>
    <w:basedOn w:val="1"/>
    <w:link w:val="825"/>
    <w:autoRedefine/>
    <w:qFormat/>
    <w:uiPriority w:val="0"/>
    <w:pPr>
      <w:widowControl w:val="0"/>
      <w:spacing w:line="240" w:lineRule="auto"/>
    </w:pPr>
    <w:rPr>
      <w:rFonts w:ascii="宋体" w:hAnsi="Courier New"/>
      <w:szCs w:val="21"/>
    </w:rPr>
  </w:style>
  <w:style w:type="paragraph" w:customStyle="1" w:styleId="827">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table" w:customStyle="1" w:styleId="828">
    <w:name w:val="清单表 4 - 着色 61"/>
    <w:basedOn w:val="60"/>
    <w:autoRedefine/>
    <w:uiPriority w:val="49"/>
    <w:pPr>
      <w:widowControl w:val="0"/>
      <w:adjustRightInd w:val="0"/>
      <w:snapToGrid w:val="0"/>
      <w:spacing w:line="240" w:lineRule="atLeast"/>
    </w:pPr>
    <w:rPr>
      <w:sz w:val="21"/>
    </w:rPr>
    <w:tblPr>
      <w:tblBorders>
        <w:top w:val="single" w:color="E2EFD9" w:themeColor="accent6" w:themeTint="33" w:sz="12" w:space="0"/>
        <w:left w:val="single" w:color="E2EFD9" w:themeColor="accent6" w:themeTint="33" w:sz="12" w:space="0"/>
        <w:bottom w:val="single" w:color="E2EFD9" w:themeColor="accent6" w:themeTint="33" w:sz="12" w:space="0"/>
        <w:right w:val="single" w:color="E2EFD9" w:themeColor="accent6" w:themeTint="33" w:sz="12" w:space="0"/>
        <w:insideH w:val="single" w:color="E2EFD9" w:themeColor="accent6" w:themeTint="33" w:sz="4" w:space="0"/>
        <w:insideV w:val="single" w:color="E2EFD9" w:themeColor="accent6" w:themeTint="33" w:sz="4" w:space="0"/>
      </w:tblBorders>
    </w:tblPr>
    <w:tcPr>
      <w:vAlign w:val="center"/>
    </w:tcPr>
    <w:tblStylePr w:type="firstRow">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center"/>
        <w:outlineLvl w:val="9"/>
      </w:pPr>
      <w:rPr>
        <w:rFonts w:ascii="Times New Roman" w:hAnsi="Times New Roman" w:eastAsia="宋体"/>
        <w:b/>
        <w:bCs/>
        <w:i w:val="0"/>
        <w:caps w:val="0"/>
        <w:smallCaps w:val="0"/>
        <w:strike w:val="0"/>
        <w:dstrike w:val="0"/>
        <w:snapToGrid w:val="0"/>
        <w:vanish w:val="0"/>
        <w:color w:val="FFFFFF" w:themeColor="background1"/>
        <w:spacing w:val="0"/>
        <w:w w:val="100"/>
        <w:kern w:val="0"/>
        <w:position w:val="0"/>
        <w:sz w:val="21"/>
        <w:vertAlign w:val="baseline"/>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vAlign w:val="center"/>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left"/>
        <w:outlineLvl w:val="9"/>
      </w:pPr>
      <w:rPr>
        <w:rFonts w:ascii="Times New Roman" w:hAnsi="Times New Roman" w:eastAsia="宋体"/>
        <w:b w:val="0"/>
        <w:i w:val="0"/>
        <w:caps w:val="0"/>
        <w:smallCaps w:val="0"/>
        <w:strike w:val="0"/>
        <w:dstrike w:val="0"/>
        <w:snapToGrid w:val="0"/>
        <w:vanish w:val="0"/>
        <w:color w:val="auto"/>
        <w:spacing w:val="0"/>
        <w:w w:val="100"/>
        <w:kern w:val="0"/>
        <w:position w:val="0"/>
        <w:sz w:val="21"/>
        <w:vertAlign w:val="baseline"/>
      </w:rPr>
      <w:tcPr>
        <w:shd w:val="clear" w:color="auto" w:fill="E2EFD9" w:themeFill="accent6" w:themeFillTint="33"/>
      </w:tcPr>
    </w:tblStylePr>
  </w:style>
  <w:style w:type="paragraph" w:customStyle="1" w:styleId="82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0">
    <w:name w:val="10"/>
    <w:autoRedefine/>
    <w:qFormat/>
    <w:uiPriority w:val="0"/>
    <w:rPr>
      <w:rFonts w:hint="default" w:ascii="Verdana" w:hAnsi="Verdana" w:eastAsia="仿宋_GB2312"/>
      <w:sz w:val="24"/>
      <w:szCs w:val="24"/>
    </w:rPr>
  </w:style>
  <w:style w:type="character" w:customStyle="1" w:styleId="831">
    <w:name w:val="font81"/>
    <w:autoRedefine/>
    <w:qFormat/>
    <w:uiPriority w:val="0"/>
    <w:rPr>
      <w:rFonts w:hint="eastAsia" w:ascii="宋体" w:hAnsi="宋体" w:eastAsia="宋体" w:cs="宋体"/>
      <w:color w:val="000000"/>
      <w:sz w:val="20"/>
      <w:szCs w:val="20"/>
      <w:u w:val="none"/>
    </w:rPr>
  </w:style>
  <w:style w:type="character" w:customStyle="1" w:styleId="832">
    <w:name w:val="font151"/>
    <w:autoRedefine/>
    <w:uiPriority w:val="0"/>
    <w:rPr>
      <w:rFonts w:hint="default" w:ascii="Times New Roman" w:hAnsi="Times New Roman" w:cs="Times New Roman"/>
      <w:color w:val="000000"/>
      <w:sz w:val="20"/>
      <w:szCs w:val="20"/>
      <w:u w:val="none"/>
    </w:rPr>
  </w:style>
  <w:style w:type="character" w:customStyle="1" w:styleId="833">
    <w:name w:val="font181"/>
    <w:qFormat/>
    <w:uiPriority w:val="0"/>
    <w:rPr>
      <w:rFonts w:hint="eastAsia" w:ascii="宋体" w:hAnsi="宋体" w:eastAsia="宋体" w:cs="宋体"/>
      <w:color w:val="000000"/>
      <w:sz w:val="20"/>
      <w:szCs w:val="20"/>
      <w:u w:val="none"/>
      <w:vertAlign w:val="superscript"/>
    </w:rPr>
  </w:style>
  <w:style w:type="character" w:customStyle="1" w:styleId="834">
    <w:name w:val="l-open"/>
    <w:autoRedefine/>
    <w:qFormat/>
    <w:uiPriority w:val="0"/>
  </w:style>
  <w:style w:type="character" w:customStyle="1" w:styleId="835">
    <w:name w:val="15"/>
    <w:autoRedefine/>
    <w:uiPriority w:val="0"/>
    <w:rPr>
      <w:rFonts w:hint="eastAsia" w:ascii="宋体" w:hAnsi="宋体" w:eastAsia="宋体"/>
      <w:b/>
      <w:bCs/>
      <w:kern w:val="44"/>
      <w:sz w:val="24"/>
      <w:szCs w:val="24"/>
    </w:rPr>
  </w:style>
  <w:style w:type="character" w:customStyle="1" w:styleId="836">
    <w:name w:val="l-over"/>
    <w:autoRedefine/>
    <w:qFormat/>
    <w:uiPriority w:val="0"/>
    <w:rPr>
      <w:bdr w:val="single" w:color="DAB364" w:sz="6" w:space="0"/>
    </w:rPr>
  </w:style>
  <w:style w:type="character" w:customStyle="1" w:styleId="837">
    <w:name w:val="font41"/>
    <w:autoRedefine/>
    <w:qFormat/>
    <w:uiPriority w:val="0"/>
    <w:rPr>
      <w:rFonts w:hint="eastAsia" w:ascii="宋体" w:hAnsi="宋体" w:eastAsia="宋体" w:cs="宋体"/>
      <w:color w:val="000000"/>
      <w:sz w:val="18"/>
      <w:szCs w:val="18"/>
      <w:u w:val="none"/>
    </w:rPr>
  </w:style>
  <w:style w:type="character" w:customStyle="1" w:styleId="838">
    <w:name w:val="l-selected2"/>
    <w:autoRedefine/>
    <w:uiPriority w:val="0"/>
    <w:rPr>
      <w:color w:val="355686"/>
      <w:bdr w:val="single" w:color="DAB364" w:sz="6" w:space="0"/>
      <w:shd w:val="clear" w:color="auto" w:fill="FFFFFF"/>
    </w:rPr>
  </w:style>
  <w:style w:type="character" w:customStyle="1" w:styleId="839">
    <w:name w:val="font121"/>
    <w:qFormat/>
    <w:uiPriority w:val="0"/>
    <w:rPr>
      <w:rFonts w:hint="eastAsia" w:ascii="宋体" w:hAnsi="宋体" w:eastAsia="宋体" w:cs="宋体"/>
      <w:color w:val="FF0000"/>
      <w:sz w:val="20"/>
      <w:szCs w:val="20"/>
      <w:u w:val="none"/>
    </w:rPr>
  </w:style>
  <w:style w:type="character" w:customStyle="1" w:styleId="840">
    <w:name w:val="font21"/>
    <w:autoRedefine/>
    <w:qFormat/>
    <w:uiPriority w:val="0"/>
    <w:rPr>
      <w:rFonts w:hint="eastAsia" w:ascii="宋体" w:hAnsi="宋体" w:eastAsia="宋体" w:cs="宋体"/>
      <w:color w:val="000000"/>
      <w:sz w:val="20"/>
      <w:szCs w:val="20"/>
      <w:u w:val="none"/>
    </w:rPr>
  </w:style>
  <w:style w:type="character" w:customStyle="1" w:styleId="841">
    <w:name w:val="font191"/>
    <w:qFormat/>
    <w:uiPriority w:val="0"/>
    <w:rPr>
      <w:rFonts w:hint="default" w:ascii="Times New Roman" w:hAnsi="Times New Roman" w:cs="Times New Roman"/>
      <w:color w:val="FF0000"/>
      <w:sz w:val="20"/>
      <w:szCs w:val="20"/>
      <w:u w:val="none"/>
    </w:rPr>
  </w:style>
  <w:style w:type="character" w:customStyle="1" w:styleId="842">
    <w:name w:val="16"/>
    <w:autoRedefine/>
    <w:qFormat/>
    <w:uiPriority w:val="0"/>
    <w:rPr>
      <w:rFonts w:hint="default" w:ascii="Verdana" w:hAnsi="Verdana" w:eastAsia="仿宋_GB2312"/>
      <w:sz w:val="24"/>
      <w:szCs w:val="24"/>
    </w:rPr>
  </w:style>
  <w:style w:type="character" w:customStyle="1" w:styleId="843">
    <w:name w:val="font111"/>
    <w:qFormat/>
    <w:uiPriority w:val="0"/>
    <w:rPr>
      <w:rFonts w:hint="eastAsia" w:ascii="宋体" w:hAnsi="宋体" w:eastAsia="宋体" w:cs="宋体"/>
      <w:color w:val="000000"/>
      <w:sz w:val="20"/>
      <w:szCs w:val="20"/>
      <w:u w:val="none"/>
      <w:vertAlign w:val="superscript"/>
    </w:rPr>
  </w:style>
  <w:style w:type="character" w:customStyle="1" w:styleId="844">
    <w:name w:val="font51"/>
    <w:autoRedefine/>
    <w:uiPriority w:val="0"/>
    <w:rPr>
      <w:rFonts w:hint="eastAsia" w:ascii="宋体" w:hAnsi="宋体" w:eastAsia="宋体" w:cs="宋体"/>
      <w:color w:val="000000"/>
      <w:sz w:val="20"/>
      <w:szCs w:val="20"/>
      <w:u w:val="none"/>
    </w:rPr>
  </w:style>
  <w:style w:type="character" w:customStyle="1" w:styleId="845">
    <w:name w:val="l-selected"/>
    <w:autoRedefine/>
    <w:uiPriority w:val="0"/>
    <w:rPr>
      <w:color w:val="355686"/>
      <w:bdr w:val="single" w:color="DAB364" w:sz="6" w:space="0"/>
      <w:shd w:val="clear" w:color="auto" w:fill="FFFFFF"/>
    </w:rPr>
  </w:style>
  <w:style w:type="character" w:customStyle="1" w:styleId="846">
    <w:name w:val="font61"/>
    <w:qFormat/>
    <w:uiPriority w:val="0"/>
    <w:rPr>
      <w:rFonts w:hint="eastAsia" w:ascii="宋体" w:hAnsi="宋体" w:eastAsia="宋体" w:cs="宋体"/>
      <w:b/>
      <w:color w:val="FF0000"/>
      <w:sz w:val="20"/>
      <w:szCs w:val="20"/>
      <w:u w:val="none"/>
    </w:rPr>
  </w:style>
  <w:style w:type="paragraph" w:customStyle="1" w:styleId="847">
    <w:name w:val="GP正文(首行缩进)"/>
    <w:basedOn w:val="1"/>
    <w:qFormat/>
    <w:uiPriority w:val="0"/>
    <w:pPr>
      <w:widowControl w:val="0"/>
      <w:spacing w:line="560" w:lineRule="exact"/>
      <w:ind w:firstLine="200" w:firstLineChars="200"/>
    </w:pPr>
    <w:rPr>
      <w:rFonts w:eastAsia="仿宋_GB2312"/>
      <w:kern w:val="0"/>
      <w:sz w:val="32"/>
      <w:szCs w:val="21"/>
    </w:rPr>
  </w:style>
  <w:style w:type="paragraph" w:customStyle="1" w:styleId="848">
    <w:name w:val="正文1"/>
    <w:basedOn w:val="1"/>
    <w:autoRedefine/>
    <w:qFormat/>
    <w:uiPriority w:val="0"/>
    <w:pPr>
      <w:widowControl w:val="0"/>
      <w:spacing w:line="240" w:lineRule="auto"/>
    </w:pPr>
    <w:rPr>
      <w:kern w:val="0"/>
      <w:sz w:val="20"/>
      <w:szCs w:val="20"/>
    </w:rPr>
  </w:style>
  <w:style w:type="paragraph" w:customStyle="1" w:styleId="849">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0">
    <w:name w:val="样式 一般条文-3级 + 右侧:  1 字符 Char"/>
    <w:basedOn w:val="1"/>
    <w:qFormat/>
    <w:uiPriority w:val="0"/>
    <w:pPr>
      <w:widowControl w:val="0"/>
      <w:spacing w:line="360" w:lineRule="auto"/>
    </w:pPr>
    <w:rPr>
      <w:rFonts w:cs="宋体"/>
      <w:kern w:val="0"/>
      <w:sz w:val="24"/>
      <w:szCs w:val="20"/>
    </w:rPr>
  </w:style>
  <w:style w:type="paragraph" w:customStyle="1" w:styleId="851">
    <w:name w:val="正文首行缩进 21"/>
    <w:basedOn w:val="267"/>
    <w:autoRedefine/>
    <w:qFormat/>
    <w:uiPriority w:val="0"/>
    <w:pPr>
      <w:spacing w:after="120" w:line="240" w:lineRule="auto"/>
      <w:ind w:left="420" w:leftChars="200" w:firstLine="420" w:firstLineChars="0"/>
    </w:pPr>
    <w:rPr>
      <w:rFonts w:cs="宋体"/>
      <w:color w:val="000000"/>
      <w:kern w:val="0"/>
      <w:sz w:val="20"/>
      <w:szCs w:val="21"/>
    </w:rPr>
  </w:style>
  <w:style w:type="paragraph" w:customStyle="1" w:styleId="852">
    <w:name w:val="正文zhu"/>
    <w:basedOn w:val="1"/>
    <w:autoRedefine/>
    <w:qFormat/>
    <w:uiPriority w:val="0"/>
    <w:pPr>
      <w:spacing w:line="540" w:lineRule="exact"/>
      <w:ind w:firstLine="200" w:firstLineChars="200"/>
    </w:pPr>
    <w:rPr>
      <w:kern w:val="0"/>
      <w:sz w:val="24"/>
      <w:szCs w:val="20"/>
    </w:rPr>
  </w:style>
  <w:style w:type="paragraph" w:customStyle="1" w:styleId="853">
    <w:name w:val="my正文"/>
    <w:basedOn w:val="1"/>
    <w:autoRedefine/>
    <w:qFormat/>
    <w:uiPriority w:val="0"/>
    <w:pPr>
      <w:spacing w:line="240" w:lineRule="auto"/>
      <w:ind w:firstLine="480" w:firstLineChars="200"/>
    </w:pPr>
    <w:rPr>
      <w:rFonts w:eastAsia="仿宋_GB2312"/>
      <w:kern w:val="0"/>
      <w:sz w:val="20"/>
      <w:szCs w:val="20"/>
      <w:lang w:val="zh-CN"/>
    </w:rPr>
  </w:style>
  <w:style w:type="paragraph" w:customStyle="1" w:styleId="854">
    <w:name w:val="首行缩进"/>
    <w:basedOn w:val="1"/>
    <w:autoRedefine/>
    <w:qFormat/>
    <w:uiPriority w:val="0"/>
    <w:pPr>
      <w:widowControl w:val="0"/>
      <w:spacing w:line="360" w:lineRule="auto"/>
      <w:ind w:firstLine="480" w:firstLineChars="200"/>
      <w:jc w:val="left"/>
    </w:pPr>
    <w:rPr>
      <w:rFonts w:ascii="宋体" w:hAnsi="宋体"/>
      <w:kern w:val="0"/>
      <w:sz w:val="24"/>
      <w:szCs w:val="24"/>
    </w:rPr>
  </w:style>
  <w:style w:type="paragraph" w:customStyle="1" w:styleId="855">
    <w:name w:val="reader-word-layer reader-word-s1-12"/>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856">
    <w:name w:val="WPSOffice手动目录 1"/>
    <w:basedOn w:val="1"/>
    <w:autoRedefine/>
    <w:qFormat/>
    <w:uiPriority w:val="0"/>
    <w:pPr>
      <w:spacing w:before="100" w:beforeAutospacing="1" w:after="100" w:afterAutospacing="1" w:line="240" w:lineRule="auto"/>
      <w:jc w:val="left"/>
    </w:pPr>
    <w:rPr>
      <w:kern w:val="0"/>
      <w:sz w:val="20"/>
      <w:szCs w:val="20"/>
    </w:rPr>
  </w:style>
  <w:style w:type="paragraph" w:customStyle="1" w:styleId="857">
    <w:name w:val="标准正文"/>
    <w:basedOn w:val="1"/>
    <w:autoRedefine/>
    <w:uiPriority w:val="0"/>
    <w:pPr>
      <w:widowControl w:val="0"/>
      <w:ind w:firstLine="200" w:firstLineChars="200"/>
    </w:pPr>
    <w:rPr>
      <w:rFonts w:ascii="宋体" w:hAnsi="宋体" w:cs="宋体"/>
      <w:kern w:val="0"/>
      <w:sz w:val="20"/>
      <w:szCs w:val="20"/>
    </w:rPr>
  </w:style>
  <w:style w:type="paragraph" w:customStyle="1" w:styleId="858">
    <w:name w:val="正文11"/>
    <w:basedOn w:val="1"/>
    <w:autoRedefine/>
    <w:qFormat/>
    <w:uiPriority w:val="0"/>
    <w:pPr>
      <w:widowControl w:val="0"/>
      <w:adjustRightInd w:val="0"/>
      <w:spacing w:line="318" w:lineRule="atLeast"/>
      <w:ind w:left="369" w:firstLine="369"/>
      <w:textAlignment w:val="baseline"/>
    </w:pPr>
    <w:rPr>
      <w:rFonts w:ascii="宋体"/>
      <w:kern w:val="0"/>
      <w:sz w:val="20"/>
      <w:szCs w:val="20"/>
    </w:rPr>
  </w:style>
  <w:style w:type="paragraph" w:customStyle="1" w:styleId="859">
    <w:name w:val="封面第一行"/>
    <w:basedOn w:val="1"/>
    <w:qFormat/>
    <w:uiPriority w:val="0"/>
    <w:pPr>
      <w:widowControl w:val="0"/>
      <w:spacing w:line="360" w:lineRule="auto"/>
      <w:ind w:firstLine="200" w:firstLineChars="200"/>
      <w:jc w:val="center"/>
    </w:pPr>
    <w:rPr>
      <w:rFonts w:ascii="黑体" w:hAnsi="宋体" w:eastAsia="黑体" w:cs="宋体"/>
      <w:kern w:val="0"/>
      <w:sz w:val="56"/>
      <w:szCs w:val="56"/>
    </w:rPr>
  </w:style>
  <w:style w:type="paragraph" w:customStyle="1" w:styleId="860">
    <w:name w:val="正文2"/>
    <w:basedOn w:val="1"/>
    <w:qFormat/>
    <w:uiPriority w:val="0"/>
    <w:pPr>
      <w:widowControl w:val="0"/>
      <w:adjustRightInd w:val="0"/>
      <w:spacing w:line="318" w:lineRule="atLeast"/>
      <w:ind w:left="369" w:firstLine="369"/>
      <w:textAlignment w:val="baseline"/>
    </w:pPr>
    <w:rPr>
      <w:rFonts w:ascii="宋体"/>
      <w:kern w:val="0"/>
      <w:szCs w:val="20"/>
    </w:rPr>
  </w:style>
  <w:style w:type="paragraph" w:customStyle="1" w:styleId="861">
    <w:name w:val="彩色列表 - 强调文字颜色 11"/>
    <w:basedOn w:val="1"/>
    <w:qFormat/>
    <w:uiPriority w:val="34"/>
    <w:pPr>
      <w:widowControl w:val="0"/>
      <w:spacing w:line="240" w:lineRule="auto"/>
      <w:ind w:firstLine="420" w:firstLineChars="200"/>
    </w:pPr>
    <w:rPr>
      <w:rFonts w:ascii="Calibri" w:hAnsi="Calibri"/>
      <w:kern w:val="0"/>
      <w:sz w:val="20"/>
    </w:rPr>
  </w:style>
  <w:style w:type="paragraph" w:customStyle="1" w:styleId="862">
    <w:name w:val="纯文本2"/>
    <w:basedOn w:val="1"/>
    <w:autoRedefine/>
    <w:qFormat/>
    <w:uiPriority w:val="0"/>
    <w:pPr>
      <w:widowControl w:val="0"/>
      <w:spacing w:line="240" w:lineRule="auto"/>
    </w:pPr>
    <w:rPr>
      <w:rFonts w:ascii="宋体" w:hAnsi="Courier New" w:cs="宋体"/>
      <w:kern w:val="0"/>
      <w:sz w:val="20"/>
      <w:szCs w:val="20"/>
    </w:rPr>
  </w:style>
  <w:style w:type="paragraph" w:customStyle="1" w:styleId="8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4">
    <w:name w:val="表格用"/>
    <w:basedOn w:val="1"/>
    <w:autoRedefine/>
    <w:qFormat/>
    <w:uiPriority w:val="0"/>
    <w:pPr>
      <w:widowControl w:val="0"/>
      <w:spacing w:line="240" w:lineRule="auto"/>
    </w:pPr>
    <w:rPr>
      <w:szCs w:val="24"/>
    </w:rPr>
  </w:style>
  <w:style w:type="character" w:customStyle="1" w:styleId="865">
    <w:name w:val="Unresolved Mention"/>
    <w:basedOn w:val="64"/>
    <w:semiHidden/>
    <w:unhideWhenUsed/>
    <w:uiPriority w:val="99"/>
    <w:rPr>
      <w:color w:val="605E5C"/>
      <w:shd w:val="clear" w:color="auto" w:fill="E1DFDD"/>
    </w:rPr>
  </w:style>
  <w:style w:type="paragraph" w:customStyle="1" w:styleId="866">
    <w:name w:val="Char0"/>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867">
    <w:name w:val="_Style 866"/>
    <w:basedOn w:val="1"/>
    <w:next w:val="79"/>
    <w:qFormat/>
    <w:uiPriority w:val="34"/>
    <w:pPr>
      <w:spacing w:line="360" w:lineRule="auto"/>
      <w:ind w:firstLine="420"/>
      <w:jc w:val="left"/>
    </w:pPr>
    <w:rPr>
      <w:rFonts w:ascii="Calibri" w:hAnsi="Calibri"/>
      <w:sz w:val="24"/>
    </w:rPr>
  </w:style>
  <w:style w:type="paragraph" w:customStyle="1" w:styleId="868">
    <w:name w:val="Char Char1 Char Char Char0"/>
    <w:basedOn w:val="1"/>
    <w:qFormat/>
    <w:uiPriority w:val="0"/>
    <w:pPr>
      <w:widowControl w:val="0"/>
      <w:spacing w:line="240" w:lineRule="auto"/>
    </w:pPr>
    <w:rPr>
      <w:kern w:val="0"/>
      <w:sz w:val="20"/>
      <w:szCs w:val="20"/>
    </w:rPr>
  </w:style>
  <w:style w:type="paragraph" w:customStyle="1" w:styleId="869">
    <w:name w:val="正文文本模板"/>
    <w:basedOn w:val="1"/>
    <w:link w:val="870"/>
    <w:qFormat/>
    <w:uiPriority w:val="0"/>
    <w:pPr>
      <w:widowControl w:val="0"/>
      <w:spacing w:line="360" w:lineRule="auto"/>
      <w:ind w:firstLine="480" w:firstLineChars="200"/>
    </w:pPr>
    <w:rPr>
      <w:rFonts w:cs="宋体"/>
      <w:sz w:val="24"/>
      <w:szCs w:val="20"/>
    </w:rPr>
  </w:style>
  <w:style w:type="character" w:customStyle="1" w:styleId="870">
    <w:name w:val="正文文本模板 Char"/>
    <w:link w:val="869"/>
    <w:uiPriority w:val="0"/>
    <w:rPr>
      <w:rFonts w:cs="宋体"/>
      <w:kern w:val="2"/>
      <w:sz w:val="24"/>
    </w:rPr>
  </w:style>
  <w:style w:type="paragraph" w:customStyle="1" w:styleId="871">
    <w:name w:val="样式 正文文本模板 + (符号) 宋体"/>
    <w:basedOn w:val="869"/>
    <w:link w:val="872"/>
    <w:uiPriority w:val="0"/>
    <w:pPr>
      <w:numPr>
        <w:ilvl w:val="0"/>
        <w:numId w:val="9"/>
      </w:numPr>
      <w:ind w:firstLine="0" w:firstLineChars="0"/>
    </w:pPr>
  </w:style>
  <w:style w:type="character" w:customStyle="1" w:styleId="872">
    <w:name w:val="样式 正文文本模板 + (符号) 宋体 Char"/>
    <w:link w:val="871"/>
    <w:uiPriority w:val="0"/>
    <w:rPr>
      <w:rFonts w:cs="宋体"/>
      <w:kern w:val="2"/>
      <w:sz w:val="24"/>
    </w:rPr>
  </w:style>
  <w:style w:type="paragraph" w:customStyle="1" w:styleId="873">
    <w:name w:val="Char Char20 Char Char Char Char0"/>
    <w:basedOn w:val="1"/>
    <w:qFormat/>
    <w:uiPriority w:val="0"/>
    <w:pPr>
      <w:widowControl w:val="0"/>
      <w:snapToGrid w:val="0"/>
      <w:spacing w:after="93" w:afterLines="30" w:line="360" w:lineRule="auto"/>
      <w:ind w:firstLine="200" w:firstLineChars="200"/>
    </w:pPr>
    <w:rPr>
      <w:szCs w:val="24"/>
    </w:rPr>
  </w:style>
  <w:style w:type="table" w:customStyle="1" w:styleId="874">
    <w:name w:val="List Table 4 Accent 6"/>
    <w:basedOn w:val="60"/>
    <w:uiPriority w:val="49"/>
    <w:pPr>
      <w:widowControl w:val="0"/>
      <w:adjustRightInd w:val="0"/>
      <w:snapToGrid w:val="0"/>
      <w:spacing w:line="240" w:lineRule="atLeast"/>
    </w:pPr>
    <w:rPr>
      <w:sz w:val="21"/>
    </w:rPr>
    <w:tblPr>
      <w:tblBorders>
        <w:top w:val="single" w:color="E2EFD9" w:themeColor="accent6" w:themeTint="33" w:sz="12" w:space="0"/>
        <w:left w:val="single" w:color="E2EFD9" w:themeColor="accent6" w:themeTint="33" w:sz="12" w:space="0"/>
        <w:bottom w:val="single" w:color="E2EFD9" w:themeColor="accent6" w:themeTint="33" w:sz="12" w:space="0"/>
        <w:right w:val="single" w:color="E2EFD9" w:themeColor="accent6" w:themeTint="33" w:sz="12" w:space="0"/>
        <w:insideH w:val="single" w:color="E2EFD9" w:themeColor="accent6" w:themeTint="33" w:sz="4" w:space="0"/>
        <w:insideV w:val="single" w:color="E2EFD9" w:themeColor="accent6" w:themeTint="33" w:sz="4" w:space="0"/>
      </w:tblBorders>
    </w:tblPr>
    <w:tcPr>
      <w:vAlign w:val="center"/>
    </w:tcPr>
    <w:tblStylePr w:type="firstRow">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center"/>
        <w:outlineLvl w:val="9"/>
      </w:pPr>
      <w:rPr>
        <w:rFonts w:ascii="Times New Roman" w:hAnsi="Times New Roman" w:eastAsia="宋体"/>
        <w:b/>
        <w:bCs/>
        <w:i w:val="0"/>
        <w:caps w:val="0"/>
        <w:smallCaps w:val="0"/>
        <w:strike w:val="0"/>
        <w:dstrike w:val="0"/>
        <w:snapToGrid w:val="0"/>
        <w:vanish w:val="0"/>
        <w:color w:val="FFFFFF" w:themeColor="background1"/>
        <w:spacing w:val="0"/>
        <w:w w:val="100"/>
        <w:kern w:val="0"/>
        <w:position w:val="0"/>
        <w:sz w:val="21"/>
        <w:vertAlign w:val="baseline"/>
        <w14:textFill>
          <w14:solidFill>
            <w14:schemeClr w14:val="bg1"/>
          </w14:solidFill>
        </w14:textFill>
        <w14:cntxtalts w14:val="0"/>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vAlign w:val="center"/>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pPr>
        <w:keepNext w:val="0"/>
        <w:keepLines w:val="0"/>
        <w:pageBreakBefore w:val="0"/>
        <w:widowControl w:val="0"/>
        <w:suppressLineNumbers w:val="0"/>
        <w:suppressAutoHyphens w:val="0"/>
        <w:wordWrap/>
        <w:adjustRightInd w:val="0"/>
        <w:snapToGrid w:val="0"/>
        <w:spacing w:before="0" w:beforeLines="0" w:beforeAutospacing="0" w:after="0" w:afterLines="0" w:afterAutospacing="0" w:line="240" w:lineRule="atLeast"/>
        <w:ind w:left="0" w:leftChars="0" w:right="0" w:rightChars="0" w:firstLine="0" w:firstLineChars="0"/>
        <w:contextualSpacing w:val="0"/>
        <w:jc w:val="left"/>
        <w:outlineLvl w:val="9"/>
      </w:pPr>
      <w:rPr>
        <w:rFonts w:ascii="Times New Roman" w:hAnsi="Times New Roman" w:eastAsia="宋体"/>
        <w:b w:val="0"/>
        <w:i w:val="0"/>
        <w:caps w:val="0"/>
        <w:smallCaps w:val="0"/>
        <w:strike w:val="0"/>
        <w:dstrike w:val="0"/>
        <w:snapToGrid w:val="0"/>
        <w:vanish w:val="0"/>
        <w:color w:val="auto"/>
        <w:spacing w:val="0"/>
        <w:w w:val="100"/>
        <w:kern w:val="0"/>
        <w:position w:val="0"/>
        <w:sz w:val="21"/>
        <w:vertAlign w:val="baseline"/>
        <w14:cntxtalts w14:val="0"/>
      </w:rPr>
      <w:tcPr>
        <w:shd w:val="clear" w:color="auto" w:fill="E2EFD9" w:themeFill="accent6" w:themeFillTint="33"/>
      </w:tcPr>
    </w:tblStylePr>
  </w:style>
  <w:style w:type="character" w:customStyle="1" w:styleId="875">
    <w:name w:val="Intense Emphasis"/>
    <w:basedOn w:val="64"/>
    <w:qFormat/>
    <w:uiPriority w:val="21"/>
    <w:rPr>
      <w:i/>
      <w:iCs/>
      <w:color w:val="2F5597" w:themeColor="accent1" w:themeShade="BF"/>
    </w:rPr>
  </w:style>
  <w:style w:type="character" w:customStyle="1" w:styleId="876">
    <w:name w:val="Intense Reference"/>
    <w:basedOn w:val="6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2.wm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557348CC68B0429AEC9FAEFE43DE70" ma:contentTypeVersion="11" ma:contentTypeDescription="Create a new document." ma:contentTypeScope="" ma:versionID="c6b3bba72da47e917ab1a1cc60b074cd">
  <xsd:schema xmlns:xsd="http://www.w3.org/2001/XMLSchema" xmlns:xs="http://www.w3.org/2001/XMLSchema" xmlns:p="http://schemas.microsoft.com/office/2006/metadata/properties" xmlns:ns2="feca587e-1936-4f67-8347-817c11393d9a" xmlns:ns3="1f8f2c3b-2706-4bc7-91d4-6501bf428e1b" targetNamespace="http://schemas.microsoft.com/office/2006/metadata/properties" ma:root="true" ma:fieldsID="bc7dae397ad1d19431af25f116e38345" ns2:_="" ns3:_="">
    <xsd:import namespace="feca587e-1936-4f67-8347-817c11393d9a"/>
    <xsd:import namespace="1f8f2c3b-2706-4bc7-91d4-6501bf428e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a587e-1936-4f67-8347-817c1139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b45af1-6757-460c-a6a4-f6d4f4827e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f2c3b-2706-4bc7-91d4-6501bf42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039cd-68a6-4783-a11e-5c047df69113}" ma:internalName="TaxCatchAll" ma:showField="CatchAllData" ma:web="1f8f2c3b-2706-4bc7-91d4-6501bf42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8f2c3b-2706-4bc7-91d4-6501bf428e1b" xsi:nil="true"/>
    <lcf76f155ced4ddcb4097134ff3c332f xmlns="feca587e-1936-4f67-8347-817c11393d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590A9-5197-420D-AE05-06C42D8F1EF2}">
  <ds:schemaRefs/>
</ds:datastoreItem>
</file>

<file path=customXml/itemProps2.xml><?xml version="1.0" encoding="utf-8"?>
<ds:datastoreItem xmlns:ds="http://schemas.openxmlformats.org/officeDocument/2006/customXml" ds:itemID="{485A7E52-244B-4ECA-9DF5-3C1EEA94F091}">
  <ds:schemaRefs/>
</ds:datastoreItem>
</file>

<file path=customXml/itemProps3.xml><?xml version="1.0" encoding="utf-8"?>
<ds:datastoreItem xmlns:ds="http://schemas.openxmlformats.org/officeDocument/2006/customXml" ds:itemID="{AF5C03B9-A43A-4266-8629-BDC9F3066F98}">
  <ds:schemaRefs/>
</ds:datastoreItem>
</file>

<file path=customXml/itemProps4.xml><?xml version="1.0" encoding="utf-8"?>
<ds:datastoreItem xmlns:ds="http://schemas.openxmlformats.org/officeDocument/2006/customXml" ds:itemID="{145284B7-EF92-40FC-B32B-B5E2F2774A00}">
  <ds:schemaRefs/>
</ds:datastoreItem>
</file>

<file path=docProps/app.xml><?xml version="1.0" encoding="utf-8"?>
<Properties xmlns="http://schemas.openxmlformats.org/officeDocument/2006/extended-properties" xmlns:vt="http://schemas.openxmlformats.org/officeDocument/2006/docPropsVTypes">
  <Template>Normal</Template>
  <Pages>206</Pages>
  <Words>162783</Words>
  <Characters>175017</Characters>
  <Lines>1377</Lines>
  <Paragraphs>387</Paragraphs>
  <TotalTime>3424</TotalTime>
  <ScaleCrop>false</ScaleCrop>
  <LinksUpToDate>false</LinksUpToDate>
  <CharactersWithSpaces>181266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2023-07-03T15:40:00Z</dcterms:created>
  <dc:creator>姜 浩军</dc:creator>
  <cp:lastModifiedBy>灿灿灿灿</cp:lastModifiedBy>
  <cp:lastPrinted>2021-11-15T01:09:00Z</cp:lastPrinted>
  <dcterms:modified xsi:type="dcterms:W3CDTF">2024-08-12T01:33:04Z</dcterms:modified>
  <cp:revision>2013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ContentTypeId">
    <vt:lpwstr>0x01010018557348CC68B0429AEC9FAEFE43DE70</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ICV">
    <vt:lpwstr>1CB10052E2614293A6BDE4591D8F3854_12</vt:lpwstr>
  </property>
  <property fmtid="{D5CDD505-2E9C-101B-9397-08002B2CF9AE}" pid="12" name="MediaServiceImageTags">
    <vt:lpwstr/>
  </property>
</Properties>
</file>