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1CB0CE">
      <w:pPr>
        <w:adjustRightInd/>
        <w:spacing w:line="360" w:lineRule="auto"/>
        <w:jc w:val="center"/>
        <w:rPr>
          <w:rFonts w:hint="eastAsia" w:ascii="宋体" w:hAnsi="宋体" w:eastAsia="宋体" w:cs="宋体"/>
          <w:b/>
          <w:bCs w:val="0"/>
          <w:color w:val="auto"/>
          <w:sz w:val="44"/>
          <w:szCs w:val="44"/>
          <w:highlight w:val="none"/>
          <w:lang w:val="en-US" w:eastAsia="zh-CN"/>
        </w:rPr>
      </w:pPr>
    </w:p>
    <w:p w14:paraId="0F847565">
      <w:pPr>
        <w:adjustRightInd/>
        <w:spacing w:line="360" w:lineRule="auto"/>
        <w:jc w:val="center"/>
        <w:rPr>
          <w:rFonts w:hint="default" w:ascii="宋体" w:hAnsi="宋体" w:eastAsia="宋体" w:cs="宋体"/>
          <w:b/>
          <w:bCs w:val="0"/>
          <w:color w:val="auto"/>
          <w:sz w:val="44"/>
          <w:szCs w:val="44"/>
          <w:highlight w:val="none"/>
          <w:lang w:val="en-US" w:eastAsia="zh-CN"/>
        </w:rPr>
      </w:pPr>
      <w:r>
        <w:rPr>
          <w:rFonts w:hint="eastAsia" w:ascii="宋体" w:hAnsi="宋体" w:eastAsia="宋体" w:cs="宋体"/>
          <w:b/>
          <w:bCs w:val="0"/>
          <w:color w:val="auto"/>
          <w:sz w:val="44"/>
          <w:szCs w:val="44"/>
          <w:highlight w:val="none"/>
          <w:lang w:val="en-US" w:eastAsia="zh-CN"/>
        </w:rPr>
        <w:t>湘湖景区水质净化服务采购项目</w:t>
      </w:r>
    </w:p>
    <w:p w14:paraId="646BA227">
      <w:pPr>
        <w:adjustRightInd/>
        <w:spacing w:line="360" w:lineRule="auto"/>
        <w:jc w:val="center"/>
        <w:rPr>
          <w:rFonts w:hint="eastAsia" w:ascii="宋体" w:hAnsi="宋体" w:eastAsia="宋体" w:cs="宋体"/>
          <w:b/>
          <w:bCs w:val="0"/>
          <w:color w:val="auto"/>
          <w:sz w:val="44"/>
          <w:szCs w:val="44"/>
          <w:highlight w:val="none"/>
        </w:rPr>
      </w:pPr>
      <w:r>
        <w:rPr>
          <w:rFonts w:hint="eastAsia" w:ascii="宋体" w:hAnsi="宋体" w:eastAsia="宋体" w:cs="宋体"/>
          <w:b/>
          <w:bCs w:val="0"/>
          <w:color w:val="auto"/>
          <w:sz w:val="44"/>
          <w:szCs w:val="44"/>
          <w:highlight w:val="none"/>
        </w:rPr>
        <w:t>招标文件</w:t>
      </w:r>
    </w:p>
    <w:p w14:paraId="1D75FFA4">
      <w:pPr>
        <w:adjustRightInd/>
        <w:spacing w:line="360" w:lineRule="auto"/>
        <w:jc w:val="center"/>
        <w:rPr>
          <w:rFonts w:hint="eastAsia" w:ascii="宋体" w:hAnsi="宋体" w:eastAsia="宋体" w:cs="宋体"/>
          <w:b w:val="0"/>
          <w:bCs/>
          <w:color w:val="auto"/>
          <w:sz w:val="44"/>
          <w:szCs w:val="44"/>
          <w:highlight w:val="none"/>
          <w:lang w:eastAsia="zh-CN"/>
        </w:rPr>
      </w:pPr>
      <w:r>
        <w:rPr>
          <w:rFonts w:hint="eastAsia" w:ascii="宋体" w:hAnsi="宋体" w:eastAsia="宋体" w:cs="宋体"/>
          <w:b w:val="0"/>
          <w:bCs/>
          <w:color w:val="auto"/>
          <w:sz w:val="44"/>
          <w:szCs w:val="44"/>
          <w:highlight w:val="none"/>
          <w:lang w:eastAsia="zh-CN"/>
        </w:rPr>
        <w:t>（非政府采购）</w:t>
      </w:r>
    </w:p>
    <w:p w14:paraId="1ACD675E">
      <w:pPr>
        <w:pStyle w:val="632"/>
        <w:jc w:val="center"/>
        <w:rPr>
          <w:rFonts w:hint="default" w:ascii="宋体" w:hAnsi="宋体" w:eastAsia="宋体" w:cs="宋体"/>
          <w:b w:val="0"/>
          <w:bCs/>
          <w:color w:val="auto"/>
          <w:sz w:val="30"/>
          <w:szCs w:val="30"/>
          <w:highlight w:val="none"/>
          <w:lang w:val="en-US" w:eastAsia="zh-CN"/>
        </w:rPr>
      </w:pPr>
      <w:r>
        <w:rPr>
          <w:rFonts w:hint="eastAsia" w:ascii="宋体" w:hAnsi="宋体" w:eastAsia="宋体" w:cs="宋体"/>
          <w:b w:val="0"/>
          <w:bCs/>
          <w:color w:val="auto"/>
          <w:sz w:val="30"/>
          <w:szCs w:val="30"/>
          <w:highlight w:val="none"/>
        </w:rPr>
        <w:t>编号:</w:t>
      </w:r>
      <w:r>
        <w:rPr>
          <w:rFonts w:hint="eastAsia" w:ascii="宋体" w:hAnsi="宋体" w:eastAsia="宋体" w:cs="宋体"/>
          <w:b w:val="0"/>
          <w:bCs/>
          <w:color w:val="auto"/>
          <w:sz w:val="30"/>
          <w:szCs w:val="30"/>
          <w:highlight w:val="none"/>
          <w:u w:val="single"/>
        </w:rPr>
        <w:fldChar w:fldCharType="begin"/>
      </w:r>
      <w:r>
        <w:rPr>
          <w:rFonts w:hint="eastAsia" w:ascii="宋体" w:hAnsi="宋体" w:eastAsia="宋体" w:cs="宋体"/>
          <w:b w:val="0"/>
          <w:bCs/>
          <w:color w:val="auto"/>
          <w:sz w:val="30"/>
          <w:szCs w:val="30"/>
          <w:highlight w:val="none"/>
          <w:u w:val="single"/>
        </w:rPr>
        <w:instrText xml:space="preserve"> HYPERLINK "https://pay-lcy.lecaiyun.com/purchaseplan_front/" \l "/plan/list/view?id=1000000000014190204&amp;_app_=zcy.procurement" \t "https://www.lecaiyun.com/delegation-order/_procurement_/order/_blank" </w:instrText>
      </w:r>
      <w:r>
        <w:rPr>
          <w:rFonts w:hint="eastAsia" w:ascii="宋体" w:hAnsi="宋体" w:eastAsia="宋体" w:cs="宋体"/>
          <w:b w:val="0"/>
          <w:bCs/>
          <w:color w:val="auto"/>
          <w:sz w:val="30"/>
          <w:szCs w:val="30"/>
          <w:highlight w:val="none"/>
          <w:u w:val="single"/>
        </w:rPr>
        <w:fldChar w:fldCharType="separate"/>
      </w:r>
      <w:r>
        <w:rPr>
          <w:rFonts w:hint="eastAsia" w:ascii="宋体" w:hAnsi="宋体" w:eastAsia="宋体" w:cs="宋体"/>
          <w:b w:val="0"/>
          <w:bCs/>
          <w:color w:val="auto"/>
          <w:sz w:val="30"/>
          <w:szCs w:val="30"/>
          <w:highlight w:val="none"/>
          <w:u w:val="single"/>
        </w:rPr>
        <w:t>XLJT-20250030</w:t>
      </w:r>
      <w:r>
        <w:rPr>
          <w:rFonts w:hint="eastAsia" w:ascii="宋体" w:hAnsi="宋体" w:eastAsia="宋体" w:cs="宋体"/>
          <w:b w:val="0"/>
          <w:bCs/>
          <w:color w:val="auto"/>
          <w:sz w:val="30"/>
          <w:szCs w:val="30"/>
          <w:highlight w:val="none"/>
          <w:u w:val="single"/>
        </w:rPr>
        <w:fldChar w:fldCharType="end"/>
      </w:r>
    </w:p>
    <w:p w14:paraId="272B74DB">
      <w:pPr>
        <w:snapToGrid w:val="0"/>
        <w:spacing w:line="360" w:lineRule="auto"/>
        <w:jc w:val="center"/>
        <w:rPr>
          <w:rFonts w:hint="eastAsia" w:ascii="宋体" w:hAnsi="宋体" w:eastAsia="宋体" w:cs="宋体"/>
          <w:bCs/>
          <w:color w:val="auto"/>
          <w:sz w:val="44"/>
          <w:szCs w:val="44"/>
          <w:highlight w:val="none"/>
        </w:rPr>
      </w:pPr>
    </w:p>
    <w:p w14:paraId="407902CE">
      <w:pPr>
        <w:tabs>
          <w:tab w:val="center" w:pos="4535"/>
          <w:tab w:val="left" w:pos="6629"/>
        </w:tabs>
        <w:snapToGrid w:val="0"/>
        <w:spacing w:line="360" w:lineRule="auto"/>
        <w:jc w:val="left"/>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ab/>
      </w:r>
      <w:r>
        <w:rPr>
          <w:rFonts w:hint="eastAsia" w:ascii="宋体" w:hAnsi="宋体" w:eastAsia="宋体" w:cs="宋体"/>
          <w:b/>
          <w:bCs/>
          <w:color w:val="auto"/>
          <w:sz w:val="36"/>
          <w:szCs w:val="36"/>
          <w:highlight w:val="none"/>
        </w:rPr>
        <w:tab/>
      </w:r>
    </w:p>
    <w:p w14:paraId="1B2571A4">
      <w:pPr>
        <w:pStyle w:val="51"/>
        <w:rPr>
          <w:rFonts w:hint="eastAsia" w:ascii="宋体" w:hAnsi="宋体" w:eastAsia="宋体" w:cs="宋体"/>
          <w:color w:val="auto"/>
          <w:highlight w:val="none"/>
        </w:rPr>
      </w:pPr>
    </w:p>
    <w:p w14:paraId="62171CA8">
      <w:pPr>
        <w:adjustRightInd/>
        <w:spacing w:line="360" w:lineRule="auto"/>
        <w:rPr>
          <w:rFonts w:hint="eastAsia" w:ascii="宋体" w:hAnsi="宋体" w:eastAsia="宋体" w:cs="宋体"/>
          <w:color w:val="auto"/>
          <w:sz w:val="28"/>
          <w:szCs w:val="20"/>
          <w:highlight w:val="none"/>
        </w:rPr>
      </w:pPr>
    </w:p>
    <w:p w14:paraId="0D44F148">
      <w:pPr>
        <w:pStyle w:val="4"/>
        <w:numPr>
          <w:ilvl w:val="0"/>
          <w:numId w:val="0"/>
        </w:numPr>
        <w:rPr>
          <w:rFonts w:hint="eastAsia" w:ascii="宋体" w:hAnsi="宋体" w:eastAsia="宋体" w:cs="宋体"/>
          <w:color w:val="auto"/>
          <w:highlight w:val="none"/>
        </w:rPr>
      </w:pPr>
    </w:p>
    <w:p w14:paraId="24C3FFA9">
      <w:pPr>
        <w:rPr>
          <w:rFonts w:hint="eastAsia" w:ascii="宋体" w:hAnsi="宋体" w:eastAsia="宋体" w:cs="宋体"/>
          <w:color w:val="auto"/>
          <w:highlight w:val="none"/>
        </w:rPr>
      </w:pPr>
    </w:p>
    <w:p w14:paraId="4D6C4EC9">
      <w:pPr>
        <w:rPr>
          <w:rFonts w:hint="eastAsia" w:ascii="宋体" w:hAnsi="宋体" w:eastAsia="宋体" w:cs="宋体"/>
          <w:color w:val="auto"/>
          <w:highlight w:val="none"/>
        </w:rPr>
      </w:pPr>
    </w:p>
    <w:p w14:paraId="59376273">
      <w:pPr>
        <w:rPr>
          <w:rFonts w:hint="eastAsia" w:ascii="宋体" w:hAnsi="宋体" w:eastAsia="宋体" w:cs="宋体"/>
          <w:color w:val="auto"/>
          <w:highlight w:val="none"/>
        </w:rPr>
      </w:pPr>
    </w:p>
    <w:p w14:paraId="0330BDC0">
      <w:pPr>
        <w:pStyle w:val="631"/>
        <w:rPr>
          <w:rFonts w:hint="eastAsia" w:ascii="宋体" w:hAnsi="宋体" w:eastAsia="宋体" w:cs="宋体"/>
          <w:color w:val="auto"/>
          <w:highlight w:val="none"/>
          <w:lang w:val="en-US"/>
        </w:rPr>
      </w:pPr>
    </w:p>
    <w:p w14:paraId="774ADD8B">
      <w:pPr>
        <w:pStyle w:val="631"/>
        <w:rPr>
          <w:rFonts w:hint="eastAsia" w:ascii="宋体" w:hAnsi="宋体" w:eastAsia="宋体" w:cs="宋体"/>
          <w:color w:val="auto"/>
          <w:highlight w:val="none"/>
          <w:lang w:val="en-US"/>
        </w:rPr>
      </w:pPr>
    </w:p>
    <w:p w14:paraId="01A4264D">
      <w:pPr>
        <w:pStyle w:val="631"/>
        <w:rPr>
          <w:rFonts w:hint="eastAsia" w:ascii="宋体" w:hAnsi="宋体" w:eastAsia="宋体" w:cs="宋体"/>
          <w:color w:val="auto"/>
          <w:highlight w:val="none"/>
          <w:lang w:val="en-US"/>
        </w:rPr>
      </w:pPr>
    </w:p>
    <w:p w14:paraId="1713B3F8">
      <w:pPr>
        <w:pStyle w:val="631"/>
        <w:rPr>
          <w:rFonts w:hint="eastAsia" w:ascii="宋体" w:hAnsi="宋体" w:eastAsia="宋体" w:cs="宋体"/>
          <w:color w:val="auto"/>
          <w:highlight w:val="none"/>
          <w:lang w:val="en-US"/>
        </w:rPr>
      </w:pPr>
    </w:p>
    <w:p w14:paraId="70883466">
      <w:pPr>
        <w:pStyle w:val="631"/>
        <w:rPr>
          <w:rFonts w:hint="eastAsia" w:ascii="宋体" w:hAnsi="宋体" w:eastAsia="宋体" w:cs="宋体"/>
          <w:color w:val="auto"/>
          <w:highlight w:val="none"/>
          <w:lang w:val="en-US"/>
        </w:rPr>
      </w:pPr>
    </w:p>
    <w:p w14:paraId="3564DA86">
      <w:pPr>
        <w:spacing w:line="360" w:lineRule="auto"/>
        <w:rPr>
          <w:rFonts w:hint="eastAsia" w:ascii="宋体" w:hAnsi="宋体" w:eastAsia="宋体" w:cs="宋体"/>
          <w:color w:val="auto"/>
          <w:sz w:val="32"/>
          <w:szCs w:val="32"/>
          <w:highlight w:val="none"/>
        </w:rPr>
      </w:pPr>
    </w:p>
    <w:p w14:paraId="68662AE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color w:val="auto"/>
          <w:sz w:val="32"/>
          <w:szCs w:val="32"/>
          <w:highlight w:val="none"/>
          <w:lang w:val="en-US" w:eastAsia="zh-CN"/>
        </w:rPr>
      </w:pPr>
      <w:r>
        <w:rPr>
          <w:rFonts w:hint="eastAsia" w:ascii="宋体" w:hAnsi="宋体" w:cs="宋体"/>
          <w:color w:val="auto"/>
          <w:sz w:val="32"/>
          <w:szCs w:val="32"/>
          <w:highlight w:val="none"/>
          <w:lang w:val="en-US" w:eastAsia="zh-CN"/>
        </w:rPr>
        <w:t>杭州跨湖桥景区建设管理有限公司</w:t>
      </w:r>
    </w:p>
    <w:p w14:paraId="6310324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浙江明业项目管理有限公司</w:t>
      </w:r>
    </w:p>
    <w:p w14:paraId="1D30EC6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202</w:t>
      </w:r>
      <w:r>
        <w:rPr>
          <w:rFonts w:hint="eastAsia" w:ascii="宋体" w:hAnsi="宋体" w:cs="宋体"/>
          <w:color w:val="auto"/>
          <w:sz w:val="32"/>
          <w:szCs w:val="32"/>
          <w:highlight w:val="none"/>
          <w:lang w:val="en-US" w:eastAsia="zh-CN"/>
        </w:rPr>
        <w:t>5</w:t>
      </w:r>
      <w:r>
        <w:rPr>
          <w:rFonts w:hint="eastAsia" w:ascii="宋体" w:hAnsi="宋体" w:eastAsia="宋体" w:cs="宋体"/>
          <w:color w:val="auto"/>
          <w:sz w:val="32"/>
          <w:szCs w:val="32"/>
          <w:highlight w:val="none"/>
        </w:rPr>
        <w:t>年</w:t>
      </w:r>
      <w:r>
        <w:rPr>
          <w:rFonts w:hint="eastAsia" w:ascii="宋体" w:hAnsi="宋体" w:cs="宋体"/>
          <w:color w:val="auto"/>
          <w:sz w:val="32"/>
          <w:szCs w:val="32"/>
          <w:highlight w:val="none"/>
          <w:lang w:val="en-US" w:eastAsia="zh-CN"/>
        </w:rPr>
        <w:t>04</w:t>
      </w:r>
      <w:r>
        <w:rPr>
          <w:rFonts w:hint="eastAsia" w:ascii="宋体" w:hAnsi="宋体" w:eastAsia="宋体" w:cs="宋体"/>
          <w:color w:val="auto"/>
          <w:sz w:val="32"/>
          <w:szCs w:val="32"/>
          <w:highlight w:val="none"/>
        </w:rPr>
        <w:t>月</w:t>
      </w:r>
    </w:p>
    <w:p w14:paraId="3E45638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br w:type="page"/>
      </w:r>
      <w:bookmarkStart w:id="0" w:name="_Hlt67893495"/>
      <w:bookmarkEnd w:id="0"/>
    </w:p>
    <w:p w14:paraId="3150E985">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42779320">
      <w:pPr>
        <w:spacing w:line="360" w:lineRule="auto"/>
        <w:rPr>
          <w:rFonts w:hint="eastAsia" w:ascii="宋体" w:hAnsi="宋体" w:eastAsia="宋体" w:cs="宋体"/>
          <w:color w:val="auto"/>
          <w:sz w:val="32"/>
          <w:szCs w:val="32"/>
          <w:highlight w:val="none"/>
        </w:rPr>
      </w:pPr>
    </w:p>
    <w:p w14:paraId="779B855D">
      <w:pPr>
        <w:spacing w:line="360" w:lineRule="auto"/>
        <w:rPr>
          <w:rFonts w:hint="eastAsia" w:ascii="宋体" w:hAnsi="宋体" w:eastAsia="宋体" w:cs="宋体"/>
          <w:color w:val="auto"/>
          <w:sz w:val="32"/>
          <w:szCs w:val="32"/>
          <w:highlight w:val="none"/>
        </w:rPr>
      </w:pPr>
    </w:p>
    <w:p w14:paraId="77BFB768">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1F195C8D">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5C14FC5A">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5B6807A2">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评标方法及评分标准</w:t>
      </w:r>
    </w:p>
    <w:p w14:paraId="001B0BA3">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350F0A14">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44570A49">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63722E44">
      <w:pPr>
        <w:spacing w:line="360" w:lineRule="auto"/>
        <w:ind w:firstLine="549" w:firstLineChars="229"/>
        <w:rPr>
          <w:rFonts w:hint="eastAsia" w:ascii="宋体" w:hAnsi="宋体" w:eastAsia="宋体" w:cs="宋体"/>
          <w:color w:val="auto"/>
          <w:sz w:val="24"/>
          <w:highlight w:val="none"/>
        </w:rPr>
      </w:pPr>
    </w:p>
    <w:p w14:paraId="2C72D5B0">
      <w:pPr>
        <w:spacing w:line="360" w:lineRule="auto"/>
        <w:ind w:firstLine="549" w:firstLineChars="229"/>
        <w:rPr>
          <w:rFonts w:hint="eastAsia" w:ascii="宋体" w:hAnsi="宋体" w:eastAsia="宋体" w:cs="宋体"/>
          <w:color w:val="auto"/>
          <w:sz w:val="24"/>
          <w:highlight w:val="none"/>
        </w:rPr>
      </w:pPr>
    </w:p>
    <w:p w14:paraId="38EFD5E8">
      <w:pPr>
        <w:spacing w:line="360" w:lineRule="auto"/>
        <w:ind w:firstLine="549" w:firstLineChars="229"/>
        <w:rPr>
          <w:rFonts w:hint="eastAsia" w:ascii="宋体" w:hAnsi="宋体" w:eastAsia="宋体" w:cs="宋体"/>
          <w:color w:val="auto"/>
          <w:sz w:val="24"/>
          <w:highlight w:val="none"/>
        </w:rPr>
      </w:pPr>
    </w:p>
    <w:p w14:paraId="3DDA7ECB">
      <w:pPr>
        <w:spacing w:line="360" w:lineRule="auto"/>
        <w:ind w:firstLine="549" w:firstLineChars="229"/>
        <w:rPr>
          <w:rFonts w:hint="eastAsia" w:ascii="宋体" w:hAnsi="宋体" w:eastAsia="宋体" w:cs="宋体"/>
          <w:color w:val="auto"/>
          <w:sz w:val="24"/>
          <w:highlight w:val="none"/>
        </w:rPr>
      </w:pPr>
    </w:p>
    <w:p w14:paraId="55FC1C25">
      <w:pPr>
        <w:spacing w:line="360" w:lineRule="auto"/>
        <w:ind w:firstLine="549" w:firstLineChars="229"/>
        <w:rPr>
          <w:rFonts w:hint="eastAsia" w:ascii="宋体" w:hAnsi="宋体" w:eastAsia="宋体" w:cs="宋体"/>
          <w:color w:val="auto"/>
          <w:sz w:val="24"/>
          <w:highlight w:val="none"/>
        </w:rPr>
      </w:pPr>
    </w:p>
    <w:p w14:paraId="4EFCC9E9">
      <w:pPr>
        <w:spacing w:line="360" w:lineRule="auto"/>
        <w:ind w:firstLine="549" w:firstLineChars="229"/>
        <w:rPr>
          <w:rFonts w:hint="eastAsia" w:ascii="宋体" w:hAnsi="宋体" w:eastAsia="宋体" w:cs="宋体"/>
          <w:color w:val="auto"/>
          <w:sz w:val="24"/>
          <w:highlight w:val="none"/>
        </w:rPr>
      </w:pPr>
    </w:p>
    <w:p w14:paraId="5C8AC4A0">
      <w:pPr>
        <w:spacing w:line="360" w:lineRule="auto"/>
        <w:ind w:firstLine="549" w:firstLineChars="229"/>
        <w:rPr>
          <w:rFonts w:hint="eastAsia" w:ascii="宋体" w:hAnsi="宋体" w:eastAsia="宋体" w:cs="宋体"/>
          <w:color w:val="auto"/>
          <w:sz w:val="24"/>
          <w:highlight w:val="none"/>
        </w:rPr>
      </w:pPr>
    </w:p>
    <w:p w14:paraId="41CC8B63">
      <w:pPr>
        <w:spacing w:line="360" w:lineRule="auto"/>
        <w:ind w:firstLine="549" w:firstLineChars="229"/>
        <w:rPr>
          <w:rFonts w:hint="eastAsia" w:ascii="宋体" w:hAnsi="宋体" w:eastAsia="宋体" w:cs="宋体"/>
          <w:color w:val="auto"/>
          <w:sz w:val="24"/>
          <w:highlight w:val="none"/>
        </w:rPr>
      </w:pPr>
    </w:p>
    <w:p w14:paraId="5CF502C4">
      <w:pPr>
        <w:spacing w:line="360" w:lineRule="auto"/>
        <w:ind w:firstLine="549" w:firstLineChars="229"/>
        <w:rPr>
          <w:rFonts w:hint="eastAsia" w:ascii="宋体" w:hAnsi="宋体" w:eastAsia="宋体" w:cs="宋体"/>
          <w:color w:val="auto"/>
          <w:sz w:val="24"/>
          <w:highlight w:val="none"/>
        </w:rPr>
      </w:pPr>
    </w:p>
    <w:p w14:paraId="4E30BFA7">
      <w:pPr>
        <w:spacing w:line="360" w:lineRule="auto"/>
        <w:ind w:firstLine="549" w:firstLineChars="229"/>
        <w:rPr>
          <w:rFonts w:hint="eastAsia" w:ascii="宋体" w:hAnsi="宋体" w:eastAsia="宋体" w:cs="宋体"/>
          <w:color w:val="auto"/>
          <w:sz w:val="24"/>
          <w:highlight w:val="none"/>
        </w:rPr>
      </w:pPr>
    </w:p>
    <w:p w14:paraId="45A0C0F1">
      <w:pPr>
        <w:spacing w:line="360" w:lineRule="auto"/>
        <w:ind w:firstLine="549" w:firstLineChars="229"/>
        <w:rPr>
          <w:rFonts w:hint="eastAsia" w:ascii="宋体" w:hAnsi="宋体" w:eastAsia="宋体" w:cs="宋体"/>
          <w:color w:val="auto"/>
          <w:sz w:val="24"/>
          <w:highlight w:val="none"/>
        </w:rPr>
      </w:pPr>
    </w:p>
    <w:p w14:paraId="45673F44">
      <w:pPr>
        <w:spacing w:line="360" w:lineRule="auto"/>
        <w:ind w:firstLine="549" w:firstLineChars="229"/>
        <w:rPr>
          <w:rFonts w:hint="eastAsia" w:ascii="宋体" w:hAnsi="宋体" w:eastAsia="宋体" w:cs="宋体"/>
          <w:color w:val="auto"/>
          <w:sz w:val="24"/>
          <w:highlight w:val="none"/>
        </w:rPr>
      </w:pPr>
    </w:p>
    <w:p w14:paraId="055F49E5">
      <w:pPr>
        <w:spacing w:line="360" w:lineRule="auto"/>
        <w:rPr>
          <w:rFonts w:hint="eastAsia" w:ascii="宋体" w:hAnsi="宋体" w:eastAsia="宋体" w:cs="宋体"/>
          <w:color w:val="auto"/>
          <w:sz w:val="24"/>
          <w:highlight w:val="none"/>
        </w:rPr>
      </w:pPr>
    </w:p>
    <w:bookmarkEnd w:id="2"/>
    <w:p w14:paraId="61ED0101">
      <w:pPr>
        <w:pStyle w:val="56"/>
        <w:shd w:val="clear" w:color="auto" w:fill="FFFFFF"/>
        <w:spacing w:before="0" w:beforeAutospacing="0" w:after="0" w:afterAutospacing="0" w:line="360" w:lineRule="auto"/>
        <w:jc w:val="center"/>
        <w:rPr>
          <w:rFonts w:hint="eastAsia" w:ascii="宋体" w:hAnsi="宋体" w:eastAsia="宋体" w:cs="宋体"/>
          <w:b/>
          <w:bCs/>
          <w:color w:val="auto"/>
          <w:sz w:val="28"/>
          <w:szCs w:val="28"/>
          <w:highlight w:val="none"/>
          <w:shd w:val="clear" w:color="auto" w:fill="FFFFFF"/>
        </w:rPr>
      </w:pPr>
      <w:bookmarkStart w:id="3" w:name="_Toc35393621"/>
      <w:bookmarkStart w:id="4" w:name="_Toc28359002"/>
      <w:bookmarkStart w:id="5" w:name="_Toc35393790"/>
      <w:bookmarkStart w:id="6" w:name="_Toc28359079"/>
      <w:bookmarkStart w:id="7" w:name="_Hlk24379207"/>
      <w:bookmarkStart w:id="8" w:name="第二部分"/>
      <w:bookmarkStart w:id="9" w:name="_Toc91899870"/>
      <w:bookmarkStart w:id="10" w:name="_Toc91899871"/>
    </w:p>
    <w:p w14:paraId="1E9797D7">
      <w:pPr>
        <w:pStyle w:val="56"/>
        <w:shd w:val="clear" w:color="auto" w:fill="FFFFFF"/>
        <w:spacing w:before="0" w:beforeAutospacing="0" w:after="0" w:afterAutospacing="0" w:line="360" w:lineRule="auto"/>
        <w:jc w:val="center"/>
        <w:rPr>
          <w:rFonts w:hint="eastAsia" w:ascii="宋体" w:hAnsi="宋体" w:eastAsia="宋体" w:cs="宋体"/>
          <w:b/>
          <w:bCs/>
          <w:color w:val="auto"/>
          <w:sz w:val="28"/>
          <w:szCs w:val="28"/>
          <w:highlight w:val="none"/>
          <w:shd w:val="clear" w:color="auto" w:fill="FFFFFF"/>
        </w:rPr>
      </w:pPr>
    </w:p>
    <w:p w14:paraId="2316A1CB">
      <w:pPr>
        <w:pStyle w:val="56"/>
        <w:shd w:val="clear" w:color="auto" w:fill="FFFFFF"/>
        <w:spacing w:before="0" w:beforeAutospacing="0" w:after="0" w:afterAutospacing="0" w:line="360" w:lineRule="auto"/>
        <w:jc w:val="center"/>
        <w:rPr>
          <w:rFonts w:hint="eastAsia" w:ascii="宋体" w:hAnsi="宋体" w:eastAsia="宋体" w:cs="宋体"/>
          <w:b/>
          <w:bCs/>
          <w:color w:val="auto"/>
          <w:sz w:val="28"/>
          <w:szCs w:val="28"/>
          <w:highlight w:val="none"/>
          <w:shd w:val="clear" w:color="auto" w:fill="FFFFFF"/>
        </w:rPr>
      </w:pPr>
    </w:p>
    <w:p w14:paraId="7FA0D254">
      <w:pPr>
        <w:pStyle w:val="56"/>
        <w:shd w:val="clear" w:color="auto" w:fill="FFFFFF"/>
        <w:spacing w:before="0" w:beforeAutospacing="0" w:after="0" w:afterAutospacing="0" w:line="360" w:lineRule="auto"/>
        <w:jc w:val="center"/>
        <w:rPr>
          <w:rFonts w:hint="eastAsia" w:ascii="宋体" w:hAnsi="宋体" w:eastAsia="宋体" w:cs="宋体"/>
          <w:b/>
          <w:bCs/>
          <w:color w:val="auto"/>
          <w:sz w:val="30"/>
          <w:szCs w:val="30"/>
          <w:highlight w:val="none"/>
          <w:shd w:val="clear" w:color="auto" w:fill="FFFFFF"/>
        </w:rPr>
      </w:pPr>
      <w:r>
        <w:rPr>
          <w:rFonts w:hint="eastAsia" w:ascii="宋体" w:hAnsi="宋体" w:eastAsia="宋体" w:cs="宋体"/>
          <w:b/>
          <w:bCs/>
          <w:color w:val="auto"/>
          <w:sz w:val="30"/>
          <w:szCs w:val="30"/>
          <w:highlight w:val="none"/>
          <w:shd w:val="clear" w:color="auto" w:fill="FFFFFF"/>
        </w:rPr>
        <w:t>招标公告</w:t>
      </w:r>
    </w:p>
    <w:p w14:paraId="338D054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根据有关规定，</w:t>
      </w:r>
      <w:r>
        <w:rPr>
          <w:rFonts w:hint="eastAsia" w:ascii="宋体" w:hAnsi="宋体" w:eastAsia="宋体" w:cs="宋体"/>
          <w:color w:val="auto"/>
          <w:sz w:val="24"/>
          <w:szCs w:val="24"/>
          <w:highlight w:val="none"/>
          <w:u w:val="single"/>
          <w:shd w:val="clear" w:color="auto" w:fill="FFFFFF"/>
        </w:rPr>
        <w:t>浙江明业项目管理有限公司</w:t>
      </w:r>
      <w:r>
        <w:rPr>
          <w:rFonts w:hint="eastAsia" w:ascii="宋体" w:hAnsi="宋体" w:eastAsia="宋体" w:cs="宋体"/>
          <w:color w:val="auto"/>
          <w:sz w:val="24"/>
          <w:szCs w:val="24"/>
          <w:highlight w:val="none"/>
          <w:shd w:val="clear" w:color="auto" w:fill="FFFFFF"/>
        </w:rPr>
        <w:t>受</w:t>
      </w:r>
      <w:r>
        <w:rPr>
          <w:rFonts w:hint="eastAsia" w:ascii="宋体" w:hAnsi="宋体" w:eastAsia="宋体" w:cs="宋体"/>
          <w:color w:val="auto"/>
          <w:sz w:val="24"/>
          <w:szCs w:val="24"/>
          <w:highlight w:val="none"/>
          <w:u w:val="single"/>
          <w:shd w:val="clear" w:color="auto" w:fill="FFFFFF"/>
          <w:lang w:val="en-US" w:eastAsia="zh-CN"/>
        </w:rPr>
        <w:t>杭州跨湖桥景区建设管理有限公司</w:t>
      </w:r>
      <w:r>
        <w:rPr>
          <w:rFonts w:hint="eastAsia" w:ascii="宋体" w:hAnsi="宋体" w:eastAsia="宋体" w:cs="宋体"/>
          <w:color w:val="auto"/>
          <w:sz w:val="24"/>
          <w:szCs w:val="24"/>
          <w:highlight w:val="none"/>
          <w:shd w:val="clear" w:color="auto" w:fill="FFFFFF"/>
        </w:rPr>
        <w:t>的委托，对</w:t>
      </w:r>
      <w:r>
        <w:rPr>
          <w:rFonts w:hint="eastAsia" w:ascii="宋体" w:hAnsi="宋体" w:eastAsia="宋体" w:cs="宋体"/>
          <w:color w:val="auto"/>
          <w:sz w:val="24"/>
          <w:szCs w:val="24"/>
          <w:highlight w:val="none"/>
          <w:u w:val="single"/>
          <w:shd w:val="clear" w:color="auto" w:fill="FFFFFF"/>
          <w:lang w:val="en-US" w:eastAsia="zh-CN"/>
        </w:rPr>
        <w:t>湘湖景区水质净化服务采购项目</w:t>
      </w:r>
      <w:r>
        <w:rPr>
          <w:rFonts w:hint="eastAsia" w:ascii="宋体" w:hAnsi="宋体" w:eastAsia="宋体" w:cs="宋体"/>
          <w:color w:val="auto"/>
          <w:sz w:val="24"/>
          <w:szCs w:val="24"/>
          <w:highlight w:val="none"/>
          <w:shd w:val="clear" w:color="auto" w:fill="FFFFFF"/>
        </w:rPr>
        <w:t>进行公开招标，欢迎国内合格的供应商前来投标。</w:t>
      </w:r>
    </w:p>
    <w:p w14:paraId="364A18FB">
      <w:pPr>
        <w:pStyle w:val="3"/>
        <w:pageBreakBefore w:val="0"/>
        <w:numPr>
          <w:ilvl w:val="0"/>
          <w:numId w:val="8"/>
        </w:numPr>
        <w:kinsoku/>
        <w:overflowPunct/>
        <w:topLinePunct w:val="0"/>
        <w:autoSpaceDE/>
        <w:autoSpaceDN/>
        <w:bidi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项目基本情况</w:t>
      </w:r>
      <w:bookmarkEnd w:id="3"/>
      <w:bookmarkEnd w:id="4"/>
      <w:bookmarkEnd w:id="5"/>
      <w:bookmarkEnd w:id="6"/>
    </w:p>
    <w:p w14:paraId="309837E1">
      <w:pPr>
        <w:pStyle w:val="632"/>
        <w:pageBreakBefore w:val="0"/>
        <w:kinsoku/>
        <w:overflowPunct/>
        <w:topLinePunct w:val="0"/>
        <w:autoSpaceDE/>
        <w:autoSpaceDN/>
        <w:bidi w:val="0"/>
        <w:snapToGrid/>
        <w:spacing w:line="360" w:lineRule="auto"/>
        <w:ind w:firstLine="480" w:firstLineChars="200"/>
        <w:jc w:val="left"/>
        <w:textAlignment w:val="auto"/>
        <w:rPr>
          <w:rFonts w:hint="default" w:ascii="宋体" w:hAnsi="宋体" w:eastAsia="宋体" w:cs="宋体"/>
          <w:b w:val="0"/>
          <w:bCs w:val="0"/>
          <w:color w:val="auto"/>
          <w:kern w:val="0"/>
          <w:sz w:val="24"/>
          <w:szCs w:val="24"/>
          <w:highlight w:val="none"/>
          <w:shd w:val="clear" w:color="auto" w:fill="FFFFFF"/>
          <w:lang w:val="en-US" w:eastAsia="zh-CN"/>
        </w:rPr>
      </w:pPr>
      <w:r>
        <w:rPr>
          <w:rFonts w:hint="eastAsia" w:ascii="宋体" w:hAnsi="宋体" w:eastAsia="宋体" w:cs="宋体"/>
          <w:b w:val="0"/>
          <w:bCs w:val="0"/>
          <w:color w:val="auto"/>
          <w:kern w:val="0"/>
          <w:sz w:val="24"/>
          <w:szCs w:val="24"/>
          <w:highlight w:val="none"/>
          <w:shd w:val="clear" w:color="auto" w:fill="FFFFFF"/>
        </w:rPr>
        <w:t>项目编号：</w:t>
      </w:r>
      <w:r>
        <w:rPr>
          <w:rFonts w:hint="eastAsia" w:ascii="宋体" w:hAnsi="宋体" w:eastAsia="宋体" w:cs="宋体"/>
          <w:b w:val="0"/>
          <w:bCs w:val="0"/>
          <w:color w:val="auto"/>
          <w:kern w:val="0"/>
          <w:sz w:val="24"/>
          <w:szCs w:val="24"/>
          <w:highlight w:val="none"/>
          <w:u w:val="none"/>
          <w:shd w:val="clear" w:color="auto" w:fill="FFFFFF"/>
          <w:lang w:val="en-US" w:eastAsia="zh-CN" w:bidi="ar-SA"/>
        </w:rPr>
        <w:fldChar w:fldCharType="begin"/>
      </w:r>
      <w:r>
        <w:rPr>
          <w:rFonts w:hint="eastAsia" w:ascii="宋体" w:hAnsi="宋体" w:eastAsia="宋体" w:cs="宋体"/>
          <w:b w:val="0"/>
          <w:bCs w:val="0"/>
          <w:color w:val="auto"/>
          <w:kern w:val="0"/>
          <w:sz w:val="24"/>
          <w:szCs w:val="24"/>
          <w:highlight w:val="none"/>
          <w:u w:val="none"/>
          <w:shd w:val="clear" w:color="auto" w:fill="FFFFFF"/>
          <w:lang w:val="en-US" w:eastAsia="zh-CN" w:bidi="ar-SA"/>
        </w:rPr>
        <w:instrText xml:space="preserve"> HYPERLINK "https://pay-lcy.lecaiyun.com/purchaseplan_front/" \l "/plan/list/view?id=1000000000014190204&amp;_app_=zcy.procurement" \t "https://www.lecaiyun.com/delegation-order/_procurement_/order/_blank" </w:instrText>
      </w:r>
      <w:r>
        <w:rPr>
          <w:rFonts w:hint="eastAsia" w:ascii="宋体" w:hAnsi="宋体" w:eastAsia="宋体" w:cs="宋体"/>
          <w:b w:val="0"/>
          <w:bCs w:val="0"/>
          <w:color w:val="auto"/>
          <w:kern w:val="0"/>
          <w:sz w:val="24"/>
          <w:szCs w:val="24"/>
          <w:highlight w:val="none"/>
          <w:u w:val="none"/>
          <w:shd w:val="clear" w:color="auto" w:fill="FFFFFF"/>
          <w:lang w:val="en-US" w:eastAsia="zh-CN" w:bidi="ar-SA"/>
        </w:rPr>
        <w:fldChar w:fldCharType="separate"/>
      </w:r>
      <w:r>
        <w:rPr>
          <w:rFonts w:hint="eastAsia" w:ascii="宋体" w:hAnsi="宋体" w:eastAsia="宋体" w:cs="宋体"/>
          <w:b w:val="0"/>
          <w:bCs w:val="0"/>
          <w:color w:val="auto"/>
          <w:kern w:val="0"/>
          <w:sz w:val="24"/>
          <w:szCs w:val="24"/>
          <w:highlight w:val="none"/>
          <w:u w:val="none"/>
          <w:shd w:val="clear" w:color="auto" w:fill="FFFFFF"/>
          <w:lang w:val="en-US" w:eastAsia="zh-CN" w:bidi="ar-SA"/>
        </w:rPr>
        <w:t>XLJT-20250030</w:t>
      </w:r>
      <w:r>
        <w:rPr>
          <w:rFonts w:hint="eastAsia" w:ascii="宋体" w:hAnsi="宋体" w:eastAsia="宋体" w:cs="宋体"/>
          <w:b w:val="0"/>
          <w:bCs w:val="0"/>
          <w:color w:val="auto"/>
          <w:kern w:val="0"/>
          <w:sz w:val="24"/>
          <w:szCs w:val="24"/>
          <w:highlight w:val="none"/>
          <w:u w:val="none"/>
          <w:shd w:val="clear" w:color="auto" w:fill="FFFFFF"/>
          <w:lang w:val="en-US" w:eastAsia="zh-CN" w:bidi="ar-SA"/>
        </w:rPr>
        <w:fldChar w:fldCharType="end"/>
      </w:r>
    </w:p>
    <w:p w14:paraId="289357A9">
      <w:pPr>
        <w:pStyle w:val="56"/>
        <w:pageBreakBefore w:val="0"/>
        <w:shd w:val="clear" w:color="auto" w:fill="FFFFFF"/>
        <w:kinsoku/>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项目名称：</w:t>
      </w:r>
      <w:r>
        <w:rPr>
          <w:rFonts w:hint="eastAsia" w:ascii="宋体" w:hAnsi="宋体" w:eastAsia="宋体" w:cs="宋体"/>
          <w:color w:val="auto"/>
          <w:sz w:val="24"/>
          <w:szCs w:val="24"/>
          <w:highlight w:val="none"/>
          <w:u w:val="none"/>
          <w:shd w:val="clear" w:color="auto" w:fill="FFFFFF"/>
          <w:lang w:val="en-US" w:eastAsia="zh-CN"/>
        </w:rPr>
        <w:t>湘湖景区水质净化服务采购项目</w:t>
      </w:r>
    </w:p>
    <w:p w14:paraId="31F29529">
      <w:pPr>
        <w:pStyle w:val="56"/>
        <w:pageBreakBefore w:val="0"/>
        <w:shd w:val="clear" w:color="auto" w:fill="FFFFFF"/>
        <w:kinsoku/>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预算金额（元）：</w:t>
      </w:r>
      <w:r>
        <w:rPr>
          <w:rFonts w:hint="eastAsia" w:cs="宋体"/>
          <w:color w:val="auto"/>
          <w:sz w:val="24"/>
          <w:highlight w:val="none"/>
          <w:u w:val="none"/>
          <w:lang w:val="en-US" w:eastAsia="zh-CN"/>
        </w:rPr>
        <w:t>8000000</w:t>
      </w:r>
      <w:r>
        <w:rPr>
          <w:rFonts w:hint="eastAsia" w:ascii="宋体" w:hAnsi="宋体" w:eastAsia="宋体" w:cs="宋体"/>
          <w:b w:val="0"/>
          <w:bCs/>
          <w:color w:val="auto"/>
          <w:sz w:val="24"/>
          <w:highlight w:val="none"/>
          <w:u w:val="none"/>
          <w:lang w:val="en-US" w:eastAsia="zh-CN"/>
        </w:rPr>
        <w:t>元</w:t>
      </w:r>
    </w:p>
    <w:p w14:paraId="17B485B3">
      <w:pPr>
        <w:pStyle w:val="56"/>
        <w:pageBreakBefore w:val="0"/>
        <w:shd w:val="clear" w:color="auto" w:fill="FFFFFF"/>
        <w:kinsoku/>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最高限价（元）：</w:t>
      </w:r>
      <w:r>
        <w:rPr>
          <w:rFonts w:hint="eastAsia" w:cs="宋体"/>
          <w:color w:val="auto"/>
          <w:sz w:val="24"/>
          <w:highlight w:val="none"/>
          <w:u w:val="none"/>
          <w:lang w:val="en-US" w:eastAsia="zh-CN"/>
        </w:rPr>
        <w:t>8000000</w:t>
      </w:r>
      <w:r>
        <w:rPr>
          <w:rFonts w:hint="eastAsia" w:ascii="宋体" w:hAnsi="宋体" w:eastAsia="宋体" w:cs="宋体"/>
          <w:b w:val="0"/>
          <w:bCs/>
          <w:color w:val="auto"/>
          <w:sz w:val="24"/>
          <w:highlight w:val="none"/>
          <w:u w:val="none"/>
          <w:lang w:val="en-US" w:eastAsia="zh-CN"/>
        </w:rPr>
        <w:t>元</w:t>
      </w:r>
    </w:p>
    <w:p w14:paraId="56700CE6">
      <w:pPr>
        <w:pStyle w:val="56"/>
        <w:pageBreakBefore w:val="0"/>
        <w:shd w:val="clear" w:color="auto" w:fill="FFFFFF"/>
        <w:kinsoku/>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采购需求：</w:t>
      </w:r>
    </w:p>
    <w:p w14:paraId="3E9D3CD4">
      <w:pPr>
        <w:pStyle w:val="56"/>
        <w:pageBreakBefore w:val="0"/>
        <w:shd w:val="clear" w:color="auto" w:fill="FFFFFF"/>
        <w:kinsoku/>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highlight w:val="none"/>
          <w:u w:val="single"/>
          <w:shd w:val="clear" w:color="auto" w:fill="FFFFFF"/>
          <w:lang w:val="en-US" w:eastAsia="zh-CN"/>
        </w:rPr>
      </w:pPr>
      <w:r>
        <w:rPr>
          <w:rFonts w:hint="eastAsia" w:ascii="宋体" w:hAnsi="宋体" w:eastAsia="宋体" w:cs="宋体"/>
          <w:color w:val="auto"/>
          <w:sz w:val="24"/>
          <w:szCs w:val="24"/>
          <w:highlight w:val="none"/>
          <w:shd w:val="clear" w:color="auto" w:fill="FFFFFF"/>
        </w:rPr>
        <w:t>标项名称</w:t>
      </w:r>
      <w:r>
        <w:rPr>
          <w:rFonts w:hint="eastAsia" w:ascii="宋体" w:hAnsi="宋体" w:eastAsia="宋体" w:cs="宋体"/>
          <w:color w:val="auto"/>
          <w:sz w:val="24"/>
          <w:szCs w:val="24"/>
          <w:highlight w:val="none"/>
          <w:shd w:val="clear" w:color="auto" w:fill="FFFFFF"/>
          <w:lang w:val="en-US" w:eastAsia="zh-CN"/>
        </w:rPr>
        <w:t>：</w:t>
      </w:r>
      <w:r>
        <w:rPr>
          <w:rFonts w:hint="eastAsia" w:ascii="宋体" w:hAnsi="宋体" w:eastAsia="宋体" w:cs="宋体"/>
          <w:color w:val="auto"/>
          <w:sz w:val="24"/>
          <w:szCs w:val="24"/>
          <w:highlight w:val="none"/>
          <w:u w:val="none"/>
          <w:shd w:val="clear" w:color="auto" w:fill="FFFFFF"/>
          <w:lang w:val="en-US" w:eastAsia="zh-CN"/>
        </w:rPr>
        <w:t>湘湖景区水质净化服务采购项目</w:t>
      </w:r>
    </w:p>
    <w:p w14:paraId="3F3EBABD">
      <w:pPr>
        <w:pStyle w:val="56"/>
        <w:pageBreakBefore w:val="0"/>
        <w:shd w:val="clear" w:color="auto" w:fill="FFFFFF"/>
        <w:kinsoku/>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数量:1批   </w:t>
      </w:r>
    </w:p>
    <w:p w14:paraId="300FEBB1">
      <w:pPr>
        <w:pStyle w:val="56"/>
        <w:pageBreakBefore w:val="0"/>
        <w:shd w:val="clear" w:color="auto" w:fill="FFFFFF"/>
        <w:kinsoku/>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简要规格描述或项目基本概况介绍、用途：详见采购需求。 </w:t>
      </w:r>
    </w:p>
    <w:p w14:paraId="7FD265C1">
      <w:pPr>
        <w:pStyle w:val="56"/>
        <w:pageBreakBefore w:val="0"/>
        <w:shd w:val="clear" w:color="auto" w:fill="FFFFFF"/>
        <w:kinsoku/>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备注： </w:t>
      </w:r>
    </w:p>
    <w:p w14:paraId="751CA479">
      <w:pPr>
        <w:pStyle w:val="56"/>
        <w:pageBreakBefore w:val="0"/>
        <w:shd w:val="clear" w:color="auto" w:fill="FFFFFF"/>
        <w:kinsoku/>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合同履约期限：按招标文件要求</w:t>
      </w:r>
    </w:p>
    <w:p w14:paraId="11D72F8B">
      <w:pPr>
        <w:wordWrap/>
        <w:adjustRightInd w:val="0"/>
        <w:spacing w:line="360" w:lineRule="auto"/>
        <w:ind w:firstLine="480" w:firstLineChars="200"/>
        <w:textAlignment w:val="auto"/>
        <w:rPr>
          <w:rFonts w:hint="eastAsia" w:asciiTheme="minorEastAsia" w:hAnsiTheme="minorEastAsia" w:eastAsiaTheme="minorEastAsia" w:cstheme="minorEastAsia"/>
          <w:b w:val="0"/>
          <w:bCs/>
          <w:color w:val="auto"/>
          <w:spacing w:val="0"/>
          <w:sz w:val="24"/>
          <w:highlight w:val="none"/>
          <w:lang w:eastAsia="zh-CN"/>
        </w:rPr>
      </w:pPr>
      <w:r>
        <w:rPr>
          <w:rFonts w:hint="eastAsia" w:asciiTheme="minorEastAsia" w:hAnsiTheme="minorEastAsia" w:eastAsiaTheme="minorEastAsia" w:cstheme="minorEastAsia"/>
          <w:b w:val="0"/>
          <w:bCs/>
          <w:color w:val="auto"/>
          <w:spacing w:val="0"/>
          <w:sz w:val="24"/>
          <w:highlight w:val="none"/>
        </w:rPr>
        <w:t>本项目接受联合体：（√）是；（</w:t>
      </w:r>
      <w:r>
        <w:rPr>
          <w:rFonts w:hint="eastAsia" w:asciiTheme="minorEastAsia" w:hAnsiTheme="minorEastAsia" w:eastAsiaTheme="minorEastAsia" w:cstheme="minorEastAsia"/>
          <w:b w:val="0"/>
          <w:bCs/>
          <w:color w:val="auto"/>
          <w:spacing w:val="0"/>
          <w:sz w:val="24"/>
          <w:highlight w:val="none"/>
          <w:lang w:val="en-US" w:eastAsia="zh-CN"/>
        </w:rPr>
        <w:t xml:space="preserve"> </w:t>
      </w:r>
      <w:r>
        <w:rPr>
          <w:rFonts w:hint="eastAsia" w:asciiTheme="minorEastAsia" w:hAnsiTheme="minorEastAsia" w:eastAsiaTheme="minorEastAsia" w:cstheme="minorEastAsia"/>
          <w:b w:val="0"/>
          <w:bCs/>
          <w:color w:val="auto"/>
          <w:spacing w:val="0"/>
          <w:sz w:val="24"/>
          <w:highlight w:val="none"/>
        </w:rPr>
        <w:t>）否</w:t>
      </w:r>
      <w:r>
        <w:rPr>
          <w:rFonts w:hint="eastAsia" w:asciiTheme="minorEastAsia" w:hAnsiTheme="minorEastAsia" w:eastAsiaTheme="minorEastAsia" w:cstheme="minorEastAsia"/>
          <w:b w:val="0"/>
          <w:bCs/>
          <w:color w:val="auto"/>
          <w:spacing w:val="0"/>
          <w:sz w:val="24"/>
          <w:highlight w:val="none"/>
          <w:lang w:eastAsia="zh-CN"/>
        </w:rPr>
        <w:t>。</w:t>
      </w:r>
    </w:p>
    <w:bookmarkEnd w:id="7"/>
    <w:p w14:paraId="2D61320C">
      <w:pPr>
        <w:pStyle w:val="3"/>
        <w:pageBreakBefore w:val="0"/>
        <w:numPr>
          <w:ilvl w:val="0"/>
          <w:numId w:val="0"/>
        </w:numPr>
        <w:kinsoku/>
        <w:overflowPunct/>
        <w:topLinePunct w:val="0"/>
        <w:autoSpaceDE/>
        <w:autoSpaceDN/>
        <w:bidi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w:t>
      </w:r>
      <w:bookmarkStart w:id="11" w:name="_Toc35393622"/>
      <w:bookmarkStart w:id="12" w:name="_Toc28359003"/>
      <w:bookmarkStart w:id="13" w:name="_Toc35393791"/>
      <w:bookmarkStart w:id="14" w:name="_Toc28359080"/>
      <w:r>
        <w:rPr>
          <w:rFonts w:hint="eastAsia" w:ascii="宋体" w:hAnsi="宋体" w:eastAsia="宋体" w:cs="宋体"/>
          <w:color w:val="auto"/>
          <w:sz w:val="24"/>
          <w:szCs w:val="24"/>
          <w:highlight w:val="none"/>
        </w:rPr>
        <w:t>申请人的资格要求：</w:t>
      </w:r>
      <w:bookmarkEnd w:id="11"/>
      <w:bookmarkEnd w:id="12"/>
      <w:bookmarkEnd w:id="13"/>
      <w:bookmarkEnd w:id="14"/>
    </w:p>
    <w:p w14:paraId="798F7D77">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shd w:val="clear" w:color="auto" w:fill="FFFFFF"/>
        </w:rPr>
      </w:pPr>
      <w:bookmarkStart w:id="15" w:name="_Toc28359005"/>
      <w:bookmarkStart w:id="16" w:name="_Toc35393624"/>
      <w:bookmarkStart w:id="17" w:name="_Toc35393793"/>
      <w:bookmarkStart w:id="18" w:name="_Toc28359082"/>
      <w:r>
        <w:rPr>
          <w:rFonts w:hint="eastAsia" w:ascii="宋体" w:hAnsi="宋体" w:cs="宋体"/>
          <w:color w:val="auto"/>
          <w:sz w:val="24"/>
          <w:szCs w:val="24"/>
          <w:highlight w:val="none"/>
          <w:shd w:val="clear" w:color="auto" w:fill="FFFFFF"/>
          <w:lang w:val="en-US" w:eastAsia="zh-CN"/>
        </w:rPr>
        <w:t>1.</w:t>
      </w:r>
      <w:r>
        <w:rPr>
          <w:rFonts w:hint="eastAsia" w:ascii="宋体" w:hAnsi="宋体" w:eastAsia="宋体" w:cs="宋体"/>
          <w:color w:val="auto"/>
          <w:sz w:val="24"/>
          <w:szCs w:val="24"/>
          <w:highlight w:val="none"/>
          <w:shd w:val="clear" w:color="auto" w:fill="FFFFFF"/>
        </w:rPr>
        <w:t>具有独立承担民事责任的能力；</w:t>
      </w:r>
    </w:p>
    <w:p w14:paraId="424332BB">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shd w:val="clear" w:color="auto" w:fill="FFFFFF"/>
        </w:rPr>
      </w:pPr>
      <w:r>
        <w:rPr>
          <w:rFonts w:hint="eastAsia" w:ascii="宋体" w:hAnsi="宋体" w:cs="宋体"/>
          <w:color w:val="auto"/>
          <w:sz w:val="24"/>
          <w:szCs w:val="24"/>
          <w:highlight w:val="none"/>
          <w:shd w:val="clear" w:color="auto" w:fill="FFFFFF"/>
          <w:lang w:val="en-US" w:eastAsia="zh-CN"/>
        </w:rPr>
        <w:t>2.</w:t>
      </w:r>
      <w:r>
        <w:rPr>
          <w:rFonts w:hint="eastAsia" w:ascii="宋体" w:hAnsi="宋体" w:eastAsia="宋体" w:cs="宋体"/>
          <w:color w:val="auto"/>
          <w:sz w:val="24"/>
          <w:szCs w:val="24"/>
          <w:highlight w:val="none"/>
          <w:shd w:val="clear" w:color="auto" w:fill="FFFFFF"/>
        </w:rPr>
        <w:t>具有良好的商业信誉和健全的财务会计制度；</w:t>
      </w:r>
    </w:p>
    <w:p w14:paraId="0B210A3E">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shd w:val="clear" w:color="auto" w:fill="FFFFFF"/>
        </w:rPr>
      </w:pPr>
      <w:r>
        <w:rPr>
          <w:rFonts w:hint="eastAsia" w:ascii="宋体" w:hAnsi="宋体" w:cs="宋体"/>
          <w:color w:val="auto"/>
          <w:sz w:val="24"/>
          <w:szCs w:val="24"/>
          <w:highlight w:val="none"/>
          <w:shd w:val="clear" w:color="auto" w:fill="FFFFFF"/>
          <w:lang w:val="en-US" w:eastAsia="zh-CN"/>
        </w:rPr>
        <w:t>3.</w:t>
      </w:r>
      <w:r>
        <w:rPr>
          <w:rFonts w:hint="eastAsia" w:ascii="宋体" w:hAnsi="宋体" w:eastAsia="宋体" w:cs="宋体"/>
          <w:color w:val="auto"/>
          <w:sz w:val="24"/>
          <w:szCs w:val="24"/>
          <w:highlight w:val="none"/>
          <w:shd w:val="clear" w:color="auto" w:fill="FFFFFF"/>
        </w:rPr>
        <w:t>具有履行合同所必需的设备和专业技术能力；</w:t>
      </w:r>
    </w:p>
    <w:p w14:paraId="5726A239">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shd w:val="clear" w:color="auto" w:fill="FFFFFF"/>
        </w:rPr>
      </w:pPr>
      <w:r>
        <w:rPr>
          <w:rFonts w:hint="eastAsia" w:ascii="宋体" w:hAnsi="宋体" w:cs="宋体"/>
          <w:color w:val="auto"/>
          <w:sz w:val="24"/>
          <w:szCs w:val="24"/>
          <w:highlight w:val="none"/>
          <w:shd w:val="clear" w:color="auto" w:fill="FFFFFF"/>
          <w:lang w:val="en-US" w:eastAsia="zh-CN"/>
        </w:rPr>
        <w:t>4.</w:t>
      </w:r>
      <w:r>
        <w:rPr>
          <w:rFonts w:hint="eastAsia" w:ascii="宋体" w:hAnsi="宋体" w:eastAsia="宋体" w:cs="宋体"/>
          <w:color w:val="auto"/>
          <w:sz w:val="24"/>
          <w:szCs w:val="24"/>
          <w:highlight w:val="none"/>
          <w:shd w:val="clear" w:color="auto" w:fill="FFFFFF"/>
        </w:rPr>
        <w:t>有依法缴纳税收和社会保障资金的良好记录；</w:t>
      </w:r>
    </w:p>
    <w:p w14:paraId="13D676AF">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shd w:val="clear" w:color="auto" w:fill="FFFFFF"/>
        </w:rPr>
      </w:pPr>
      <w:r>
        <w:rPr>
          <w:rFonts w:hint="eastAsia" w:ascii="宋体" w:hAnsi="宋体" w:cs="宋体"/>
          <w:color w:val="auto"/>
          <w:sz w:val="24"/>
          <w:szCs w:val="24"/>
          <w:highlight w:val="none"/>
          <w:shd w:val="clear" w:color="auto" w:fill="FFFFFF"/>
          <w:lang w:val="en-US" w:eastAsia="zh-CN"/>
        </w:rPr>
        <w:t>5.</w:t>
      </w:r>
      <w:r>
        <w:rPr>
          <w:rFonts w:hint="eastAsia" w:ascii="宋体" w:hAnsi="宋体" w:eastAsia="宋体" w:cs="宋体"/>
          <w:color w:val="auto"/>
          <w:sz w:val="24"/>
          <w:szCs w:val="24"/>
          <w:highlight w:val="none"/>
          <w:shd w:val="clear" w:color="auto" w:fill="FFFFFF"/>
        </w:rPr>
        <w:t>参加采购活动前三年内，在经营活动中没有重大违法记录；</w:t>
      </w:r>
    </w:p>
    <w:p w14:paraId="082F7818">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shd w:val="clear" w:color="auto" w:fill="FFFFFF"/>
        </w:rPr>
      </w:pPr>
      <w:r>
        <w:rPr>
          <w:rFonts w:hint="eastAsia" w:ascii="宋体" w:hAnsi="宋体" w:cs="宋体"/>
          <w:color w:val="auto"/>
          <w:sz w:val="24"/>
          <w:szCs w:val="24"/>
          <w:highlight w:val="none"/>
          <w:shd w:val="clear" w:color="auto" w:fill="FFFFFF"/>
          <w:lang w:val="en-US" w:eastAsia="zh-CN"/>
        </w:rPr>
        <w:t>6.</w:t>
      </w:r>
      <w:r>
        <w:rPr>
          <w:rFonts w:hint="eastAsia" w:ascii="宋体" w:hAnsi="宋体" w:eastAsia="宋体" w:cs="宋体"/>
          <w:color w:val="auto"/>
          <w:sz w:val="24"/>
          <w:szCs w:val="24"/>
          <w:highlight w:val="none"/>
          <w:shd w:val="clear" w:color="auto" w:fill="FFFFFF"/>
        </w:rPr>
        <w:t>法律、行政法规规定的其他条件；</w:t>
      </w:r>
    </w:p>
    <w:p w14:paraId="590E3AEE">
      <w:pPr>
        <w:keepNext w:val="0"/>
        <w:keepLines w:val="0"/>
        <w:pageBreakBefore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shd w:val="clear" w:color="auto" w:fill="FFFFFF"/>
          <w:lang w:eastAsia="zh-CN"/>
        </w:rPr>
      </w:pPr>
      <w:r>
        <w:rPr>
          <w:rFonts w:hint="eastAsia" w:ascii="宋体" w:hAnsi="宋体" w:cs="宋体"/>
          <w:color w:val="auto"/>
          <w:sz w:val="24"/>
          <w:szCs w:val="24"/>
          <w:highlight w:val="none"/>
          <w:shd w:val="clear" w:color="auto" w:fill="FFFFFF"/>
          <w:lang w:val="en-US" w:eastAsia="zh-CN"/>
        </w:rPr>
        <w:t>7.</w:t>
      </w:r>
      <w:r>
        <w:rPr>
          <w:rFonts w:hint="eastAsia" w:ascii="宋体" w:hAnsi="宋体" w:eastAsia="宋体" w:cs="宋体"/>
          <w:color w:val="auto"/>
          <w:sz w:val="24"/>
          <w:szCs w:val="24"/>
          <w:highlight w:val="none"/>
          <w:shd w:val="clear" w:color="auto" w:fill="FFFFFF"/>
        </w:rPr>
        <w:t>本项目的特定资格要求：无</w:t>
      </w:r>
      <w:r>
        <w:rPr>
          <w:rFonts w:hint="eastAsia" w:ascii="宋体" w:hAnsi="宋体" w:cs="宋体"/>
          <w:color w:val="auto"/>
          <w:sz w:val="24"/>
          <w:szCs w:val="24"/>
          <w:highlight w:val="none"/>
          <w:shd w:val="clear" w:color="auto" w:fill="FFFFFF"/>
          <w:lang w:eastAsia="zh-CN"/>
        </w:rPr>
        <w:t>。</w:t>
      </w:r>
    </w:p>
    <w:p w14:paraId="2FB74BC4">
      <w:pPr>
        <w:keepNext w:val="0"/>
        <w:keepLines w:val="0"/>
        <w:pageBreakBefore w:val="0"/>
        <w:kinsoku/>
        <w:wordWrap/>
        <w:overflowPunct/>
        <w:topLinePunct w:val="0"/>
        <w:autoSpaceDE/>
        <w:autoSpaceDN/>
        <w:bidi w:val="0"/>
        <w:snapToGrid/>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三、</w:t>
      </w:r>
      <w:bookmarkEnd w:id="15"/>
      <w:bookmarkEnd w:id="16"/>
      <w:bookmarkEnd w:id="17"/>
      <w:bookmarkEnd w:id="18"/>
      <w:r>
        <w:rPr>
          <w:rFonts w:hint="eastAsia" w:ascii="宋体" w:hAnsi="宋体" w:eastAsia="宋体" w:cs="宋体"/>
          <w:b/>
          <w:color w:val="auto"/>
          <w:sz w:val="24"/>
          <w:szCs w:val="24"/>
          <w:highlight w:val="none"/>
        </w:rPr>
        <w:t xml:space="preserve">获取招标文件 </w:t>
      </w:r>
    </w:p>
    <w:p w14:paraId="39B4FEBB">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时间：</w:t>
      </w:r>
      <w:r>
        <w:rPr>
          <w:rFonts w:hint="eastAsia" w:ascii="宋体" w:hAnsi="宋体" w:eastAsia="宋体" w:cs="宋体"/>
          <w:color w:val="auto"/>
          <w:sz w:val="24"/>
          <w:szCs w:val="24"/>
          <w:highlight w:val="none"/>
        </w:rPr>
        <w:t>/至</w:t>
      </w:r>
      <w:r>
        <w:rPr>
          <w:rFonts w:hint="eastAsia" w:ascii="宋体" w:hAnsi="宋体" w:eastAsia="宋体" w:cs="宋体"/>
          <w:color w:val="auto"/>
          <w:sz w:val="24"/>
          <w:szCs w:val="24"/>
          <w:highlight w:val="none"/>
          <w:u w:val="none"/>
        </w:rPr>
        <w:t>202</w:t>
      </w:r>
      <w:r>
        <w:rPr>
          <w:rFonts w:hint="eastAsia" w:ascii="宋体" w:hAnsi="宋体" w:cs="宋体"/>
          <w:color w:val="auto"/>
          <w:sz w:val="24"/>
          <w:szCs w:val="24"/>
          <w:highlight w:val="none"/>
          <w:u w:val="none"/>
          <w:lang w:val="en-US" w:eastAsia="zh-CN"/>
        </w:rPr>
        <w:t>5</w:t>
      </w:r>
      <w:r>
        <w:rPr>
          <w:rFonts w:hint="eastAsia" w:ascii="宋体" w:hAnsi="宋体" w:eastAsia="宋体" w:cs="宋体"/>
          <w:color w:val="auto"/>
          <w:sz w:val="24"/>
          <w:szCs w:val="24"/>
          <w:highlight w:val="none"/>
          <w:u w:val="none"/>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none"/>
        </w:rPr>
        <w:t>月</w:t>
      </w:r>
      <w:r>
        <w:rPr>
          <w:rFonts w:hint="eastAsia" w:ascii="宋体" w:hAnsi="宋体" w:cs="宋体"/>
          <w:color w:val="auto"/>
          <w:sz w:val="24"/>
          <w:szCs w:val="24"/>
          <w:highlight w:val="none"/>
          <w:u w:val="single"/>
          <w:lang w:val="en-US" w:eastAsia="zh-CN"/>
        </w:rPr>
        <w:t>27</w:t>
      </w:r>
      <w:r>
        <w:rPr>
          <w:rFonts w:hint="eastAsia" w:ascii="宋体" w:hAnsi="宋体" w:eastAsia="宋体" w:cs="宋体"/>
          <w:color w:val="auto"/>
          <w:sz w:val="24"/>
          <w:szCs w:val="24"/>
          <w:highlight w:val="none"/>
          <w:u w:val="none"/>
        </w:rPr>
        <w:t>日</w:t>
      </w:r>
      <w:r>
        <w:rPr>
          <w:rFonts w:hint="eastAsia" w:ascii="宋体" w:hAnsi="宋体" w:eastAsia="宋体" w:cs="宋体"/>
          <w:color w:val="auto"/>
          <w:sz w:val="24"/>
          <w:szCs w:val="24"/>
          <w:highlight w:val="none"/>
        </w:rPr>
        <w:t>，每天上午00:00至12:00 ，下午12:00至23:59（北京时间，线上获取法定节假日均可，线下获取文件法定节假日除外）</w:t>
      </w:r>
    </w:p>
    <w:p w14:paraId="717E8105">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地点（网址）：</w:t>
      </w:r>
      <w:r>
        <w:rPr>
          <w:rFonts w:hint="eastAsia" w:ascii="宋体" w:hAnsi="宋体" w:eastAsia="宋体" w:cs="宋体"/>
          <w:color w:val="auto"/>
          <w:sz w:val="24"/>
        </w:rPr>
        <w:t>乐采云平台（</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"https://www.zcygov.cn/）获取（下载）招标文件，并于2021年" </w:instrText>
      </w:r>
      <w:r>
        <w:rPr>
          <w:rFonts w:hint="eastAsia" w:ascii="宋体" w:hAnsi="宋体" w:eastAsia="宋体" w:cs="宋体"/>
          <w:color w:val="auto"/>
        </w:rPr>
        <w:fldChar w:fldCharType="separate"/>
      </w:r>
      <w:r>
        <w:rPr>
          <w:rFonts w:hint="eastAsia" w:ascii="宋体" w:hAnsi="宋体" w:eastAsia="宋体" w:cs="宋体"/>
          <w:color w:val="auto"/>
          <w:sz w:val="24"/>
        </w:rPr>
        <w:t>https://xsnbsc.lecaiyun.com）</w:t>
      </w:r>
      <w:r>
        <w:rPr>
          <w:rFonts w:hint="eastAsia" w:ascii="宋体" w:hAnsi="宋体" w:eastAsia="宋体" w:cs="宋体"/>
          <w:color w:val="auto"/>
          <w:sz w:val="24"/>
        </w:rPr>
        <w:fldChar w:fldCharType="end"/>
      </w:r>
      <w:r>
        <w:rPr>
          <w:rFonts w:hint="eastAsia" w:ascii="宋体" w:hAnsi="宋体" w:eastAsia="宋体" w:cs="宋体"/>
          <w:color w:val="auto"/>
          <w:sz w:val="24"/>
          <w:szCs w:val="24"/>
          <w:highlight w:val="none"/>
        </w:rPr>
        <w:t xml:space="preserve"> </w:t>
      </w:r>
    </w:p>
    <w:p w14:paraId="1DE8BB18">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方式：</w:t>
      </w:r>
      <w:r>
        <w:rPr>
          <w:rFonts w:hint="eastAsia" w:ascii="宋体" w:hAnsi="宋体" w:eastAsia="宋体" w:cs="宋体"/>
          <w:color w:val="auto"/>
          <w:sz w:val="24"/>
          <w:szCs w:val="24"/>
          <w:highlight w:val="none"/>
        </w:rPr>
        <w:t>供应商登录</w:t>
      </w:r>
      <w:r>
        <w:rPr>
          <w:rFonts w:hint="eastAsia" w:ascii="宋体" w:hAnsi="宋体" w:eastAsia="宋体" w:cs="宋体"/>
          <w:color w:val="auto"/>
          <w:sz w:val="24"/>
        </w:rPr>
        <w:t>乐采云平台（</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"https://www.zcygov.cn/）获取（下载）招标文件，并于2021年" </w:instrText>
      </w:r>
      <w:r>
        <w:rPr>
          <w:rFonts w:hint="eastAsia" w:ascii="宋体" w:hAnsi="宋体" w:eastAsia="宋体" w:cs="宋体"/>
          <w:color w:val="auto"/>
        </w:rPr>
        <w:fldChar w:fldCharType="separate"/>
      </w:r>
      <w:r>
        <w:rPr>
          <w:rFonts w:hint="eastAsia" w:ascii="宋体" w:hAnsi="宋体" w:eastAsia="宋体" w:cs="宋体"/>
          <w:color w:val="auto"/>
          <w:sz w:val="24"/>
        </w:rPr>
        <w:t>https://xsnbsc.lecaiyun.com）</w:t>
      </w:r>
      <w:r>
        <w:rPr>
          <w:rFonts w:hint="eastAsia" w:ascii="宋体" w:hAnsi="宋体" w:eastAsia="宋体" w:cs="宋体"/>
          <w:color w:val="auto"/>
          <w:sz w:val="24"/>
        </w:rPr>
        <w:fldChar w:fldCharType="end"/>
      </w:r>
      <w:r>
        <w:rPr>
          <w:rFonts w:hint="eastAsia" w:ascii="宋体" w:hAnsi="宋体" w:eastAsia="宋体" w:cs="宋体"/>
          <w:color w:val="auto"/>
          <w:sz w:val="24"/>
          <w:szCs w:val="24"/>
          <w:highlight w:val="none"/>
        </w:rPr>
        <w:t xml:space="preserve">在线申请获取采购文件（进入“项目采购”应用，在获取采购文件菜单中选择项目，申请获取采购文件）。 </w:t>
      </w:r>
    </w:p>
    <w:p w14:paraId="62DCC8F9">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售价（元）：</w:t>
      </w:r>
      <w:r>
        <w:rPr>
          <w:rFonts w:hint="eastAsia" w:ascii="宋体" w:hAnsi="宋体" w:eastAsia="宋体" w:cs="宋体"/>
          <w:color w:val="auto"/>
          <w:sz w:val="24"/>
          <w:szCs w:val="24"/>
          <w:highlight w:val="none"/>
        </w:rPr>
        <w:t xml:space="preserve">0 </w:t>
      </w:r>
      <w:r>
        <w:rPr>
          <w:rFonts w:hint="eastAsia" w:ascii="宋体" w:hAnsi="宋体" w:eastAsia="宋体" w:cs="宋体"/>
          <w:color w:val="auto"/>
          <w:sz w:val="24"/>
          <w:szCs w:val="24"/>
          <w:highlight w:val="none"/>
        </w:rPr>
        <w:tab/>
      </w:r>
    </w:p>
    <w:p w14:paraId="17EF1F36">
      <w:pPr>
        <w:keepNext w:val="0"/>
        <w:keepLines w:val="0"/>
        <w:pageBreakBefore w:val="0"/>
        <w:kinsoku/>
        <w:wordWrap/>
        <w:overflowPunct/>
        <w:topLinePunct w:val="0"/>
        <w:autoSpaceDE/>
        <w:autoSpaceDN/>
        <w:bidi w:val="0"/>
        <w:snapToGrid/>
        <w:spacing w:line="360" w:lineRule="auto"/>
        <w:textAlignment w:val="auto"/>
        <w:rPr>
          <w:rFonts w:hint="eastAsia" w:ascii="宋体" w:hAnsi="宋体" w:eastAsia="宋体" w:cs="宋体"/>
          <w:b/>
          <w:color w:val="auto"/>
          <w:sz w:val="24"/>
          <w:szCs w:val="24"/>
          <w:highlight w:val="none"/>
        </w:rPr>
      </w:pPr>
      <w:bookmarkStart w:id="19" w:name="_Toc35393625"/>
      <w:bookmarkStart w:id="20" w:name="_Toc28359007"/>
      <w:bookmarkStart w:id="21" w:name="_Toc35393794"/>
      <w:bookmarkStart w:id="22" w:name="_Toc28359084"/>
      <w:r>
        <w:rPr>
          <w:rFonts w:hint="eastAsia" w:ascii="宋体" w:hAnsi="宋体" w:eastAsia="宋体" w:cs="宋体"/>
          <w:b/>
          <w:color w:val="auto"/>
          <w:sz w:val="24"/>
          <w:szCs w:val="24"/>
          <w:highlight w:val="none"/>
        </w:rPr>
        <w:t>四、提交投标文件截止时间、开标时间和地点</w:t>
      </w:r>
    </w:p>
    <w:p w14:paraId="707579DA">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提交投标文件截止时间：</w:t>
      </w:r>
      <w:r>
        <w:rPr>
          <w:rFonts w:hint="eastAsia" w:ascii="宋体" w:hAnsi="宋体" w:eastAsia="宋体" w:cs="宋体"/>
          <w:color w:val="auto"/>
          <w:sz w:val="24"/>
          <w:szCs w:val="24"/>
          <w:highlight w:val="none"/>
          <w:u w:val="none"/>
        </w:rPr>
        <w:t>202</w:t>
      </w:r>
      <w:r>
        <w:rPr>
          <w:rFonts w:hint="eastAsia" w:ascii="宋体" w:hAnsi="宋体" w:cs="宋体"/>
          <w:color w:val="auto"/>
          <w:sz w:val="24"/>
          <w:szCs w:val="24"/>
          <w:highlight w:val="none"/>
          <w:u w:val="none"/>
          <w:lang w:val="en-US" w:eastAsia="zh-CN"/>
        </w:rPr>
        <w:t>5</w:t>
      </w:r>
      <w:r>
        <w:rPr>
          <w:rFonts w:hint="eastAsia" w:ascii="宋体" w:hAnsi="宋体" w:eastAsia="宋体" w:cs="宋体"/>
          <w:color w:val="auto"/>
          <w:sz w:val="24"/>
          <w:szCs w:val="24"/>
          <w:highlight w:val="none"/>
          <w:u w:val="none"/>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none"/>
        </w:rPr>
        <w:t>月</w:t>
      </w:r>
      <w:r>
        <w:rPr>
          <w:rFonts w:hint="eastAsia" w:ascii="宋体" w:hAnsi="宋体" w:cs="宋体"/>
          <w:color w:val="auto"/>
          <w:sz w:val="24"/>
          <w:szCs w:val="24"/>
          <w:highlight w:val="none"/>
          <w:u w:val="single"/>
          <w:lang w:val="en-US" w:eastAsia="zh-CN"/>
        </w:rPr>
        <w:t>27</w:t>
      </w:r>
      <w:r>
        <w:rPr>
          <w:rFonts w:hint="eastAsia" w:ascii="宋体" w:hAnsi="宋体" w:eastAsia="宋体" w:cs="宋体"/>
          <w:color w:val="auto"/>
          <w:sz w:val="24"/>
          <w:szCs w:val="24"/>
          <w:highlight w:val="none"/>
          <w:u w:val="none"/>
        </w:rPr>
        <w:t>日</w:t>
      </w:r>
      <w:r>
        <w:rPr>
          <w:rFonts w:hint="eastAsia" w:ascii="宋体" w:hAnsi="宋体" w:cs="宋体"/>
          <w:color w:val="auto"/>
          <w:sz w:val="24"/>
          <w:szCs w:val="24"/>
          <w:highlight w:val="none"/>
          <w:u w:val="single"/>
          <w:lang w:val="en-US" w:eastAsia="zh-CN"/>
        </w:rPr>
        <w:t>14</w:t>
      </w:r>
      <w:r>
        <w:rPr>
          <w:rFonts w:hint="eastAsia" w:ascii="宋体" w:hAnsi="宋体" w:eastAsia="宋体" w:cs="宋体"/>
          <w:color w:val="auto"/>
          <w:sz w:val="24"/>
          <w:szCs w:val="24"/>
          <w:highlight w:val="none"/>
          <w:u w:val="none"/>
        </w:rPr>
        <w:t>点</w:t>
      </w:r>
      <w:r>
        <w:rPr>
          <w:rFonts w:hint="eastAsia" w:ascii="宋体" w:hAnsi="宋体" w:cs="宋体"/>
          <w:color w:val="auto"/>
          <w:sz w:val="24"/>
          <w:szCs w:val="24"/>
          <w:highlight w:val="none"/>
          <w:u w:val="single"/>
          <w:lang w:val="en-US" w:eastAsia="zh-CN"/>
        </w:rPr>
        <w:t>00</w:t>
      </w:r>
      <w:r>
        <w:rPr>
          <w:rFonts w:hint="eastAsia" w:ascii="宋体" w:hAnsi="宋体" w:eastAsia="宋体" w:cs="宋体"/>
          <w:color w:val="auto"/>
          <w:sz w:val="24"/>
          <w:szCs w:val="24"/>
          <w:highlight w:val="none"/>
          <w:u w:val="none"/>
        </w:rPr>
        <w:t>分</w:t>
      </w:r>
      <w:r>
        <w:rPr>
          <w:rFonts w:hint="eastAsia" w:ascii="宋体" w:hAnsi="宋体" w:eastAsia="宋体" w:cs="宋体"/>
          <w:color w:val="auto"/>
          <w:sz w:val="24"/>
          <w:szCs w:val="24"/>
          <w:highlight w:val="none"/>
          <w:u w:val="single"/>
        </w:rPr>
        <w:t>00</w:t>
      </w:r>
      <w:r>
        <w:rPr>
          <w:rFonts w:hint="eastAsia" w:ascii="宋体" w:hAnsi="宋体" w:eastAsia="宋体" w:cs="宋体"/>
          <w:color w:val="auto"/>
          <w:sz w:val="24"/>
          <w:szCs w:val="24"/>
          <w:highlight w:val="none"/>
          <w:u w:val="none"/>
        </w:rPr>
        <w:t>秒</w:t>
      </w:r>
      <w:r>
        <w:rPr>
          <w:rFonts w:hint="eastAsia" w:ascii="宋体" w:hAnsi="宋体" w:eastAsia="宋体" w:cs="宋体"/>
          <w:color w:val="auto"/>
          <w:sz w:val="24"/>
          <w:szCs w:val="24"/>
          <w:highlight w:val="none"/>
        </w:rPr>
        <w:t>（北京时间）</w:t>
      </w:r>
    </w:p>
    <w:p w14:paraId="4C6CC707">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投标地点（网址）：</w:t>
      </w:r>
      <w:r>
        <w:rPr>
          <w:rFonts w:hint="eastAsia" w:ascii="宋体" w:hAnsi="宋体" w:eastAsia="宋体" w:cs="宋体"/>
          <w:color w:val="auto"/>
          <w:sz w:val="24"/>
        </w:rPr>
        <w:t>乐采云平台（</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"https://www.zcygov.cn/）获取（下载）招标文件，并于2021年" </w:instrText>
      </w:r>
      <w:r>
        <w:rPr>
          <w:rFonts w:hint="eastAsia" w:ascii="宋体" w:hAnsi="宋体" w:eastAsia="宋体" w:cs="宋体"/>
          <w:color w:val="auto"/>
        </w:rPr>
        <w:fldChar w:fldCharType="separate"/>
      </w:r>
      <w:r>
        <w:rPr>
          <w:rFonts w:hint="eastAsia" w:ascii="宋体" w:hAnsi="宋体" w:eastAsia="宋体" w:cs="宋体"/>
          <w:color w:val="auto"/>
          <w:sz w:val="24"/>
        </w:rPr>
        <w:t>https://xsnbsc.lecaiyun.com）</w:t>
      </w:r>
      <w:r>
        <w:rPr>
          <w:rFonts w:hint="eastAsia" w:ascii="宋体" w:hAnsi="宋体" w:eastAsia="宋体" w:cs="宋体"/>
          <w:color w:val="auto"/>
          <w:sz w:val="24"/>
        </w:rPr>
        <w:fldChar w:fldCharType="end"/>
      </w:r>
    </w:p>
    <w:p w14:paraId="70D2153B">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bCs/>
          <w:color w:val="auto"/>
          <w:sz w:val="24"/>
          <w:szCs w:val="24"/>
          <w:highlight w:val="none"/>
          <w:u w:val="single"/>
        </w:rPr>
      </w:pPr>
      <w:r>
        <w:rPr>
          <w:rFonts w:hint="eastAsia" w:ascii="宋体" w:hAnsi="宋体" w:eastAsia="宋体" w:cs="宋体"/>
          <w:b/>
          <w:color w:val="auto"/>
          <w:sz w:val="24"/>
          <w:szCs w:val="24"/>
          <w:highlight w:val="none"/>
        </w:rPr>
        <w:t>开标时间：</w:t>
      </w:r>
      <w:r>
        <w:rPr>
          <w:rFonts w:hint="eastAsia" w:ascii="宋体" w:hAnsi="宋体" w:eastAsia="宋体" w:cs="宋体"/>
          <w:color w:val="auto"/>
          <w:sz w:val="24"/>
          <w:szCs w:val="24"/>
          <w:highlight w:val="none"/>
          <w:u w:val="none"/>
        </w:rPr>
        <w:t>202</w:t>
      </w:r>
      <w:r>
        <w:rPr>
          <w:rFonts w:hint="eastAsia" w:ascii="宋体" w:hAnsi="宋体" w:cs="宋体"/>
          <w:color w:val="auto"/>
          <w:sz w:val="24"/>
          <w:szCs w:val="24"/>
          <w:highlight w:val="none"/>
          <w:u w:val="none"/>
          <w:lang w:val="en-US" w:eastAsia="zh-CN"/>
        </w:rPr>
        <w:t>5</w:t>
      </w:r>
      <w:r>
        <w:rPr>
          <w:rFonts w:hint="eastAsia" w:ascii="宋体" w:hAnsi="宋体" w:eastAsia="宋体" w:cs="宋体"/>
          <w:color w:val="auto"/>
          <w:sz w:val="24"/>
          <w:szCs w:val="24"/>
          <w:highlight w:val="none"/>
          <w:u w:val="none"/>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none"/>
        </w:rPr>
        <w:t>月</w:t>
      </w:r>
      <w:r>
        <w:rPr>
          <w:rFonts w:hint="eastAsia" w:ascii="宋体" w:hAnsi="宋体" w:cs="宋体"/>
          <w:color w:val="auto"/>
          <w:sz w:val="24"/>
          <w:szCs w:val="24"/>
          <w:highlight w:val="none"/>
          <w:u w:val="single"/>
          <w:lang w:val="en-US" w:eastAsia="zh-CN"/>
        </w:rPr>
        <w:t>27</w:t>
      </w:r>
      <w:r>
        <w:rPr>
          <w:rFonts w:hint="eastAsia" w:ascii="宋体" w:hAnsi="宋体" w:eastAsia="宋体" w:cs="宋体"/>
          <w:color w:val="auto"/>
          <w:sz w:val="24"/>
          <w:szCs w:val="24"/>
          <w:highlight w:val="none"/>
          <w:u w:val="none"/>
        </w:rPr>
        <w:t>日</w:t>
      </w:r>
      <w:r>
        <w:rPr>
          <w:rFonts w:hint="eastAsia" w:ascii="宋体" w:hAnsi="宋体" w:cs="宋体"/>
          <w:color w:val="auto"/>
          <w:sz w:val="24"/>
          <w:szCs w:val="24"/>
          <w:highlight w:val="none"/>
          <w:u w:val="single"/>
          <w:lang w:val="en-US" w:eastAsia="zh-CN"/>
        </w:rPr>
        <w:t>14</w:t>
      </w:r>
      <w:r>
        <w:rPr>
          <w:rFonts w:hint="eastAsia" w:ascii="宋体" w:hAnsi="宋体" w:eastAsia="宋体" w:cs="宋体"/>
          <w:color w:val="auto"/>
          <w:sz w:val="24"/>
          <w:szCs w:val="24"/>
          <w:highlight w:val="none"/>
          <w:u w:val="none"/>
        </w:rPr>
        <w:t>点</w:t>
      </w:r>
      <w:r>
        <w:rPr>
          <w:rFonts w:hint="eastAsia" w:ascii="宋体" w:hAnsi="宋体" w:cs="宋体"/>
          <w:color w:val="auto"/>
          <w:sz w:val="24"/>
          <w:szCs w:val="24"/>
          <w:highlight w:val="none"/>
          <w:u w:val="single"/>
          <w:lang w:val="en-US" w:eastAsia="zh-CN"/>
        </w:rPr>
        <w:t>00</w:t>
      </w:r>
      <w:r>
        <w:rPr>
          <w:rFonts w:hint="eastAsia" w:ascii="宋体" w:hAnsi="宋体" w:eastAsia="宋体" w:cs="宋体"/>
          <w:color w:val="auto"/>
          <w:sz w:val="24"/>
          <w:szCs w:val="24"/>
          <w:highlight w:val="none"/>
          <w:u w:val="none"/>
        </w:rPr>
        <w:t>分</w:t>
      </w:r>
      <w:r>
        <w:rPr>
          <w:rFonts w:hint="eastAsia" w:ascii="宋体" w:hAnsi="宋体" w:eastAsia="宋体" w:cs="宋体"/>
          <w:color w:val="auto"/>
          <w:sz w:val="24"/>
          <w:szCs w:val="24"/>
          <w:highlight w:val="none"/>
          <w:u w:val="single"/>
        </w:rPr>
        <w:t>00</w:t>
      </w:r>
      <w:r>
        <w:rPr>
          <w:rFonts w:hint="eastAsia" w:ascii="宋体" w:hAnsi="宋体" w:eastAsia="宋体" w:cs="宋体"/>
          <w:color w:val="auto"/>
          <w:sz w:val="24"/>
          <w:szCs w:val="24"/>
          <w:highlight w:val="none"/>
          <w:u w:val="none"/>
        </w:rPr>
        <w:t>秒</w:t>
      </w:r>
      <w:r>
        <w:rPr>
          <w:rFonts w:hint="eastAsia" w:ascii="宋体" w:hAnsi="宋体" w:eastAsia="宋体" w:cs="宋体"/>
          <w:color w:val="auto"/>
          <w:sz w:val="24"/>
          <w:szCs w:val="24"/>
          <w:highlight w:val="none"/>
        </w:rPr>
        <w:t>（北京时间）</w:t>
      </w:r>
    </w:p>
    <w:p w14:paraId="283685D8">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开标地点（网址）：</w:t>
      </w:r>
      <w:r>
        <w:rPr>
          <w:rFonts w:hint="eastAsia" w:ascii="宋体" w:hAnsi="宋体" w:eastAsia="宋体" w:cs="宋体"/>
          <w:color w:val="auto"/>
          <w:sz w:val="24"/>
        </w:rPr>
        <w:t>乐采云平台（</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"https://www.zcygov.cn/）获取（下载）招标文件，并于2021年" </w:instrText>
      </w:r>
      <w:r>
        <w:rPr>
          <w:rFonts w:hint="eastAsia" w:ascii="宋体" w:hAnsi="宋体" w:eastAsia="宋体" w:cs="宋体"/>
          <w:color w:val="auto"/>
        </w:rPr>
        <w:fldChar w:fldCharType="separate"/>
      </w:r>
      <w:r>
        <w:rPr>
          <w:rFonts w:hint="eastAsia" w:ascii="宋体" w:hAnsi="宋体" w:eastAsia="宋体" w:cs="宋体"/>
          <w:color w:val="auto"/>
          <w:sz w:val="24"/>
        </w:rPr>
        <w:t>https://xsnbsc.lecaiyun.com）</w:t>
      </w:r>
      <w:r>
        <w:rPr>
          <w:rFonts w:hint="eastAsia" w:ascii="宋体" w:hAnsi="宋体" w:eastAsia="宋体" w:cs="宋体"/>
          <w:color w:val="auto"/>
          <w:sz w:val="24"/>
        </w:rPr>
        <w:fldChar w:fldCharType="end"/>
      </w:r>
    </w:p>
    <w:p w14:paraId="40E4E88D">
      <w:pPr>
        <w:pStyle w:val="3"/>
        <w:pageBreakBefore w:val="0"/>
        <w:numPr>
          <w:ilvl w:val="0"/>
          <w:numId w:val="0"/>
        </w:numPr>
        <w:kinsoku/>
        <w:overflowPunct/>
        <w:topLinePunct w:val="0"/>
        <w:autoSpaceDE/>
        <w:autoSpaceDN/>
        <w:bidi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五、公告期限</w:t>
      </w:r>
      <w:bookmarkEnd w:id="19"/>
      <w:bookmarkEnd w:id="20"/>
      <w:bookmarkEnd w:id="21"/>
      <w:bookmarkEnd w:id="22"/>
    </w:p>
    <w:p w14:paraId="2DBF342E">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自本公告发布之日起5个工作日。</w:t>
      </w:r>
    </w:p>
    <w:p w14:paraId="7EFA9C7F">
      <w:pPr>
        <w:pStyle w:val="3"/>
        <w:pageBreakBefore w:val="0"/>
        <w:numPr>
          <w:ilvl w:val="0"/>
          <w:numId w:val="0"/>
        </w:numPr>
        <w:kinsoku/>
        <w:overflowPunct/>
        <w:topLinePunct w:val="0"/>
        <w:autoSpaceDE/>
        <w:autoSpaceDN/>
        <w:bidi w:val="0"/>
        <w:snapToGrid/>
        <w:spacing w:line="360" w:lineRule="auto"/>
        <w:textAlignment w:val="auto"/>
        <w:rPr>
          <w:rFonts w:hint="eastAsia" w:ascii="宋体" w:hAnsi="宋体" w:eastAsia="宋体" w:cs="宋体"/>
          <w:color w:val="auto"/>
          <w:sz w:val="24"/>
          <w:szCs w:val="24"/>
          <w:highlight w:val="none"/>
        </w:rPr>
      </w:pPr>
      <w:bookmarkStart w:id="23" w:name="_Toc35393626"/>
      <w:bookmarkStart w:id="24" w:name="_Toc35393795"/>
      <w:r>
        <w:rPr>
          <w:rFonts w:hint="eastAsia" w:ascii="宋体" w:hAnsi="宋体" w:eastAsia="宋体" w:cs="宋体"/>
          <w:color w:val="auto"/>
          <w:sz w:val="24"/>
          <w:szCs w:val="24"/>
          <w:highlight w:val="none"/>
        </w:rPr>
        <w:t>六、其他补充事宜</w:t>
      </w:r>
      <w:bookmarkEnd w:id="23"/>
      <w:bookmarkEnd w:id="24"/>
    </w:p>
    <w:p w14:paraId="4F0D09A9">
      <w:pPr>
        <w:pageBreakBefore w:val="0"/>
        <w:kinsoku/>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rPr>
      </w:pPr>
      <w:bookmarkStart w:id="25" w:name="_Toc35393796"/>
      <w:bookmarkStart w:id="26" w:name="_Toc28359008"/>
      <w:bookmarkStart w:id="27" w:name="_Toc28359085"/>
      <w:bookmarkStart w:id="28" w:name="_Toc35393627"/>
      <w:r>
        <w:rPr>
          <w:rFonts w:hint="eastAsia" w:ascii="宋体" w:hAnsi="宋体" w:eastAsia="宋体" w:cs="宋体"/>
          <w:color w:val="auto"/>
          <w:sz w:val="24"/>
          <w:szCs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7F0B8CE9">
      <w:pPr>
        <w:pageBreakBefore w:val="0"/>
        <w:kinsoku/>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2.电子招投标的说明：1）电子招投标：本项目以数据电文形式，依托“</w:t>
      </w:r>
      <w:r>
        <w:rPr>
          <w:rFonts w:hint="eastAsia" w:ascii="宋体" w:hAnsi="宋体" w:cs="宋体"/>
          <w:color w:val="auto"/>
          <w:sz w:val="24"/>
          <w:szCs w:val="24"/>
          <w:highlight w:val="none"/>
          <w:lang w:val="en-US" w:eastAsia="zh-CN"/>
        </w:rPr>
        <w:t>乐采</w:t>
      </w:r>
      <w:r>
        <w:rPr>
          <w:rFonts w:hint="eastAsia" w:ascii="宋体" w:hAnsi="宋体" w:eastAsia="宋体" w:cs="宋体"/>
          <w:color w:val="auto"/>
          <w:sz w:val="24"/>
          <w:szCs w:val="24"/>
          <w:highlight w:val="none"/>
        </w:rPr>
        <w:t>云平台”进行招投标活动，不接受纸质投标文件。2）投标准备：注册账号--点击“商家入驻”，进行采购供应商资料填写；申领CA数字证书---申领流程详见“浙江政府采购网-下载专区-电子交易客户端-CA驱动和申领流程”；安装“</w:t>
      </w:r>
      <w:r>
        <w:rPr>
          <w:rFonts w:hint="eastAsia" w:ascii="宋体" w:hAnsi="宋体" w:cs="宋体"/>
          <w:color w:val="auto"/>
          <w:sz w:val="24"/>
          <w:szCs w:val="24"/>
          <w:highlight w:val="none"/>
          <w:lang w:eastAsia="zh-CN"/>
        </w:rPr>
        <w:t>乐采云</w:t>
      </w:r>
      <w:r>
        <w:rPr>
          <w:rFonts w:hint="eastAsia" w:ascii="宋体" w:hAnsi="宋体" w:eastAsia="宋体" w:cs="宋体"/>
          <w:color w:val="auto"/>
          <w:sz w:val="24"/>
          <w:szCs w:val="24"/>
          <w:highlight w:val="none"/>
        </w:rPr>
        <w:t>电子交易客户端”----前往“浙江政府采购网-下载专区-电子交易客户端”进行下载并安装。3）招标文件的获取：使用账号登录或者使用CA登录</w:t>
      </w:r>
      <w:r>
        <w:rPr>
          <w:rFonts w:hint="eastAsia" w:ascii="宋体" w:hAnsi="宋体" w:cs="宋体"/>
          <w:color w:val="auto"/>
          <w:sz w:val="24"/>
          <w:szCs w:val="24"/>
          <w:highlight w:val="none"/>
          <w:lang w:eastAsia="zh-CN"/>
        </w:rPr>
        <w:t>乐采云</w:t>
      </w:r>
      <w:r>
        <w:rPr>
          <w:rFonts w:hint="eastAsia" w:ascii="宋体" w:hAnsi="宋体" w:eastAsia="宋体" w:cs="宋体"/>
          <w:color w:val="auto"/>
          <w:sz w:val="24"/>
          <w:szCs w:val="24"/>
          <w:highlight w:val="none"/>
        </w:rPr>
        <w:t>平台；进入“项目采购”应用，在获取采购文件菜单中选择项目，获取招标文件。4）投标文件的制作：在“</w:t>
      </w:r>
      <w:r>
        <w:rPr>
          <w:rFonts w:hint="eastAsia" w:ascii="宋体" w:hAnsi="宋体" w:cs="宋体"/>
          <w:color w:val="auto"/>
          <w:sz w:val="24"/>
          <w:szCs w:val="24"/>
          <w:highlight w:val="none"/>
          <w:lang w:eastAsia="zh-CN"/>
        </w:rPr>
        <w:t>乐采云</w:t>
      </w:r>
      <w:r>
        <w:rPr>
          <w:rFonts w:hint="eastAsia" w:ascii="宋体" w:hAnsi="宋体" w:eastAsia="宋体" w:cs="宋体"/>
          <w:color w:val="auto"/>
          <w:sz w:val="24"/>
          <w:szCs w:val="24"/>
          <w:highlight w:val="none"/>
        </w:rPr>
        <w:t>电子交易客户端”中完成“填写基本信息”、“导入投标文件”、“标书关联”、“标书检查”、“电子签章”、“生成电子标书”等操作。5）采购人、采购机构将依托</w:t>
      </w:r>
      <w:r>
        <w:rPr>
          <w:rFonts w:hint="eastAsia" w:ascii="宋体" w:hAnsi="宋体" w:cs="宋体"/>
          <w:color w:val="auto"/>
          <w:sz w:val="24"/>
          <w:szCs w:val="24"/>
          <w:highlight w:val="none"/>
          <w:lang w:eastAsia="zh-CN"/>
        </w:rPr>
        <w:t>乐采云</w:t>
      </w:r>
      <w:r>
        <w:rPr>
          <w:rFonts w:hint="eastAsia" w:ascii="宋体" w:hAnsi="宋体" w:eastAsia="宋体" w:cs="宋体"/>
          <w:color w:val="auto"/>
          <w:sz w:val="24"/>
          <w:szCs w:val="24"/>
          <w:highlight w:val="none"/>
        </w:rPr>
        <w:t>平台完成本项目的电子交易活动，平台不接受未按上述方式获取招标文件的供应商进行投标活动； 6）对未按上述方式获取招标文件的供应商对该文件提出的质疑，采购人或采购代理机构将不予处理；7）不提供招标文件纸质版。8）投标文件的传输递交：投标人在投标截止时间前将加密的投标文件上传至</w:t>
      </w:r>
      <w:r>
        <w:rPr>
          <w:rFonts w:hint="eastAsia" w:ascii="宋体" w:hAnsi="宋体" w:cs="宋体"/>
          <w:color w:val="auto"/>
          <w:sz w:val="24"/>
          <w:szCs w:val="24"/>
          <w:highlight w:val="none"/>
          <w:lang w:val="en-US" w:eastAsia="zh-CN"/>
        </w:rPr>
        <w:t>乐采</w:t>
      </w:r>
      <w:r>
        <w:rPr>
          <w:rFonts w:hint="eastAsia" w:ascii="宋体" w:hAnsi="宋体" w:eastAsia="宋体" w:cs="宋体"/>
          <w:color w:val="auto"/>
          <w:sz w:val="24"/>
          <w:szCs w:val="24"/>
          <w:highlight w:val="none"/>
        </w:rPr>
        <w:t>云平台，还可以在投标截止时间前直接提交或者以邮政快递方式递交备份投标文件1份。备份投标文件的制作、存储、密封详见招标文件第二部分第15点—“备份投标文件”。9）投标文件的解密：投标人按照平台提示和招标文件的规定在半小时内完成在线解密。通过“</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采云平台”上传递交的投标文件无法按时解密，投标供应商递交了备份投标文件的，以备份投标文件为依据，否则视为投标文件撤回。通过“</w:t>
      </w:r>
      <w:r>
        <w:rPr>
          <w:rFonts w:hint="eastAsia" w:ascii="宋体" w:hAnsi="宋体" w:cs="宋体"/>
          <w:color w:val="auto"/>
          <w:sz w:val="24"/>
          <w:szCs w:val="24"/>
          <w:highlight w:val="none"/>
          <w:lang w:val="en-US" w:eastAsia="zh-CN"/>
        </w:rPr>
        <w:t>乐采</w:t>
      </w:r>
      <w:r>
        <w:rPr>
          <w:rFonts w:hint="eastAsia" w:ascii="宋体" w:hAnsi="宋体" w:eastAsia="宋体" w:cs="宋体"/>
          <w:color w:val="auto"/>
          <w:sz w:val="24"/>
          <w:szCs w:val="24"/>
          <w:highlight w:val="none"/>
        </w:rPr>
        <w:t>云平台”上传递交的投标文件已按时解密的，备份投标文件自动失效。投标人仅提交备份投标文件，没有在电子交易平台传输递交投标文件的，投标无效。10）具体操作指南：详见</w:t>
      </w:r>
      <w:r>
        <w:rPr>
          <w:rFonts w:hint="eastAsia" w:ascii="宋体" w:hAnsi="宋体" w:cs="宋体"/>
          <w:color w:val="auto"/>
          <w:sz w:val="24"/>
          <w:szCs w:val="24"/>
          <w:highlight w:val="none"/>
          <w:lang w:eastAsia="zh-CN"/>
        </w:rPr>
        <w:t>乐采云</w:t>
      </w:r>
      <w:r>
        <w:rPr>
          <w:rFonts w:hint="eastAsia" w:ascii="宋体" w:hAnsi="宋体" w:eastAsia="宋体" w:cs="宋体"/>
          <w:color w:val="auto"/>
          <w:sz w:val="24"/>
          <w:szCs w:val="24"/>
          <w:highlight w:val="none"/>
        </w:rPr>
        <w:t>平台“服务中心-帮助文档-项目采购-操作流程-电子招投标-采购项目电子交易管理操作指南-供应商”。</w:t>
      </w:r>
    </w:p>
    <w:p w14:paraId="478FBB4C">
      <w:pPr>
        <w:pStyle w:val="3"/>
        <w:pageBreakBefore w:val="0"/>
        <w:numPr>
          <w:ilvl w:val="0"/>
          <w:numId w:val="0"/>
        </w:numPr>
        <w:kinsoku/>
        <w:overflowPunct/>
        <w:topLinePunct w:val="0"/>
        <w:autoSpaceDE/>
        <w:autoSpaceDN/>
        <w:bidi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七、对本次招标提出询问，请按以下方式联系。</w:t>
      </w:r>
      <w:bookmarkEnd w:id="25"/>
      <w:bookmarkEnd w:id="26"/>
      <w:bookmarkEnd w:id="27"/>
      <w:bookmarkEnd w:id="28"/>
    </w:p>
    <w:p w14:paraId="141335CA">
      <w:pPr>
        <w:spacing w:line="360" w:lineRule="auto"/>
        <w:ind w:firstLine="480" w:firstLineChars="200"/>
        <w:rPr>
          <w:rFonts w:hint="eastAsia" w:ascii="宋体" w:hAnsi="宋体" w:eastAsia="宋体" w:cs="宋体"/>
          <w:sz w:val="24"/>
        </w:rPr>
      </w:pPr>
      <w:r>
        <w:rPr>
          <w:rFonts w:hint="eastAsia" w:ascii="宋体" w:hAnsi="宋体" w:eastAsia="宋体" w:cs="宋体"/>
          <w:sz w:val="24"/>
        </w:rPr>
        <w:t>1.采购人信息</w:t>
      </w:r>
    </w:p>
    <w:p w14:paraId="19027FA7">
      <w:pPr>
        <w:spacing w:line="360" w:lineRule="auto"/>
        <w:ind w:firstLine="480" w:firstLineChars="200"/>
        <w:rPr>
          <w:rFonts w:hint="eastAsia" w:ascii="宋体" w:hAnsi="宋体" w:eastAsia="宋体" w:cs="宋体"/>
          <w:sz w:val="24"/>
          <w:lang w:eastAsia="zh-CN"/>
        </w:rPr>
      </w:pPr>
      <w:bookmarkStart w:id="29" w:name="_Toc28359009"/>
      <w:bookmarkStart w:id="30" w:name="_Toc28359086"/>
      <w:r>
        <w:rPr>
          <w:rFonts w:hint="eastAsia" w:ascii="宋体" w:hAnsi="宋体" w:eastAsia="宋体" w:cs="宋体"/>
          <w:sz w:val="24"/>
          <w:lang w:val="en-US" w:eastAsia="zh-CN"/>
        </w:rPr>
        <w:t>名称：杭州跨湖桥景区建设管理有限公司</w:t>
      </w:r>
    </w:p>
    <w:p w14:paraId="5B262152">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地址：</w:t>
      </w:r>
      <w:r>
        <w:rPr>
          <w:rFonts w:hint="eastAsia" w:ascii="宋体" w:hAnsi="宋体" w:eastAsia="宋体" w:cs="宋体"/>
          <w:sz w:val="24"/>
        </w:rPr>
        <w:t>萧山区湘湖路132号</w:t>
      </w:r>
    </w:p>
    <w:p w14:paraId="267DB60A">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项目联系人（询问）：</w:t>
      </w:r>
      <w:r>
        <w:rPr>
          <w:rFonts w:hint="eastAsia" w:ascii="宋体" w:hAnsi="宋体" w:cs="宋体"/>
          <w:sz w:val="24"/>
          <w:lang w:val="en-US" w:eastAsia="zh-CN"/>
        </w:rPr>
        <w:t>孔</w:t>
      </w:r>
      <w:r>
        <w:rPr>
          <w:rFonts w:hint="eastAsia" w:ascii="宋体" w:hAnsi="宋体" w:eastAsia="宋体" w:cs="宋体"/>
          <w:sz w:val="24"/>
          <w:lang w:val="en-US" w:eastAsia="zh-CN"/>
        </w:rPr>
        <w:t>先生</w:t>
      </w:r>
    </w:p>
    <w:p w14:paraId="0C09CE54">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项目联系方式（询问）：15355460065</w:t>
      </w:r>
    </w:p>
    <w:p w14:paraId="4630159E">
      <w:pPr>
        <w:spacing w:line="360" w:lineRule="auto"/>
        <w:ind w:firstLine="480" w:firstLineChars="200"/>
        <w:rPr>
          <w:rFonts w:hint="eastAsia" w:ascii="宋体" w:hAnsi="宋体" w:eastAsia="宋体" w:cs="宋体"/>
          <w:sz w:val="24"/>
        </w:rPr>
      </w:pPr>
      <w:r>
        <w:rPr>
          <w:rFonts w:hint="eastAsia" w:ascii="宋体" w:hAnsi="宋体" w:eastAsia="宋体" w:cs="宋体"/>
          <w:sz w:val="24"/>
        </w:rPr>
        <w:t>2.采购代理机构信息</w:t>
      </w:r>
      <w:bookmarkEnd w:id="29"/>
      <w:bookmarkEnd w:id="30"/>
    </w:p>
    <w:p w14:paraId="10755484">
      <w:pPr>
        <w:spacing w:line="360" w:lineRule="auto"/>
        <w:ind w:firstLine="480" w:firstLineChars="200"/>
        <w:rPr>
          <w:rFonts w:hint="eastAsia" w:ascii="宋体" w:hAnsi="宋体" w:eastAsia="宋体" w:cs="宋体"/>
          <w:sz w:val="24"/>
        </w:rPr>
      </w:pPr>
      <w:r>
        <w:rPr>
          <w:rFonts w:hint="eastAsia" w:ascii="宋体" w:hAnsi="宋体" w:eastAsia="宋体" w:cs="宋体"/>
          <w:sz w:val="24"/>
        </w:rPr>
        <w:t>名 称：浙江明业项目管理有限公司</w:t>
      </w:r>
    </w:p>
    <w:p w14:paraId="3E56C166">
      <w:pPr>
        <w:spacing w:line="360" w:lineRule="auto"/>
        <w:ind w:firstLine="480" w:firstLineChars="200"/>
        <w:rPr>
          <w:rFonts w:hint="eastAsia" w:ascii="宋体" w:hAnsi="宋体" w:eastAsia="宋体" w:cs="宋体"/>
          <w:sz w:val="24"/>
        </w:rPr>
      </w:pPr>
      <w:r>
        <w:rPr>
          <w:rFonts w:hint="eastAsia" w:ascii="宋体" w:hAnsi="宋体" w:eastAsia="宋体" w:cs="宋体"/>
          <w:sz w:val="24"/>
        </w:rPr>
        <w:t>地址：萧山区晨晖路1096号南和城4幢1单元21楼</w:t>
      </w:r>
    </w:p>
    <w:p w14:paraId="2CC78D64">
      <w:pPr>
        <w:spacing w:line="360" w:lineRule="auto"/>
        <w:ind w:firstLine="480" w:firstLineChars="200"/>
        <w:rPr>
          <w:rFonts w:hint="eastAsia" w:ascii="宋体" w:hAnsi="宋体" w:eastAsia="宋体" w:cs="宋体"/>
          <w:sz w:val="24"/>
        </w:rPr>
      </w:pPr>
      <w:r>
        <w:rPr>
          <w:rFonts w:hint="eastAsia" w:ascii="宋体" w:hAnsi="宋体" w:eastAsia="宋体" w:cs="宋体"/>
          <w:sz w:val="24"/>
        </w:rPr>
        <w:t>项目联系人：郑云</w:t>
      </w:r>
    </w:p>
    <w:p w14:paraId="2AA1311C">
      <w:pPr>
        <w:spacing w:line="360" w:lineRule="auto"/>
        <w:ind w:firstLine="480" w:firstLineChars="200"/>
        <w:rPr>
          <w:rFonts w:hint="eastAsia" w:ascii="宋体" w:hAnsi="宋体" w:eastAsia="宋体" w:cs="宋体"/>
          <w:sz w:val="24"/>
        </w:rPr>
      </w:pPr>
      <w:r>
        <w:rPr>
          <w:rFonts w:hint="eastAsia" w:ascii="宋体" w:hAnsi="宋体" w:eastAsia="宋体" w:cs="宋体"/>
          <w:sz w:val="24"/>
        </w:rPr>
        <w:t>项目联系方式：13735525956</w:t>
      </w:r>
    </w:p>
    <w:p w14:paraId="303AE987">
      <w:pPr>
        <w:spacing w:line="360" w:lineRule="auto"/>
        <w:ind w:firstLine="480" w:firstLineChars="200"/>
        <w:rPr>
          <w:rFonts w:hint="eastAsia" w:ascii="宋体" w:hAnsi="宋体" w:eastAsia="宋体" w:cs="宋体"/>
          <w:sz w:val="24"/>
        </w:rPr>
      </w:pPr>
      <w:r>
        <w:rPr>
          <w:rFonts w:hint="eastAsia" w:ascii="宋体" w:hAnsi="宋体" w:eastAsia="宋体" w:cs="宋体"/>
          <w:sz w:val="24"/>
        </w:rPr>
        <w:t>3.监督管理部门</w:t>
      </w:r>
    </w:p>
    <w:p w14:paraId="2A886356">
      <w:pPr>
        <w:spacing w:line="360" w:lineRule="auto"/>
        <w:ind w:firstLine="480" w:firstLineChars="200"/>
        <w:rPr>
          <w:rFonts w:hint="eastAsia" w:ascii="宋体" w:hAnsi="宋体" w:eastAsia="宋体" w:cs="宋体"/>
          <w:sz w:val="24"/>
        </w:rPr>
      </w:pPr>
      <w:r>
        <w:rPr>
          <w:rFonts w:hint="eastAsia" w:ascii="宋体" w:hAnsi="宋体" w:eastAsia="宋体" w:cs="宋体"/>
          <w:sz w:val="24"/>
        </w:rPr>
        <w:t>名称：浙江湘旅控股集团有限公司</w:t>
      </w:r>
    </w:p>
    <w:p w14:paraId="3C6F627F">
      <w:pPr>
        <w:spacing w:line="360" w:lineRule="auto"/>
        <w:ind w:firstLine="480" w:firstLineChars="200"/>
        <w:rPr>
          <w:rFonts w:hint="eastAsia" w:ascii="宋体" w:hAnsi="宋体" w:eastAsia="宋体" w:cs="宋体"/>
          <w:sz w:val="24"/>
        </w:rPr>
      </w:pPr>
      <w:r>
        <w:rPr>
          <w:rFonts w:hint="eastAsia" w:ascii="宋体" w:hAnsi="宋体" w:eastAsia="宋体" w:cs="宋体"/>
          <w:sz w:val="24"/>
        </w:rPr>
        <w:t>地址：杭州市萧山区湘湖金融小镇二期10号楼</w:t>
      </w:r>
    </w:p>
    <w:p w14:paraId="3119197B">
      <w:pPr>
        <w:spacing w:line="360" w:lineRule="auto"/>
        <w:ind w:firstLine="480" w:firstLineChars="200"/>
        <w:rPr>
          <w:rFonts w:hint="eastAsia" w:ascii="宋体" w:hAnsi="宋体" w:eastAsia="宋体" w:cs="宋体"/>
          <w:sz w:val="24"/>
        </w:rPr>
      </w:pPr>
      <w:r>
        <w:rPr>
          <w:rFonts w:hint="eastAsia" w:ascii="宋体" w:hAnsi="宋体" w:eastAsia="宋体" w:cs="宋体"/>
          <w:sz w:val="24"/>
        </w:rPr>
        <w:t>联系人：沈燕军</w:t>
      </w:r>
    </w:p>
    <w:p w14:paraId="20F780BB">
      <w:pPr>
        <w:spacing w:line="360" w:lineRule="auto"/>
        <w:ind w:firstLine="480" w:firstLineChars="200"/>
        <w:jc w:val="both"/>
        <w:rPr>
          <w:rFonts w:hint="eastAsia" w:ascii="宋体" w:hAnsi="宋体" w:eastAsia="宋体" w:cs="宋体"/>
          <w:sz w:val="24"/>
        </w:rPr>
      </w:pPr>
      <w:r>
        <w:rPr>
          <w:rFonts w:hint="eastAsia" w:ascii="宋体" w:hAnsi="宋体" w:eastAsia="宋体" w:cs="宋体"/>
          <w:sz w:val="24"/>
        </w:rPr>
        <w:t xml:space="preserve">监督投诉电话：0571-83825023 </w:t>
      </w:r>
    </w:p>
    <w:p w14:paraId="4EF31EDB">
      <w:pPr>
        <w:pStyle w:val="22"/>
        <w:rPr>
          <w:rFonts w:hint="eastAsia"/>
        </w:rPr>
      </w:pPr>
    </w:p>
    <w:p w14:paraId="7EA2DF00">
      <w:pPr>
        <w:pageBreakBefore w:val="0"/>
        <w:kinsoku/>
        <w:wordWrap w:val="0"/>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9168FBF">
      <w:pPr>
        <w:pStyle w:val="57"/>
        <w:jc w:val="both"/>
        <w:rPr>
          <w:rFonts w:hint="eastAsia" w:ascii="宋体" w:hAnsi="宋体" w:eastAsia="宋体" w:cs="宋体"/>
          <w:color w:val="auto"/>
          <w:highlight w:val="none"/>
          <w:lang w:val="en-US"/>
        </w:rPr>
      </w:pPr>
    </w:p>
    <w:p w14:paraId="4A64B42A">
      <w:pPr>
        <w:pStyle w:val="2"/>
        <w:rPr>
          <w:rFonts w:hint="eastAsia" w:ascii="宋体" w:hAnsi="宋体" w:eastAsia="宋体" w:cs="宋体"/>
          <w:color w:val="auto"/>
          <w:highlight w:val="none"/>
        </w:rPr>
      </w:pPr>
      <w:r>
        <w:rPr>
          <w:rFonts w:hint="eastAsia" w:ascii="宋体" w:hAnsi="宋体" w:eastAsia="宋体" w:cs="宋体"/>
          <w:color w:val="auto"/>
          <w:highlight w:val="none"/>
        </w:rPr>
        <w:br w:type="page"/>
      </w:r>
      <w:r>
        <w:rPr>
          <w:rFonts w:hint="eastAsia" w:ascii="宋体" w:hAnsi="宋体" w:eastAsia="宋体" w:cs="宋体"/>
          <w:color w:val="auto"/>
          <w:highlight w:val="none"/>
        </w:rPr>
        <w:t>第二部分</w:t>
      </w:r>
      <w:bookmarkEnd w:id="8"/>
      <w:r>
        <w:rPr>
          <w:rFonts w:hint="eastAsia" w:ascii="宋体" w:hAnsi="宋体" w:eastAsia="宋体" w:cs="宋体"/>
          <w:color w:val="auto"/>
          <w:highlight w:val="none"/>
        </w:rPr>
        <w:t xml:space="preserve"> 投标人须知</w:t>
      </w:r>
      <w:bookmarkEnd w:id="9"/>
    </w:p>
    <w:p w14:paraId="3B570908">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0"/>
        <w:tblW w:w="0" w:type="auto"/>
        <w:tblInd w:w="11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237"/>
      </w:tblGrid>
      <w:tr w14:paraId="0F72B9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14:paraId="2EEDDC41">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4602A2AC">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事项</w:t>
            </w:r>
          </w:p>
        </w:tc>
        <w:tc>
          <w:tcPr>
            <w:tcW w:w="6237" w:type="dxa"/>
            <w:tcBorders>
              <w:top w:val="single" w:color="000000" w:sz="8" w:space="0"/>
              <w:left w:val="single" w:color="000000" w:sz="2" w:space="0"/>
              <w:bottom w:val="single" w:color="000000" w:sz="8" w:space="0"/>
              <w:right w:val="single" w:color="000000" w:sz="8" w:space="0"/>
            </w:tcBorders>
            <w:vAlign w:val="center"/>
          </w:tcPr>
          <w:p w14:paraId="72CA688B">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本项目的特别规定</w:t>
            </w:r>
          </w:p>
        </w:tc>
      </w:tr>
      <w:tr w14:paraId="40EE65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4917" w:hRule="atLeast"/>
        </w:trPr>
        <w:tc>
          <w:tcPr>
            <w:tcW w:w="629" w:type="dxa"/>
            <w:tcBorders>
              <w:top w:val="single" w:color="auto" w:sz="4" w:space="0"/>
              <w:left w:val="single" w:color="auto" w:sz="4" w:space="0"/>
              <w:bottom w:val="single" w:color="auto" w:sz="4" w:space="0"/>
              <w:right w:val="single" w:color="auto" w:sz="4" w:space="0"/>
            </w:tcBorders>
            <w:vAlign w:val="center"/>
          </w:tcPr>
          <w:p w14:paraId="25A07C80">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60B22991">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报价要求</w:t>
            </w:r>
          </w:p>
        </w:tc>
        <w:tc>
          <w:tcPr>
            <w:tcW w:w="6237" w:type="dxa"/>
            <w:tcBorders>
              <w:top w:val="single" w:color="000000" w:sz="8" w:space="0"/>
              <w:left w:val="single" w:color="000000" w:sz="2" w:space="0"/>
              <w:bottom w:val="single" w:color="000000" w:sz="8" w:space="0"/>
              <w:right w:val="single" w:color="000000" w:sz="8" w:space="0"/>
            </w:tcBorders>
            <w:vAlign w:val="center"/>
          </w:tcPr>
          <w:p w14:paraId="01179058">
            <w:pPr>
              <w:keepNext w:val="0"/>
              <w:keepLines w:val="0"/>
              <w:pageBreakBefore w:val="0"/>
              <w:kinsoku/>
              <w:wordWrap/>
              <w:overflowPunct/>
              <w:topLinePunct w:val="0"/>
              <w:autoSpaceDE/>
              <w:autoSpaceDN/>
              <w:bidi w:val="0"/>
              <w:adjustRightInd w:val="0"/>
              <w:snapToGrid w:val="0"/>
              <w:spacing w:line="312" w:lineRule="auto"/>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有关本项目开展所需的</w:t>
            </w:r>
            <w:r>
              <w:rPr>
                <w:rFonts w:hint="eastAsia" w:ascii="宋体" w:hAnsi="宋体" w:eastAsia="宋体" w:cs="宋体"/>
                <w:color w:val="auto"/>
                <w:sz w:val="24"/>
                <w:szCs w:val="24"/>
                <w:highlight w:val="none"/>
              </w:rPr>
              <w:t>所有</w:t>
            </w:r>
            <w:r>
              <w:rPr>
                <w:rFonts w:hint="eastAsia" w:ascii="宋体" w:hAnsi="宋体" w:eastAsia="宋体" w:cs="宋体"/>
                <w:color w:val="auto"/>
                <w:kern w:val="0"/>
                <w:sz w:val="24"/>
                <w:szCs w:val="24"/>
                <w:highlight w:val="none"/>
                <w:lang w:val="zh-CN"/>
              </w:rPr>
              <w:t>费用均计入报价。</w:t>
            </w:r>
            <w:r>
              <w:rPr>
                <w:rFonts w:hint="eastAsia" w:ascii="宋体" w:hAnsi="宋体" w:eastAsia="宋体" w:cs="宋体"/>
                <w:color w:val="auto"/>
                <w:sz w:val="24"/>
                <w:szCs w:val="24"/>
                <w:highlight w:val="none"/>
              </w:rPr>
              <w:t>《投标（开标）一览表》是报价的唯一载体</w:t>
            </w:r>
            <w:r>
              <w:rPr>
                <w:rFonts w:hint="eastAsia" w:ascii="宋体" w:hAnsi="宋体" w:eastAsia="宋体" w:cs="宋体"/>
                <w:color w:val="auto"/>
                <w:kern w:val="0"/>
                <w:sz w:val="24"/>
                <w:szCs w:val="24"/>
                <w:highlight w:val="none"/>
                <w:lang w:val="zh-CN"/>
              </w:rPr>
              <w:t>。投标文件中价格全部采用人民币报价。招标文件未列明，而投标人认为必需的费用也需列入报价。</w:t>
            </w:r>
          </w:p>
          <w:p w14:paraId="7715AF53">
            <w:pPr>
              <w:keepNext w:val="0"/>
              <w:keepLines w:val="0"/>
              <w:pageBreakBefore w:val="0"/>
              <w:kinsoku/>
              <w:wordWrap/>
              <w:overflowPunct/>
              <w:topLinePunct w:val="0"/>
              <w:autoSpaceDE/>
              <w:autoSpaceDN/>
              <w:bidi w:val="0"/>
              <w:adjustRightInd w:val="0"/>
              <w:snapToGrid w:val="0"/>
              <w:spacing w:line="312" w:lineRule="auto"/>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投标报价出现下列情形的，投标无效：</w:t>
            </w:r>
          </w:p>
          <w:p w14:paraId="4DB52FB7">
            <w:pPr>
              <w:keepNext w:val="0"/>
              <w:keepLines w:val="0"/>
              <w:pageBreakBefore w:val="0"/>
              <w:kinsoku/>
              <w:wordWrap/>
              <w:overflowPunct/>
              <w:topLinePunct w:val="0"/>
              <w:autoSpaceDE/>
              <w:autoSpaceDN/>
              <w:bidi w:val="0"/>
              <w:adjustRightInd w:val="0"/>
              <w:snapToGrid w:val="0"/>
              <w:spacing w:line="312" w:lineRule="auto"/>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sz w:val="24"/>
                <w:szCs w:val="24"/>
                <w:highlight w:val="none"/>
              </w:rPr>
              <w:t>▲</w:t>
            </w:r>
            <w:r>
              <w:rPr>
                <w:rFonts w:hint="eastAsia" w:ascii="宋体" w:hAnsi="宋体" w:eastAsia="宋体" w:cs="宋体"/>
                <w:b/>
                <w:color w:val="auto"/>
                <w:kern w:val="0"/>
                <w:sz w:val="24"/>
                <w:szCs w:val="24"/>
                <w:highlight w:val="none"/>
                <w:lang w:val="zh-CN"/>
              </w:rPr>
              <w:t>投标文件出现不是唯一的、有选择性投标报价的；</w:t>
            </w:r>
          </w:p>
          <w:p w14:paraId="16543451">
            <w:pPr>
              <w:keepNext w:val="0"/>
              <w:keepLines w:val="0"/>
              <w:pageBreakBefore w:val="0"/>
              <w:kinsoku/>
              <w:wordWrap/>
              <w:overflowPunct/>
              <w:topLinePunct w:val="0"/>
              <w:autoSpaceDE/>
              <w:autoSpaceDN/>
              <w:bidi w:val="0"/>
              <w:adjustRightInd w:val="0"/>
              <w:snapToGrid w:val="0"/>
              <w:spacing w:line="312" w:lineRule="auto"/>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b/>
                <w:color w:val="auto"/>
                <w:sz w:val="24"/>
                <w:szCs w:val="24"/>
                <w:highlight w:val="none"/>
              </w:rPr>
              <w:t>▲投标报价高于本项目最高限价的;</w:t>
            </w:r>
          </w:p>
          <w:p w14:paraId="6D311CA3">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kern w:val="0"/>
                <w:sz w:val="24"/>
                <w:szCs w:val="24"/>
                <w:highlight w:val="none"/>
              </w:rPr>
              <w:t>报价明显低于其他通过符合性审查投标人的报价，有可能影响产品质量或者不能诚信履约的，未能按要求提供书面说明或者提交相关证明材料，不能证明其报价合理性的；</w:t>
            </w:r>
          </w:p>
          <w:p w14:paraId="693B019B">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▲《投标（开标）一览表》填写不完整或字迹不能辨认或有漏项的；</w:t>
            </w:r>
          </w:p>
          <w:p w14:paraId="21164070">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▲投标人对根据修正原则修正后的报价不确认的</w:t>
            </w:r>
            <w:r>
              <w:rPr>
                <w:rFonts w:hint="eastAsia" w:ascii="宋体" w:hAnsi="宋体" w:eastAsia="宋体" w:cs="宋体"/>
                <w:b/>
                <w:color w:val="auto"/>
                <w:sz w:val="24"/>
                <w:szCs w:val="24"/>
                <w:highlight w:val="none"/>
              </w:rPr>
              <w:t>。</w:t>
            </w:r>
          </w:p>
          <w:p w14:paraId="728CB02B">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rPr>
              <w:t>▲资格文件、商务技术文件与报价文件未分开制作</w:t>
            </w:r>
            <w:r>
              <w:rPr>
                <w:rFonts w:hint="eastAsia" w:ascii="宋体" w:hAnsi="宋体" w:eastAsia="宋体" w:cs="宋体"/>
                <w:b/>
                <w:color w:val="auto"/>
                <w:sz w:val="24"/>
                <w:szCs w:val="24"/>
                <w:highlight w:val="none"/>
              </w:rPr>
              <w:t>。</w:t>
            </w:r>
          </w:p>
        </w:tc>
      </w:tr>
      <w:tr w14:paraId="47E224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31" w:hRule="atLeast"/>
        </w:trPr>
        <w:tc>
          <w:tcPr>
            <w:tcW w:w="629" w:type="dxa"/>
            <w:tcBorders>
              <w:top w:val="single" w:color="auto" w:sz="4" w:space="0"/>
              <w:left w:val="single" w:color="auto" w:sz="4" w:space="0"/>
              <w:bottom w:val="single" w:color="auto" w:sz="4" w:space="0"/>
              <w:right w:val="single" w:color="auto" w:sz="4" w:space="0"/>
            </w:tcBorders>
            <w:vAlign w:val="center"/>
          </w:tcPr>
          <w:p w14:paraId="068C2507">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3DBB15FB">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分包或转包。</w:t>
            </w:r>
          </w:p>
        </w:tc>
        <w:tc>
          <w:tcPr>
            <w:tcW w:w="6237" w:type="dxa"/>
            <w:tcBorders>
              <w:top w:val="single" w:color="000000" w:sz="8" w:space="0"/>
              <w:left w:val="single" w:color="000000" w:sz="2" w:space="0"/>
              <w:bottom w:val="single" w:color="000000" w:sz="8" w:space="0"/>
              <w:right w:val="single" w:color="000000" w:sz="8" w:space="0"/>
            </w:tcBorders>
            <w:vAlign w:val="center"/>
          </w:tcPr>
          <w:p w14:paraId="2A82B703">
            <w:pPr>
              <w:keepNext w:val="0"/>
              <w:keepLines w:val="0"/>
              <w:pageBreakBefore w:val="0"/>
              <w:kinsoku/>
              <w:wordWrap/>
              <w:overflowPunct/>
              <w:topLinePunct w:val="0"/>
              <w:autoSpaceDE/>
              <w:autoSpaceDN/>
              <w:bidi w:val="0"/>
              <w:adjustRightInd w:val="0"/>
              <w:snapToGri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不同意分包。</w:t>
            </w:r>
          </w:p>
        </w:tc>
      </w:tr>
      <w:tr w14:paraId="17D937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2157" w:hRule="atLeast"/>
        </w:trPr>
        <w:tc>
          <w:tcPr>
            <w:tcW w:w="629" w:type="dxa"/>
            <w:tcBorders>
              <w:top w:val="single" w:color="auto" w:sz="4" w:space="0"/>
              <w:left w:val="single" w:color="auto" w:sz="4" w:space="0"/>
              <w:bottom w:val="single" w:color="auto" w:sz="4" w:space="0"/>
              <w:right w:val="single" w:color="auto" w:sz="4" w:space="0"/>
            </w:tcBorders>
            <w:vAlign w:val="center"/>
          </w:tcPr>
          <w:p w14:paraId="4B1C8F68">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p>
          <w:p w14:paraId="14F898B8">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p>
          <w:p w14:paraId="706943DC">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46B7D1A8">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投标人应当提供的资格、资信证明等文件</w:t>
            </w:r>
          </w:p>
        </w:tc>
        <w:tc>
          <w:tcPr>
            <w:tcW w:w="6237" w:type="dxa"/>
            <w:tcBorders>
              <w:top w:val="single" w:color="000000" w:sz="8" w:space="0"/>
              <w:left w:val="single" w:color="000000" w:sz="2" w:space="0"/>
              <w:bottom w:val="single" w:color="000000" w:sz="8" w:space="0"/>
              <w:right w:val="single" w:color="000000" w:sz="8" w:space="0"/>
            </w:tcBorders>
            <w:vAlign w:val="center"/>
          </w:tcPr>
          <w:p w14:paraId="0637474A">
            <w:pPr>
              <w:keepNext w:val="0"/>
              <w:keepLines w:val="0"/>
              <w:pageBreakBefore w:val="0"/>
              <w:numPr>
                <w:ilvl w:val="0"/>
                <w:numId w:val="9"/>
              </w:numPr>
              <w:kinsoku/>
              <w:wordWrap/>
              <w:overflowPunct/>
              <w:topLinePunct w:val="0"/>
              <w:autoSpaceDE/>
              <w:autoSpaceDN/>
              <w:bidi w:val="0"/>
              <w:adjustRightInd w:val="0"/>
              <w:spacing w:line="312"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资格证明文件：</w:t>
            </w:r>
            <w:r>
              <w:rPr>
                <w:rFonts w:hint="eastAsia" w:ascii="宋体" w:hAnsi="宋体" w:eastAsia="宋体" w:cs="宋体"/>
                <w:color w:val="auto"/>
                <w:kern w:val="0"/>
                <w:sz w:val="24"/>
                <w:szCs w:val="24"/>
                <w:highlight w:val="none"/>
              </w:rPr>
              <w:t>见招标文件第二部分11.1。</w:t>
            </w:r>
          </w:p>
          <w:p w14:paraId="3D016286">
            <w:pPr>
              <w:keepNext w:val="0"/>
              <w:keepLines w:val="0"/>
              <w:pageBreakBefore w:val="0"/>
              <w:numPr>
                <w:ilvl w:val="0"/>
                <w:numId w:val="9"/>
              </w:numPr>
              <w:kinsoku/>
              <w:wordWrap/>
              <w:overflowPunct/>
              <w:topLinePunct w:val="0"/>
              <w:autoSpaceDE/>
              <w:autoSpaceDN/>
              <w:bidi w:val="0"/>
              <w:adjustRightIn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资信证明文件：根据招标文件第四部分评标标准提供。</w:t>
            </w:r>
          </w:p>
          <w:p w14:paraId="04AA7FF3">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投标人未提供（1）的有效的资格证明文件的，视为投标人不具备招标文件中规定的资格要求，投标无效。</w:t>
            </w:r>
          </w:p>
        </w:tc>
      </w:tr>
      <w:tr w14:paraId="79C93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14:paraId="5AE5616D">
            <w:pPr>
              <w:keepNext w:val="0"/>
              <w:keepLines w:val="0"/>
              <w:pageBreakBefore w:val="0"/>
              <w:kinsoku/>
              <w:wordWrap/>
              <w:overflowPunct/>
              <w:topLinePunct w:val="0"/>
              <w:autoSpaceDE/>
              <w:autoSpaceDN/>
              <w:bidi w:val="0"/>
              <w:adjustRightInd w:val="0"/>
              <w:snapToGrid w:val="0"/>
              <w:spacing w:line="312" w:lineRule="auto"/>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7670D4D2">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开标前答疑会或现场考察</w:t>
            </w:r>
          </w:p>
        </w:tc>
        <w:tc>
          <w:tcPr>
            <w:tcW w:w="6237" w:type="dxa"/>
            <w:tcBorders>
              <w:top w:val="single" w:color="auto" w:sz="4" w:space="0"/>
              <w:left w:val="single" w:color="000000" w:sz="2" w:space="0"/>
              <w:bottom w:val="single" w:color="000000" w:sz="8" w:space="0"/>
              <w:right w:val="single" w:color="000000" w:sz="8" w:space="0"/>
            </w:tcBorders>
            <w:vAlign w:val="center"/>
          </w:tcPr>
          <w:p w14:paraId="6A295636">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不组织。</w:t>
            </w:r>
          </w:p>
        </w:tc>
      </w:tr>
      <w:tr w14:paraId="704046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14:paraId="3E0C549D">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69EC292F">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样品提供</w:t>
            </w:r>
          </w:p>
        </w:tc>
        <w:tc>
          <w:tcPr>
            <w:tcW w:w="6237"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036CA35">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eastAsia="zh-CN"/>
              </w:rPr>
              <w:t>不</w:t>
            </w:r>
            <w:r>
              <w:rPr>
                <w:rFonts w:hint="eastAsia" w:ascii="宋体" w:hAnsi="宋体" w:eastAsia="宋体" w:cs="宋体"/>
                <w:color w:val="auto"/>
                <w:kern w:val="0"/>
                <w:sz w:val="24"/>
                <w:szCs w:val="24"/>
                <w:highlight w:val="none"/>
              </w:rPr>
              <w:t>要求提供</w:t>
            </w:r>
          </w:p>
        </w:tc>
      </w:tr>
      <w:tr w14:paraId="790B31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14:paraId="0F22BE6D">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p w14:paraId="7349B07D">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p>
        </w:tc>
        <w:tc>
          <w:tcPr>
            <w:tcW w:w="1559" w:type="dxa"/>
            <w:tcBorders>
              <w:top w:val="single" w:color="000000" w:sz="8" w:space="0"/>
              <w:left w:val="single" w:color="auto" w:sz="4" w:space="0"/>
              <w:bottom w:val="single" w:color="000000" w:sz="8" w:space="0"/>
              <w:right w:val="single" w:color="000000" w:sz="8" w:space="0"/>
            </w:tcBorders>
            <w:vAlign w:val="center"/>
          </w:tcPr>
          <w:p w14:paraId="01C358AA">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投标文件的份数</w:t>
            </w:r>
          </w:p>
        </w:tc>
        <w:tc>
          <w:tcPr>
            <w:tcW w:w="6237" w:type="dxa"/>
            <w:tcBorders>
              <w:top w:val="single" w:color="000000" w:sz="8" w:space="0"/>
              <w:left w:val="single" w:color="000000" w:sz="2" w:space="0"/>
              <w:bottom w:val="single" w:color="000000" w:sz="8" w:space="0"/>
              <w:right w:val="single" w:color="000000" w:sz="8" w:space="0"/>
            </w:tcBorders>
            <w:vAlign w:val="center"/>
          </w:tcPr>
          <w:p w14:paraId="2BE4AC03">
            <w:pPr>
              <w:pStyle w:val="32"/>
              <w:keepNext w:val="0"/>
              <w:keepLines w:val="0"/>
              <w:pageBreakBefore w:val="0"/>
              <w:kinsoku/>
              <w:wordWrap/>
              <w:overflowPunct/>
              <w:topLinePunct w:val="0"/>
              <w:autoSpaceDE/>
              <w:autoSpaceDN/>
              <w:bidi w:val="0"/>
              <w:adjustRightInd w:val="0"/>
              <w:snapToGri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本项目实行电子投标。</w:t>
            </w:r>
          </w:p>
          <w:p w14:paraId="38A2C3FF">
            <w:pPr>
              <w:pStyle w:val="32"/>
              <w:keepNext w:val="0"/>
              <w:keepLines w:val="0"/>
              <w:pageBreakBefore w:val="0"/>
              <w:kinsoku/>
              <w:wordWrap/>
              <w:overflowPunct/>
              <w:topLinePunct w:val="0"/>
              <w:autoSpaceDE/>
              <w:autoSpaceDN/>
              <w:bidi w:val="0"/>
              <w:adjustRightInd w:val="0"/>
              <w:snapToGrid w:val="0"/>
              <w:spacing w:line="312" w:lineRule="auto"/>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供应商应准备电子投标文件参与投标：</w:t>
            </w:r>
          </w:p>
          <w:p w14:paraId="09314B16">
            <w:pPr>
              <w:pStyle w:val="32"/>
              <w:keepNext w:val="0"/>
              <w:keepLines w:val="0"/>
              <w:pageBreakBefore w:val="0"/>
              <w:numPr>
                <w:ilvl w:val="0"/>
                <w:numId w:val="10"/>
              </w:numPr>
              <w:kinsoku/>
              <w:wordWrap/>
              <w:overflowPunct/>
              <w:topLinePunct w:val="0"/>
              <w:autoSpaceDE/>
              <w:autoSpaceDN/>
              <w:bidi w:val="0"/>
              <w:adjustRightInd w:val="0"/>
              <w:snapToGri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电子投标文件，按</w:t>
            </w:r>
            <w:r>
              <w:rPr>
                <w:rFonts w:hint="eastAsia" w:hAnsi="宋体" w:cs="宋体"/>
                <w:color w:val="auto"/>
                <w:sz w:val="24"/>
                <w:szCs w:val="24"/>
                <w:highlight w:val="none"/>
                <w:lang w:eastAsia="zh-CN"/>
              </w:rPr>
              <w:t>乐采云</w:t>
            </w:r>
            <w:r>
              <w:rPr>
                <w:rFonts w:hint="eastAsia" w:ascii="宋体" w:hAnsi="宋体" w:eastAsia="宋体" w:cs="宋体"/>
                <w:color w:val="auto"/>
                <w:sz w:val="24"/>
                <w:szCs w:val="24"/>
                <w:highlight w:val="none"/>
              </w:rPr>
              <w:t>平台项目采购-电子招投标操作指南及本招标文件要求递交。</w:t>
            </w:r>
          </w:p>
          <w:p w14:paraId="74F46BB4">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▲未传输递交电子投标文件的，投标无效。</w:t>
            </w:r>
          </w:p>
          <w:p w14:paraId="6DCFCF48">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▲未在系统解密时间内完成解密的，视为投标人自行放弃投标，投标无效。</w:t>
            </w:r>
          </w:p>
          <w:p w14:paraId="10D7B550">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本项目备份投标文件：不提供</w:t>
            </w:r>
          </w:p>
        </w:tc>
      </w:tr>
      <w:tr w14:paraId="0C5382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455"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9EF9541">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2D39DEE7">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方案讲解演示</w:t>
            </w:r>
          </w:p>
        </w:tc>
        <w:tc>
          <w:tcPr>
            <w:tcW w:w="6237" w:type="dxa"/>
            <w:tcBorders>
              <w:top w:val="single" w:color="000000" w:sz="8" w:space="0"/>
              <w:left w:val="single" w:color="000000" w:sz="2" w:space="0"/>
              <w:bottom w:val="single" w:color="000000" w:sz="8" w:space="0"/>
              <w:right w:val="single" w:color="000000" w:sz="8" w:space="0"/>
            </w:tcBorders>
            <w:vAlign w:val="center"/>
          </w:tcPr>
          <w:p w14:paraId="56C8F598">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不组织。</w:t>
            </w:r>
          </w:p>
        </w:tc>
      </w:tr>
      <w:tr w14:paraId="13A281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62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3156686">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20FC845E">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投标保证金</w:t>
            </w:r>
          </w:p>
          <w:p w14:paraId="469E8EE5">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履约保证金</w:t>
            </w:r>
          </w:p>
        </w:tc>
        <w:tc>
          <w:tcPr>
            <w:tcW w:w="6237" w:type="dxa"/>
            <w:tcBorders>
              <w:top w:val="single" w:color="000000" w:sz="8" w:space="0"/>
              <w:left w:val="single" w:color="000000" w:sz="2" w:space="0"/>
              <w:bottom w:val="single" w:color="000000" w:sz="8" w:space="0"/>
              <w:right w:val="single" w:color="000000" w:sz="8" w:space="0"/>
            </w:tcBorders>
            <w:vAlign w:val="center"/>
          </w:tcPr>
          <w:p w14:paraId="51B84085">
            <w:pPr>
              <w:pStyle w:val="15"/>
              <w:keepNext w:val="0"/>
              <w:keepLines w:val="0"/>
              <w:pageBreakBefore w:val="0"/>
              <w:kinsoku/>
              <w:wordWrap/>
              <w:overflowPunct/>
              <w:topLinePunct w:val="0"/>
              <w:autoSpaceDE/>
              <w:autoSpaceDN/>
              <w:bidi w:val="0"/>
              <w:adjustRightInd w:val="0"/>
              <w:spacing w:line="312" w:lineRule="auto"/>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投标保证金：不收取。</w:t>
            </w:r>
          </w:p>
          <w:p w14:paraId="5BA5D294">
            <w:pPr>
              <w:pStyle w:val="15"/>
              <w:keepNext w:val="0"/>
              <w:keepLines w:val="0"/>
              <w:pageBreakBefore w:val="0"/>
              <w:kinsoku/>
              <w:wordWrap/>
              <w:overflowPunct/>
              <w:topLinePunct w:val="0"/>
              <w:autoSpaceDE/>
              <w:autoSpaceDN/>
              <w:bidi w:val="0"/>
              <w:adjustRightInd w:val="0"/>
              <w:spacing w:line="312" w:lineRule="auto"/>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履约保证金：收取合同金额的</w:t>
            </w:r>
            <w:r>
              <w:rPr>
                <w:rFonts w:hint="eastAsia" w:hAnsi="宋体" w:cs="宋体"/>
                <w:color w:val="auto"/>
                <w:sz w:val="24"/>
                <w:szCs w:val="24"/>
                <w:highlight w:val="none"/>
                <w:lang w:val="en-US" w:eastAsia="zh-CN"/>
              </w:rPr>
              <w:t>1</w:t>
            </w:r>
            <w:r>
              <w:rPr>
                <w:rFonts w:hint="eastAsia" w:ascii="宋体" w:hAnsi="宋体" w:eastAsia="宋体" w:cs="宋体"/>
                <w:color w:val="auto"/>
                <w:sz w:val="24"/>
                <w:szCs w:val="24"/>
                <w:highlight w:val="none"/>
              </w:rPr>
              <w:t>%</w:t>
            </w:r>
          </w:p>
          <w:p w14:paraId="0F740D7D">
            <w:pPr>
              <w:pStyle w:val="15"/>
              <w:keepNext w:val="0"/>
              <w:keepLines w:val="0"/>
              <w:pageBreakBefore w:val="0"/>
              <w:kinsoku/>
              <w:wordWrap/>
              <w:overflowPunct/>
              <w:topLinePunct w:val="0"/>
              <w:autoSpaceDE/>
              <w:autoSpaceDN/>
              <w:bidi w:val="0"/>
              <w:adjustRightInd w:val="0"/>
              <w:spacing w:line="312" w:lineRule="auto"/>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供应商应当以支票、汇票、本票或者金融机构、担保机构出具的保函等非现金形式提交。</w:t>
            </w:r>
          </w:p>
        </w:tc>
      </w:tr>
      <w:tr w14:paraId="1911DE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38"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11488D8F">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472BC12F">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资格审查及信用信息查询</w:t>
            </w:r>
          </w:p>
        </w:tc>
        <w:tc>
          <w:tcPr>
            <w:tcW w:w="6237" w:type="dxa"/>
            <w:tcBorders>
              <w:top w:val="single" w:color="000000" w:sz="8" w:space="0"/>
              <w:left w:val="single" w:color="000000" w:sz="2" w:space="0"/>
              <w:bottom w:val="single" w:color="000000" w:sz="8" w:space="0"/>
              <w:right w:val="single" w:color="000000" w:sz="8" w:space="0"/>
            </w:tcBorders>
            <w:vAlign w:val="center"/>
          </w:tcPr>
          <w:p w14:paraId="526C5A2B">
            <w:pPr>
              <w:pStyle w:val="15"/>
              <w:keepNext w:val="0"/>
              <w:keepLines w:val="0"/>
              <w:pageBreakBefore w:val="0"/>
              <w:kinsoku/>
              <w:wordWrap/>
              <w:overflowPunct/>
              <w:topLinePunct w:val="0"/>
              <w:autoSpaceDE/>
              <w:autoSpaceDN/>
              <w:bidi w:val="0"/>
              <w:adjustRightInd w:val="0"/>
              <w:spacing w:line="312" w:lineRule="auto"/>
              <w:ind w:firstLine="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本项目由采购人进行资格文件及信用信息查询。</w:t>
            </w:r>
          </w:p>
        </w:tc>
      </w:tr>
      <w:tr w14:paraId="08D95A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71"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818F661">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5A6425EA">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质疑接收人及答复</w:t>
            </w:r>
          </w:p>
        </w:tc>
        <w:tc>
          <w:tcPr>
            <w:tcW w:w="6237" w:type="dxa"/>
            <w:tcBorders>
              <w:top w:val="single" w:color="000000" w:sz="8" w:space="0"/>
              <w:left w:val="single" w:color="000000" w:sz="2" w:space="0"/>
              <w:bottom w:val="single" w:color="000000" w:sz="8" w:space="0"/>
              <w:right w:val="single" w:color="000000" w:sz="8" w:space="0"/>
            </w:tcBorders>
            <w:vAlign w:val="center"/>
          </w:tcPr>
          <w:p w14:paraId="227A526A">
            <w:pPr>
              <w:keepNext w:val="0"/>
              <w:keepLines w:val="0"/>
              <w:pageBreakBefore w:val="0"/>
              <w:kinsoku/>
              <w:wordWrap/>
              <w:overflowPunct/>
              <w:topLinePunct w:val="0"/>
              <w:autoSpaceDE/>
              <w:autoSpaceDN/>
              <w:bidi w:val="0"/>
              <w:adjustRightInd w:val="0"/>
              <w:snapToGrid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详见招标公告</w:t>
            </w:r>
          </w:p>
          <w:p w14:paraId="6883B0AE">
            <w:pPr>
              <w:keepNext w:val="0"/>
              <w:keepLines w:val="0"/>
              <w:pageBreakBefore w:val="0"/>
              <w:kinsoku/>
              <w:wordWrap/>
              <w:overflowPunct/>
              <w:topLinePunct w:val="0"/>
              <w:autoSpaceDE/>
              <w:autoSpaceDN/>
              <w:bidi w:val="0"/>
              <w:adjustRightInd w:val="0"/>
              <w:snapToGrid w:val="0"/>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如通过邮箱方式发送质疑，须提交符合法规及招标文件要求的质疑文件（参考附件2），盖章扫描后发送，质疑的受理按答复主体划分以采购人或采购机构邮箱回复确认受理为准。</w:t>
            </w:r>
          </w:p>
          <w:p w14:paraId="2A25BD19">
            <w:pPr>
              <w:keepNext w:val="0"/>
              <w:keepLines w:val="0"/>
              <w:pageBreakBefore w:val="0"/>
              <w:kinsoku/>
              <w:wordWrap/>
              <w:overflowPunct/>
              <w:topLinePunct w:val="0"/>
              <w:autoSpaceDE/>
              <w:autoSpaceDN/>
              <w:bidi w:val="0"/>
              <w:adjustRightInd w:val="0"/>
              <w:snapToGri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本项目涉及资格条件、采购需求、评分办法及采购过程中有关现场考察或开标前答疑会事项由采购人进行答复。</w:t>
            </w:r>
          </w:p>
          <w:p w14:paraId="722EFB63">
            <w:pPr>
              <w:keepNext w:val="0"/>
              <w:keepLines w:val="0"/>
              <w:pageBreakBefore w:val="0"/>
              <w:kinsoku/>
              <w:wordWrap/>
              <w:overflowPunct/>
              <w:topLinePunct w:val="0"/>
              <w:autoSpaceDE/>
              <w:autoSpaceDN/>
              <w:bidi w:val="0"/>
              <w:adjustRightInd w:val="0"/>
              <w:snapToGrid w:val="0"/>
              <w:spacing w:line="312" w:lineRule="auto"/>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涉及流程组织等相关事项，由采购机构进行答复。</w:t>
            </w:r>
          </w:p>
        </w:tc>
      </w:tr>
      <w:tr w14:paraId="18BD12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99"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A7A02AB">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20CE2FFA">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项目采购类型</w:t>
            </w:r>
          </w:p>
        </w:tc>
        <w:tc>
          <w:tcPr>
            <w:tcW w:w="6237" w:type="dxa"/>
            <w:tcBorders>
              <w:top w:val="single" w:color="000000" w:sz="8" w:space="0"/>
              <w:left w:val="single" w:color="000000" w:sz="2" w:space="0"/>
              <w:bottom w:val="single" w:color="000000" w:sz="8" w:space="0"/>
              <w:right w:val="single" w:color="000000" w:sz="8" w:space="0"/>
            </w:tcBorders>
            <w:vAlign w:val="center"/>
          </w:tcPr>
          <w:p w14:paraId="1AA354E9">
            <w:pPr>
              <w:keepNext w:val="0"/>
              <w:keepLines w:val="0"/>
              <w:pageBreakBefore w:val="0"/>
              <w:kinsoku/>
              <w:wordWrap/>
              <w:overflowPunct/>
              <w:topLinePunct w:val="0"/>
              <w:autoSpaceDE/>
              <w:autoSpaceDN/>
              <w:bidi w:val="0"/>
              <w:adjustRightInd w:val="0"/>
              <w:snapToGri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本项目为</w:t>
            </w:r>
            <w:r>
              <w:rPr>
                <w:rFonts w:hint="eastAsia" w:ascii="宋体" w:hAnsi="宋体" w:cs="宋体"/>
                <w:color w:val="auto"/>
                <w:sz w:val="24"/>
                <w:szCs w:val="24"/>
                <w:highlight w:val="none"/>
                <w:u w:val="single"/>
                <w:lang w:eastAsia="zh-CN"/>
              </w:rPr>
              <w:t>服务</w:t>
            </w:r>
            <w:r>
              <w:rPr>
                <w:rFonts w:hint="eastAsia" w:ascii="宋体" w:hAnsi="宋体" w:eastAsia="宋体" w:cs="宋体"/>
                <w:color w:val="auto"/>
                <w:sz w:val="24"/>
                <w:szCs w:val="24"/>
                <w:highlight w:val="none"/>
                <w:u w:val="single"/>
              </w:rPr>
              <w:t>类</w:t>
            </w:r>
            <w:r>
              <w:rPr>
                <w:rFonts w:hint="eastAsia" w:ascii="宋体" w:hAnsi="宋体" w:eastAsia="宋体" w:cs="宋体"/>
                <w:color w:val="auto"/>
                <w:sz w:val="24"/>
                <w:szCs w:val="24"/>
                <w:highlight w:val="none"/>
              </w:rPr>
              <w:t>采购项目</w:t>
            </w:r>
          </w:p>
        </w:tc>
      </w:tr>
      <w:tr w14:paraId="62517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47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7A6925E1">
            <w:pPr>
              <w:keepNext w:val="0"/>
              <w:keepLines w:val="0"/>
              <w:pageBreakBefore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559" w:type="dxa"/>
            <w:tcBorders>
              <w:top w:val="single" w:color="000000" w:sz="8" w:space="0"/>
              <w:left w:val="single" w:color="000000" w:sz="2" w:space="0"/>
              <w:bottom w:val="single" w:color="000000" w:sz="8" w:space="0"/>
              <w:right w:val="single" w:color="000000" w:sz="8" w:space="0"/>
            </w:tcBorders>
            <w:vAlign w:val="center"/>
          </w:tcPr>
          <w:p w14:paraId="542195AD">
            <w:pPr>
              <w:keepNext w:val="0"/>
              <w:keepLines w:val="0"/>
              <w:pageBreakBefore w:val="0"/>
              <w:kinsoku/>
              <w:wordWrap/>
              <w:overflowPunct/>
              <w:topLinePunct w:val="0"/>
              <w:autoSpaceDE/>
              <w:autoSpaceDN/>
              <w:bidi w:val="0"/>
              <w:adjustRightIn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评标方法</w:t>
            </w:r>
          </w:p>
        </w:tc>
        <w:tc>
          <w:tcPr>
            <w:tcW w:w="6237" w:type="dxa"/>
            <w:tcBorders>
              <w:top w:val="single" w:color="000000" w:sz="8" w:space="0"/>
              <w:left w:val="single" w:color="000000" w:sz="2" w:space="0"/>
              <w:bottom w:val="single" w:color="000000" w:sz="8" w:space="0"/>
              <w:right w:val="single" w:color="000000" w:sz="8" w:space="0"/>
            </w:tcBorders>
            <w:vAlign w:val="center"/>
          </w:tcPr>
          <w:p w14:paraId="02ED744C">
            <w:pPr>
              <w:keepNext w:val="0"/>
              <w:keepLines w:val="0"/>
              <w:pageBreakBefore w:val="0"/>
              <w:kinsoku/>
              <w:wordWrap/>
              <w:overflowPunct/>
              <w:topLinePunct w:val="0"/>
              <w:autoSpaceDE/>
              <w:autoSpaceDN/>
              <w:bidi w:val="0"/>
              <w:adjustRightInd w:val="0"/>
              <w:snapToGri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none"/>
              </w:rPr>
              <w:t>综合评分法</w:t>
            </w:r>
          </w:p>
        </w:tc>
      </w:tr>
    </w:tbl>
    <w:p w14:paraId="3F512410">
      <w:pPr>
        <w:spacing w:line="360" w:lineRule="auto"/>
        <w:ind w:firstLine="482" w:firstLineChars="200"/>
        <w:rPr>
          <w:rFonts w:hint="eastAsia" w:ascii="宋体" w:hAnsi="宋体" w:eastAsia="宋体" w:cs="宋体"/>
          <w:b/>
          <w:color w:val="auto"/>
          <w:sz w:val="32"/>
          <w:szCs w:val="20"/>
          <w:highlight w:val="none"/>
        </w:rPr>
      </w:pPr>
      <w:r>
        <w:rPr>
          <w:rFonts w:hint="eastAsia" w:ascii="宋体" w:hAnsi="宋体" w:eastAsia="宋体" w:cs="宋体"/>
          <w:b/>
          <w:color w:val="auto"/>
          <w:sz w:val="24"/>
          <w:highlight w:val="none"/>
        </w:rPr>
        <w:t>注：本项目通用总则条款与前附表等专用特别规定有冲突之处，以专用条款（特别规定）为准。</w:t>
      </w:r>
      <w:r>
        <w:rPr>
          <w:rFonts w:hint="eastAsia" w:ascii="宋体" w:hAnsi="宋体" w:eastAsia="宋体" w:cs="宋体"/>
          <w:b/>
          <w:color w:val="auto"/>
          <w:sz w:val="32"/>
          <w:szCs w:val="20"/>
          <w:highlight w:val="none"/>
        </w:rPr>
        <w:br w:type="page"/>
      </w:r>
      <w:bookmarkEnd w:id="10"/>
      <w:bookmarkStart w:id="31" w:name="_Toc164416483"/>
      <w:bookmarkStart w:id="32" w:name="第三部分"/>
      <w:r>
        <w:rPr>
          <w:rFonts w:hint="eastAsia" w:ascii="宋体" w:hAnsi="宋体" w:eastAsia="宋体" w:cs="宋体"/>
          <w:b/>
          <w:color w:val="auto"/>
          <w:sz w:val="32"/>
          <w:szCs w:val="20"/>
          <w:highlight w:val="none"/>
        </w:rPr>
        <w:t>一、总则</w:t>
      </w:r>
    </w:p>
    <w:p w14:paraId="3986CBE9">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14:paraId="2FC0DDB4">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0618F2B7">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2.定义</w:t>
      </w:r>
    </w:p>
    <w:p w14:paraId="61BCE15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08D9B46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“采购机构”系指招标公告中载明的本项目的采购机构。</w:t>
      </w:r>
    </w:p>
    <w:p w14:paraId="326427B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14:paraId="056EF8F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35AEDC5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 “▲” 系指实质性要求条款，“★”系产品采购项目中单一产品或核心产品。</w:t>
      </w:r>
    </w:p>
    <w:p w14:paraId="22962B3A">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采购项目需要落实的采购政策</w:t>
      </w:r>
    </w:p>
    <w:p w14:paraId="38DAA51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无</w:t>
      </w:r>
    </w:p>
    <w:p w14:paraId="253B02DC">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 询问、质疑、投诉</w:t>
      </w:r>
      <w:r>
        <w:rPr>
          <w:rFonts w:hint="eastAsia" w:ascii="宋体" w:hAnsi="宋体" w:eastAsia="宋体" w:cs="宋体"/>
          <w:color w:val="auto"/>
          <w:kern w:val="0"/>
          <w:sz w:val="24"/>
          <w:highlight w:val="none"/>
          <w:lang w:val="zh-CN"/>
        </w:rPr>
        <w:t xml:space="preserve"> </w:t>
      </w:r>
    </w:p>
    <w:p w14:paraId="1E2869D8">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4.1供应商询问</w:t>
      </w:r>
    </w:p>
    <w:p w14:paraId="6217F011">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F500C85">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4.2供应商质疑</w:t>
      </w:r>
    </w:p>
    <w:p w14:paraId="72F6C22F">
      <w:pPr>
        <w:pStyle w:val="32"/>
        <w:spacing w:line="360" w:lineRule="auto"/>
        <w:ind w:right="-512"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.1提出质疑的供应商应当是参与所质疑项目采购活动的供应商。潜在供应商已依法获取其可质疑的采购文件的，可以对该文件提出质疑。</w:t>
      </w:r>
    </w:p>
    <w:p w14:paraId="5E5D4A7D">
      <w:pPr>
        <w:pStyle w:val="32"/>
        <w:spacing w:line="360" w:lineRule="auto"/>
        <w:ind w:right="-512"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5E9AAAA0">
      <w:pPr>
        <w:pStyle w:val="15"/>
        <w:spacing w:line="360" w:lineRule="auto"/>
        <w:ind w:firstLine="434" w:firstLineChars="181"/>
        <w:rPr>
          <w:rFonts w:hint="eastAsia" w:ascii="宋体" w:hAnsi="宋体" w:eastAsia="宋体" w:cs="宋体"/>
          <w:snapToGrid/>
          <w:color w:val="auto"/>
          <w:kern w:val="2"/>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.2.1</w:t>
      </w:r>
      <w:r>
        <w:rPr>
          <w:rFonts w:hint="eastAsia" w:ascii="宋体" w:hAnsi="宋体" w:eastAsia="宋体" w:cs="宋体"/>
          <w:snapToGrid/>
          <w:color w:val="auto"/>
          <w:kern w:val="2"/>
          <w:sz w:val="24"/>
          <w:highlight w:val="none"/>
        </w:rPr>
        <w:t>对采购文件提出质疑的，质疑期限为供应商获得采购文件之日或者采购文件公告期限届满之日起计算。采购文件在获取截止之日后获得的，应当自采购文件公告期限届满之日起计算，且应当在采购响应截止时间之前提出。对采购文件中特定资格条件、采购需求、评分办法提出的质疑，由采购人负责答复；对采购文件中其他内容提出的质疑，由采购机构负责答复。</w:t>
      </w:r>
    </w:p>
    <w:p w14:paraId="2495D757">
      <w:pPr>
        <w:pStyle w:val="32"/>
        <w:spacing w:line="360" w:lineRule="auto"/>
        <w:ind w:right="-512"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2.2对采购过程提出质疑的，质疑期限为各采购程序环节结束之日起计算。对同一采购程序环节的质疑，供应商须一次性提出。对采购过程中有关现场考察或开标前答疑会事项提出的质疑，由采购人负责答复；对采购过程中其它事项提出的质疑，由采购机构负责答复。</w:t>
      </w:r>
    </w:p>
    <w:p w14:paraId="2F02C01E">
      <w:pPr>
        <w:pStyle w:val="32"/>
        <w:spacing w:line="360" w:lineRule="auto"/>
        <w:ind w:right="-512"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.2.3对采购结果提出质疑的，质疑期限自采购结果公告期限届满之日起计算。对采购结果提出质疑的，采购人或采购机构负责答复。（详见前附表相关规定）</w:t>
      </w:r>
    </w:p>
    <w:p w14:paraId="695CA0AD">
      <w:pPr>
        <w:pStyle w:val="32"/>
        <w:snapToGrid w:val="0"/>
        <w:spacing w:line="360" w:lineRule="auto"/>
        <w:ind w:right="-512"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4.2.3</w:t>
      </w:r>
      <w:r>
        <w:rPr>
          <w:rFonts w:hint="eastAsia" w:ascii="宋体" w:hAnsi="宋体" w:eastAsia="宋体" w:cs="宋体"/>
          <w:color w:val="auto"/>
          <w:sz w:val="24"/>
          <w:highlight w:val="none"/>
        </w:rPr>
        <w:t>供应商提出质疑应当提交质疑函和必要的证明材料。质疑函应当包括下列内容：</w:t>
      </w:r>
    </w:p>
    <w:p w14:paraId="7458316E">
      <w:pPr>
        <w:pStyle w:val="614"/>
        <w:shd w:val="clear" w:color="auto" w:fill="FFFFFF"/>
        <w:snapToGrid w:val="0"/>
        <w:spacing w:after="240" w:afterAutospacing="0" w:line="360" w:lineRule="auto"/>
        <w:contextualSpacing/>
        <w:rPr>
          <w:rFonts w:hint="eastAsia" w:ascii="宋体" w:hAnsi="宋体" w:eastAsia="宋体" w:cs="宋体"/>
          <w:snapToGrid w:val="0"/>
          <w:color w:val="auto"/>
          <w:kern w:val="2"/>
          <w:szCs w:val="21"/>
          <w:highlight w:val="none"/>
        </w:rPr>
      </w:pPr>
      <w:r>
        <w:rPr>
          <w:rFonts w:hint="eastAsia" w:ascii="宋体" w:hAnsi="宋体" w:eastAsia="宋体" w:cs="宋体"/>
          <w:snapToGrid w:val="0"/>
          <w:color w:val="auto"/>
          <w:kern w:val="2"/>
          <w:szCs w:val="21"/>
          <w:highlight w:val="none"/>
        </w:rPr>
        <w:t>　　</w:t>
      </w:r>
      <w:r>
        <w:rPr>
          <w:rFonts w:hint="eastAsia" w:ascii="宋体" w:hAnsi="宋体" w:eastAsia="宋体" w:cs="宋体"/>
          <w:color w:val="auto"/>
          <w:highlight w:val="none"/>
          <w:lang w:val="zh-CN"/>
        </w:rPr>
        <w:t>4.2.3.1</w:t>
      </w:r>
      <w:r>
        <w:rPr>
          <w:rFonts w:hint="eastAsia" w:ascii="宋体" w:hAnsi="宋体" w:eastAsia="宋体" w:cs="宋体"/>
          <w:snapToGrid w:val="0"/>
          <w:color w:val="auto"/>
          <w:kern w:val="2"/>
          <w:szCs w:val="21"/>
          <w:highlight w:val="none"/>
        </w:rPr>
        <w:t>供应商的姓名或者名称、地址、邮编、联系人及联系电话；</w:t>
      </w:r>
    </w:p>
    <w:p w14:paraId="15105518">
      <w:pPr>
        <w:pStyle w:val="614"/>
        <w:shd w:val="clear" w:color="auto" w:fill="FFFFFF"/>
        <w:snapToGrid w:val="0"/>
        <w:spacing w:after="240" w:afterAutospacing="0" w:line="360" w:lineRule="auto"/>
        <w:contextualSpacing/>
        <w:rPr>
          <w:rFonts w:hint="eastAsia" w:ascii="宋体" w:hAnsi="宋体" w:eastAsia="宋体" w:cs="宋体"/>
          <w:snapToGrid w:val="0"/>
          <w:color w:val="auto"/>
          <w:kern w:val="2"/>
          <w:szCs w:val="21"/>
          <w:highlight w:val="none"/>
        </w:rPr>
      </w:pPr>
      <w:r>
        <w:rPr>
          <w:rFonts w:hint="eastAsia" w:ascii="宋体" w:hAnsi="宋体" w:eastAsia="宋体" w:cs="宋体"/>
          <w:snapToGrid w:val="0"/>
          <w:color w:val="auto"/>
          <w:kern w:val="2"/>
          <w:szCs w:val="21"/>
          <w:highlight w:val="none"/>
        </w:rPr>
        <w:t>　　</w:t>
      </w:r>
      <w:r>
        <w:rPr>
          <w:rFonts w:hint="eastAsia" w:ascii="宋体" w:hAnsi="宋体" w:eastAsia="宋体" w:cs="宋体"/>
          <w:color w:val="auto"/>
          <w:highlight w:val="none"/>
          <w:lang w:val="zh-CN"/>
        </w:rPr>
        <w:t>4.2.3.2</w:t>
      </w:r>
      <w:r>
        <w:rPr>
          <w:rFonts w:hint="eastAsia" w:ascii="宋体" w:hAnsi="宋体" w:eastAsia="宋体" w:cs="宋体"/>
          <w:snapToGrid w:val="0"/>
          <w:color w:val="auto"/>
          <w:kern w:val="2"/>
          <w:szCs w:val="21"/>
          <w:highlight w:val="none"/>
        </w:rPr>
        <w:t>质疑项目的名称、编号；</w:t>
      </w:r>
    </w:p>
    <w:p w14:paraId="63A83EB5">
      <w:pPr>
        <w:pStyle w:val="614"/>
        <w:shd w:val="clear" w:color="auto" w:fill="FFFFFF"/>
        <w:snapToGrid w:val="0"/>
        <w:spacing w:after="240" w:afterAutospacing="0" w:line="360" w:lineRule="auto"/>
        <w:contextualSpacing/>
        <w:rPr>
          <w:rFonts w:hint="eastAsia" w:ascii="宋体" w:hAnsi="宋体" w:eastAsia="宋体" w:cs="宋体"/>
          <w:snapToGrid w:val="0"/>
          <w:color w:val="auto"/>
          <w:kern w:val="2"/>
          <w:szCs w:val="21"/>
          <w:highlight w:val="none"/>
        </w:rPr>
      </w:pPr>
      <w:r>
        <w:rPr>
          <w:rFonts w:hint="eastAsia" w:ascii="宋体" w:hAnsi="宋体" w:eastAsia="宋体" w:cs="宋体"/>
          <w:snapToGrid w:val="0"/>
          <w:color w:val="auto"/>
          <w:kern w:val="2"/>
          <w:szCs w:val="21"/>
          <w:highlight w:val="none"/>
        </w:rPr>
        <w:t>　　</w:t>
      </w:r>
      <w:r>
        <w:rPr>
          <w:rFonts w:hint="eastAsia" w:ascii="宋体" w:hAnsi="宋体" w:eastAsia="宋体" w:cs="宋体"/>
          <w:color w:val="auto"/>
          <w:highlight w:val="none"/>
          <w:lang w:val="zh-CN"/>
        </w:rPr>
        <w:t>4.2.3.3</w:t>
      </w:r>
      <w:r>
        <w:rPr>
          <w:rFonts w:hint="eastAsia" w:ascii="宋体" w:hAnsi="宋体" w:eastAsia="宋体" w:cs="宋体"/>
          <w:snapToGrid w:val="0"/>
          <w:color w:val="auto"/>
          <w:kern w:val="2"/>
          <w:szCs w:val="21"/>
          <w:highlight w:val="none"/>
        </w:rPr>
        <w:t>具体、明确的质疑事项和与质疑事项相关的请求；</w:t>
      </w:r>
    </w:p>
    <w:p w14:paraId="5CAF7245">
      <w:pPr>
        <w:pStyle w:val="614"/>
        <w:shd w:val="clear" w:color="auto" w:fill="FFFFFF"/>
        <w:snapToGrid w:val="0"/>
        <w:spacing w:after="240" w:afterAutospacing="0" w:line="360" w:lineRule="auto"/>
        <w:contextualSpacing/>
        <w:rPr>
          <w:rFonts w:hint="eastAsia" w:ascii="宋体" w:hAnsi="宋体" w:eastAsia="宋体" w:cs="宋体"/>
          <w:snapToGrid w:val="0"/>
          <w:color w:val="auto"/>
          <w:kern w:val="2"/>
          <w:szCs w:val="21"/>
          <w:highlight w:val="none"/>
        </w:rPr>
      </w:pPr>
      <w:r>
        <w:rPr>
          <w:rFonts w:hint="eastAsia" w:ascii="宋体" w:hAnsi="宋体" w:eastAsia="宋体" w:cs="宋体"/>
          <w:snapToGrid w:val="0"/>
          <w:color w:val="auto"/>
          <w:kern w:val="2"/>
          <w:szCs w:val="21"/>
          <w:highlight w:val="none"/>
        </w:rPr>
        <w:t>　　</w:t>
      </w:r>
      <w:r>
        <w:rPr>
          <w:rFonts w:hint="eastAsia" w:ascii="宋体" w:hAnsi="宋体" w:eastAsia="宋体" w:cs="宋体"/>
          <w:color w:val="auto"/>
          <w:highlight w:val="none"/>
          <w:lang w:val="zh-CN"/>
        </w:rPr>
        <w:t>4.2.3.4</w:t>
      </w:r>
      <w:r>
        <w:rPr>
          <w:rFonts w:hint="eastAsia" w:ascii="宋体" w:hAnsi="宋体" w:eastAsia="宋体" w:cs="宋体"/>
          <w:snapToGrid w:val="0"/>
          <w:color w:val="auto"/>
          <w:kern w:val="2"/>
          <w:szCs w:val="21"/>
          <w:highlight w:val="none"/>
        </w:rPr>
        <w:t>事实依据；</w:t>
      </w:r>
    </w:p>
    <w:p w14:paraId="4C7F2AD2">
      <w:pPr>
        <w:pStyle w:val="614"/>
        <w:shd w:val="clear" w:color="auto" w:fill="FFFFFF"/>
        <w:snapToGrid w:val="0"/>
        <w:spacing w:after="240" w:afterAutospacing="0" w:line="360" w:lineRule="auto"/>
        <w:contextualSpacing/>
        <w:rPr>
          <w:rFonts w:hint="eastAsia" w:ascii="宋体" w:hAnsi="宋体" w:eastAsia="宋体" w:cs="宋体"/>
          <w:snapToGrid w:val="0"/>
          <w:color w:val="auto"/>
          <w:kern w:val="2"/>
          <w:szCs w:val="21"/>
          <w:highlight w:val="none"/>
        </w:rPr>
      </w:pPr>
      <w:r>
        <w:rPr>
          <w:rFonts w:hint="eastAsia" w:ascii="宋体" w:hAnsi="宋体" w:eastAsia="宋体" w:cs="宋体"/>
          <w:snapToGrid w:val="0"/>
          <w:color w:val="auto"/>
          <w:kern w:val="2"/>
          <w:szCs w:val="21"/>
          <w:highlight w:val="none"/>
        </w:rPr>
        <w:t>　　</w:t>
      </w:r>
      <w:r>
        <w:rPr>
          <w:rFonts w:hint="eastAsia" w:ascii="宋体" w:hAnsi="宋体" w:eastAsia="宋体" w:cs="宋体"/>
          <w:color w:val="auto"/>
          <w:highlight w:val="none"/>
          <w:lang w:val="zh-CN"/>
        </w:rPr>
        <w:t>4.2.3.5</w:t>
      </w:r>
      <w:r>
        <w:rPr>
          <w:rFonts w:hint="eastAsia" w:ascii="宋体" w:hAnsi="宋体" w:eastAsia="宋体" w:cs="宋体"/>
          <w:snapToGrid w:val="0"/>
          <w:color w:val="auto"/>
          <w:kern w:val="2"/>
          <w:szCs w:val="21"/>
          <w:highlight w:val="none"/>
        </w:rPr>
        <w:t>必要的法律依据；</w:t>
      </w:r>
    </w:p>
    <w:p w14:paraId="0361D114">
      <w:pPr>
        <w:pStyle w:val="614"/>
        <w:shd w:val="clear" w:color="auto" w:fill="FFFFFF"/>
        <w:snapToGrid w:val="0"/>
        <w:spacing w:after="240" w:afterAutospacing="0" w:line="360" w:lineRule="auto"/>
        <w:ind w:firstLine="480"/>
        <w:contextualSpacing/>
        <w:rPr>
          <w:rFonts w:hint="eastAsia" w:ascii="宋体" w:hAnsi="宋体" w:eastAsia="宋体" w:cs="宋体"/>
          <w:snapToGrid w:val="0"/>
          <w:color w:val="auto"/>
          <w:kern w:val="2"/>
          <w:szCs w:val="21"/>
          <w:highlight w:val="none"/>
        </w:rPr>
      </w:pPr>
      <w:r>
        <w:rPr>
          <w:rFonts w:hint="eastAsia" w:ascii="宋体" w:hAnsi="宋体" w:eastAsia="宋体" w:cs="宋体"/>
          <w:color w:val="auto"/>
          <w:highlight w:val="none"/>
          <w:lang w:val="zh-CN"/>
        </w:rPr>
        <w:t>4.2.3.6</w:t>
      </w:r>
      <w:r>
        <w:rPr>
          <w:rFonts w:hint="eastAsia" w:ascii="宋体" w:hAnsi="宋体" w:eastAsia="宋体" w:cs="宋体"/>
          <w:snapToGrid w:val="0"/>
          <w:color w:val="auto"/>
          <w:kern w:val="2"/>
          <w:szCs w:val="21"/>
          <w:highlight w:val="none"/>
        </w:rPr>
        <w:t>提出质疑的日期。</w:t>
      </w:r>
    </w:p>
    <w:p w14:paraId="676E6396">
      <w:pPr>
        <w:pStyle w:val="614"/>
        <w:shd w:val="clear" w:color="auto" w:fill="FFFFFF"/>
        <w:snapToGrid w:val="0"/>
        <w:spacing w:after="240" w:afterAutospacing="0" w:line="360" w:lineRule="auto"/>
        <w:ind w:firstLine="48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AF8BFC5">
      <w:pPr>
        <w:pStyle w:val="614"/>
        <w:shd w:val="clear" w:color="auto" w:fill="FFFFFF"/>
        <w:snapToGrid w:val="0"/>
        <w:spacing w:after="240" w:afterAutospacing="0" w:line="360" w:lineRule="auto"/>
        <w:ind w:firstLine="48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14:paraId="3DBE53B0">
      <w:pPr>
        <w:pStyle w:val="614"/>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4.2</w:t>
      </w:r>
      <w:r>
        <w:rPr>
          <w:rFonts w:hint="eastAsia" w:ascii="宋体" w:hAnsi="宋体" w:eastAsia="宋体" w:cs="宋体"/>
          <w:color w:val="auto"/>
          <w:highlight w:val="none"/>
        </w:rPr>
        <w:t>.4采购人负责供应商质疑答复。采购人委托采购代理机构采购的，采购代理机构在委托授权范围内作出答复。采购人或者采购机构应当在收到供应商的书面质疑后七个工作日内作出答复，并以书面形式通知质疑供应商和其他与质疑处理结果有利害关系的采购当事人，但答复的内容不得涉及商业秘密。</w:t>
      </w:r>
    </w:p>
    <w:p w14:paraId="20B23B00">
      <w:pPr>
        <w:pStyle w:val="614"/>
        <w:shd w:val="clear" w:color="auto" w:fill="FFFFFF"/>
        <w:snapToGrid w:val="0"/>
        <w:spacing w:after="240" w:afterAutospacing="0" w:line="360" w:lineRule="auto"/>
        <w:ind w:firstLine="48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4.2</w:t>
      </w:r>
      <w:r>
        <w:rPr>
          <w:rFonts w:hint="eastAsia" w:ascii="宋体" w:hAnsi="宋体" w:eastAsia="宋体" w:cs="宋体"/>
          <w:color w:val="auto"/>
          <w:highlight w:val="none"/>
        </w:rPr>
        <w:t>.5询问或者质疑事项可能影响采购结果的，采购人应当暂停签订合同，已经签订合同的，应当中止履行合同。</w:t>
      </w:r>
    </w:p>
    <w:p w14:paraId="4D49EF04">
      <w:pPr>
        <w:pStyle w:val="614"/>
        <w:shd w:val="clear" w:color="auto" w:fill="FFFFFF"/>
        <w:snapToGrid w:val="0"/>
        <w:spacing w:after="240" w:afterAutospacing="0" w:line="360" w:lineRule="auto"/>
        <w:ind w:firstLine="480"/>
        <w:contextualSpacing/>
        <w:rPr>
          <w:rFonts w:hint="eastAsia" w:ascii="宋体" w:hAnsi="宋体" w:eastAsia="宋体" w:cs="宋体"/>
          <w:color w:val="auto"/>
          <w:kern w:val="2"/>
          <w:highlight w:val="none"/>
        </w:rPr>
      </w:pPr>
      <w:r>
        <w:rPr>
          <w:rFonts w:hint="eastAsia" w:ascii="宋体" w:hAnsi="宋体" w:eastAsia="宋体" w:cs="宋体"/>
          <w:color w:val="auto"/>
          <w:kern w:val="2"/>
          <w:highlight w:val="none"/>
        </w:rPr>
        <w:t>4.2.6质疑接收人：详见前附表</w:t>
      </w:r>
    </w:p>
    <w:p w14:paraId="3AEF016C">
      <w:pPr>
        <w:pStyle w:val="614"/>
        <w:shd w:val="clear" w:color="auto" w:fill="FFFFFF"/>
        <w:snapToGrid w:val="0"/>
        <w:spacing w:after="240" w:afterAutospacing="0" w:line="360" w:lineRule="auto"/>
        <w:ind w:firstLine="48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4.3供应商投诉</w:t>
      </w:r>
    </w:p>
    <w:p w14:paraId="548D7FC5">
      <w:pPr>
        <w:pStyle w:val="614"/>
        <w:shd w:val="clear" w:color="auto" w:fill="FFFFFF"/>
        <w:snapToGrid w:val="0"/>
        <w:spacing w:after="240" w:afterAutospacing="0" w:line="360" w:lineRule="auto"/>
        <w:ind w:firstLine="480"/>
        <w:contextualSpacing/>
        <w:rPr>
          <w:rFonts w:hint="eastAsia" w:ascii="宋体" w:hAnsi="宋体" w:eastAsia="宋体" w:cs="宋体"/>
          <w:color w:val="auto"/>
          <w:highlight w:val="none"/>
        </w:rPr>
      </w:pPr>
      <w:r>
        <w:rPr>
          <w:rFonts w:hint="eastAsia" w:ascii="宋体" w:hAnsi="宋体" w:eastAsia="宋体" w:cs="宋体"/>
          <w:color w:val="auto"/>
          <w:highlight w:val="none"/>
        </w:rPr>
        <w:t>4.3.1质疑供应商对采购人、采购机构的答复不满意或者采购人、采购机构未在规定的时间内作出答复的，可以在答复期满后十五个工作日内向同级采购监督管理部门提出投诉。</w:t>
      </w:r>
    </w:p>
    <w:p w14:paraId="4A4D87B2">
      <w:pPr>
        <w:pStyle w:val="614"/>
        <w:shd w:val="clear" w:color="auto" w:fill="FFFFFF"/>
        <w:snapToGrid w:val="0"/>
        <w:spacing w:after="240" w:afterAutospacing="0" w:line="360" w:lineRule="auto"/>
        <w:ind w:firstLine="480"/>
        <w:contextualSpacing/>
        <w:rPr>
          <w:rFonts w:hint="eastAsia" w:ascii="宋体" w:hAnsi="宋体" w:eastAsia="宋体" w:cs="宋体"/>
          <w:color w:val="auto"/>
          <w:highlight w:val="none"/>
        </w:rPr>
      </w:pPr>
      <w:r>
        <w:rPr>
          <w:rFonts w:hint="eastAsia" w:ascii="宋体" w:hAnsi="宋体" w:eastAsia="宋体" w:cs="宋体"/>
          <w:color w:val="auto"/>
          <w:highlight w:val="none"/>
        </w:rPr>
        <w:t>4.3.</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70390F55">
      <w:pPr>
        <w:pStyle w:val="614"/>
        <w:shd w:val="clear" w:color="auto" w:fill="FFFFFF"/>
        <w:snapToGrid w:val="0"/>
        <w:spacing w:after="240" w:afterAutospacing="0" w:line="360" w:lineRule="auto"/>
        <w:ind w:firstLine="480"/>
        <w:contextualSpacing/>
        <w:rPr>
          <w:rFonts w:hint="eastAsia" w:ascii="宋体" w:hAnsi="宋体" w:eastAsia="宋体" w:cs="宋体"/>
          <w:color w:val="auto"/>
          <w:highlight w:val="none"/>
        </w:rPr>
      </w:pPr>
      <w:r>
        <w:rPr>
          <w:rFonts w:hint="eastAsia" w:ascii="宋体" w:hAnsi="宋体" w:eastAsia="宋体" w:cs="宋体"/>
          <w:color w:val="auto"/>
          <w:highlight w:val="none"/>
        </w:rPr>
        <w:t>4.3.3供应商投诉应当有明确的请求和必要的证明材料。</w:t>
      </w:r>
    </w:p>
    <w:p w14:paraId="6B7A842C">
      <w:pPr>
        <w:pStyle w:val="614"/>
        <w:shd w:val="clear" w:color="auto" w:fill="FFFFFF"/>
        <w:snapToGrid w:val="0"/>
        <w:spacing w:after="240" w:afterAutospacing="0" w:line="360" w:lineRule="auto"/>
        <w:ind w:firstLine="480"/>
        <w:contextualSpacing/>
        <w:rPr>
          <w:rFonts w:hint="eastAsia" w:ascii="宋体" w:hAnsi="宋体" w:eastAsia="宋体" w:cs="宋体"/>
          <w:color w:val="auto"/>
          <w:highlight w:val="none"/>
        </w:rPr>
      </w:pPr>
      <w:r>
        <w:rPr>
          <w:rFonts w:hint="eastAsia" w:ascii="宋体" w:hAnsi="宋体" w:eastAsia="宋体" w:cs="宋体"/>
          <w:color w:val="auto"/>
          <w:highlight w:val="none"/>
        </w:rPr>
        <w:t>4.3.4 以联合体形式参加采购活动的，其投诉应当由组成联合体的所有供应商共同提出。</w:t>
      </w:r>
    </w:p>
    <w:p w14:paraId="5210D58B">
      <w:pPr>
        <w:pStyle w:val="614"/>
        <w:shd w:val="clear" w:color="auto" w:fill="FFFFFF"/>
        <w:snapToGrid w:val="0"/>
        <w:spacing w:after="240" w:afterAutospacing="0" w:line="360" w:lineRule="auto"/>
        <w:ind w:firstLine="48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14:paraId="0D6C6A95">
      <w:pPr>
        <w:pStyle w:val="217"/>
        <w:snapToGrid w:val="0"/>
        <w:spacing w:before="0"/>
        <w:ind w:firstLine="360"/>
        <w:rPr>
          <w:rFonts w:hint="eastAsia" w:ascii="宋体" w:hAnsi="宋体" w:eastAsia="宋体" w:cs="宋体"/>
          <w:color w:val="auto"/>
          <w:sz w:val="18"/>
          <w:szCs w:val="18"/>
          <w:highlight w:val="none"/>
        </w:rPr>
      </w:pPr>
    </w:p>
    <w:p w14:paraId="14412254">
      <w:pPr>
        <w:adjustRightInd/>
        <w:spacing w:line="360" w:lineRule="auto"/>
        <w:jc w:val="center"/>
        <w:outlineLvl w:val="0"/>
        <w:rPr>
          <w:rFonts w:hint="eastAsia" w:ascii="宋体" w:hAnsi="宋体" w:eastAsia="宋体" w:cs="宋体"/>
          <w:b/>
          <w:color w:val="auto"/>
          <w:sz w:val="32"/>
          <w:szCs w:val="20"/>
          <w:highlight w:val="none"/>
        </w:rPr>
      </w:pPr>
      <w:bookmarkStart w:id="33" w:name="_Hlt74707468"/>
      <w:bookmarkEnd w:id="33"/>
      <w:bookmarkStart w:id="34" w:name="_Hlt74729768"/>
      <w:bookmarkEnd w:id="34"/>
      <w:bookmarkStart w:id="35" w:name="_Hlt68072990"/>
      <w:bookmarkEnd w:id="35"/>
      <w:bookmarkStart w:id="36" w:name="_Hlt75236290"/>
      <w:bookmarkEnd w:id="36"/>
      <w:bookmarkStart w:id="37" w:name="_Hlt68057669"/>
      <w:bookmarkEnd w:id="37"/>
      <w:bookmarkStart w:id="38" w:name="_Hlt74730295"/>
      <w:bookmarkEnd w:id="38"/>
      <w:bookmarkStart w:id="39" w:name="_Hlt74714665"/>
      <w:bookmarkEnd w:id="39"/>
      <w:bookmarkStart w:id="40" w:name="_Toc91899879"/>
      <w:r>
        <w:rPr>
          <w:rFonts w:hint="eastAsia" w:ascii="宋体" w:hAnsi="宋体" w:eastAsia="宋体" w:cs="宋体"/>
          <w:b/>
          <w:color w:val="auto"/>
          <w:sz w:val="32"/>
          <w:szCs w:val="20"/>
          <w:highlight w:val="none"/>
        </w:rPr>
        <w:t>二、招标文件</w:t>
      </w:r>
      <w:bookmarkEnd w:id="40"/>
      <w:r>
        <w:rPr>
          <w:rFonts w:hint="eastAsia" w:ascii="宋体" w:hAnsi="宋体" w:eastAsia="宋体" w:cs="宋体"/>
          <w:b/>
          <w:color w:val="auto"/>
          <w:sz w:val="32"/>
          <w:szCs w:val="20"/>
          <w:highlight w:val="none"/>
        </w:rPr>
        <w:t>的构成、澄清、修改</w:t>
      </w:r>
    </w:p>
    <w:p w14:paraId="03B205E3">
      <w:pPr>
        <w:pStyle w:val="32"/>
        <w:spacing w:line="360" w:lineRule="auto"/>
        <w:ind w:right="-512" w:firstLine="576"/>
        <w:rPr>
          <w:rFonts w:hint="eastAsia" w:ascii="宋体" w:hAnsi="宋体" w:eastAsia="宋体" w:cs="宋体"/>
          <w:b/>
          <w:color w:val="auto"/>
          <w:sz w:val="24"/>
          <w:szCs w:val="24"/>
          <w:highlight w:val="none"/>
        </w:rPr>
      </w:pPr>
      <w:bookmarkStart w:id="41" w:name="_Toc91899880"/>
      <w:bookmarkStart w:id="42" w:name="_Hlt74730307"/>
      <w:r>
        <w:rPr>
          <w:rFonts w:hint="eastAsia" w:ascii="宋体" w:hAnsi="宋体" w:eastAsia="宋体" w:cs="宋体"/>
          <w:b/>
          <w:color w:val="auto"/>
          <w:sz w:val="24"/>
          <w:szCs w:val="24"/>
          <w:highlight w:val="none"/>
        </w:rPr>
        <w:t>5．招标文件的构成</w:t>
      </w:r>
      <w:bookmarkEnd w:id="41"/>
    </w:p>
    <w:bookmarkEnd w:id="42"/>
    <w:p w14:paraId="6C13455A">
      <w:pPr>
        <w:pStyle w:val="32"/>
        <w:spacing w:line="360" w:lineRule="auto"/>
        <w:ind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1B7F2E92">
      <w:pPr>
        <w:pStyle w:val="32"/>
        <w:numPr>
          <w:ilvl w:val="0"/>
          <w:numId w:val="4"/>
        </w:numPr>
        <w:spacing w:line="360" w:lineRule="auto"/>
        <w:ind w:left="-359"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第一部分 招标公告</w:t>
      </w:r>
    </w:p>
    <w:p w14:paraId="0AC6180F">
      <w:pPr>
        <w:pStyle w:val="32"/>
        <w:numPr>
          <w:ilvl w:val="0"/>
          <w:numId w:val="4"/>
        </w:numPr>
        <w:spacing w:line="360" w:lineRule="auto"/>
        <w:ind w:left="-359"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第二部分 投标人须知</w:t>
      </w:r>
    </w:p>
    <w:p w14:paraId="649A215D">
      <w:pPr>
        <w:pStyle w:val="32"/>
        <w:numPr>
          <w:ilvl w:val="0"/>
          <w:numId w:val="4"/>
        </w:numPr>
        <w:spacing w:line="360" w:lineRule="auto"/>
        <w:ind w:left="-359"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第三部分 采购需求</w:t>
      </w:r>
    </w:p>
    <w:p w14:paraId="1BAE568E">
      <w:pPr>
        <w:pStyle w:val="32"/>
        <w:numPr>
          <w:ilvl w:val="0"/>
          <w:numId w:val="4"/>
        </w:numPr>
        <w:spacing w:line="360" w:lineRule="auto"/>
        <w:ind w:left="-359"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第四部分 评标方法及评分标准</w:t>
      </w:r>
    </w:p>
    <w:p w14:paraId="0EB9181E">
      <w:pPr>
        <w:pStyle w:val="32"/>
        <w:numPr>
          <w:ilvl w:val="0"/>
          <w:numId w:val="4"/>
        </w:numPr>
        <w:spacing w:line="360" w:lineRule="auto"/>
        <w:ind w:left="-359"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第五部分 拟签订的合同文本</w:t>
      </w:r>
    </w:p>
    <w:p w14:paraId="7ACD1C41">
      <w:pPr>
        <w:pStyle w:val="32"/>
        <w:numPr>
          <w:ilvl w:val="0"/>
          <w:numId w:val="4"/>
        </w:numPr>
        <w:spacing w:line="360" w:lineRule="auto"/>
        <w:ind w:left="-359" w:right="-512"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第六部分 应提交的有关格式范例</w:t>
      </w:r>
    </w:p>
    <w:p w14:paraId="064E15B4">
      <w:pPr>
        <w:wordWrap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澄清或者修改等公告、内容亦为招标文件的组成部分，投标人须自行于招标公告所在网站获取相关信息</w:t>
      </w:r>
      <w:r>
        <w:rPr>
          <w:rFonts w:hint="eastAsia" w:ascii="宋体" w:hAnsi="宋体" w:eastAsia="宋体" w:cs="宋体"/>
          <w:color w:val="auto"/>
          <w:sz w:val="24"/>
          <w:highlight w:val="none"/>
        </w:rPr>
        <w:t>。</w:t>
      </w:r>
    </w:p>
    <w:p w14:paraId="46562295">
      <w:pPr>
        <w:pStyle w:val="32"/>
        <w:spacing w:line="360" w:lineRule="auto"/>
        <w:ind w:right="-512" w:firstLine="57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0AD68F66">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6.1已获取招标文件的潜在投标人，若有问题需要澄清，应于投标截止时间前，以书面形式向采购机构提出，采购机构与采购人研究后，对认为有必要回答的问题，将以公告形式通知所有招标文件收受人。</w:t>
      </w:r>
    </w:p>
    <w:p w14:paraId="0EF995CB">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6.2采购机构如对已发出的招标文件进行必要澄清或者修改的，将在发布招标公告的网站上发布更正、补遗公告，同时视情况延长投标截止时间和开标时间。该公告澄清或者修改的内容为招标文件的组成部分。</w:t>
      </w:r>
    </w:p>
    <w:p w14:paraId="6C3EE975">
      <w:pPr>
        <w:spacing w:line="360" w:lineRule="auto"/>
        <w:ind w:firstLine="482" w:firstLineChars="2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w:t>
      </w:r>
      <w:r>
        <w:rPr>
          <w:rFonts w:hint="eastAsia" w:ascii="宋体" w:hAnsi="宋体" w:eastAsia="宋体" w:cs="宋体"/>
          <w:b/>
          <w:color w:val="auto"/>
          <w:sz w:val="24"/>
          <w:szCs w:val="21"/>
          <w:highlight w:val="none"/>
        </w:rPr>
        <w:t>投标文件未按招标文件更正、补遗公告的澄清、修改的内容编制，又不符合实质性要求的，投标无效。</w:t>
      </w:r>
    </w:p>
    <w:p w14:paraId="0F7E0E67">
      <w:pPr>
        <w:pStyle w:val="22"/>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21C14E76">
      <w:pPr>
        <w:adjustRightInd/>
        <w:spacing w:line="360" w:lineRule="auto"/>
        <w:jc w:val="center"/>
        <w:outlineLvl w:val="0"/>
        <w:rPr>
          <w:rFonts w:hint="eastAsia" w:ascii="宋体" w:hAnsi="宋体" w:eastAsia="宋体" w:cs="宋体"/>
          <w:b/>
          <w:color w:val="auto"/>
          <w:sz w:val="30"/>
          <w:szCs w:val="20"/>
          <w:highlight w:val="none"/>
        </w:rPr>
      </w:pPr>
      <w:bookmarkStart w:id="43" w:name="_Hlt75236011"/>
      <w:bookmarkEnd w:id="43"/>
      <w:bookmarkStart w:id="44" w:name="_Toc91899884"/>
      <w:r>
        <w:rPr>
          <w:rFonts w:hint="eastAsia" w:ascii="宋体" w:hAnsi="宋体" w:eastAsia="宋体" w:cs="宋体"/>
          <w:b/>
          <w:color w:val="auto"/>
          <w:sz w:val="30"/>
          <w:szCs w:val="20"/>
          <w:highlight w:val="none"/>
        </w:rPr>
        <w:t>三、投标</w:t>
      </w:r>
      <w:bookmarkEnd w:id="44"/>
    </w:p>
    <w:p w14:paraId="1E7EE562">
      <w:pPr>
        <w:pStyle w:val="32"/>
        <w:spacing w:line="360" w:lineRule="auto"/>
        <w:ind w:right="-512" w:firstLine="576"/>
        <w:rPr>
          <w:rFonts w:hint="eastAsia" w:ascii="宋体" w:hAnsi="宋体" w:eastAsia="宋体" w:cs="宋体"/>
          <w:b/>
          <w:color w:val="auto"/>
          <w:sz w:val="24"/>
          <w:szCs w:val="24"/>
          <w:highlight w:val="none"/>
        </w:rPr>
      </w:pPr>
      <w:bookmarkStart w:id="45" w:name="_Toc91899892"/>
      <w:bookmarkStart w:id="46" w:name="_Toc86216991"/>
      <w:r>
        <w:rPr>
          <w:rFonts w:hint="eastAsia" w:ascii="宋体" w:hAnsi="宋体" w:eastAsia="宋体" w:cs="宋体"/>
          <w:b/>
          <w:color w:val="auto"/>
          <w:sz w:val="24"/>
          <w:szCs w:val="24"/>
          <w:highlight w:val="none"/>
        </w:rPr>
        <w:t>7.招标文件的获取</w:t>
      </w:r>
    </w:p>
    <w:p w14:paraId="328ED4DC">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详见招标公告中获取招标文件的时间期限、地点、方式。附件中直接下载仅供浏览使用。</w:t>
      </w:r>
    </w:p>
    <w:p w14:paraId="3254545E">
      <w:pPr>
        <w:spacing w:line="360" w:lineRule="auto"/>
        <w:ind w:firstLine="482" w:firstLineChars="2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w:t>
      </w:r>
      <w:r>
        <w:rPr>
          <w:rFonts w:hint="eastAsia" w:ascii="宋体" w:hAnsi="宋体" w:eastAsia="宋体" w:cs="宋体"/>
          <w:b/>
          <w:color w:val="auto"/>
          <w:sz w:val="24"/>
          <w:szCs w:val="21"/>
          <w:highlight w:val="none"/>
        </w:rPr>
        <w:t>未按照公告要求完成采购文件获取的，投标无效。</w:t>
      </w:r>
    </w:p>
    <w:p w14:paraId="45E761B2">
      <w:pPr>
        <w:pStyle w:val="32"/>
        <w:spacing w:line="360" w:lineRule="auto"/>
        <w:ind w:right="-512" w:firstLine="57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6547450A">
      <w:pPr>
        <w:pStyle w:val="32"/>
        <w:spacing w:line="360" w:lineRule="auto"/>
        <w:ind w:right="-512"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采购人视采购项目的具体情况，如果采购人组织潜在投标人现场考察或者召开开标前答疑会的，潜在投标人按前附表的规定参加现场考察或者开标前答疑会。</w:t>
      </w:r>
      <w:r>
        <w:rPr>
          <w:rFonts w:hint="eastAsia" w:ascii="宋体" w:hAnsi="宋体" w:eastAsia="宋体" w:cs="宋体"/>
          <w:b/>
          <w:color w:val="auto"/>
          <w:sz w:val="24"/>
          <w:szCs w:val="24"/>
          <w:highlight w:val="none"/>
        </w:rPr>
        <w:t>采购人不单独或分别组织只有一个供应商参加的现场考察和答疑会。</w:t>
      </w:r>
    </w:p>
    <w:p w14:paraId="4A21EF75">
      <w:pPr>
        <w:pStyle w:val="32"/>
        <w:spacing w:line="360" w:lineRule="auto"/>
        <w:ind w:right="-512" w:firstLine="576"/>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14:paraId="7F2BDC98">
      <w:pPr>
        <w:pStyle w:val="217"/>
        <w:snapToGrid w:val="0"/>
        <w:spacing w:before="0"/>
        <w:ind w:firstLine="480"/>
        <w:rPr>
          <w:rFonts w:hint="eastAsia" w:ascii="宋体" w:hAnsi="宋体" w:eastAsia="宋体" w:cs="宋体"/>
          <w:color w:val="auto"/>
          <w:highlight w:val="none"/>
          <w:lang w:val="zh-CN"/>
        </w:rPr>
      </w:pPr>
      <w:r>
        <w:rPr>
          <w:rFonts w:hint="eastAsia" w:ascii="宋体" w:hAnsi="宋体" w:eastAsia="宋体" w:cs="宋体"/>
          <w:color w:val="auto"/>
          <w:highlight w:val="none"/>
        </w:rPr>
        <w:t>本项目不收取投标保证金。</w:t>
      </w:r>
    </w:p>
    <w:p w14:paraId="769F5A40">
      <w:pPr>
        <w:pStyle w:val="32"/>
        <w:spacing w:line="360" w:lineRule="auto"/>
        <w:ind w:right="-512" w:firstLine="57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5011083F">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14:paraId="454E3C2A">
      <w:pPr>
        <w:pStyle w:val="32"/>
        <w:spacing w:line="360" w:lineRule="auto"/>
        <w:ind w:right="-512" w:firstLine="57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14:paraId="3E1811D9">
      <w:pPr>
        <w:snapToGrid w:val="0"/>
        <w:spacing w:line="360" w:lineRule="auto"/>
        <w:ind w:firstLine="480" w:firstLineChars="200"/>
        <w:rPr>
          <w:rFonts w:hint="eastAsia" w:ascii="宋体" w:hAnsi="宋体" w:eastAsia="宋体" w:cs="宋体"/>
          <w:color w:val="auto"/>
          <w:sz w:val="24"/>
          <w:highlight w:val="none"/>
        </w:rPr>
      </w:pPr>
      <w:bookmarkStart w:id="47" w:name="_Toc91899887"/>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788B6D07">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11.1.1符合参加采购活动应当具备的一般条件的承诺函；</w:t>
      </w:r>
    </w:p>
    <w:p w14:paraId="594133C0">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11.1.2本项目的特定资格要求。</w:t>
      </w:r>
    </w:p>
    <w:p w14:paraId="35D191AB">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0E04DD21">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r>
        <w:rPr>
          <w:rFonts w:hint="eastAsia" w:ascii="宋体" w:hAnsi="宋体" w:eastAsia="宋体" w:cs="宋体"/>
          <w:color w:val="auto"/>
          <w:sz w:val="24"/>
          <w:highlight w:val="none"/>
          <w:lang w:val="zh-CN"/>
        </w:rPr>
        <w:t xml:space="preserve"> </w:t>
      </w:r>
    </w:p>
    <w:p w14:paraId="5C88F82F">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14:paraId="14D2EB45">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11.2.3联合协议；</w:t>
      </w:r>
    </w:p>
    <w:p w14:paraId="1E5B6BE3">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11.2.4分包意向协议；</w:t>
      </w:r>
    </w:p>
    <w:p w14:paraId="42C378D9">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11.2.5符合性审查资料；</w:t>
      </w:r>
    </w:p>
    <w:p w14:paraId="034290C9">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11.2.6评标标准相应的商务技术资料；</w:t>
      </w:r>
    </w:p>
    <w:p w14:paraId="619EA379">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11.2.7商务技术偏离表；</w:t>
      </w:r>
    </w:p>
    <w:p w14:paraId="1B163B89">
      <w:pPr>
        <w:snapToGrid w:val="0"/>
        <w:spacing w:line="360" w:lineRule="auto"/>
        <w:ind w:firstLine="960" w:firstLineChars="4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采购供应商廉洁自律承诺书；</w:t>
      </w:r>
    </w:p>
    <w:p w14:paraId="30A988A8">
      <w:pPr>
        <w:snapToGrid w:val="0"/>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11.2.9联合体协议书。</w:t>
      </w:r>
    </w:p>
    <w:p w14:paraId="6707680F">
      <w:pP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77212723">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11.3.1开标一览表（报价表）</w:t>
      </w:r>
      <w:r>
        <w:rPr>
          <w:rFonts w:hint="eastAsia" w:ascii="宋体" w:hAnsi="宋体" w:eastAsia="宋体" w:cs="宋体"/>
          <w:color w:val="auto"/>
          <w:sz w:val="24"/>
          <w:highlight w:val="none"/>
          <w:lang w:eastAsia="zh-CN"/>
        </w:rPr>
        <w:t>。</w:t>
      </w:r>
    </w:p>
    <w:p w14:paraId="1CEC1A8F">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14:paraId="6F3E6890">
      <w:pPr>
        <w:spacing w:line="360" w:lineRule="auto"/>
        <w:ind w:firstLine="723" w:firstLineChars="3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投标人提供虚假材料投标的，投标无效。</w:t>
      </w:r>
    </w:p>
    <w:p w14:paraId="4B430B32">
      <w:pPr>
        <w:pStyle w:val="217"/>
        <w:snapToGrid w:val="0"/>
        <w:spacing w:before="0"/>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14:paraId="39D99176">
      <w:pPr>
        <w:spacing w:line="360" w:lineRule="auto"/>
        <w:ind w:firstLine="482" w:firstLineChars="2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▲投标文件未按本条规定的格式编制的，投标无效；</w:t>
      </w:r>
    </w:p>
    <w:p w14:paraId="681E871D">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0142AAD">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w:t>
      </w:r>
      <w:r>
        <w:rPr>
          <w:rFonts w:hint="eastAsia" w:ascii="宋体" w:hAnsi="宋体" w:cs="宋体"/>
          <w:color w:val="auto"/>
          <w:kern w:val="0"/>
          <w:sz w:val="24"/>
          <w:highlight w:val="none"/>
          <w:lang w:val="en-US" w:eastAsia="zh-CN"/>
        </w:rPr>
        <w:t>乐</w:t>
      </w:r>
      <w:r>
        <w:rPr>
          <w:rFonts w:hint="eastAsia" w:ascii="宋体" w:hAnsi="宋体" w:eastAsia="宋体" w:cs="宋体"/>
          <w:color w:val="auto"/>
          <w:kern w:val="0"/>
          <w:sz w:val="24"/>
          <w:highlight w:val="none"/>
          <w:lang w:val="zh-CN"/>
        </w:rPr>
        <w:t>采云电子交易客户端”，并按照招标文件和电子交易平台的要求编制并加密投标文件。投标人未按规定加密的投标文件，电子交易平台将拒收并提示。</w:t>
      </w:r>
    </w:p>
    <w:bookmarkEnd w:id="47"/>
    <w:p w14:paraId="34CCECAE">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w:t>
      </w:r>
      <w:r>
        <w:rPr>
          <w:rFonts w:hint="eastAsia" w:ascii="宋体" w:hAnsi="宋体" w:cs="宋体"/>
          <w:color w:val="auto"/>
          <w:kern w:val="0"/>
          <w:sz w:val="24"/>
          <w:highlight w:val="none"/>
          <w:lang w:val="en-US" w:eastAsia="zh-CN"/>
        </w:rPr>
        <w:t>乐</w:t>
      </w:r>
      <w:r>
        <w:rPr>
          <w:rFonts w:hint="eastAsia" w:ascii="宋体" w:hAnsi="宋体" w:eastAsia="宋体" w:cs="宋体"/>
          <w:color w:val="auto"/>
          <w:kern w:val="0"/>
          <w:sz w:val="24"/>
          <w:highlight w:val="none"/>
          <w:lang w:val="zh-CN"/>
        </w:rPr>
        <w:t>采云电子交易客户端”需要提前申领CA数字证书，申领流程请自行前往“</w:t>
      </w:r>
      <w:r>
        <w:rPr>
          <w:rFonts w:hint="eastAsia" w:ascii="宋体" w:hAnsi="宋体" w:cs="宋体"/>
          <w:color w:val="auto"/>
          <w:kern w:val="0"/>
          <w:sz w:val="24"/>
          <w:highlight w:val="none"/>
          <w:lang w:val="en-US" w:eastAsia="zh-CN"/>
        </w:rPr>
        <w:t>乐采云</w:t>
      </w:r>
      <w:r>
        <w:rPr>
          <w:rFonts w:hint="eastAsia" w:ascii="宋体" w:hAnsi="宋体" w:eastAsia="宋体" w:cs="宋体"/>
          <w:color w:val="auto"/>
          <w:kern w:val="0"/>
          <w:sz w:val="24"/>
          <w:highlight w:val="none"/>
          <w:lang w:val="zh-CN"/>
        </w:rPr>
        <w:t>-下载专区-电子交易客户端-CA驱动和申领流程”进行查阅。</w:t>
      </w:r>
    </w:p>
    <w:p w14:paraId="34B98F81">
      <w:pPr>
        <w:pStyle w:val="217"/>
        <w:snapToGrid w:val="0"/>
        <w:spacing w:before="0"/>
        <w:ind w:firstLine="482"/>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12.4纸质备份文件（如有）的制作要求：本项目不提供纸质文件</w:t>
      </w:r>
    </w:p>
    <w:p w14:paraId="090B0CAB">
      <w:pPr>
        <w:pStyle w:val="217"/>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12.4.1投标人制作纸质投标文件须在投标文件封面上标明“正本”与“副本”字样、项目名称与标项号，并加盖投标人公章。正本内容与副本不一致时，以正本为准。</w:t>
      </w:r>
    </w:p>
    <w:p w14:paraId="3AB718CE">
      <w:pPr>
        <w:pStyle w:val="217"/>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12.4.2投标文件正本应使用不能擦去的墨水打印或书写</w:t>
      </w:r>
      <w:r>
        <w:rPr>
          <w:rFonts w:hint="eastAsia" w:ascii="宋体" w:hAnsi="宋体" w:eastAsia="宋体" w:cs="宋体"/>
          <w:color w:val="auto"/>
          <w:highlight w:val="none"/>
        </w:rPr>
        <w:t>。</w:t>
      </w:r>
    </w:p>
    <w:p w14:paraId="0981598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12.4.3全套投标文件应无涂改和行间插字，除非这些删改是根据采购机构要求进行，或者是投标人造成的必须修改的错误。所修改处应由法定代表人或其授权代表签字盖章予以确认。</w:t>
      </w:r>
    </w:p>
    <w:p w14:paraId="0F5A30B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12.4.4 投标文件建议采用A4幅面，按顺序统一编目编码装订成册。</w:t>
      </w:r>
      <w:r>
        <w:rPr>
          <w:rFonts w:hint="eastAsia" w:ascii="宋体" w:hAnsi="宋体" w:eastAsia="宋体" w:cs="宋体"/>
          <w:b/>
          <w:color w:val="auto"/>
          <w:sz w:val="24"/>
          <w:highlight w:val="none"/>
        </w:rPr>
        <w:t>提倡双面打印</w:t>
      </w:r>
      <w:r>
        <w:rPr>
          <w:rFonts w:hint="eastAsia" w:ascii="宋体" w:hAnsi="宋体" w:eastAsia="宋体" w:cs="宋体"/>
          <w:color w:val="auto"/>
          <w:sz w:val="24"/>
          <w:highlight w:val="none"/>
        </w:rPr>
        <w:t>。</w:t>
      </w:r>
    </w:p>
    <w:p w14:paraId="2731998C">
      <w:pPr>
        <w:snapToGrid w:val="0"/>
        <w:spacing w:line="360" w:lineRule="auto"/>
        <w:ind w:firstLine="480" w:firstLineChars="200"/>
        <w:rPr>
          <w:rFonts w:hint="eastAsia" w:ascii="宋体" w:hAnsi="宋体" w:eastAsia="宋体" w:cs="宋体"/>
          <w:color w:val="auto"/>
          <w:sz w:val="24"/>
          <w:highlight w:val="none"/>
        </w:rPr>
      </w:pPr>
    </w:p>
    <w:p w14:paraId="149716A3">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13.投标文件的装订、签署、盖章</w:t>
      </w:r>
    </w:p>
    <w:p w14:paraId="700EDA9E">
      <w:pPr>
        <w:pStyle w:val="217"/>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14:paraId="7FC8BB58">
      <w:pPr>
        <w:pStyle w:val="217"/>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13.2为确保网上操作合法、有效和安全，投标人应当在投标截止时间前完成在“</w:t>
      </w:r>
      <w:r>
        <w:rPr>
          <w:rFonts w:hint="eastAsia" w:ascii="宋体" w:hAnsi="宋体" w:cs="宋体"/>
          <w:color w:val="auto"/>
          <w:highlight w:val="none"/>
          <w:lang w:val="en-US" w:eastAsia="zh-CN"/>
        </w:rPr>
        <w:t>乐采</w:t>
      </w:r>
      <w:r>
        <w:rPr>
          <w:rFonts w:hint="eastAsia" w:ascii="宋体" w:hAnsi="宋体" w:eastAsia="宋体" w:cs="宋体"/>
          <w:color w:val="auto"/>
          <w:highlight w:val="none"/>
        </w:rPr>
        <w:t>云平台”的身份认证，确保在电子投标过程中能够对相关数据电文进行加密和使用电子签章。</w:t>
      </w:r>
    </w:p>
    <w:p w14:paraId="3DEA1DCA">
      <w:pPr>
        <w:snapToGrid w:val="0"/>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纸质备份文件（如有）须将投标文件的资格文件、商务技术文件、报价文件</w:t>
      </w:r>
      <w:r>
        <w:rPr>
          <w:rFonts w:hint="eastAsia" w:ascii="宋体" w:hAnsi="宋体" w:eastAsia="宋体" w:cs="宋体"/>
          <w:b/>
          <w:color w:val="auto"/>
          <w:sz w:val="24"/>
          <w:highlight w:val="none"/>
        </w:rPr>
        <w:t>三</w:t>
      </w:r>
      <w:r>
        <w:rPr>
          <w:rFonts w:hint="eastAsia" w:ascii="宋体" w:hAnsi="宋体" w:eastAsia="宋体" w:cs="宋体"/>
          <w:color w:val="auto"/>
          <w:sz w:val="24"/>
          <w:highlight w:val="none"/>
        </w:rPr>
        <w:t>部分分别装订成册，投标文件的装订必须采用</w:t>
      </w:r>
      <w:r>
        <w:rPr>
          <w:rFonts w:hint="eastAsia" w:ascii="宋体" w:hAnsi="宋体" w:eastAsia="宋体" w:cs="宋体"/>
          <w:b/>
          <w:color w:val="auto"/>
          <w:sz w:val="24"/>
          <w:highlight w:val="none"/>
        </w:rPr>
        <w:t>胶订或线订</w:t>
      </w:r>
      <w:r>
        <w:rPr>
          <w:rFonts w:hint="eastAsia" w:ascii="宋体" w:hAnsi="宋体" w:eastAsia="宋体" w:cs="宋体"/>
          <w:color w:val="auto"/>
          <w:sz w:val="24"/>
          <w:highlight w:val="none"/>
        </w:rPr>
        <w:t>形式，不得采用活页装订方式（胶订或线订以外装订形式视为活页装订）。</w:t>
      </w:r>
      <w:r>
        <w:rPr>
          <w:rFonts w:hint="eastAsia" w:ascii="宋体" w:hAnsi="宋体" w:eastAsia="宋体" w:cs="宋体"/>
          <w:b/>
          <w:color w:val="auto"/>
          <w:sz w:val="24"/>
          <w:highlight w:val="none"/>
        </w:rPr>
        <w:t>▲对不符合装订要求的投标文件，按投标无效处理。</w:t>
      </w:r>
    </w:p>
    <w:p w14:paraId="5DF4365A">
      <w:pPr>
        <w:pStyle w:val="217"/>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13.3招标文件对投标文件签署、盖章的要求适用于电子签章（盖章）。</w:t>
      </w:r>
    </w:p>
    <w:p w14:paraId="7F88CDD0">
      <w:pPr>
        <w:pStyle w:val="217"/>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 xml:space="preserve">14. </w:t>
      </w:r>
      <w:r>
        <w:rPr>
          <w:rFonts w:hint="eastAsia" w:ascii="宋体" w:hAnsi="宋体" w:eastAsia="宋体" w:cs="宋体"/>
          <w:b/>
          <w:color w:val="auto"/>
          <w:szCs w:val="24"/>
          <w:highlight w:val="none"/>
        </w:rPr>
        <w:t>投标文件的提交、补充、修改、撤回</w:t>
      </w:r>
    </w:p>
    <w:p w14:paraId="53A67AB1">
      <w:pPr>
        <w:pStyle w:val="217"/>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CA0D357">
      <w:pPr>
        <w:pStyle w:val="217"/>
        <w:spacing w:before="0"/>
        <w:ind w:firstLine="600" w:firstLineChars="25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A497F55">
      <w:pPr>
        <w:pStyle w:val="217"/>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14.3采购机构可以视情况延长投标文件提交的截止时间。在上述情况下，采购机构与投标人以前在投标截止期方面的全部权利、责任和义务，将适用于延长至新的投标截止期。</w:t>
      </w:r>
    </w:p>
    <w:p w14:paraId="4CC156EE">
      <w:pPr>
        <w:pStyle w:val="217"/>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14.4投标文件备份：投标人递交投标文件以后，在规定的投标截止时间之前，可以书面形式对投标文件进行补充、修改，补充、修改纸质文件须加盖单位公章，并由法定代表人或其授权代表签字或盖章，电子投标文件备份须书面撤回后按所有密封要求重新递交。在投标截止时间以后，不能补充、修改投标文件。</w:t>
      </w:r>
    </w:p>
    <w:p w14:paraId="47D7FAAC">
      <w:pPr>
        <w:pStyle w:val="217"/>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14.4.1 投标人的补充、修改文件，应按本须知规定编制、密封、标志和递交，如果一份投标文件有几份函件时，应注明哪一份有效，否则所作修改视为无效。</w:t>
      </w:r>
    </w:p>
    <w:p w14:paraId="0DB3D627">
      <w:pPr>
        <w:pStyle w:val="217"/>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14.4.2投标人对投标文件的修改均要加以说明，否则其修改将被视为无效。</w:t>
      </w:r>
    </w:p>
    <w:p w14:paraId="5A75298B">
      <w:pPr>
        <w:pStyle w:val="217"/>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14.4.3投标人在投标截止时间前，可以对所提交的投标文件进行补充、修改或者撤回，并书面通知采购人、采购机构。补充、修改的内容作为投标文件的组成部分。补充、修改的内容与投标文件不一致的，以补充、修改的内容为准。</w:t>
      </w:r>
    </w:p>
    <w:p w14:paraId="231E977A">
      <w:pPr>
        <w:pStyle w:val="217"/>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14.4.4</w:t>
      </w:r>
      <w:r>
        <w:rPr>
          <w:rFonts w:hint="eastAsia" w:ascii="宋体" w:hAnsi="宋体" w:eastAsia="宋体" w:cs="宋体"/>
          <w:color w:val="auto"/>
          <w:highlight w:val="none"/>
        </w:rPr>
        <w:t>在开标后规定的投标有效期内</w:t>
      </w:r>
      <w:r>
        <w:rPr>
          <w:rFonts w:hint="eastAsia" w:ascii="宋体" w:hAnsi="宋体" w:eastAsia="宋体" w:cs="宋体"/>
          <w:color w:val="auto"/>
          <w:szCs w:val="24"/>
          <w:highlight w:val="none"/>
        </w:rPr>
        <w:t>，投标人不能撤销投标文件。</w:t>
      </w:r>
    </w:p>
    <w:p w14:paraId="7A8A4568">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 备份投标文件（如有）以及投标文件的递交</w:t>
      </w:r>
    </w:p>
    <w:p w14:paraId="31785CD3">
      <w:pPr>
        <w:pStyle w:val="217"/>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15.1备份投标文件须</w:t>
      </w:r>
      <w:r>
        <w:rPr>
          <w:rFonts w:hint="eastAsia" w:ascii="宋体" w:hAnsi="宋体" w:eastAsia="宋体" w:cs="宋体"/>
          <w:b/>
          <w:color w:val="auto"/>
          <w:szCs w:val="24"/>
          <w:highlight w:val="none"/>
        </w:rPr>
        <w:t>密封包装</w:t>
      </w:r>
      <w:r>
        <w:rPr>
          <w:rFonts w:hint="eastAsia" w:ascii="宋体" w:hAnsi="宋体" w:eastAsia="宋体" w:cs="宋体"/>
          <w:color w:val="auto"/>
          <w:szCs w:val="24"/>
          <w:highlight w:val="none"/>
        </w:rPr>
        <w:t>，密封包装指：所有投标文件应密封包装，包含资格文件、商务技术文件、报价文件三部分。其中，报价文件必须单独密封，未单独密封的，在开标时发生报价泄露的，由投标人自行承担相关责任</w:t>
      </w:r>
      <w:r>
        <w:rPr>
          <w:rFonts w:hint="eastAsia" w:ascii="宋体" w:hAnsi="宋体" w:eastAsia="宋体" w:cs="宋体"/>
          <w:b/>
          <w:color w:val="auto"/>
          <w:szCs w:val="24"/>
          <w:highlight w:val="none"/>
        </w:rPr>
        <w:t>。没有密封包装的投标文件，将被拒收。</w:t>
      </w:r>
    </w:p>
    <w:p w14:paraId="033FAAC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15.2所有备份投标文件包装封面物应写明项目名称、投标人名称(联合体投标的，包装物封面需注明联合体投标，并注明联合体成员各方的名称和联合体协议中约定的牵头人的名称)。</w:t>
      </w:r>
    </w:p>
    <w:p w14:paraId="608891A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15.3电子备份投标文件须在“</w:t>
      </w:r>
      <w:r>
        <w:rPr>
          <w:rFonts w:hint="eastAsia" w:ascii="宋体" w:hAnsi="宋体" w:cs="宋体"/>
          <w:color w:val="auto"/>
          <w:sz w:val="24"/>
          <w:highlight w:val="none"/>
          <w:lang w:eastAsia="zh-CN"/>
        </w:rPr>
        <w:t>乐采云</w:t>
      </w:r>
      <w:r>
        <w:rPr>
          <w:rFonts w:hint="eastAsia" w:ascii="宋体" w:hAnsi="宋体" w:eastAsia="宋体" w:cs="宋体"/>
          <w:color w:val="auto"/>
          <w:sz w:val="24"/>
          <w:highlight w:val="none"/>
        </w:rPr>
        <w:t>投标客户端”制作生成，并储存在DVD光盘中。备份投标文件应当密封包装并在包装上加盖公章并注明投标项目名称，投标人名称(联合体投标的，包装物封面需注明联合体投标，并注明联合体成员各方的名称和联合体协议中约定的牵头人的名称)</w:t>
      </w:r>
    </w:p>
    <w:p w14:paraId="14798F15">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▲不符合上述制作、存储、密封规定的备份投标文件将被视为无效或者被拒绝接收。</w:t>
      </w:r>
    </w:p>
    <w:p w14:paraId="1C32AA06">
      <w:pPr>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▲投标人仅提交备份投标文件，没有在电子交易平台传输递交投标文件的，投标无效。</w:t>
      </w:r>
    </w:p>
    <w:p w14:paraId="4BD94370">
      <w:pPr>
        <w:pStyle w:val="217"/>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15.4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537C51D">
      <w:pPr>
        <w:pStyle w:val="217"/>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15.5采购机构可以视情况延长投标文件提交的截止时间。在上述情况下，采购机构与投标人以前在投标截止期方面的全部权利、责任和义务，将适用于延长至新的投标截止期。</w:t>
      </w:r>
    </w:p>
    <w:p w14:paraId="7F5E1A28">
      <w:pPr>
        <w:pStyle w:val="217"/>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15.6如项目须备份投标文件，</w:t>
      </w:r>
      <w:r>
        <w:rPr>
          <w:rFonts w:hint="eastAsia" w:ascii="宋体" w:hAnsi="宋体" w:eastAsia="宋体" w:cs="宋体"/>
          <w:color w:val="auto"/>
          <w:highlight w:val="none"/>
        </w:rPr>
        <w:t>投标人应按“招标公告”及前附表规定的时间、地点完成采购文件获取手续并将投标文件提交给</w:t>
      </w:r>
      <w:r>
        <w:rPr>
          <w:rFonts w:hint="eastAsia" w:ascii="宋体" w:hAnsi="宋体" w:eastAsia="宋体" w:cs="宋体"/>
          <w:color w:val="auto"/>
          <w:szCs w:val="24"/>
          <w:highlight w:val="none"/>
        </w:rPr>
        <w:t>采购机构</w:t>
      </w:r>
      <w:r>
        <w:rPr>
          <w:rFonts w:hint="eastAsia" w:ascii="宋体" w:hAnsi="宋体" w:eastAsia="宋体" w:cs="宋体"/>
          <w:color w:val="auto"/>
          <w:highlight w:val="none"/>
        </w:rPr>
        <w:t>，</w:t>
      </w:r>
      <w:r>
        <w:rPr>
          <w:rFonts w:hint="eastAsia" w:ascii="宋体" w:hAnsi="宋体" w:eastAsia="宋体" w:cs="宋体"/>
          <w:color w:val="auto"/>
          <w:szCs w:val="24"/>
          <w:highlight w:val="none"/>
        </w:rPr>
        <w:t>采购机构</w:t>
      </w:r>
      <w:r>
        <w:rPr>
          <w:rFonts w:hint="eastAsia" w:ascii="宋体" w:hAnsi="宋体" w:eastAsia="宋体" w:cs="宋体"/>
          <w:color w:val="auto"/>
          <w:highlight w:val="none"/>
        </w:rPr>
        <w:t>将拒绝接受逾期送达的投标文件和未按公告要求完成采购文件获取的投标人递交的投标文件。</w:t>
      </w:r>
    </w:p>
    <w:bookmarkEnd w:id="45"/>
    <w:bookmarkEnd w:id="46"/>
    <w:p w14:paraId="44B93CB2">
      <w:pPr>
        <w:pStyle w:val="217"/>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14:paraId="3AFB107B">
      <w:pPr>
        <w:pStyle w:val="24"/>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w:t>
      </w:r>
      <w:r>
        <w:rPr>
          <w:rFonts w:hint="eastAsia" w:ascii="宋体" w:hAnsi="宋体" w:eastAsia="宋体" w:cs="宋体"/>
          <w:color w:val="auto"/>
          <w:highlight w:val="none"/>
        </w:rPr>
        <w:t>第13项规定</w:t>
      </w:r>
      <w:r>
        <w:rPr>
          <w:rFonts w:hint="eastAsia" w:ascii="宋体" w:hAnsi="宋体" w:eastAsia="宋体" w:cs="宋体"/>
          <w:color w:val="auto"/>
          <w:szCs w:val="21"/>
          <w:highlight w:val="none"/>
        </w:rPr>
        <w:t>的情形之一的，投标无效：</w:t>
      </w:r>
    </w:p>
    <w:p w14:paraId="1160BB6B">
      <w:pPr>
        <w:pStyle w:val="217"/>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14:paraId="499D4DD8">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14:paraId="69B310C6">
      <w:pPr>
        <w:pStyle w:val="217"/>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63563EE2">
      <w:pPr>
        <w:pStyle w:val="217"/>
        <w:spacing w:before="0"/>
        <w:ind w:firstLine="480"/>
        <w:rPr>
          <w:rFonts w:hint="eastAsia" w:ascii="宋体" w:hAnsi="宋体" w:eastAsia="宋体" w:cs="宋体"/>
          <w:b/>
          <w:color w:val="auto"/>
          <w:sz w:val="32"/>
          <w:highlight w:val="none"/>
        </w:rPr>
      </w:pPr>
      <w:r>
        <w:rPr>
          <w:rFonts w:hint="eastAsia" w:ascii="宋体" w:hAnsi="宋体" w:eastAsia="宋体" w:cs="宋体"/>
          <w:color w:val="auto"/>
          <w:highlight w:val="none"/>
        </w:rPr>
        <w:t>17.3在原定投标有效期满之前，如果出现特殊情况，采购机构可以以公告形式通知投标人延长投标有效期。投标人同意延长的，不得要求或被允许修改其投标文件，投标人拒绝延长的，其投标无效。</w:t>
      </w:r>
      <w:bookmarkStart w:id="48" w:name="_Toc91899897"/>
    </w:p>
    <w:p w14:paraId="08C237DF">
      <w:pPr>
        <w:pStyle w:val="217"/>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r>
        <w:rPr>
          <w:rFonts w:hint="eastAsia" w:ascii="宋体" w:hAnsi="宋体" w:eastAsia="宋体" w:cs="宋体"/>
          <w:b/>
          <w:color w:val="auto"/>
          <w:sz w:val="32"/>
          <w:highlight w:val="none"/>
        </w:rPr>
        <w:t>四、开标</w:t>
      </w:r>
      <w:bookmarkEnd w:id="48"/>
      <w:r>
        <w:rPr>
          <w:rFonts w:hint="eastAsia" w:ascii="宋体" w:hAnsi="宋体" w:eastAsia="宋体" w:cs="宋体"/>
          <w:b/>
          <w:color w:val="auto"/>
          <w:sz w:val="32"/>
          <w:highlight w:val="none"/>
        </w:rPr>
        <w:t>、资格审查与信用信息查询</w:t>
      </w:r>
    </w:p>
    <w:p w14:paraId="472F15EA">
      <w:pPr>
        <w:pStyle w:val="497"/>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14:paraId="79E8BAA5">
      <w:pPr>
        <w:pStyle w:val="497"/>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18.1采购机构按照招标文件规定的时间通过电子交易平台组织开标，所有投标人均应当准时在线参加。投标人不足3家的，不得开标。</w:t>
      </w:r>
    </w:p>
    <w:p w14:paraId="0F32AB0B">
      <w:pPr>
        <w:pStyle w:val="497"/>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18.2开标时，电子交易平台按开标时间自动提取所有投标文件。采购机构依托电子交易平台发起开始解密指令，投标人按照平台提示和招标文件的规定在半小时内完成在线解密。</w:t>
      </w:r>
    </w:p>
    <w:p w14:paraId="62CE1813">
      <w:pPr>
        <w:pStyle w:val="497"/>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18.3项目允许提供备份文件时，仅因</w:t>
      </w:r>
      <w:r>
        <w:rPr>
          <w:rFonts w:hint="eastAsia" w:ascii="宋体" w:hAnsi="宋体" w:cs="宋体"/>
          <w:color w:val="auto"/>
          <w:sz w:val="24"/>
          <w:highlight w:val="none"/>
          <w:lang w:eastAsia="zh-CN"/>
        </w:rPr>
        <w:t>乐采云</w:t>
      </w:r>
      <w:r>
        <w:rPr>
          <w:rFonts w:hint="eastAsia" w:ascii="宋体" w:hAnsi="宋体" w:eastAsia="宋体" w:cs="宋体"/>
          <w:color w:val="auto"/>
          <w:sz w:val="24"/>
          <w:highlight w:val="none"/>
        </w:rPr>
        <w:t>平台或CA原因无法读取或电子开评标无法正常进行，采购代理将按顺序启用备份文件完成开标。投标人因自身原因（不会使用、使用不当等）未按时完成解密的，投标无效，不启用备份文件。</w:t>
      </w:r>
      <w:r>
        <w:rPr>
          <w:rFonts w:hint="eastAsia" w:ascii="宋体" w:hAnsi="宋体" w:eastAsia="宋体" w:cs="宋体"/>
          <w:b/>
          <w:color w:val="auto"/>
          <w:sz w:val="24"/>
          <w:highlight w:val="none"/>
        </w:rPr>
        <w:t>投标文件已按时解密的，备份投标文件自动失效。</w:t>
      </w:r>
    </w:p>
    <w:p w14:paraId="0B03890E">
      <w:pPr>
        <w:pStyle w:val="497"/>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18.4 备份投标文件的接收在招标文件确定的时间、地点进行。</w:t>
      </w:r>
    </w:p>
    <w:p w14:paraId="663FCD34">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14:paraId="251AA9B0">
      <w:pPr>
        <w:pStyle w:val="217"/>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19.1开标后，采购人将依法对投标人的资格进行审查。</w:t>
      </w:r>
    </w:p>
    <w:p w14:paraId="546417C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19.2</w:t>
      </w:r>
      <w:r>
        <w:rPr>
          <w:rFonts w:hint="eastAsia" w:ascii="宋体" w:hAnsi="宋体" w:eastAsia="宋体" w:cs="宋体"/>
          <w:color w:val="auto"/>
          <w:sz w:val="24"/>
          <w:highlight w:val="none"/>
        </w:rPr>
        <w:t>采购人或采购机构依据法律法规和招标文件的规定，对投标人的基本资格条件、特定资格条件进行审查。</w:t>
      </w:r>
    </w:p>
    <w:p w14:paraId="1398A576">
      <w:pPr>
        <w:pStyle w:val="217"/>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19.3投标人未按照招标文件要求提供与</w:t>
      </w:r>
      <w:r>
        <w:rPr>
          <w:rFonts w:hint="eastAsia" w:ascii="宋体" w:hAnsi="宋体" w:eastAsia="宋体" w:cs="宋体"/>
          <w:color w:val="auto"/>
          <w:highlight w:val="none"/>
        </w:rPr>
        <w:t>基本资格条件、特定资格条件相应的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5E9DFF59">
      <w:pPr>
        <w:pStyle w:val="217"/>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19.4对未通过资格审查的投标人，采购人或采购机构告知其未通过的原因。</w:t>
      </w:r>
    </w:p>
    <w:p w14:paraId="673CF860">
      <w:pPr>
        <w:pStyle w:val="217"/>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19.5合格投标人不足3家的，不再评标。</w:t>
      </w:r>
    </w:p>
    <w:p w14:paraId="5D191396">
      <w:pPr>
        <w:pStyle w:val="217"/>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14:paraId="34ED4A4D">
      <w:pPr>
        <w:pStyle w:val="217"/>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20.1信用信息查询渠道及截止时间：采购人或采购机构将通过“信用中国”网站(www.creditchina.gov.cn)、中国政府采购网(www.ccgp.gov.cn)渠道查询投标人投标截止时间前的信用记录。</w:t>
      </w:r>
    </w:p>
    <w:p w14:paraId="77C4CF18">
      <w:pPr>
        <w:pStyle w:val="217"/>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24652CBA">
      <w:pPr>
        <w:pStyle w:val="217"/>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20.3信用信息的使用规则：经查询列入失信被执行人名单、重大税收违法案件当事人名单、政府采购严重违法失信行为记录名单的投标人将被拒绝参与采购活动。</w:t>
      </w:r>
    </w:p>
    <w:p w14:paraId="75446980">
      <w:pPr>
        <w:pStyle w:val="217"/>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59BACDAD">
      <w:pPr>
        <w:pStyle w:val="217"/>
        <w:spacing w:before="0"/>
        <w:ind w:firstLine="0" w:firstLineChars="0"/>
        <w:rPr>
          <w:rFonts w:hint="eastAsia" w:ascii="宋体" w:hAnsi="宋体" w:eastAsia="宋体" w:cs="宋体"/>
          <w:color w:val="auto"/>
          <w:kern w:val="0"/>
          <w:szCs w:val="24"/>
          <w:highlight w:val="none"/>
        </w:rPr>
      </w:pPr>
    </w:p>
    <w:p w14:paraId="41DB08BC">
      <w:pPr>
        <w:snapToGrid w:val="0"/>
        <w:spacing w:line="360" w:lineRule="auto"/>
        <w:jc w:val="center"/>
        <w:outlineLvl w:val="0"/>
        <w:rPr>
          <w:rFonts w:hint="eastAsia" w:ascii="宋体" w:hAnsi="宋体" w:eastAsia="宋体" w:cs="宋体"/>
          <w:b/>
          <w:color w:val="auto"/>
          <w:sz w:val="36"/>
          <w:szCs w:val="36"/>
          <w:highlight w:val="none"/>
        </w:rPr>
      </w:pPr>
      <w:bookmarkStart w:id="49" w:name="_Hlt75236101"/>
      <w:bookmarkEnd w:id="49"/>
      <w:bookmarkStart w:id="50" w:name="_Toc91899902"/>
      <w:r>
        <w:rPr>
          <w:rFonts w:hint="eastAsia" w:ascii="宋体" w:hAnsi="宋体" w:eastAsia="宋体" w:cs="宋体"/>
          <w:b/>
          <w:color w:val="auto"/>
          <w:sz w:val="36"/>
          <w:szCs w:val="36"/>
          <w:highlight w:val="none"/>
        </w:rPr>
        <w:t>五、评标</w:t>
      </w:r>
      <w:bookmarkEnd w:id="50"/>
    </w:p>
    <w:p w14:paraId="7D65477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w:t>
      </w:r>
      <w:r>
        <w:rPr>
          <w:rFonts w:hint="eastAsia" w:ascii="宋体" w:hAnsi="宋体" w:eastAsia="宋体" w:cs="宋体"/>
          <w:color w:val="auto"/>
          <w:sz w:val="24"/>
          <w:highlight w:val="none"/>
        </w:rPr>
        <w:t>本项目原则上采用电子评审方法，若因</w:t>
      </w:r>
      <w:r>
        <w:rPr>
          <w:rFonts w:hint="eastAsia" w:ascii="宋体" w:hAnsi="宋体" w:cs="宋体"/>
          <w:color w:val="auto"/>
          <w:sz w:val="24"/>
          <w:highlight w:val="none"/>
          <w:lang w:eastAsia="zh-CN"/>
        </w:rPr>
        <w:t>乐采云</w:t>
      </w:r>
      <w:r>
        <w:rPr>
          <w:rFonts w:hint="eastAsia" w:ascii="宋体" w:hAnsi="宋体" w:eastAsia="宋体" w:cs="宋体"/>
          <w:color w:val="auto"/>
          <w:sz w:val="24"/>
          <w:highlight w:val="none"/>
        </w:rPr>
        <w:t>平台原因（或CA软件系统）无法读取或电子开评标无法正常进行，采购代理机构将开启所有投标人递交的纸质备份投标文件，以完成开、评标，电子投标文件及以介质存储的数据电文形式的备份投标文件自动失效。评标方法及评分标准等。详见招标文件第四部分“评标方法及评分标准”</w:t>
      </w:r>
    </w:p>
    <w:p w14:paraId="62BDFEEC">
      <w:pPr>
        <w:spacing w:line="360" w:lineRule="auto"/>
        <w:rPr>
          <w:rFonts w:hint="eastAsia" w:ascii="宋体" w:hAnsi="宋体" w:eastAsia="宋体" w:cs="宋体"/>
          <w:b/>
          <w:color w:val="auto"/>
          <w:sz w:val="24"/>
          <w:highlight w:val="none"/>
        </w:rPr>
      </w:pPr>
    </w:p>
    <w:p w14:paraId="081C9083">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14:paraId="4CEBF913">
      <w:pPr>
        <w:pStyle w:val="24"/>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14:paraId="2ACCBCD6">
      <w:pPr>
        <w:pStyle w:val="217"/>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采购机构将自评审结束之日起2个工作日内将评审报告送交采购人。采购人将自收到评审报告之日起5个工作日内在评审报告推荐的中标候选人中按顺序确定中标供应商。</w:t>
      </w:r>
    </w:p>
    <w:p w14:paraId="391A5F0B">
      <w:pPr>
        <w:pStyle w:val="217"/>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56923ADE">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23.1采购机构将在自中标人确定之日起2个工作日内，发布招标公告的网站上公告中标结果，同时发出中标通知书。</w:t>
      </w:r>
    </w:p>
    <w:p w14:paraId="069F28F7">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中标公告期限以及评审专家名单。</w:t>
      </w:r>
    </w:p>
    <w:p w14:paraId="7F54F7EB">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0E0EB5E7">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66E31DBC">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37874191">
      <w:pPr>
        <w:pStyle w:val="24"/>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14:paraId="7D1885F4">
      <w:pPr>
        <w:pStyle w:val="24"/>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14:paraId="545BD72E">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采购人与中标人应当在中标通知书发出之日起三十日内，按照招标文件确定的事项签订采购合同。</w:t>
      </w:r>
    </w:p>
    <w:p w14:paraId="075A72D1">
      <w:pPr>
        <w:pStyle w:val="217"/>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7273AF34">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14:paraId="2A813610">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25.4中标供应商拒绝与采购人签订合同的，采购人可以按照评审报告推荐的中标或者成交候选人名单排序，确定下一候选人为中标供应商，也可以重新开展采购活动。</w:t>
      </w:r>
    </w:p>
    <w:p w14:paraId="3FEC8222">
      <w:pPr>
        <w:pStyle w:val="24"/>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14:paraId="7A495BA7">
      <w:pPr>
        <w:tabs>
          <w:tab w:val="left" w:pos="0"/>
        </w:tabs>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 xml:space="preserve">。履约保证金的数额不得超过采购合同金额的2.5%。 </w:t>
      </w:r>
    </w:p>
    <w:p w14:paraId="2DBFA4B4">
      <w:pPr>
        <w:tabs>
          <w:tab w:val="left" w:pos="0"/>
        </w:tabs>
        <w:spacing w:line="360" w:lineRule="auto"/>
        <w:ind w:firstLine="480"/>
        <w:rPr>
          <w:rFonts w:hint="eastAsia" w:ascii="宋体" w:hAnsi="宋体" w:eastAsia="宋体" w:cs="宋体"/>
          <w:color w:val="auto"/>
          <w:sz w:val="24"/>
          <w:highlight w:val="none"/>
        </w:rPr>
      </w:pPr>
    </w:p>
    <w:p w14:paraId="26C0674D">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73A3B184">
      <w:pPr>
        <w:pStyle w:val="217"/>
        <w:snapToGrid w:val="0"/>
        <w:spacing w:before="0"/>
        <w:ind w:firstLine="0" w:firstLineChars="0"/>
        <w:rPr>
          <w:rFonts w:hint="eastAsia" w:ascii="宋体" w:hAnsi="宋体" w:eastAsia="宋体" w:cs="宋体"/>
          <w:color w:val="auto"/>
          <w:highlight w:val="none"/>
        </w:rPr>
      </w:pPr>
      <w:r>
        <w:rPr>
          <w:rFonts w:hint="eastAsia" w:ascii="宋体" w:hAnsi="宋体" w:eastAsia="宋体" w:cs="宋体"/>
          <w:b/>
          <w:color w:val="auto"/>
          <w:highlight w:val="none"/>
        </w:rPr>
        <w:t>27</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14:paraId="3682F3DC">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27.1电子交易平台发生故障而无法登录访问的； </w:t>
      </w:r>
    </w:p>
    <w:p w14:paraId="3A1478BE">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27.2电子交易平台应用或数据库出现错误，不能进行正常操作的；</w:t>
      </w:r>
    </w:p>
    <w:p w14:paraId="237D2C06">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27.3电子交易平台发现严重安全漏洞，有潜在泄密危险的；</w:t>
      </w:r>
    </w:p>
    <w:p w14:paraId="689DF740">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27.4病毒发作导致不能进行正常操作的； </w:t>
      </w:r>
    </w:p>
    <w:p w14:paraId="331FB464">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27.5其他无法保证电子交易的公平、公正和安全的情况。</w:t>
      </w:r>
    </w:p>
    <w:p w14:paraId="16E9DEC4">
      <w:pPr>
        <w:pStyle w:val="217"/>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75829BB">
      <w:pPr>
        <w:snapToGrid w:val="0"/>
        <w:spacing w:line="360" w:lineRule="auto"/>
        <w:ind w:left="120" w:leftChars="57" w:firstLine="360" w:firstLineChars="1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0AE96237">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062DD580">
      <w:pPr>
        <w:pStyle w:val="24"/>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28.验收</w:t>
      </w:r>
    </w:p>
    <w:p w14:paraId="059DFE25">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28.1采购人应当组织对供应商履约的验收。验收采用采购人自行组织验收。</w:t>
      </w:r>
    </w:p>
    <w:p w14:paraId="25AC8EF9">
      <w:pPr>
        <w:adjustRightInd/>
        <w:spacing w:line="360" w:lineRule="auto"/>
        <w:ind w:firstLine="3845" w:firstLineChars="1197"/>
        <w:outlineLvl w:val="0"/>
        <w:rPr>
          <w:rFonts w:hint="eastAsia" w:ascii="宋体" w:hAnsi="宋体" w:eastAsia="宋体" w:cs="宋体"/>
          <w:b/>
          <w:color w:val="auto"/>
          <w:sz w:val="32"/>
          <w:szCs w:val="32"/>
          <w:highlight w:val="none"/>
        </w:rPr>
        <w:sectPr>
          <w:footerReference r:id="rId6" w:type="first"/>
          <w:headerReference r:id="rId3" w:type="default"/>
          <w:footerReference r:id="rId4" w:type="default"/>
          <w:footerReference r:id="rId5" w:type="even"/>
          <w:pgSz w:w="11906" w:h="16838"/>
          <w:pgMar w:top="1417" w:right="1418" w:bottom="1417" w:left="1418" w:header="851" w:footer="992" w:gutter="0"/>
          <w:cols w:space="720" w:num="1"/>
          <w:titlePg/>
          <w:docGrid w:linePitch="312" w:charSpace="0"/>
        </w:sectPr>
      </w:pPr>
    </w:p>
    <w:bookmarkEnd w:id="31"/>
    <w:bookmarkEnd w:id="32"/>
    <w:p w14:paraId="4078BD89">
      <w:pPr>
        <w:pStyle w:val="2"/>
        <w:rPr>
          <w:rFonts w:hint="eastAsia" w:ascii="宋体" w:hAnsi="宋体" w:eastAsia="宋体" w:cs="宋体"/>
          <w:color w:val="auto"/>
          <w:highlight w:val="none"/>
        </w:rPr>
      </w:pPr>
      <w:bookmarkStart w:id="51" w:name="第四部分"/>
      <w:r>
        <w:rPr>
          <w:rFonts w:hint="eastAsia" w:ascii="宋体" w:hAnsi="宋体" w:eastAsia="宋体" w:cs="宋体"/>
          <w:color w:val="auto"/>
          <w:highlight w:val="none"/>
        </w:rPr>
        <w:t>第三部分   采购需求</w:t>
      </w:r>
    </w:p>
    <w:p w14:paraId="4BD362E3">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属于实质性要求条款的，请用符号“▲”标明，否则属于非实质性要求。</w:t>
      </w:r>
    </w:p>
    <w:p w14:paraId="1E658560">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“★”系产品采购项目中单一产品或核心产品。</w:t>
      </w:r>
    </w:p>
    <w:p w14:paraId="3A6E3EF2">
      <w:pPr>
        <w:numPr>
          <w:ilvl w:val="0"/>
          <w:numId w:val="11"/>
        </w:numPr>
        <w:snapToGrid w:val="0"/>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招标一览表</w:t>
      </w:r>
    </w:p>
    <w:tbl>
      <w:tblPr>
        <w:tblStyle w:val="60"/>
        <w:tblW w:w="9443" w:type="dxa"/>
        <w:tblInd w:w="-26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3690"/>
        <w:gridCol w:w="2040"/>
        <w:gridCol w:w="1125"/>
        <w:gridCol w:w="873"/>
        <w:gridCol w:w="873"/>
      </w:tblGrid>
      <w:tr w14:paraId="2545C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842" w:type="dxa"/>
            <w:tcBorders>
              <w:top w:val="single" w:color="auto" w:sz="4" w:space="0"/>
              <w:left w:val="single" w:color="auto" w:sz="4" w:space="0"/>
              <w:bottom w:val="single" w:color="auto" w:sz="4" w:space="0"/>
              <w:right w:val="single" w:color="auto" w:sz="4" w:space="0"/>
            </w:tcBorders>
            <w:vAlign w:val="center"/>
          </w:tcPr>
          <w:p w14:paraId="5FE6A43D">
            <w:pPr>
              <w:ind w:right="105" w:rightChars="50"/>
              <w:jc w:val="center"/>
              <w:rPr>
                <w:rFonts w:hint="eastAsia" w:ascii="宋体" w:hAnsi="宋体" w:eastAsia="宋体" w:cs="宋体"/>
                <w:b/>
                <w:color w:val="auto"/>
                <w:spacing w:val="-8"/>
                <w:sz w:val="24"/>
                <w:highlight w:val="none"/>
              </w:rPr>
            </w:pPr>
            <w:r>
              <w:rPr>
                <w:rFonts w:hint="eastAsia" w:ascii="宋体" w:hAnsi="宋体" w:eastAsia="宋体" w:cs="宋体"/>
                <w:color w:val="auto"/>
                <w:sz w:val="24"/>
                <w:highlight w:val="none"/>
              </w:rPr>
              <w:t>序号</w:t>
            </w:r>
          </w:p>
        </w:tc>
        <w:tc>
          <w:tcPr>
            <w:tcW w:w="3690" w:type="dxa"/>
            <w:tcBorders>
              <w:top w:val="single" w:color="auto" w:sz="4" w:space="0"/>
              <w:left w:val="single" w:color="auto" w:sz="4" w:space="0"/>
              <w:bottom w:val="single" w:color="auto" w:sz="4" w:space="0"/>
              <w:right w:val="single" w:color="auto" w:sz="4" w:space="0"/>
            </w:tcBorders>
            <w:vAlign w:val="center"/>
          </w:tcPr>
          <w:p w14:paraId="767771EF">
            <w:pPr>
              <w:ind w:right="105" w:rightChars="50"/>
              <w:jc w:val="center"/>
              <w:rPr>
                <w:rFonts w:hint="eastAsia" w:ascii="宋体" w:hAnsi="宋体" w:eastAsia="宋体" w:cs="宋体"/>
                <w:b/>
                <w:color w:val="auto"/>
                <w:spacing w:val="-8"/>
                <w:sz w:val="24"/>
                <w:highlight w:val="none"/>
              </w:rPr>
            </w:pPr>
            <w:r>
              <w:rPr>
                <w:rFonts w:hint="eastAsia" w:ascii="宋体" w:hAnsi="宋体" w:eastAsia="宋体" w:cs="宋体"/>
                <w:color w:val="auto"/>
                <w:sz w:val="24"/>
                <w:highlight w:val="none"/>
              </w:rPr>
              <w:t>名   称</w:t>
            </w:r>
          </w:p>
        </w:tc>
        <w:tc>
          <w:tcPr>
            <w:tcW w:w="2040" w:type="dxa"/>
            <w:tcBorders>
              <w:top w:val="single" w:color="auto" w:sz="4" w:space="0"/>
              <w:left w:val="single" w:color="auto" w:sz="4" w:space="0"/>
              <w:bottom w:val="single" w:color="auto" w:sz="4" w:space="0"/>
              <w:right w:val="single" w:color="auto" w:sz="4" w:space="0"/>
            </w:tcBorders>
            <w:vAlign w:val="center"/>
          </w:tcPr>
          <w:p w14:paraId="3D115769">
            <w:pPr>
              <w:ind w:right="105" w:rightChars="50"/>
              <w:jc w:val="center"/>
              <w:rPr>
                <w:rFonts w:hint="eastAsia" w:ascii="宋体" w:hAnsi="宋体" w:eastAsia="宋体" w:cs="宋体"/>
                <w:b/>
                <w:color w:val="auto"/>
                <w:spacing w:val="-8"/>
                <w:sz w:val="24"/>
                <w:highlight w:val="none"/>
              </w:rPr>
            </w:pPr>
            <w:r>
              <w:rPr>
                <w:rFonts w:hint="eastAsia" w:ascii="宋体" w:hAnsi="宋体" w:eastAsia="宋体" w:cs="宋体"/>
                <w:color w:val="auto"/>
                <w:sz w:val="24"/>
                <w:highlight w:val="none"/>
              </w:rPr>
              <w:t>规格及技术要求</w:t>
            </w:r>
          </w:p>
        </w:tc>
        <w:tc>
          <w:tcPr>
            <w:tcW w:w="1125" w:type="dxa"/>
            <w:tcBorders>
              <w:top w:val="single" w:color="auto" w:sz="4" w:space="0"/>
              <w:left w:val="single" w:color="auto" w:sz="4" w:space="0"/>
              <w:bottom w:val="single" w:color="auto" w:sz="4" w:space="0"/>
              <w:right w:val="single" w:color="auto" w:sz="4" w:space="0"/>
            </w:tcBorders>
            <w:vAlign w:val="center"/>
          </w:tcPr>
          <w:p w14:paraId="290A63A3">
            <w:pPr>
              <w:ind w:right="105" w:rightChars="50"/>
              <w:jc w:val="center"/>
              <w:rPr>
                <w:rFonts w:hint="eastAsia" w:ascii="宋体" w:hAnsi="宋体" w:eastAsia="宋体" w:cs="宋体"/>
                <w:b/>
                <w:color w:val="auto"/>
                <w:spacing w:val="-8"/>
                <w:sz w:val="24"/>
                <w:highlight w:val="none"/>
              </w:rPr>
            </w:pPr>
            <w:r>
              <w:rPr>
                <w:rFonts w:hint="eastAsia" w:ascii="宋体" w:hAnsi="宋体" w:eastAsia="宋体" w:cs="宋体"/>
                <w:color w:val="auto"/>
                <w:sz w:val="24"/>
                <w:highlight w:val="none"/>
              </w:rPr>
              <w:t>数量</w:t>
            </w:r>
          </w:p>
        </w:tc>
        <w:tc>
          <w:tcPr>
            <w:tcW w:w="873" w:type="dxa"/>
            <w:tcBorders>
              <w:top w:val="single" w:color="auto" w:sz="4" w:space="0"/>
              <w:left w:val="single" w:color="auto" w:sz="4" w:space="0"/>
              <w:bottom w:val="single" w:color="auto" w:sz="4" w:space="0"/>
              <w:right w:val="single" w:color="auto" w:sz="4" w:space="0"/>
            </w:tcBorders>
            <w:vAlign w:val="center"/>
          </w:tcPr>
          <w:p w14:paraId="53CE7DE7">
            <w:pPr>
              <w:ind w:right="105" w:rightChars="50"/>
              <w:jc w:val="center"/>
              <w:rPr>
                <w:rFonts w:hint="eastAsia" w:ascii="宋体" w:hAnsi="宋体" w:eastAsia="宋体" w:cs="宋体"/>
                <w:b/>
                <w:color w:val="auto"/>
                <w:spacing w:val="-8"/>
                <w:sz w:val="24"/>
                <w:highlight w:val="none"/>
              </w:rPr>
            </w:pPr>
            <w:r>
              <w:rPr>
                <w:rFonts w:hint="eastAsia" w:ascii="宋体" w:hAnsi="宋体" w:eastAsia="宋体" w:cs="宋体"/>
                <w:color w:val="auto"/>
                <w:sz w:val="24"/>
                <w:highlight w:val="none"/>
              </w:rPr>
              <w:t>单位</w:t>
            </w:r>
          </w:p>
        </w:tc>
        <w:tc>
          <w:tcPr>
            <w:tcW w:w="873" w:type="dxa"/>
            <w:tcBorders>
              <w:top w:val="single" w:color="auto" w:sz="4" w:space="0"/>
              <w:left w:val="single" w:color="auto" w:sz="4" w:space="0"/>
              <w:bottom w:val="single" w:color="auto" w:sz="4" w:space="0"/>
              <w:right w:val="single" w:color="auto" w:sz="4" w:space="0"/>
            </w:tcBorders>
            <w:vAlign w:val="center"/>
          </w:tcPr>
          <w:p w14:paraId="5228DA5A">
            <w:pPr>
              <w:ind w:right="105" w:rightChars="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7DBEE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842" w:type="dxa"/>
            <w:tcBorders>
              <w:top w:val="single" w:color="auto" w:sz="4" w:space="0"/>
              <w:left w:val="single" w:color="auto" w:sz="4" w:space="0"/>
              <w:bottom w:val="single" w:color="auto" w:sz="4" w:space="0"/>
              <w:right w:val="single" w:color="auto" w:sz="4" w:space="0"/>
            </w:tcBorders>
            <w:vAlign w:val="center"/>
          </w:tcPr>
          <w:p w14:paraId="3057FB33">
            <w:pPr>
              <w:ind w:right="105" w:rightChars="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690" w:type="dxa"/>
            <w:tcBorders>
              <w:top w:val="single" w:color="auto" w:sz="4" w:space="0"/>
              <w:left w:val="single" w:color="auto" w:sz="4" w:space="0"/>
              <w:bottom w:val="single" w:color="auto" w:sz="4" w:space="0"/>
              <w:right w:val="single" w:color="auto" w:sz="4" w:space="0"/>
            </w:tcBorders>
            <w:vAlign w:val="center"/>
          </w:tcPr>
          <w:p w14:paraId="117248A0">
            <w:pPr>
              <w:ind w:right="-84" w:rightChars="-4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湘湖景区水质净化服务采购项目</w:t>
            </w:r>
          </w:p>
        </w:tc>
        <w:tc>
          <w:tcPr>
            <w:tcW w:w="2040" w:type="dxa"/>
            <w:tcBorders>
              <w:top w:val="single" w:color="auto" w:sz="4" w:space="0"/>
              <w:left w:val="single" w:color="auto" w:sz="4" w:space="0"/>
              <w:bottom w:val="single" w:color="auto" w:sz="4" w:space="0"/>
              <w:right w:val="single" w:color="auto" w:sz="4" w:space="0"/>
            </w:tcBorders>
            <w:vAlign w:val="center"/>
          </w:tcPr>
          <w:p w14:paraId="4F0E8FDC">
            <w:pPr>
              <w:ind w:right="105" w:rightChars="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详见采购需求</w:t>
            </w:r>
          </w:p>
        </w:tc>
        <w:tc>
          <w:tcPr>
            <w:tcW w:w="1125" w:type="dxa"/>
            <w:tcBorders>
              <w:top w:val="single" w:color="auto" w:sz="4" w:space="0"/>
              <w:left w:val="single" w:color="auto" w:sz="4" w:space="0"/>
              <w:bottom w:val="single" w:color="auto" w:sz="4" w:space="0"/>
              <w:right w:val="single" w:color="auto" w:sz="4" w:space="0"/>
            </w:tcBorders>
            <w:vAlign w:val="center"/>
          </w:tcPr>
          <w:p w14:paraId="1251B2DA">
            <w:pPr>
              <w:ind w:right="105" w:rightChars="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873" w:type="dxa"/>
            <w:tcBorders>
              <w:top w:val="single" w:color="auto" w:sz="4" w:space="0"/>
              <w:left w:val="single" w:color="auto" w:sz="4" w:space="0"/>
              <w:bottom w:val="single" w:color="auto" w:sz="4" w:space="0"/>
              <w:right w:val="single" w:color="auto" w:sz="4" w:space="0"/>
            </w:tcBorders>
            <w:vAlign w:val="center"/>
          </w:tcPr>
          <w:p w14:paraId="3DA62786">
            <w:pPr>
              <w:ind w:right="105" w:rightChars="50"/>
              <w:jc w:val="center"/>
              <w:rPr>
                <w:rFonts w:hint="eastAsia" w:ascii="宋体" w:hAnsi="宋体" w:eastAsia="宋体" w:cs="宋体"/>
                <w:b/>
                <w:color w:val="auto"/>
                <w:spacing w:val="-8"/>
                <w:sz w:val="24"/>
                <w:highlight w:val="none"/>
                <w:lang w:eastAsia="zh-CN"/>
              </w:rPr>
            </w:pPr>
            <w:r>
              <w:rPr>
                <w:rFonts w:hint="eastAsia" w:ascii="宋体" w:hAnsi="宋体" w:cs="宋体"/>
                <w:color w:val="auto"/>
                <w:sz w:val="24"/>
                <w:highlight w:val="none"/>
                <w:lang w:eastAsia="zh-CN"/>
              </w:rPr>
              <w:t>项</w:t>
            </w:r>
          </w:p>
        </w:tc>
        <w:tc>
          <w:tcPr>
            <w:tcW w:w="873" w:type="dxa"/>
            <w:tcBorders>
              <w:top w:val="single" w:color="auto" w:sz="4" w:space="0"/>
              <w:left w:val="single" w:color="auto" w:sz="4" w:space="0"/>
              <w:bottom w:val="single" w:color="auto" w:sz="4" w:space="0"/>
              <w:right w:val="single" w:color="auto" w:sz="4" w:space="0"/>
            </w:tcBorders>
            <w:vAlign w:val="center"/>
          </w:tcPr>
          <w:p w14:paraId="2D80CB9F">
            <w:pPr>
              <w:ind w:right="105" w:rightChars="50"/>
              <w:jc w:val="center"/>
              <w:rPr>
                <w:rFonts w:hint="eastAsia" w:ascii="宋体" w:hAnsi="宋体" w:eastAsia="宋体" w:cs="宋体"/>
                <w:color w:val="auto"/>
                <w:sz w:val="24"/>
                <w:highlight w:val="none"/>
              </w:rPr>
            </w:pPr>
          </w:p>
        </w:tc>
      </w:tr>
    </w:tbl>
    <w:p w14:paraId="64EEEC95">
      <w:pPr>
        <w:shd w:val="clear" w:color="auto" w:fill="FFFFFF"/>
        <w:spacing w:line="360" w:lineRule="auto"/>
        <w:rPr>
          <w:rFonts w:hint="eastAsia" w:ascii="宋体" w:hAnsi="宋体" w:eastAsia="宋体" w:cs="宋体"/>
          <w:b/>
          <w:bCs/>
          <w:color w:val="auto"/>
          <w:sz w:val="24"/>
          <w:highlight w:val="none"/>
        </w:rPr>
      </w:pPr>
    </w:p>
    <w:p w14:paraId="38C98E9F">
      <w:pPr>
        <w:pStyle w:val="631"/>
        <w:pageBreakBefore w:val="0"/>
        <w:kinsoku/>
        <w:wordWrap/>
        <w:overflowPunct/>
        <w:topLinePunct w:val="0"/>
        <w:bidi w:val="0"/>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二、采购需求</w:t>
      </w:r>
    </w:p>
    <w:p w14:paraId="0BF0E75E">
      <w:pPr>
        <w:pStyle w:val="3"/>
        <w:pageBreakBefore w:val="0"/>
        <w:numPr>
          <w:ilvl w:val="0"/>
          <w:numId w:val="0"/>
        </w:numPr>
        <w:kinsoku/>
        <w:wordWrap/>
        <w:overflowPunct/>
        <w:topLinePunct w:val="0"/>
        <w:bidi w:val="0"/>
        <w:snapToGrid/>
        <w:textAlignment w:val="auto"/>
        <w:rPr>
          <w:rFonts w:hint="eastAsia" w:ascii="宋体" w:hAnsi="宋体" w:eastAsia="宋体" w:cs="宋体"/>
          <w:sz w:val="24"/>
          <w:szCs w:val="24"/>
          <w:lang w:val="en-US" w:eastAsia="zh-CN"/>
        </w:rPr>
      </w:pPr>
      <w:bookmarkStart w:id="52" w:name="_Toc510603453"/>
      <w:r>
        <w:rPr>
          <w:rFonts w:hint="eastAsia" w:ascii="宋体" w:hAnsi="宋体" w:eastAsia="宋体" w:cs="宋体"/>
          <w:sz w:val="24"/>
          <w:szCs w:val="24"/>
          <w:lang w:val="en-US" w:eastAsia="zh-CN"/>
        </w:rPr>
        <w:t>1、项目概况</w:t>
      </w:r>
    </w:p>
    <w:p w14:paraId="6FE73C0F">
      <w:pPr>
        <w:pageBreakBefore w:val="0"/>
        <w:kinsoku/>
        <w:wordWrap/>
        <w:overflowPunct/>
        <w:topLinePunct w:val="0"/>
        <w:bidi w:val="0"/>
        <w:snapToGrid/>
        <w:spacing w:line="360" w:lineRule="auto"/>
        <w:ind w:firstLine="480" w:firstLineChars="200"/>
        <w:jc w:val="left"/>
        <w:textAlignment w:val="auto"/>
        <w:rPr>
          <w:rFonts w:hint="default"/>
          <w:lang w:val="en-US" w:eastAsia="zh-CN"/>
        </w:rPr>
      </w:pPr>
      <w:r>
        <w:rPr>
          <w:rFonts w:hint="eastAsia" w:ascii="宋体" w:hAnsi="宋体" w:eastAsia="宋体" w:cs="宋体"/>
          <w:b w:val="0"/>
          <w:bCs/>
          <w:color w:val="auto"/>
          <w:sz w:val="24"/>
          <w:szCs w:val="24"/>
          <w:highlight w:val="none"/>
          <w:lang w:val="en-US" w:eastAsia="zh-CN"/>
        </w:rPr>
        <w:t>本项目为清水入湖项目，引水和水质净化规模为10m3/s，主要利用浦阳江、富春江与钱塘江交汇的三江口区域的小砾山引水枢纽及配套的水质净化设备，对钱塘江水进行净化处理后，通过湘湖闸、定山闸进入湘湖湖区，改善湘湖湖区水质。</w:t>
      </w:r>
    </w:p>
    <w:p w14:paraId="5FCC8915">
      <w:pPr>
        <w:pStyle w:val="3"/>
        <w:pageBreakBefore w:val="0"/>
        <w:numPr>
          <w:ilvl w:val="0"/>
          <w:numId w:val="0"/>
        </w:numPr>
        <w:kinsoku/>
        <w:wordWrap/>
        <w:overflowPunct/>
        <w:topLinePunct w:val="0"/>
        <w:bidi w:val="0"/>
        <w:snapToGrid/>
        <w:textAlignment w:val="auto"/>
        <w:rPr>
          <w:rFonts w:hint="eastAsia" w:ascii="宋体" w:hAnsi="宋体" w:eastAsia="宋体" w:cs="宋体"/>
          <w:b w:val="0"/>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项目技术规范</w:t>
      </w:r>
      <w:bookmarkEnd w:id="52"/>
    </w:p>
    <w:p w14:paraId="3601A56B">
      <w:pPr>
        <w:pageBreakBefore w:val="0"/>
        <w:kinsoku/>
        <w:wordWrap/>
        <w:overflowPunct/>
        <w:topLinePunct w:val="0"/>
        <w:bidi w:val="0"/>
        <w:snapToGrid/>
        <w:spacing w:line="360" w:lineRule="auto"/>
        <w:jc w:val="left"/>
        <w:textAlignment w:val="auto"/>
        <w:rPr>
          <w:rFonts w:hint="eastAsia" w:ascii="宋体" w:hAnsi="宋体" w:eastAsia="宋体" w:cs="宋体"/>
          <w:b w:val="0"/>
          <w:bCs/>
          <w:color w:val="auto"/>
          <w:sz w:val="24"/>
          <w:szCs w:val="24"/>
          <w:highlight w:val="none"/>
          <w:lang w:eastAsia="zh-CN"/>
        </w:rPr>
      </w:pP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lang w:eastAsia="zh-CN"/>
        </w:rPr>
        <w:t>水质净化服务目标</w:t>
      </w:r>
    </w:p>
    <w:p w14:paraId="3DBED17F">
      <w:pPr>
        <w:pageBreakBefore w:val="0"/>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钱塘江水经净化处理后定山闸闸前浊度≤5NTU，水体透明度达到180cm。</w:t>
      </w:r>
    </w:p>
    <w:p w14:paraId="670F9466">
      <w:pPr>
        <w:pageBreakBefore w:val="0"/>
        <w:kinsoku/>
        <w:wordWrap/>
        <w:overflowPunct/>
        <w:topLinePunct w:val="0"/>
        <w:bidi w:val="0"/>
        <w:snapToGrid/>
        <w:spacing w:line="360" w:lineRule="auto"/>
        <w:jc w:val="left"/>
        <w:textAlignment w:val="auto"/>
        <w:rPr>
          <w:rFonts w:hint="eastAsia" w:ascii="宋体" w:hAnsi="宋体" w:eastAsia="宋体" w:cs="宋体"/>
          <w:b w:val="0"/>
          <w:bCs/>
          <w:color w:val="auto"/>
          <w:sz w:val="24"/>
          <w:szCs w:val="24"/>
          <w:highlight w:val="none"/>
          <w:lang w:eastAsia="zh-CN"/>
        </w:rPr>
      </w:pP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eastAsia="zh-CN"/>
        </w:rPr>
        <w:t>项目所用净水剂要求</w:t>
      </w:r>
    </w:p>
    <w:p w14:paraId="62D9B8CD">
      <w:pPr>
        <w:pageBreakBefore w:val="0"/>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所用净水剂为10%饮用水用聚合氯化铝液体，满足生活饮用水用聚合氯化铝（GB15892-2020）标准，且须具有经过有效批准的涉及饮用水卫生安全产品卫生许可批件。</w:t>
      </w:r>
    </w:p>
    <w:p w14:paraId="488A8AA2">
      <w:pPr>
        <w:pStyle w:val="3"/>
        <w:pageBreakBefore w:val="0"/>
        <w:numPr>
          <w:ilvl w:val="0"/>
          <w:numId w:val="0"/>
        </w:numPr>
        <w:kinsoku/>
        <w:wordWrap/>
        <w:overflowPunct/>
        <w:topLinePunct w:val="0"/>
        <w:bidi w:val="0"/>
        <w:snapToGrid/>
        <w:textAlignment w:val="auto"/>
        <w:rPr>
          <w:rFonts w:hint="eastAsia" w:ascii="宋体" w:hAnsi="宋体" w:eastAsia="宋体" w:cs="宋体"/>
          <w:b w:val="0"/>
          <w:bCs w:val="0"/>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服务要求</w:t>
      </w:r>
    </w:p>
    <w:p w14:paraId="69BA18BE">
      <w:pPr>
        <w:pageBreakBefore w:val="0"/>
        <w:kinsoku/>
        <w:wordWrap/>
        <w:overflowPunct/>
        <w:topLinePunct w:val="0"/>
        <w:bidi w:val="0"/>
        <w:snapToGrid/>
        <w:spacing w:line="360" w:lineRule="auto"/>
        <w:textAlignment w:val="auto"/>
        <w:rPr>
          <w:rFonts w:hint="eastAsia" w:ascii="宋体" w:hAnsi="宋体" w:eastAsia="宋体" w:cs="宋体"/>
          <w:bCs/>
          <w:sz w:val="24"/>
        </w:rPr>
      </w:pPr>
      <w:r>
        <w:rPr>
          <w:rFonts w:hint="eastAsia" w:ascii="宋体" w:hAnsi="宋体" w:cs="宋体"/>
          <w:bCs/>
          <w:sz w:val="24"/>
          <w:lang w:val="en-US" w:eastAsia="zh-CN"/>
        </w:rPr>
        <w:t>3</w:t>
      </w:r>
      <w:r>
        <w:rPr>
          <w:rFonts w:hint="eastAsia" w:ascii="宋体" w:hAnsi="宋体" w:eastAsia="宋体" w:cs="宋体"/>
          <w:bCs/>
          <w:sz w:val="24"/>
          <w:lang w:val="en-US" w:eastAsia="zh-CN"/>
        </w:rPr>
        <w:t>.1</w:t>
      </w:r>
      <w:r>
        <w:rPr>
          <w:rFonts w:hint="eastAsia" w:ascii="宋体" w:hAnsi="宋体" w:eastAsia="宋体" w:cs="宋体"/>
          <w:bCs/>
          <w:sz w:val="24"/>
        </w:rPr>
        <w:t>水质净化服务要求</w:t>
      </w:r>
    </w:p>
    <w:p w14:paraId="5D6D27AA">
      <w:pPr>
        <w:pageBreakBefore w:val="0"/>
        <w:kinsoku/>
        <w:wordWrap/>
        <w:overflowPunct/>
        <w:topLinePunct w:val="0"/>
        <w:bidi w:val="0"/>
        <w:snapToGrid/>
        <w:spacing w:line="360" w:lineRule="auto"/>
        <w:ind w:firstLine="480" w:firstLineChars="200"/>
        <w:textAlignment w:val="auto"/>
        <w:rPr>
          <w:rFonts w:hint="eastAsia" w:ascii="宋体" w:hAnsi="宋体" w:eastAsia="宋体" w:cs="宋体"/>
          <w:bCs/>
          <w:sz w:val="24"/>
        </w:rPr>
      </w:pPr>
      <w:r>
        <w:rPr>
          <w:rFonts w:hint="eastAsia" w:ascii="宋体" w:hAnsi="宋体" w:eastAsia="宋体" w:cs="宋体"/>
          <w:kern w:val="0"/>
          <w:sz w:val="24"/>
        </w:rPr>
        <w:t>钱塘江水经净化处理后</w:t>
      </w:r>
      <w:bookmarkStart w:id="53" w:name="_Hlk193986068"/>
      <w:r>
        <w:rPr>
          <w:rFonts w:hint="eastAsia" w:ascii="宋体" w:hAnsi="宋体" w:eastAsia="宋体" w:cs="宋体"/>
          <w:kern w:val="0"/>
          <w:sz w:val="24"/>
        </w:rPr>
        <w:t>定山闸</w:t>
      </w:r>
      <w:bookmarkEnd w:id="53"/>
      <w:r>
        <w:rPr>
          <w:rFonts w:hint="eastAsia" w:ascii="宋体" w:hAnsi="宋体" w:eastAsia="宋体" w:cs="宋体"/>
          <w:kern w:val="0"/>
          <w:sz w:val="24"/>
        </w:rPr>
        <w:t>闸前浊度≤5NTU，水体透明度达到180cm</w:t>
      </w:r>
      <w:r>
        <w:rPr>
          <w:rFonts w:hint="eastAsia" w:ascii="宋体" w:hAnsi="宋体" w:eastAsia="宋体" w:cs="宋体"/>
          <w:bCs/>
          <w:sz w:val="24"/>
        </w:rPr>
        <w:t>。</w:t>
      </w:r>
    </w:p>
    <w:p w14:paraId="37BCC9AC">
      <w:pPr>
        <w:pageBreakBefore w:val="0"/>
        <w:kinsoku/>
        <w:wordWrap/>
        <w:overflowPunct/>
        <w:topLinePunct w:val="0"/>
        <w:bidi w:val="0"/>
        <w:snapToGrid/>
        <w:spacing w:line="360" w:lineRule="auto"/>
        <w:textAlignment w:val="auto"/>
        <w:rPr>
          <w:rFonts w:hint="eastAsia" w:ascii="宋体" w:hAnsi="宋体" w:eastAsia="宋体" w:cs="宋体"/>
          <w:bCs/>
          <w:sz w:val="24"/>
        </w:rPr>
      </w:pPr>
      <w:r>
        <w:rPr>
          <w:rFonts w:hint="eastAsia" w:ascii="宋体" w:hAnsi="宋体" w:cs="宋体"/>
          <w:bCs/>
          <w:sz w:val="24"/>
          <w:lang w:val="en-US" w:eastAsia="zh-CN"/>
        </w:rPr>
        <w:t>3</w:t>
      </w:r>
      <w:r>
        <w:rPr>
          <w:rFonts w:hint="eastAsia" w:ascii="宋体" w:hAnsi="宋体" w:eastAsia="宋体" w:cs="宋体"/>
          <w:bCs/>
          <w:sz w:val="24"/>
          <w:lang w:val="en-US" w:eastAsia="zh-CN"/>
        </w:rPr>
        <w:t>.2</w:t>
      </w:r>
      <w:r>
        <w:rPr>
          <w:rFonts w:hint="eastAsia" w:ascii="宋体" w:hAnsi="宋体" w:eastAsia="宋体" w:cs="宋体"/>
          <w:bCs/>
          <w:sz w:val="24"/>
          <w:lang w:eastAsia="zh-CN"/>
        </w:rPr>
        <w:t>项目</w:t>
      </w:r>
      <w:r>
        <w:rPr>
          <w:rFonts w:hint="eastAsia" w:ascii="宋体" w:hAnsi="宋体" w:eastAsia="宋体" w:cs="宋体"/>
          <w:bCs/>
          <w:sz w:val="24"/>
        </w:rPr>
        <w:t>运行期间工作要求</w:t>
      </w:r>
    </w:p>
    <w:p w14:paraId="71884EE1">
      <w:pPr>
        <w:pageBreakBefore w:val="0"/>
        <w:kinsoku/>
        <w:wordWrap/>
        <w:overflowPunct/>
        <w:topLinePunct w:val="0"/>
        <w:bidi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1</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项目组人员要求：</w:t>
      </w:r>
    </w:p>
    <w:p w14:paraId="2918AF43">
      <w:pPr>
        <w:spacing w:line="360" w:lineRule="auto"/>
        <w:ind w:firstLine="480" w:firstLineChars="200"/>
        <w:rPr>
          <w:rFonts w:hint="eastAsia" w:ascii="宋体" w:hAnsi="宋体" w:cs="宋体"/>
          <w:bCs/>
          <w:sz w:val="24"/>
          <w:highlight w:val="none"/>
        </w:rPr>
      </w:pPr>
      <w:r>
        <w:rPr>
          <w:rFonts w:hint="eastAsia" w:ascii="宋体" w:hAnsi="宋体" w:cs="宋体"/>
          <w:bCs/>
          <w:sz w:val="24"/>
          <w:highlight w:val="none"/>
        </w:rPr>
        <w:t>项目组人员要求：</w:t>
      </w:r>
    </w:p>
    <w:p w14:paraId="2AB49089">
      <w:pPr>
        <w:pageBreakBefore w:val="0"/>
        <w:kinsoku/>
        <w:wordWrap/>
        <w:overflowPunct/>
        <w:topLinePunct w:val="0"/>
        <w:bidi w:val="0"/>
        <w:snapToGrid/>
        <w:spacing w:line="360" w:lineRule="auto"/>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钱塘江受潮汐影响，水质波动与水文情况关联度较高，水质浊度变化区间大（3-800NTU）；同时项目涉及小砾山引水枢纽、三江闸、湘湖闸、定山闸和水质净化设备等众多电气设备的控制运行，相关设备均配备了就地和远程的PLC自动化控制系统。因此，为确保水质稳定达标（定山闸闸前浊度≤5NTU，水体透明度达到180cm），</w:t>
      </w:r>
      <w:r>
        <w:rPr>
          <w:rFonts w:hint="eastAsia" w:ascii="宋体" w:hAnsi="宋体" w:cs="宋体"/>
          <w:kern w:val="0"/>
          <w:sz w:val="24"/>
          <w:highlight w:val="none"/>
          <w:lang w:val="en-US" w:eastAsia="zh-CN"/>
        </w:rPr>
        <w:t>项目</w:t>
      </w:r>
      <w:r>
        <w:rPr>
          <w:rFonts w:hint="eastAsia" w:ascii="宋体" w:hAnsi="宋体" w:cs="宋体"/>
          <w:kern w:val="0"/>
          <w:sz w:val="24"/>
          <w:highlight w:val="none"/>
        </w:rPr>
        <w:t>运行期间，项目组需配备专业的水文水资源专业、水利专业工程专业、环保、给排水和自动化专业人员，分析工程区域钱塘江的水文条件变化，同时结合水利计算，动态调整沉淀区内三江闸和湘湖闸的控制条件，为环保专业和给排水专业的操作运行提供相关依据，及时调整各设备的运行状态，确保运行效果稳定达标。</w:t>
      </w:r>
    </w:p>
    <w:p w14:paraId="32C823B6">
      <w:pPr>
        <w:pageBreakBefore w:val="0"/>
        <w:kinsoku/>
        <w:wordWrap/>
        <w:overflowPunct/>
        <w:topLinePunct w:val="0"/>
        <w:bidi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2</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运行值班要求：</w:t>
      </w:r>
    </w:p>
    <w:p w14:paraId="4AA05097">
      <w:pPr>
        <w:spacing w:line="360" w:lineRule="auto"/>
        <w:ind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项目</w:t>
      </w:r>
      <w:r>
        <w:rPr>
          <w:rFonts w:hint="eastAsia" w:ascii="宋体" w:hAnsi="宋体" w:cs="宋体"/>
          <w:kern w:val="0"/>
          <w:sz w:val="24"/>
          <w:highlight w:val="none"/>
        </w:rPr>
        <w:t>运行期间，运行单位需要安排专门值班人员24小时值班。每天定时对湘湖闸、定山闸水质浊度和透明度指标进行人工监测和巡查一次，形成影像记录台账。</w:t>
      </w:r>
    </w:p>
    <w:p w14:paraId="7DDACFE4">
      <w:pPr>
        <w:pageBreakBefore w:val="0"/>
        <w:kinsoku/>
        <w:wordWrap/>
        <w:overflowPunct/>
        <w:topLinePunct w:val="0"/>
        <w:bidi w:val="0"/>
        <w:snapToGrid/>
        <w:spacing w:line="360" w:lineRule="auto"/>
        <w:textAlignment w:val="auto"/>
        <w:rPr>
          <w:rFonts w:hint="eastAsia" w:ascii="宋体" w:hAnsi="宋体" w:eastAsia="宋体" w:cs="宋体"/>
          <w:bCs/>
          <w:sz w:val="24"/>
        </w:rPr>
      </w:pPr>
      <w:r>
        <w:rPr>
          <w:rFonts w:hint="eastAsia" w:ascii="宋体" w:hAnsi="宋体" w:cs="宋体"/>
          <w:bCs/>
          <w:sz w:val="24"/>
          <w:lang w:val="en-US" w:eastAsia="zh-CN"/>
        </w:rPr>
        <w:t>3</w:t>
      </w:r>
      <w:r>
        <w:rPr>
          <w:rFonts w:hint="eastAsia" w:ascii="宋体" w:hAnsi="宋体" w:eastAsia="宋体" w:cs="宋体"/>
          <w:bCs/>
          <w:sz w:val="24"/>
          <w:lang w:val="en-US" w:eastAsia="zh-CN"/>
        </w:rPr>
        <w:t>.3</w:t>
      </w:r>
      <w:r>
        <w:rPr>
          <w:rFonts w:hint="eastAsia" w:ascii="宋体" w:hAnsi="宋体" w:eastAsia="宋体" w:cs="宋体"/>
          <w:bCs/>
          <w:sz w:val="24"/>
        </w:rPr>
        <w:t>水质净化运行维护要求</w:t>
      </w:r>
    </w:p>
    <w:p w14:paraId="2C2E0C86">
      <w:pPr>
        <w:pageBreakBefore w:val="0"/>
        <w:kinsoku/>
        <w:wordWrap/>
        <w:overflowPunct/>
        <w:topLinePunct w:val="0"/>
        <w:bidi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业主要求，负责小砾山引水枢纽水质净化设备的运行管理。其主要包括三部分内容：①药剂卸料存储系统、②药剂投加系统、③与水质净化运行设施相关的小砾山引水枢纽、湘湖闸、定山闸的管理单位协调对接，确保清水入湖正常运行。</w:t>
      </w:r>
    </w:p>
    <w:p w14:paraId="71478C98">
      <w:pPr>
        <w:pageBreakBefore w:val="0"/>
        <w:kinsoku/>
        <w:wordWrap/>
        <w:overflowPunct/>
        <w:topLinePunct w:val="0"/>
        <w:bidi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清水入湖运行时，根据业主指令，开启小砾山枢纽水质净化设备对来水净化处理，动态调整投加量，确保进入湘湖进水口定山闸处水质稳定达标。</w:t>
      </w:r>
    </w:p>
    <w:p w14:paraId="7039E60B">
      <w:pPr>
        <w:pageBreakBefore w:val="0"/>
        <w:kinsoku/>
        <w:wordWrap/>
        <w:overflowPunct/>
        <w:topLinePunct w:val="0"/>
        <w:bidi w:val="0"/>
        <w:snapToGrid/>
        <w:spacing w:line="360" w:lineRule="auto"/>
        <w:textAlignment w:val="auto"/>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运行维护主要含以下内容： </w:t>
      </w:r>
    </w:p>
    <w:p w14:paraId="087F4EB6">
      <w:pPr>
        <w:pageBreakBefore w:val="0"/>
        <w:kinsoku/>
        <w:wordWrap/>
        <w:overflowPunct/>
        <w:topLinePunct w:val="0"/>
        <w:bidi w:val="0"/>
        <w:snapToGrid/>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（1）10%饮用水级聚合氯化铝液体采购、协调、调度、入场登记、卸料；</w:t>
      </w:r>
    </w:p>
    <w:p w14:paraId="76A2C68C">
      <w:pPr>
        <w:pageBreakBefore w:val="0"/>
        <w:kinsoku/>
        <w:wordWrap/>
        <w:overflowPunct/>
        <w:topLinePunct w:val="0"/>
        <w:bidi w:val="0"/>
        <w:snapToGrid/>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（2）水质净化设备的操作、维护、保洁；</w:t>
      </w:r>
    </w:p>
    <w:p w14:paraId="37CD251E">
      <w:pPr>
        <w:pageBreakBefore w:val="0"/>
        <w:kinsoku/>
        <w:wordWrap/>
        <w:overflowPunct/>
        <w:topLinePunct w:val="0"/>
        <w:bidi w:val="0"/>
        <w:snapToGrid/>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（3）储料系统的操作、巡查、维护；</w:t>
      </w:r>
    </w:p>
    <w:p w14:paraId="27AB04C6">
      <w:pPr>
        <w:pageBreakBefore w:val="0"/>
        <w:kinsoku/>
        <w:wordWrap/>
        <w:overflowPunct/>
        <w:topLinePunct w:val="0"/>
        <w:bidi w:val="0"/>
        <w:snapToGrid/>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（4）根据引水量及水质，对动态调整加药量，保障出水水质；</w:t>
      </w:r>
    </w:p>
    <w:p w14:paraId="05FDF575">
      <w:pPr>
        <w:pageBreakBefore w:val="0"/>
        <w:kinsoku/>
        <w:wordWrap/>
        <w:overflowPunct/>
        <w:topLinePunct w:val="0"/>
        <w:bidi w:val="0"/>
        <w:snapToGrid/>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（5）水质净化设备、水质及其附属设备巡视、监测、记录；</w:t>
      </w:r>
    </w:p>
    <w:p w14:paraId="4DA380B9">
      <w:pPr>
        <w:pageBreakBefore w:val="0"/>
        <w:kinsoku/>
        <w:wordWrap/>
        <w:overflowPunct/>
        <w:topLinePunct w:val="0"/>
        <w:bidi w:val="0"/>
        <w:snapToGrid/>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（6）水质净化设备常规清洗、保养、校准，包括：计量泵、电机、储罐、流量计、控制系统维护等内容；</w:t>
      </w:r>
    </w:p>
    <w:p w14:paraId="2929E5B5">
      <w:pPr>
        <w:pageBreakBefore w:val="0"/>
        <w:kinsoku/>
        <w:wordWrap/>
        <w:overflowPunct/>
        <w:topLinePunct w:val="0"/>
        <w:bidi w:val="0"/>
        <w:snapToGrid/>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（7）配电箱及其线路巡检、记录；</w:t>
      </w:r>
    </w:p>
    <w:p w14:paraId="1884E9E9">
      <w:pPr>
        <w:pageBreakBefore w:val="0"/>
        <w:kinsoku/>
        <w:wordWrap/>
        <w:overflowPunct/>
        <w:topLinePunct w:val="0"/>
        <w:bidi w:val="0"/>
        <w:snapToGrid/>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（8）净水剂进场台账、巡查台帐、运行时间签证台账、水质人工检测台帐、设备维护保养台帐的登记、汇总、造册，保证运行记录的完整性。</w:t>
      </w:r>
    </w:p>
    <w:p w14:paraId="06287B3F">
      <w:pPr>
        <w:pageBreakBefore w:val="0"/>
        <w:kinsoku/>
        <w:wordWrap/>
        <w:overflowPunct/>
        <w:topLinePunct w:val="0"/>
        <w:bidi w:val="0"/>
        <w:snapToGrid/>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（9）做好设备区域内的卫生、安全、文明工作。</w:t>
      </w:r>
    </w:p>
    <w:p w14:paraId="4B71F024">
      <w:pPr>
        <w:pageBreakBefore w:val="0"/>
        <w:kinsoku/>
        <w:wordWrap/>
        <w:overflowPunct/>
        <w:topLinePunct w:val="0"/>
        <w:bidi w:val="0"/>
        <w:snapToGrid/>
        <w:spacing w:line="360" w:lineRule="auto"/>
        <w:jc w:val="left"/>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eastAsia="zh-CN"/>
        </w:rPr>
        <w:t>▲</w:t>
      </w:r>
      <w:r>
        <w:rPr>
          <w:rFonts w:hint="eastAsia" w:ascii="宋体" w:hAnsi="宋体" w:cs="宋体"/>
          <w:b/>
          <w:color w:val="auto"/>
          <w:sz w:val="24"/>
          <w:szCs w:val="24"/>
          <w:highlight w:val="none"/>
          <w:lang w:val="en-US" w:eastAsia="zh-CN"/>
        </w:rPr>
        <w:t>4</w:t>
      </w:r>
      <w:r>
        <w:rPr>
          <w:rFonts w:hint="eastAsia" w:ascii="宋体" w:hAnsi="宋体" w:eastAsia="宋体" w:cs="宋体"/>
          <w:b/>
          <w:color w:val="auto"/>
          <w:sz w:val="24"/>
          <w:szCs w:val="24"/>
          <w:highlight w:val="none"/>
          <w:lang w:val="en-US" w:eastAsia="zh-CN"/>
        </w:rPr>
        <w:t>、报价要求</w:t>
      </w:r>
    </w:p>
    <w:p w14:paraId="69165737">
      <w:pPr>
        <w:pageBreakBefore w:val="0"/>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lang w:eastAsia="zh-CN"/>
        </w:rPr>
        <w:t>）水质净化服务费用按照水处理量结合综合单价计算，即报价时须注明投标单价（综合单价），中标单价一次性包干，中标单价包括</w:t>
      </w:r>
      <w:r>
        <w:rPr>
          <w:rFonts w:hint="eastAsia" w:ascii="宋体" w:hAnsi="宋体" w:eastAsia="宋体" w:cs="宋体"/>
          <w:kern w:val="0"/>
          <w:sz w:val="24"/>
          <w:lang w:val="zh-CN"/>
        </w:rPr>
        <w:t>项目实施所需的所有费用（含税费）</w:t>
      </w:r>
      <w:r>
        <w:rPr>
          <w:rFonts w:hint="eastAsia" w:ascii="宋体" w:hAnsi="宋体" w:eastAsia="宋体" w:cs="宋体"/>
          <w:b w:val="0"/>
          <w:bCs/>
          <w:color w:val="auto"/>
          <w:sz w:val="24"/>
          <w:szCs w:val="24"/>
          <w:highlight w:val="none"/>
          <w:lang w:eastAsia="zh-CN"/>
        </w:rPr>
        <w:t>。</w:t>
      </w:r>
    </w:p>
    <w:p w14:paraId="55837BE3">
      <w:pPr>
        <w:pageBreakBefore w:val="0"/>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eastAsia="zh-CN"/>
        </w:rPr>
        <w:t>）水处理量暂定11000万</w:t>
      </w:r>
      <w:r>
        <w:rPr>
          <w:rFonts w:hint="eastAsia" w:ascii="宋体" w:hAnsi="宋体" w:eastAsia="宋体" w:cs="宋体"/>
          <w:b w:val="0"/>
          <w:bCs/>
          <w:color w:val="auto"/>
          <w:sz w:val="24"/>
          <w:szCs w:val="24"/>
          <w:highlight w:val="none"/>
          <w:lang w:val="en-US" w:eastAsia="zh-CN"/>
        </w:rPr>
        <w:t>m³</w:t>
      </w:r>
      <w:r>
        <w:rPr>
          <w:rFonts w:hint="eastAsia" w:ascii="宋体" w:hAnsi="宋体" w:eastAsia="宋体" w:cs="宋体"/>
          <w:b w:val="0"/>
          <w:bCs/>
          <w:color w:val="auto"/>
          <w:sz w:val="24"/>
          <w:szCs w:val="24"/>
          <w:highlight w:val="none"/>
          <w:lang w:eastAsia="zh-CN"/>
        </w:rPr>
        <w:t>，最终按实结算，水处理量=水泵铭牌流量×引水时间。</w:t>
      </w:r>
    </w:p>
    <w:p w14:paraId="02AE14A5">
      <w:pPr>
        <w:pStyle w:val="56"/>
        <w:pageBreakBefore w:val="0"/>
        <w:shd w:val="clear" w:color="auto" w:fill="FFFFFF"/>
        <w:kinsoku/>
        <w:wordWrap/>
        <w:overflowPunct/>
        <w:topLinePunct w:val="0"/>
        <w:autoSpaceDE/>
        <w:autoSpaceDN/>
        <w:bidi w:val="0"/>
        <w:snapToGrid/>
        <w:spacing w:before="0" w:beforeAutospacing="0" w:after="0" w:afterAutospacing="0" w:line="360" w:lineRule="auto"/>
        <w:ind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eastAsia="zh-CN"/>
        </w:rPr>
        <w:t>）本项目</w:t>
      </w:r>
      <w:r>
        <w:rPr>
          <w:rFonts w:hint="eastAsia" w:ascii="宋体" w:hAnsi="宋体" w:eastAsia="宋体" w:cs="宋体"/>
          <w:color w:val="auto"/>
          <w:sz w:val="24"/>
          <w:szCs w:val="24"/>
          <w:highlight w:val="none"/>
          <w:shd w:val="clear" w:color="auto" w:fill="FFFFFF"/>
        </w:rPr>
        <w:t>最高限价</w:t>
      </w:r>
      <w:r>
        <w:rPr>
          <w:rFonts w:hint="eastAsia" w:ascii="宋体" w:hAnsi="宋体" w:eastAsia="宋体" w:cs="宋体"/>
          <w:color w:val="auto"/>
          <w:sz w:val="24"/>
          <w:szCs w:val="24"/>
          <w:highlight w:val="none"/>
          <w:shd w:val="clear" w:color="auto" w:fill="FFFFFF"/>
          <w:lang w:eastAsia="zh-CN"/>
        </w:rPr>
        <w:t>为</w:t>
      </w:r>
      <w:r>
        <w:rPr>
          <w:rFonts w:hint="eastAsia" w:ascii="宋体" w:hAnsi="宋体" w:eastAsia="宋体" w:cs="宋体"/>
          <w:color w:val="auto"/>
          <w:sz w:val="24"/>
          <w:highlight w:val="none"/>
          <w:u w:val="single"/>
          <w:lang w:val="en-US" w:eastAsia="zh-CN"/>
        </w:rPr>
        <w:t>8000000</w:t>
      </w:r>
      <w:r>
        <w:rPr>
          <w:rFonts w:hint="eastAsia" w:ascii="宋体" w:hAnsi="宋体" w:eastAsia="宋体" w:cs="宋体"/>
          <w:b w:val="0"/>
          <w:bCs/>
          <w:color w:val="auto"/>
          <w:sz w:val="24"/>
          <w:highlight w:val="none"/>
          <w:lang w:val="en-US" w:eastAsia="zh-CN"/>
        </w:rPr>
        <w:t>元，即最高投标单价为0.073元/</w:t>
      </w:r>
      <w:r>
        <w:rPr>
          <w:rFonts w:hint="eastAsia" w:ascii="宋体" w:hAnsi="宋体" w:eastAsia="宋体" w:cs="宋体"/>
          <w:b w:val="0"/>
          <w:bCs/>
          <w:color w:val="auto"/>
          <w:sz w:val="24"/>
          <w:szCs w:val="24"/>
          <w:highlight w:val="none"/>
          <w:lang w:val="en-US" w:eastAsia="zh-CN"/>
        </w:rPr>
        <w:t>m³，超过限价的，作无效标处理。</w:t>
      </w:r>
    </w:p>
    <w:p w14:paraId="2357B5D3">
      <w:pPr>
        <w:pStyle w:val="56"/>
        <w:pageBreakBefore w:val="0"/>
        <w:shd w:val="clear" w:color="auto" w:fill="FFFFFF"/>
        <w:kinsoku/>
        <w:wordWrap/>
        <w:overflowPunct/>
        <w:topLinePunct w:val="0"/>
        <w:autoSpaceDE/>
        <w:autoSpaceDN/>
        <w:bidi w:val="0"/>
        <w:snapToGrid/>
        <w:spacing w:before="0" w:beforeAutospacing="0" w:after="0" w:afterAutospacing="0" w:line="360" w:lineRule="auto"/>
        <w:ind w:firstLine="480" w:firstLineChars="200"/>
        <w:jc w:val="both"/>
        <w:textAlignment w:val="auto"/>
        <w:rPr>
          <w:rFonts w:hint="default" w:ascii="宋体" w:hAnsi="宋体" w:eastAsia="宋体" w:cs="宋体"/>
          <w:b w:val="0"/>
          <w:bCs/>
          <w:color w:val="auto"/>
          <w:sz w:val="24"/>
          <w:szCs w:val="24"/>
          <w:highlight w:val="none"/>
          <w:lang w:val="en-US" w:eastAsia="zh-CN"/>
        </w:rPr>
      </w:pPr>
      <w:r>
        <w:rPr>
          <w:rFonts w:hint="eastAsia" w:cs="宋体"/>
          <w:b w:val="0"/>
          <w:bCs/>
          <w:color w:val="auto"/>
          <w:sz w:val="24"/>
          <w:szCs w:val="24"/>
          <w:highlight w:val="none"/>
          <w:lang w:val="en-US" w:eastAsia="zh-CN"/>
        </w:rPr>
        <w:t>（4）最终结算费用不超过8000000元，超出部分不予结算。</w:t>
      </w:r>
    </w:p>
    <w:p w14:paraId="4E334311">
      <w:pPr>
        <w:pageBreakBefore w:val="0"/>
        <w:kinsoku/>
        <w:wordWrap/>
        <w:overflowPunct/>
        <w:topLinePunct w:val="0"/>
        <w:bidi w:val="0"/>
        <w:snapToGrid/>
        <w:spacing w:line="360" w:lineRule="auto"/>
        <w:jc w:val="left"/>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、商务需求：</w:t>
      </w:r>
    </w:p>
    <w:p w14:paraId="3A06B872">
      <w:pPr>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服务期：根据采购人要求，具体时间以合同签订为准</w:t>
      </w:r>
      <w:r>
        <w:rPr>
          <w:rFonts w:hint="eastAsia" w:ascii="宋体" w:hAnsi="宋体" w:eastAsia="宋体" w:cs="宋体"/>
          <w:b w:val="0"/>
          <w:bCs w:val="0"/>
          <w:color w:val="auto"/>
          <w:sz w:val="24"/>
          <w:szCs w:val="24"/>
          <w:highlight w:val="none"/>
        </w:rPr>
        <w:t>。</w:t>
      </w:r>
    </w:p>
    <w:p w14:paraId="5F9479FC">
      <w:pPr>
        <w:pageBreakBefore w:val="0"/>
        <w:tabs>
          <w:tab w:val="left" w:pos="0"/>
        </w:tabs>
        <w:kinsoku/>
        <w:wordWrap/>
        <w:overflowPunct/>
        <w:topLinePunct w:val="0"/>
        <w:bidi w:val="0"/>
        <w:snapToGrid/>
        <w:spacing w:line="360" w:lineRule="auto"/>
        <w:ind w:firstLine="480"/>
        <w:textAlignment w:val="auto"/>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5</w:t>
      </w:r>
      <w:r>
        <w:rPr>
          <w:rFonts w:hint="eastAsia" w:ascii="宋体" w:hAnsi="宋体" w:eastAsia="宋体" w:cs="宋体"/>
          <w:kern w:val="0"/>
          <w:sz w:val="24"/>
          <w:szCs w:val="24"/>
          <w:lang w:val="en-US" w:eastAsia="zh-CN"/>
        </w:rPr>
        <w:t>.2</w:t>
      </w:r>
      <w:r>
        <w:rPr>
          <w:rFonts w:hint="eastAsia" w:ascii="宋体" w:hAnsi="宋体" w:eastAsia="宋体" w:cs="宋体"/>
          <w:kern w:val="0"/>
          <w:sz w:val="24"/>
          <w:szCs w:val="24"/>
          <w:lang w:val="en-US" w:eastAsia="zh-Hans"/>
        </w:rPr>
        <w:t>服务地点：</w:t>
      </w:r>
      <w:r>
        <w:rPr>
          <w:rFonts w:hint="eastAsia" w:ascii="宋体" w:hAnsi="宋体" w:eastAsia="宋体" w:cs="宋体"/>
          <w:kern w:val="0"/>
          <w:sz w:val="24"/>
          <w:szCs w:val="24"/>
          <w:lang w:val="en-US" w:eastAsia="zh-CN"/>
        </w:rPr>
        <w:t>采购人</w:t>
      </w:r>
      <w:r>
        <w:rPr>
          <w:rFonts w:hint="eastAsia" w:ascii="宋体" w:hAnsi="宋体" w:eastAsia="宋体" w:cs="宋体"/>
          <w:kern w:val="0"/>
          <w:sz w:val="24"/>
          <w:szCs w:val="24"/>
          <w:lang w:val="en-US" w:eastAsia="zh-Hans"/>
        </w:rPr>
        <w:t>指定地点</w:t>
      </w:r>
      <w:r>
        <w:rPr>
          <w:rFonts w:hint="eastAsia" w:ascii="宋体" w:hAnsi="宋体" w:eastAsia="宋体" w:cs="宋体"/>
          <w:kern w:val="0"/>
          <w:sz w:val="24"/>
          <w:szCs w:val="24"/>
          <w:lang w:val="en-US" w:eastAsia="zh-CN"/>
        </w:rPr>
        <w:t>。</w:t>
      </w:r>
    </w:p>
    <w:p w14:paraId="606FE164">
      <w:pPr>
        <w:pageBreakBefore w:val="0"/>
        <w:tabs>
          <w:tab w:val="left" w:pos="0"/>
        </w:tabs>
        <w:kinsoku/>
        <w:wordWrap/>
        <w:overflowPunct/>
        <w:topLinePunct w:val="0"/>
        <w:bidi w:val="0"/>
        <w:snapToGrid/>
        <w:spacing w:line="360" w:lineRule="auto"/>
        <w:ind w:firstLine="480"/>
        <w:textAlignment w:val="auto"/>
        <w:rPr>
          <w:rFonts w:hint="eastAsia" w:ascii="宋体" w:hAnsi="宋体" w:eastAsia="宋体" w:cs="宋体"/>
          <w:kern w:val="0"/>
          <w:sz w:val="24"/>
          <w:szCs w:val="24"/>
          <w:lang w:val="en-US" w:eastAsia="zh-Hans"/>
        </w:rPr>
      </w:pPr>
      <w:r>
        <w:rPr>
          <w:rFonts w:hint="eastAsia" w:ascii="宋体" w:hAnsi="宋体" w:eastAsia="宋体" w:cs="宋体"/>
          <w:kern w:val="0"/>
          <w:sz w:val="24"/>
          <w:szCs w:val="24"/>
        </w:rPr>
        <w:t>▲</w:t>
      </w:r>
      <w:r>
        <w:rPr>
          <w:rFonts w:hint="eastAsia" w:ascii="宋体" w:hAnsi="宋体" w:cs="宋体"/>
          <w:kern w:val="0"/>
          <w:sz w:val="24"/>
          <w:szCs w:val="24"/>
          <w:lang w:val="en-US" w:eastAsia="zh-CN"/>
        </w:rPr>
        <w:t>5</w:t>
      </w: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lang w:val="en-US" w:eastAsia="zh-Hans"/>
        </w:rPr>
        <w:t>服务响应时间要求</w:t>
      </w:r>
    </w:p>
    <w:p w14:paraId="33225E3B">
      <w:pPr>
        <w:pageBreakBefore w:val="0"/>
        <w:tabs>
          <w:tab w:val="left" w:pos="0"/>
        </w:tabs>
        <w:kinsoku/>
        <w:wordWrap/>
        <w:overflowPunct/>
        <w:topLinePunct w:val="0"/>
        <w:bidi w:val="0"/>
        <w:snapToGrid/>
        <w:spacing w:line="360" w:lineRule="auto"/>
        <w:ind w:firstLine="480"/>
        <w:textAlignment w:val="auto"/>
        <w:rPr>
          <w:rFonts w:hint="eastAsia" w:ascii="宋体" w:hAnsi="宋体" w:eastAsia="宋体" w:cs="宋体"/>
          <w:b w:val="0"/>
          <w:bCs w:val="0"/>
          <w:kern w:val="0"/>
          <w:sz w:val="24"/>
          <w:szCs w:val="24"/>
          <w:lang w:val="en-US" w:eastAsia="zh-Hans" w:bidi="ar-SA"/>
        </w:rPr>
      </w:pPr>
      <w:r>
        <w:rPr>
          <w:rFonts w:hint="eastAsia" w:ascii="宋体" w:hAnsi="宋体" w:eastAsia="宋体" w:cs="宋体"/>
          <w:b w:val="0"/>
          <w:bCs w:val="0"/>
          <w:kern w:val="0"/>
          <w:sz w:val="24"/>
          <w:szCs w:val="24"/>
          <w:lang w:val="en-US" w:eastAsia="zh-CN" w:bidi="ar-SA"/>
        </w:rPr>
        <w:t>中标单位</w:t>
      </w:r>
      <w:r>
        <w:rPr>
          <w:rFonts w:hint="eastAsia" w:ascii="宋体" w:hAnsi="宋体" w:eastAsia="宋体" w:cs="宋体"/>
          <w:b w:val="0"/>
          <w:bCs w:val="0"/>
          <w:kern w:val="0"/>
          <w:sz w:val="24"/>
          <w:szCs w:val="24"/>
          <w:lang w:val="en-US" w:eastAsia="zh-Hans" w:bidi="ar-SA"/>
        </w:rPr>
        <w:t>对</w:t>
      </w:r>
      <w:r>
        <w:rPr>
          <w:rFonts w:hint="eastAsia" w:ascii="宋体" w:hAnsi="宋体" w:eastAsia="宋体" w:cs="宋体"/>
          <w:b w:val="0"/>
          <w:bCs w:val="0"/>
          <w:kern w:val="0"/>
          <w:sz w:val="24"/>
          <w:szCs w:val="24"/>
          <w:lang w:val="en-US" w:eastAsia="zh-CN" w:bidi="ar-SA"/>
        </w:rPr>
        <w:t>采购人</w:t>
      </w:r>
      <w:r>
        <w:rPr>
          <w:rFonts w:hint="eastAsia" w:ascii="宋体" w:hAnsi="宋体" w:eastAsia="宋体" w:cs="宋体"/>
          <w:b w:val="0"/>
          <w:bCs w:val="0"/>
          <w:kern w:val="0"/>
          <w:sz w:val="24"/>
          <w:szCs w:val="24"/>
          <w:lang w:val="en-US" w:eastAsia="zh-Hans" w:bidi="ar-SA"/>
        </w:rPr>
        <w:t>的服务要求应在2小时内响应；一般问题应在8小时内解决，重大问题或其它无法迅速解决的问题应在3个工作日内解决</w:t>
      </w:r>
      <w:r>
        <w:rPr>
          <w:rFonts w:hint="eastAsia" w:ascii="宋体" w:hAnsi="宋体" w:eastAsia="宋体" w:cs="宋体"/>
          <w:b w:val="0"/>
          <w:bCs w:val="0"/>
          <w:kern w:val="0"/>
          <w:sz w:val="24"/>
          <w:szCs w:val="24"/>
          <w:lang w:val="en-US" w:eastAsia="zh-CN" w:bidi="ar-SA"/>
        </w:rPr>
        <w:t>，</w:t>
      </w:r>
      <w:r>
        <w:rPr>
          <w:rFonts w:hint="eastAsia" w:ascii="宋体" w:hAnsi="宋体" w:eastAsia="宋体" w:cs="宋体"/>
          <w:b w:val="0"/>
          <w:bCs w:val="0"/>
          <w:kern w:val="0"/>
          <w:sz w:val="24"/>
          <w:szCs w:val="24"/>
          <w:lang w:val="en-US" w:eastAsia="zh-Hans" w:bidi="ar-SA"/>
        </w:rPr>
        <w:t>如果逾期未作出响应，采购人将自行采取必要的措施，</w:t>
      </w:r>
      <w:r>
        <w:rPr>
          <w:rFonts w:hint="eastAsia" w:ascii="宋体" w:hAnsi="宋体" w:eastAsia="宋体" w:cs="宋体"/>
          <w:b w:val="0"/>
          <w:bCs w:val="0"/>
          <w:kern w:val="0"/>
          <w:sz w:val="24"/>
          <w:szCs w:val="24"/>
          <w:lang w:val="en-US" w:eastAsia="zh-CN" w:bidi="ar-SA"/>
        </w:rPr>
        <w:t>中标单位</w:t>
      </w:r>
      <w:r>
        <w:rPr>
          <w:rFonts w:hint="eastAsia" w:ascii="宋体" w:hAnsi="宋体" w:eastAsia="宋体" w:cs="宋体"/>
          <w:b w:val="0"/>
          <w:bCs w:val="0"/>
          <w:kern w:val="0"/>
          <w:sz w:val="24"/>
          <w:szCs w:val="24"/>
          <w:lang w:val="en-US" w:eastAsia="zh-Hans" w:bidi="ar-SA"/>
        </w:rPr>
        <w:t>承担由于故障所造成的全部损失，并由此产生风险和费用由成交方承担。</w:t>
      </w:r>
    </w:p>
    <w:p w14:paraId="6BB657E0">
      <w:pPr>
        <w:pStyle w:val="4"/>
        <w:pageBreakBefore w:val="0"/>
        <w:numPr>
          <w:ilvl w:val="2"/>
          <w:numId w:val="0"/>
        </w:numPr>
        <w:kinsoku/>
        <w:wordWrap/>
        <w:overflowPunct/>
        <w:topLinePunct w:val="0"/>
        <w:bidi w:val="0"/>
        <w:adjustRightInd w:val="0"/>
        <w:snapToGrid/>
        <w:spacing w:before="0" w:after="0" w:line="360" w:lineRule="auto"/>
        <w:ind w:firstLine="482"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付款方式</w:t>
      </w:r>
    </w:p>
    <w:p w14:paraId="1E27F8D3">
      <w:pPr>
        <w:pageBreakBefore w:val="0"/>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合同签订前</w:t>
      </w:r>
      <w:r>
        <w:rPr>
          <w:rFonts w:hint="eastAsia" w:ascii="宋体" w:hAnsi="宋体" w:cs="宋体"/>
          <w:color w:val="auto"/>
          <w:sz w:val="24"/>
          <w:szCs w:val="24"/>
          <w:highlight w:val="none"/>
          <w:lang w:val="en-US" w:eastAsia="zh-CN"/>
        </w:rPr>
        <w:t>乙方</w:t>
      </w:r>
      <w:r>
        <w:rPr>
          <w:rFonts w:hint="eastAsia" w:ascii="宋体" w:hAnsi="宋体" w:eastAsia="宋体" w:cs="宋体"/>
          <w:color w:val="auto"/>
          <w:sz w:val="24"/>
          <w:szCs w:val="24"/>
          <w:highlight w:val="none"/>
        </w:rPr>
        <w:t>向</w:t>
      </w:r>
      <w:r>
        <w:rPr>
          <w:rFonts w:hint="eastAsia" w:ascii="宋体" w:hAnsi="宋体" w:cs="宋体"/>
          <w:color w:val="auto"/>
          <w:sz w:val="24"/>
          <w:szCs w:val="24"/>
          <w:highlight w:val="none"/>
          <w:lang w:val="en-US" w:eastAsia="zh-CN"/>
        </w:rPr>
        <w:t>甲方</w:t>
      </w:r>
      <w:r>
        <w:rPr>
          <w:rFonts w:hint="eastAsia" w:ascii="宋体" w:hAnsi="宋体" w:eastAsia="宋体" w:cs="宋体"/>
          <w:color w:val="auto"/>
          <w:sz w:val="24"/>
          <w:szCs w:val="24"/>
          <w:highlight w:val="none"/>
        </w:rPr>
        <w:t>提交合同价</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％的履约担保。</w:t>
      </w:r>
    </w:p>
    <w:p w14:paraId="39947561">
      <w:pPr>
        <w:pageBreakBefore w:val="0"/>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合同签订后支付</w:t>
      </w:r>
      <w:r>
        <w:rPr>
          <w:rFonts w:hint="eastAsia" w:ascii="宋体" w:hAnsi="宋体" w:cs="宋体"/>
          <w:color w:val="auto"/>
          <w:sz w:val="24"/>
          <w:szCs w:val="24"/>
          <w:highlight w:val="none"/>
          <w:lang w:val="en-US" w:eastAsia="zh-CN"/>
        </w:rPr>
        <w:t>合同价</w:t>
      </w:r>
      <w:r>
        <w:rPr>
          <w:rFonts w:hint="eastAsia" w:ascii="宋体" w:hAnsi="宋体" w:eastAsia="宋体" w:cs="宋体"/>
          <w:color w:val="auto"/>
          <w:sz w:val="24"/>
          <w:szCs w:val="24"/>
          <w:highlight w:val="none"/>
        </w:rPr>
        <w:t>的10%作为预付款。</w:t>
      </w:r>
    </w:p>
    <w:p w14:paraId="23380165">
      <w:pPr>
        <w:pageBreakBefore w:val="0"/>
        <w:kinsoku/>
        <w:wordWrap/>
        <w:overflowPunct/>
        <w:topLinePunct w:val="0"/>
        <w:bidi w:val="0"/>
        <w:adjustRightInd w:val="0"/>
        <w:snapToGrid/>
        <w:spacing w:line="360" w:lineRule="auto"/>
        <w:ind w:firstLine="480" w:firstLineChars="200"/>
        <w:textAlignment w:val="auto"/>
        <w:rPr>
          <w:rFonts w:hint="default" w:ascii="宋体" w:hAnsi="宋体" w:eastAsia="宋体" w:cs="宋体"/>
          <w:color w:val="auto"/>
          <w:sz w:val="24"/>
          <w:szCs w:val="24"/>
          <w:highlight w:val="none"/>
          <w:lang w:val="en-US"/>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进度款每3个月支付一次</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乙方每3个月向甲方申报一次已完成的工程量，</w:t>
      </w:r>
      <w:r>
        <w:rPr>
          <w:rFonts w:hint="eastAsia" w:ascii="宋体" w:hAnsi="宋体" w:cs="宋体"/>
          <w:color w:val="auto"/>
          <w:sz w:val="24"/>
          <w:szCs w:val="24"/>
          <w:highlight w:val="none"/>
          <w:lang w:val="en-US" w:eastAsia="zh-CN"/>
        </w:rPr>
        <w:t>经</w:t>
      </w:r>
      <w:r>
        <w:rPr>
          <w:rFonts w:hint="eastAsia" w:ascii="宋体" w:hAnsi="宋体" w:eastAsia="宋体" w:cs="宋体"/>
          <w:color w:val="auto"/>
          <w:sz w:val="24"/>
          <w:szCs w:val="24"/>
          <w:highlight w:val="none"/>
        </w:rPr>
        <w:t>甲方</w:t>
      </w:r>
      <w:r>
        <w:rPr>
          <w:rFonts w:hint="eastAsia" w:ascii="宋体" w:hAnsi="宋体" w:cs="宋体"/>
          <w:color w:val="auto"/>
          <w:sz w:val="24"/>
          <w:szCs w:val="24"/>
          <w:highlight w:val="none"/>
          <w:lang w:eastAsia="zh-CN"/>
        </w:rPr>
        <w:t>确认</w:t>
      </w:r>
      <w:r>
        <w:rPr>
          <w:rFonts w:hint="eastAsia" w:ascii="宋体" w:hAnsi="宋体" w:cs="宋体"/>
          <w:color w:val="auto"/>
          <w:sz w:val="24"/>
          <w:szCs w:val="24"/>
          <w:highlight w:val="none"/>
          <w:lang w:val="en-US" w:eastAsia="zh-CN"/>
        </w:rPr>
        <w:t>后</w:t>
      </w:r>
      <w:r>
        <w:rPr>
          <w:rFonts w:hint="eastAsia" w:ascii="宋体" w:hAnsi="宋体" w:cs="宋体"/>
          <w:color w:val="auto"/>
          <w:sz w:val="24"/>
          <w:szCs w:val="24"/>
          <w:highlight w:val="none"/>
          <w:lang w:eastAsia="zh-CN"/>
        </w:rPr>
        <w:t>支付</w:t>
      </w:r>
      <w:r>
        <w:rPr>
          <w:rFonts w:hint="eastAsia" w:ascii="宋体" w:hAnsi="宋体" w:cs="宋体"/>
          <w:color w:val="auto"/>
          <w:sz w:val="24"/>
          <w:szCs w:val="24"/>
          <w:highlight w:val="none"/>
          <w:lang w:val="en-US" w:eastAsia="zh-CN"/>
        </w:rPr>
        <w:t>已完成工程量的70%，最终经结算审计后一次性支付，同时退还履约担保。</w:t>
      </w:r>
    </w:p>
    <w:p w14:paraId="6465964A">
      <w:pPr>
        <w:pageBreakBefore w:val="0"/>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结算款项时，乙方根据甲方要求开具符合规范的发票。甲方每次付款前，乙方须向甲方出具合法有效的符合甲方要求的发票，且甲方支付结算款前，乙方需向甲方全额开具符合甲方要求的发票，否则甲方有权迟延支付，且不构成违约。</w:t>
      </w:r>
    </w:p>
    <w:p w14:paraId="0F7F01D8">
      <w:pPr>
        <w:pageBreakBefore w:val="0"/>
        <w:kinsoku/>
        <w:wordWrap/>
        <w:overflowPunct/>
        <w:topLinePunct w:val="0"/>
        <w:bidi w:val="0"/>
        <w:adjustRightInd w:val="0"/>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(5)最终结算费用不超过800万元，超出部分不予结算。</w:t>
      </w:r>
    </w:p>
    <w:p w14:paraId="3EED5D40">
      <w:pPr>
        <w:pageBreakBefore w:val="0"/>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14:paraId="18E7460F">
      <w:pPr>
        <w:pageBreakBefore w:val="0"/>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文件中打▲内容为实质性要求，不允许有负偏离，否则将以涉及无效响应条款作无效响应。</w:t>
      </w:r>
    </w:p>
    <w:p w14:paraId="332BE470">
      <w:pPr>
        <w:pageBreakBefore w:val="0"/>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2、成交供应商所提供的货物、服务须与响应承诺一致，不得以次充好、偷工减料，若在项目验收中发现有上述情况，将向有关部门举报，根据相关规定进行处理。</w:t>
      </w:r>
    </w:p>
    <w:p w14:paraId="30F4BC44">
      <w:pPr>
        <w:pStyle w:val="2"/>
        <w:rPr>
          <w:rFonts w:hint="eastAsia" w:ascii="宋体" w:hAnsi="宋体" w:eastAsia="宋体" w:cs="宋体"/>
          <w:color w:val="auto"/>
          <w:highlight w:val="none"/>
        </w:rPr>
      </w:pPr>
      <w:r>
        <w:rPr>
          <w:rFonts w:hint="eastAsia" w:ascii="宋体" w:hAnsi="宋体" w:eastAsia="宋体" w:cs="宋体"/>
          <w:color w:val="auto"/>
          <w:highlight w:val="none"/>
        </w:rPr>
        <w:br w:type="page"/>
      </w:r>
      <w:r>
        <w:rPr>
          <w:rFonts w:hint="eastAsia" w:ascii="宋体" w:hAnsi="宋体" w:eastAsia="宋体" w:cs="宋体"/>
          <w:color w:val="auto"/>
          <w:highlight w:val="none"/>
        </w:rPr>
        <w:t xml:space="preserve">第四部分   </w:t>
      </w:r>
      <w:bookmarkStart w:id="54" w:name="_Toc184308055"/>
      <w:bookmarkEnd w:id="54"/>
      <w:bookmarkStart w:id="55" w:name="_Toc184310334"/>
      <w:bookmarkEnd w:id="55"/>
      <w:bookmarkStart w:id="56" w:name="_Toc184310273"/>
      <w:bookmarkEnd w:id="56"/>
      <w:bookmarkStart w:id="57" w:name="_Toc184310277"/>
      <w:bookmarkEnd w:id="57"/>
      <w:bookmarkStart w:id="58" w:name="_Toc184308099"/>
      <w:bookmarkEnd w:id="58"/>
      <w:bookmarkStart w:id="59" w:name="_Toc184312129"/>
      <w:bookmarkEnd w:id="59"/>
      <w:bookmarkStart w:id="60" w:name="_Toc184312116"/>
      <w:bookmarkEnd w:id="60"/>
      <w:bookmarkStart w:id="61" w:name="_Toc184314481"/>
      <w:bookmarkEnd w:id="61"/>
      <w:bookmarkStart w:id="62" w:name="_Toc184312096"/>
      <w:bookmarkEnd w:id="62"/>
      <w:bookmarkStart w:id="63" w:name="_Toc184308058"/>
      <w:bookmarkEnd w:id="63"/>
      <w:bookmarkStart w:id="64" w:name="_Toc184313257"/>
      <w:bookmarkEnd w:id="64"/>
      <w:bookmarkStart w:id="65" w:name="_Toc184314444"/>
      <w:bookmarkEnd w:id="65"/>
      <w:bookmarkStart w:id="66" w:name="_Toc184313302"/>
      <w:bookmarkEnd w:id="66"/>
      <w:bookmarkStart w:id="67" w:name="_Toc184313297"/>
      <w:bookmarkEnd w:id="67"/>
      <w:bookmarkStart w:id="68" w:name="_Toc184310293"/>
      <w:bookmarkEnd w:id="68"/>
      <w:bookmarkStart w:id="69" w:name="_Toc184312139"/>
      <w:bookmarkEnd w:id="69"/>
      <w:bookmarkStart w:id="70" w:name="_Toc184313288"/>
      <w:bookmarkEnd w:id="70"/>
      <w:bookmarkStart w:id="71" w:name="_Toc184308067"/>
      <w:bookmarkEnd w:id="71"/>
      <w:bookmarkStart w:id="72" w:name="_Toc184308071"/>
      <w:bookmarkEnd w:id="72"/>
      <w:bookmarkStart w:id="73" w:name="_Toc184308061"/>
      <w:bookmarkEnd w:id="73"/>
      <w:bookmarkStart w:id="74" w:name="_Toc184308072"/>
      <w:bookmarkEnd w:id="74"/>
      <w:bookmarkStart w:id="75" w:name="_Toc184314417"/>
      <w:bookmarkEnd w:id="75"/>
      <w:bookmarkStart w:id="76" w:name="_Toc184314437"/>
      <w:bookmarkEnd w:id="76"/>
      <w:bookmarkStart w:id="77" w:name="_Toc184314427"/>
      <w:bookmarkEnd w:id="77"/>
      <w:bookmarkStart w:id="78" w:name="_Toc184312088"/>
      <w:bookmarkEnd w:id="78"/>
      <w:bookmarkStart w:id="79" w:name="_Toc184313247"/>
      <w:bookmarkEnd w:id="79"/>
      <w:bookmarkStart w:id="80" w:name="_Toc184314452"/>
      <w:bookmarkEnd w:id="80"/>
      <w:bookmarkStart w:id="81" w:name="_Toc184312074"/>
      <w:bookmarkEnd w:id="81"/>
      <w:bookmarkStart w:id="82" w:name="_Toc184313265"/>
      <w:bookmarkEnd w:id="82"/>
      <w:bookmarkStart w:id="83" w:name="_Toc184310311"/>
      <w:bookmarkEnd w:id="83"/>
      <w:bookmarkStart w:id="84" w:name="_Toc184308051"/>
      <w:bookmarkEnd w:id="84"/>
      <w:bookmarkStart w:id="85" w:name="_Toc184308089"/>
      <w:bookmarkEnd w:id="85"/>
      <w:bookmarkStart w:id="86" w:name="_Toc184310320"/>
      <w:bookmarkEnd w:id="86"/>
      <w:bookmarkStart w:id="87" w:name="_Toc184310306"/>
      <w:bookmarkEnd w:id="87"/>
      <w:bookmarkStart w:id="88" w:name="_Toc184310292"/>
      <w:bookmarkEnd w:id="88"/>
      <w:bookmarkStart w:id="89" w:name="_Toc184308062"/>
      <w:bookmarkEnd w:id="89"/>
      <w:bookmarkStart w:id="90" w:name="_Toc184312138"/>
      <w:bookmarkEnd w:id="90"/>
      <w:bookmarkStart w:id="91" w:name="_Toc184312092"/>
      <w:bookmarkEnd w:id="91"/>
      <w:bookmarkStart w:id="92" w:name="_Toc184308038"/>
      <w:bookmarkEnd w:id="92"/>
      <w:bookmarkStart w:id="93" w:name="_Toc184313276"/>
      <w:bookmarkEnd w:id="93"/>
      <w:bookmarkStart w:id="94" w:name="_Toc184308084"/>
      <w:bookmarkEnd w:id="94"/>
      <w:bookmarkStart w:id="95" w:name="_Toc184308065"/>
      <w:bookmarkEnd w:id="95"/>
      <w:bookmarkStart w:id="96" w:name="_Toc184313239"/>
      <w:bookmarkEnd w:id="96"/>
      <w:bookmarkStart w:id="97" w:name="_Toc184314476"/>
      <w:bookmarkEnd w:id="97"/>
      <w:bookmarkStart w:id="98" w:name="_Toc184310340"/>
      <w:bookmarkEnd w:id="98"/>
      <w:bookmarkStart w:id="99" w:name="_Toc184312090"/>
      <w:bookmarkEnd w:id="99"/>
      <w:bookmarkStart w:id="100" w:name="_Toc184308102"/>
      <w:bookmarkEnd w:id="100"/>
      <w:bookmarkStart w:id="101" w:name="_Toc184310342"/>
      <w:bookmarkEnd w:id="101"/>
      <w:bookmarkStart w:id="102" w:name="_Toc184313271"/>
      <w:bookmarkEnd w:id="102"/>
      <w:bookmarkStart w:id="103" w:name="_Toc184308037"/>
      <w:bookmarkEnd w:id="103"/>
      <w:bookmarkStart w:id="104" w:name="_Toc184313291"/>
      <w:bookmarkEnd w:id="104"/>
      <w:bookmarkStart w:id="105" w:name="_Toc184310319"/>
      <w:bookmarkEnd w:id="105"/>
      <w:bookmarkStart w:id="106" w:name="_Toc184310337"/>
      <w:bookmarkEnd w:id="106"/>
      <w:bookmarkStart w:id="107" w:name="_Toc184312087"/>
      <w:bookmarkEnd w:id="107"/>
      <w:bookmarkStart w:id="108" w:name="_Toc184314423"/>
      <w:bookmarkEnd w:id="108"/>
      <w:bookmarkStart w:id="109" w:name="_Toc184313283"/>
      <w:bookmarkEnd w:id="109"/>
      <w:bookmarkStart w:id="110" w:name="_Toc184312071"/>
      <w:bookmarkEnd w:id="110"/>
      <w:bookmarkStart w:id="111" w:name="_Toc184312079"/>
      <w:bookmarkEnd w:id="111"/>
      <w:bookmarkStart w:id="112" w:name="_Toc184310304"/>
      <w:bookmarkEnd w:id="112"/>
      <w:bookmarkStart w:id="113" w:name="_Toc184308064"/>
      <w:bookmarkEnd w:id="113"/>
      <w:bookmarkStart w:id="114" w:name="_Toc184312134"/>
      <w:bookmarkEnd w:id="114"/>
      <w:bookmarkStart w:id="115" w:name="_Toc184313298"/>
      <w:bookmarkEnd w:id="115"/>
      <w:bookmarkStart w:id="116" w:name="_Toc184310305"/>
      <w:bookmarkEnd w:id="116"/>
      <w:bookmarkStart w:id="117" w:name="_Toc184310307"/>
      <w:bookmarkEnd w:id="117"/>
      <w:bookmarkStart w:id="118" w:name="_Toc184314434"/>
      <w:bookmarkEnd w:id="118"/>
      <w:bookmarkStart w:id="119" w:name="_Toc184312075"/>
      <w:bookmarkEnd w:id="119"/>
      <w:bookmarkStart w:id="120" w:name="_Toc184310288"/>
      <w:bookmarkEnd w:id="120"/>
      <w:bookmarkStart w:id="121" w:name="_Toc184314440"/>
      <w:bookmarkEnd w:id="121"/>
      <w:bookmarkStart w:id="122" w:name="_Toc184308047"/>
      <w:bookmarkEnd w:id="122"/>
      <w:bookmarkStart w:id="123" w:name="_Toc184313246"/>
      <w:bookmarkEnd w:id="123"/>
      <w:bookmarkStart w:id="124" w:name="_Toc184314412"/>
      <w:bookmarkEnd w:id="124"/>
      <w:bookmarkStart w:id="125" w:name="_Toc184313293"/>
      <w:bookmarkEnd w:id="125"/>
      <w:bookmarkStart w:id="126" w:name="_Toc184312130"/>
      <w:bookmarkEnd w:id="126"/>
      <w:bookmarkStart w:id="127" w:name="_Toc184308063"/>
      <w:bookmarkEnd w:id="127"/>
      <w:bookmarkStart w:id="128" w:name="_Toc184312113"/>
      <w:bookmarkEnd w:id="128"/>
      <w:bookmarkStart w:id="129" w:name="_Toc184312100"/>
      <w:bookmarkEnd w:id="129"/>
      <w:bookmarkStart w:id="130" w:name="_Toc184308101"/>
      <w:bookmarkEnd w:id="130"/>
      <w:bookmarkStart w:id="131" w:name="_Toc184312128"/>
      <w:bookmarkEnd w:id="131"/>
      <w:bookmarkStart w:id="132" w:name="_Toc184312078"/>
      <w:bookmarkEnd w:id="132"/>
      <w:bookmarkStart w:id="133" w:name="_Toc184308086"/>
      <w:bookmarkEnd w:id="133"/>
      <w:bookmarkStart w:id="134" w:name="_Toc184312097"/>
      <w:bookmarkEnd w:id="134"/>
      <w:bookmarkStart w:id="135" w:name="_Toc184310290"/>
      <w:bookmarkEnd w:id="135"/>
      <w:bookmarkStart w:id="136" w:name="_Toc184313270"/>
      <w:bookmarkEnd w:id="136"/>
      <w:bookmarkStart w:id="137" w:name="_Toc184312132"/>
      <w:bookmarkEnd w:id="137"/>
      <w:bookmarkStart w:id="138" w:name="_Toc184314448"/>
      <w:bookmarkEnd w:id="138"/>
      <w:bookmarkStart w:id="139" w:name="_Toc184313309"/>
      <w:bookmarkEnd w:id="139"/>
      <w:bookmarkStart w:id="140" w:name="_Toc184312102"/>
      <w:bookmarkEnd w:id="140"/>
      <w:bookmarkStart w:id="141" w:name="_Toc184313310"/>
      <w:bookmarkEnd w:id="141"/>
      <w:bookmarkStart w:id="142" w:name="_Toc184314453"/>
      <w:bookmarkEnd w:id="142"/>
      <w:bookmarkStart w:id="143" w:name="_Toc184312094"/>
      <w:bookmarkEnd w:id="143"/>
      <w:bookmarkStart w:id="144" w:name="_Toc184314459"/>
      <w:bookmarkEnd w:id="144"/>
      <w:bookmarkStart w:id="145" w:name="_Toc184313289"/>
      <w:bookmarkEnd w:id="145"/>
      <w:bookmarkStart w:id="146" w:name="_Toc184312103"/>
      <w:bookmarkEnd w:id="146"/>
      <w:bookmarkStart w:id="147" w:name="_Toc184314436"/>
      <w:bookmarkEnd w:id="147"/>
      <w:bookmarkStart w:id="148" w:name="_Toc184313306"/>
      <w:bookmarkEnd w:id="148"/>
      <w:bookmarkStart w:id="149" w:name="_Toc184313253"/>
      <w:bookmarkEnd w:id="149"/>
      <w:bookmarkStart w:id="150" w:name="_Toc184313303"/>
      <w:bookmarkEnd w:id="150"/>
      <w:bookmarkStart w:id="151" w:name="_Toc184314462"/>
      <w:bookmarkEnd w:id="151"/>
      <w:bookmarkStart w:id="152" w:name="_Toc184310312"/>
      <w:bookmarkEnd w:id="152"/>
      <w:bookmarkStart w:id="153" w:name="_Toc184314419"/>
      <w:bookmarkEnd w:id="153"/>
      <w:bookmarkStart w:id="154" w:name="_Toc184312098"/>
      <w:bookmarkEnd w:id="154"/>
      <w:bookmarkStart w:id="155" w:name="_Toc184312126"/>
      <w:bookmarkEnd w:id="155"/>
      <w:bookmarkStart w:id="156" w:name="_Toc184310324"/>
      <w:bookmarkEnd w:id="156"/>
      <w:bookmarkStart w:id="157" w:name="_Toc184313273"/>
      <w:bookmarkEnd w:id="157"/>
      <w:bookmarkStart w:id="158" w:name="_Toc184314420"/>
      <w:bookmarkEnd w:id="158"/>
      <w:bookmarkStart w:id="159" w:name="_Toc184312086"/>
      <w:bookmarkEnd w:id="159"/>
      <w:bookmarkStart w:id="160" w:name="_Toc184312118"/>
      <w:bookmarkEnd w:id="160"/>
      <w:bookmarkStart w:id="161" w:name="_Toc184310303"/>
      <w:bookmarkEnd w:id="161"/>
      <w:bookmarkStart w:id="162" w:name="_Toc184310295"/>
      <w:bookmarkEnd w:id="162"/>
      <w:bookmarkStart w:id="163" w:name="_Toc184313278"/>
      <w:bookmarkEnd w:id="163"/>
      <w:bookmarkStart w:id="164" w:name="_Toc184314468"/>
      <w:bookmarkEnd w:id="164"/>
      <w:bookmarkStart w:id="165" w:name="_Toc184310328"/>
      <w:bookmarkEnd w:id="165"/>
      <w:bookmarkStart w:id="166" w:name="_Toc184314428"/>
      <w:bookmarkEnd w:id="166"/>
      <w:bookmarkStart w:id="167" w:name="_Toc184314456"/>
      <w:bookmarkEnd w:id="167"/>
      <w:bookmarkStart w:id="168" w:name="_Toc184312082"/>
      <w:bookmarkEnd w:id="168"/>
      <w:bookmarkStart w:id="169" w:name="_Toc184312101"/>
      <w:bookmarkEnd w:id="169"/>
      <w:bookmarkStart w:id="170" w:name="_Toc184314463"/>
      <w:bookmarkEnd w:id="170"/>
      <w:bookmarkStart w:id="171" w:name="_Toc184310330"/>
      <w:bookmarkEnd w:id="171"/>
      <w:bookmarkStart w:id="172" w:name="_Toc184312137"/>
      <w:bookmarkEnd w:id="172"/>
      <w:bookmarkStart w:id="173" w:name="_Toc184314414"/>
      <w:bookmarkEnd w:id="173"/>
      <w:bookmarkStart w:id="174" w:name="_Toc184308098"/>
      <w:bookmarkEnd w:id="174"/>
      <w:bookmarkStart w:id="175" w:name="_Toc184312110"/>
      <w:bookmarkEnd w:id="175"/>
      <w:bookmarkStart w:id="176" w:name="_Toc184308107"/>
      <w:bookmarkEnd w:id="176"/>
      <w:bookmarkStart w:id="177" w:name="_Toc184312073"/>
      <w:bookmarkEnd w:id="177"/>
      <w:bookmarkStart w:id="178" w:name="_Toc184310331"/>
      <w:bookmarkEnd w:id="178"/>
      <w:bookmarkStart w:id="179" w:name="_Toc184314461"/>
      <w:bookmarkEnd w:id="179"/>
      <w:bookmarkStart w:id="180" w:name="_Toc184314438"/>
      <w:bookmarkEnd w:id="180"/>
      <w:bookmarkStart w:id="181" w:name="_Toc184310278"/>
      <w:bookmarkEnd w:id="181"/>
      <w:bookmarkStart w:id="182" w:name="_Toc184310296"/>
      <w:bookmarkEnd w:id="182"/>
      <w:bookmarkStart w:id="183" w:name="_Toc184310338"/>
      <w:bookmarkEnd w:id="183"/>
      <w:bookmarkStart w:id="184" w:name="_Toc184312123"/>
      <w:bookmarkEnd w:id="184"/>
      <w:bookmarkStart w:id="185" w:name="_Toc184314416"/>
      <w:bookmarkEnd w:id="185"/>
      <w:bookmarkStart w:id="186" w:name="_Toc184313307"/>
      <w:bookmarkEnd w:id="186"/>
      <w:bookmarkStart w:id="187" w:name="_Toc184310314"/>
      <w:bookmarkEnd w:id="187"/>
      <w:bookmarkStart w:id="188" w:name="_Toc184310344"/>
      <w:bookmarkEnd w:id="188"/>
      <w:bookmarkStart w:id="189" w:name="_Toc184310317"/>
      <w:bookmarkEnd w:id="189"/>
      <w:bookmarkStart w:id="190" w:name="_Toc184310332"/>
      <w:bookmarkEnd w:id="190"/>
      <w:bookmarkStart w:id="191" w:name="_Toc184313279"/>
      <w:bookmarkEnd w:id="191"/>
      <w:bookmarkStart w:id="192" w:name="_Toc184314425"/>
      <w:bookmarkEnd w:id="192"/>
      <w:bookmarkStart w:id="193" w:name="_Toc184308057"/>
      <w:bookmarkEnd w:id="193"/>
      <w:bookmarkStart w:id="194" w:name="_Toc184314466"/>
      <w:bookmarkEnd w:id="194"/>
      <w:bookmarkStart w:id="195" w:name="_Toc184313267"/>
      <w:bookmarkEnd w:id="195"/>
      <w:bookmarkStart w:id="196" w:name="_Toc184312067"/>
      <w:bookmarkEnd w:id="196"/>
      <w:bookmarkStart w:id="197" w:name="_Toc184314413"/>
      <w:bookmarkEnd w:id="197"/>
      <w:bookmarkStart w:id="198" w:name="_Toc184312124"/>
      <w:bookmarkEnd w:id="198"/>
      <w:bookmarkStart w:id="199" w:name="_Toc184313292"/>
      <w:bookmarkEnd w:id="199"/>
      <w:bookmarkStart w:id="200" w:name="_Toc184313290"/>
      <w:bookmarkEnd w:id="200"/>
      <w:bookmarkStart w:id="201" w:name="_Toc184313258"/>
      <w:bookmarkEnd w:id="201"/>
      <w:bookmarkStart w:id="202" w:name="_Toc184308077"/>
      <w:bookmarkEnd w:id="202"/>
      <w:bookmarkStart w:id="203" w:name="_Toc184314469"/>
      <w:bookmarkEnd w:id="203"/>
      <w:bookmarkStart w:id="204" w:name="_Toc184308097"/>
      <w:bookmarkEnd w:id="204"/>
      <w:bookmarkStart w:id="205" w:name="_Toc184312077"/>
      <w:bookmarkEnd w:id="205"/>
      <w:bookmarkStart w:id="206" w:name="_Toc184310284"/>
      <w:bookmarkEnd w:id="206"/>
      <w:bookmarkStart w:id="207" w:name="_Toc184313275"/>
      <w:bookmarkEnd w:id="207"/>
      <w:bookmarkStart w:id="208" w:name="_Toc184313281"/>
      <w:bookmarkEnd w:id="208"/>
      <w:bookmarkStart w:id="209" w:name="_Toc184313305"/>
      <w:bookmarkEnd w:id="209"/>
      <w:bookmarkStart w:id="210" w:name="_Toc184312095"/>
      <w:bookmarkEnd w:id="210"/>
      <w:bookmarkStart w:id="211" w:name="_Toc184308104"/>
      <w:bookmarkEnd w:id="211"/>
      <w:bookmarkStart w:id="212" w:name="_Toc184308108"/>
      <w:bookmarkEnd w:id="212"/>
      <w:bookmarkStart w:id="213" w:name="_Toc184308048"/>
      <w:bookmarkEnd w:id="213"/>
      <w:bookmarkStart w:id="214" w:name="_Toc184310343"/>
      <w:bookmarkEnd w:id="214"/>
      <w:bookmarkStart w:id="215" w:name="_Toc184310310"/>
      <w:bookmarkEnd w:id="215"/>
      <w:bookmarkStart w:id="216" w:name="_Toc184310298"/>
      <w:bookmarkEnd w:id="216"/>
      <w:bookmarkStart w:id="217" w:name="_Toc184314431"/>
      <w:bookmarkEnd w:id="217"/>
      <w:bookmarkStart w:id="218" w:name="_Toc184310283"/>
      <w:bookmarkEnd w:id="218"/>
      <w:bookmarkStart w:id="219" w:name="_Toc184312076"/>
      <w:bookmarkEnd w:id="219"/>
      <w:bookmarkStart w:id="220" w:name="_Toc184312085"/>
      <w:bookmarkEnd w:id="220"/>
      <w:bookmarkStart w:id="221" w:name="_Toc184313241"/>
      <w:bookmarkEnd w:id="221"/>
      <w:bookmarkStart w:id="222" w:name="_Toc184310274"/>
      <w:bookmarkEnd w:id="222"/>
      <w:bookmarkStart w:id="223" w:name="_Toc184314443"/>
      <w:bookmarkEnd w:id="223"/>
      <w:bookmarkStart w:id="224" w:name="_Toc184308092"/>
      <w:bookmarkEnd w:id="224"/>
      <w:bookmarkStart w:id="225" w:name="_Toc184308106"/>
      <w:bookmarkEnd w:id="225"/>
      <w:bookmarkStart w:id="226" w:name="_Toc184310322"/>
      <w:bookmarkEnd w:id="226"/>
      <w:bookmarkStart w:id="227" w:name="_Toc184308046"/>
      <w:bookmarkEnd w:id="227"/>
      <w:bookmarkStart w:id="228" w:name="_Toc184312068"/>
      <w:bookmarkEnd w:id="228"/>
      <w:bookmarkStart w:id="229" w:name="_Toc184314415"/>
      <w:bookmarkEnd w:id="229"/>
      <w:bookmarkStart w:id="230" w:name="_Toc184313245"/>
      <w:bookmarkEnd w:id="230"/>
      <w:bookmarkStart w:id="231" w:name="_Toc184308053"/>
      <w:bookmarkEnd w:id="231"/>
      <w:bookmarkStart w:id="232" w:name="_Toc184310275"/>
      <w:bookmarkEnd w:id="232"/>
      <w:bookmarkStart w:id="233" w:name="_Toc184310308"/>
      <w:bookmarkEnd w:id="233"/>
      <w:bookmarkStart w:id="234" w:name="_Toc184308070"/>
      <w:bookmarkEnd w:id="234"/>
      <w:bookmarkStart w:id="235" w:name="_Toc184314473"/>
      <w:bookmarkEnd w:id="235"/>
      <w:bookmarkStart w:id="236" w:name="_Toc184308050"/>
      <w:bookmarkEnd w:id="236"/>
      <w:bookmarkStart w:id="237" w:name="_Toc184312072"/>
      <w:bookmarkEnd w:id="237"/>
      <w:bookmarkStart w:id="238" w:name="_Toc184310315"/>
      <w:bookmarkEnd w:id="238"/>
      <w:bookmarkStart w:id="239" w:name="_Toc184310313"/>
      <w:bookmarkEnd w:id="239"/>
      <w:bookmarkStart w:id="240" w:name="_Toc184312112"/>
      <w:bookmarkEnd w:id="240"/>
      <w:bookmarkStart w:id="241" w:name="_Toc184313280"/>
      <w:bookmarkEnd w:id="241"/>
      <w:bookmarkStart w:id="242" w:name="_Toc184310276"/>
      <w:bookmarkEnd w:id="242"/>
      <w:bookmarkStart w:id="243" w:name="_Toc184312083"/>
      <w:bookmarkEnd w:id="243"/>
      <w:bookmarkStart w:id="244" w:name="_Toc184310316"/>
      <w:bookmarkEnd w:id="244"/>
      <w:bookmarkStart w:id="245" w:name="_Toc184314430"/>
      <w:bookmarkEnd w:id="245"/>
      <w:bookmarkStart w:id="246" w:name="_Toc184310272"/>
      <w:bookmarkEnd w:id="246"/>
      <w:bookmarkStart w:id="247" w:name="_Toc184314477"/>
      <w:bookmarkEnd w:id="247"/>
      <w:bookmarkStart w:id="248" w:name="_Toc184312080"/>
      <w:bookmarkEnd w:id="248"/>
      <w:bookmarkStart w:id="249" w:name="_Toc184310329"/>
      <w:bookmarkEnd w:id="249"/>
      <w:bookmarkStart w:id="250" w:name="_Toc184312127"/>
      <w:bookmarkEnd w:id="250"/>
      <w:bookmarkStart w:id="251" w:name="_Toc184308083"/>
      <w:bookmarkEnd w:id="251"/>
      <w:bookmarkStart w:id="252" w:name="_Toc184310327"/>
      <w:bookmarkEnd w:id="252"/>
      <w:bookmarkStart w:id="253" w:name="_Toc184310333"/>
      <w:bookmarkEnd w:id="253"/>
      <w:bookmarkStart w:id="254" w:name="_Toc184310336"/>
      <w:bookmarkEnd w:id="254"/>
      <w:bookmarkStart w:id="255" w:name="_Toc184313300"/>
      <w:bookmarkEnd w:id="255"/>
      <w:bookmarkStart w:id="256" w:name="_Toc184312115"/>
      <w:bookmarkEnd w:id="256"/>
      <w:bookmarkStart w:id="257" w:name="_Toc184310309"/>
      <w:bookmarkEnd w:id="257"/>
      <w:bookmarkStart w:id="258" w:name="_Toc184310282"/>
      <w:bookmarkEnd w:id="258"/>
      <w:bookmarkStart w:id="259" w:name="_Toc184310281"/>
      <w:bookmarkEnd w:id="259"/>
      <w:bookmarkStart w:id="260" w:name="_Toc184314422"/>
      <w:bookmarkEnd w:id="260"/>
      <w:bookmarkStart w:id="261" w:name="_Toc184308076"/>
      <w:bookmarkEnd w:id="261"/>
      <w:bookmarkStart w:id="262" w:name="_Toc184312120"/>
      <w:bookmarkEnd w:id="262"/>
      <w:bookmarkStart w:id="263" w:name="_Toc184314410"/>
      <w:bookmarkEnd w:id="263"/>
      <w:bookmarkStart w:id="264" w:name="_Toc184313266"/>
      <w:bookmarkEnd w:id="264"/>
      <w:bookmarkStart w:id="265" w:name="_Toc184313264"/>
      <w:bookmarkEnd w:id="265"/>
      <w:bookmarkStart w:id="266" w:name="_Toc184308100"/>
      <w:bookmarkEnd w:id="266"/>
      <w:bookmarkStart w:id="267" w:name="_Toc184310285"/>
      <w:bookmarkEnd w:id="267"/>
      <w:bookmarkStart w:id="268" w:name="_Toc184313295"/>
      <w:bookmarkEnd w:id="268"/>
      <w:bookmarkStart w:id="269" w:name="_Toc184313269"/>
      <w:bookmarkEnd w:id="269"/>
      <w:bookmarkStart w:id="270" w:name="_Toc184314446"/>
      <w:bookmarkEnd w:id="270"/>
      <w:bookmarkStart w:id="271" w:name="_Toc184308042"/>
      <w:bookmarkEnd w:id="271"/>
      <w:bookmarkStart w:id="272" w:name="_Toc184314424"/>
      <w:bookmarkEnd w:id="272"/>
      <w:bookmarkStart w:id="273" w:name="_Toc184308066"/>
      <w:bookmarkEnd w:id="273"/>
      <w:bookmarkStart w:id="274" w:name="_Toc184308096"/>
      <w:bookmarkEnd w:id="274"/>
      <w:bookmarkStart w:id="275" w:name="_Toc184312107"/>
      <w:bookmarkEnd w:id="275"/>
      <w:bookmarkStart w:id="276" w:name="_Toc184312084"/>
      <w:bookmarkEnd w:id="276"/>
      <w:bookmarkStart w:id="277" w:name="_Toc184313272"/>
      <w:bookmarkEnd w:id="277"/>
      <w:bookmarkStart w:id="278" w:name="_Toc184313240"/>
      <w:bookmarkEnd w:id="278"/>
      <w:bookmarkStart w:id="279" w:name="_Toc184313256"/>
      <w:bookmarkEnd w:id="279"/>
      <w:bookmarkStart w:id="280" w:name="_Toc184314445"/>
      <w:bookmarkEnd w:id="280"/>
      <w:bookmarkStart w:id="281" w:name="_Toc184312133"/>
      <w:bookmarkEnd w:id="281"/>
      <w:bookmarkStart w:id="282" w:name="_Toc184310341"/>
      <w:bookmarkEnd w:id="282"/>
      <w:bookmarkStart w:id="283" w:name="_Toc184314439"/>
      <w:bookmarkEnd w:id="283"/>
      <w:bookmarkStart w:id="284" w:name="_Toc184310326"/>
      <w:bookmarkEnd w:id="284"/>
      <w:bookmarkStart w:id="285" w:name="_Toc184308078"/>
      <w:bookmarkEnd w:id="285"/>
      <w:bookmarkStart w:id="286" w:name="_Toc184314474"/>
      <w:bookmarkEnd w:id="286"/>
      <w:bookmarkStart w:id="287" w:name="_Toc184308091"/>
      <w:bookmarkEnd w:id="287"/>
      <w:bookmarkStart w:id="288" w:name="_Toc184310300"/>
      <w:bookmarkEnd w:id="288"/>
      <w:bookmarkStart w:id="289" w:name="_Toc184308040"/>
      <w:bookmarkEnd w:id="289"/>
      <w:bookmarkStart w:id="290" w:name="_Toc184313249"/>
      <w:bookmarkEnd w:id="290"/>
      <w:bookmarkStart w:id="291" w:name="_Toc184312091"/>
      <w:bookmarkEnd w:id="291"/>
      <w:bookmarkStart w:id="292" w:name="_Toc184310279"/>
      <w:bookmarkEnd w:id="292"/>
      <w:bookmarkStart w:id="293" w:name="_Toc184314482"/>
      <w:bookmarkEnd w:id="293"/>
      <w:bookmarkStart w:id="294" w:name="_Toc184310335"/>
      <w:bookmarkEnd w:id="294"/>
      <w:bookmarkStart w:id="295" w:name="_Toc184312111"/>
      <w:bookmarkEnd w:id="295"/>
      <w:bookmarkStart w:id="296" w:name="_Toc184313286"/>
      <w:bookmarkEnd w:id="296"/>
      <w:bookmarkStart w:id="297" w:name="_Toc184314472"/>
      <w:bookmarkEnd w:id="297"/>
      <w:bookmarkStart w:id="298" w:name="_Toc184312131"/>
      <w:bookmarkEnd w:id="298"/>
      <w:bookmarkStart w:id="299" w:name="_Toc184314471"/>
      <w:bookmarkEnd w:id="299"/>
      <w:bookmarkStart w:id="300" w:name="_Toc184310318"/>
      <w:bookmarkEnd w:id="300"/>
      <w:bookmarkStart w:id="301" w:name="_Toc184313268"/>
      <w:bookmarkEnd w:id="301"/>
      <w:bookmarkStart w:id="302" w:name="_Toc184310301"/>
      <w:bookmarkEnd w:id="302"/>
      <w:bookmarkStart w:id="303" w:name="_Toc184312089"/>
      <w:bookmarkEnd w:id="303"/>
      <w:bookmarkStart w:id="304" w:name="_Toc184314480"/>
      <w:bookmarkEnd w:id="304"/>
      <w:bookmarkStart w:id="305" w:name="_Toc184314470"/>
      <w:bookmarkEnd w:id="305"/>
      <w:bookmarkStart w:id="306" w:name="_Toc184312125"/>
      <w:bookmarkEnd w:id="306"/>
      <w:bookmarkStart w:id="307" w:name="_Toc184313238"/>
      <w:bookmarkEnd w:id="307"/>
      <w:bookmarkStart w:id="308" w:name="_Toc184313304"/>
      <w:bookmarkEnd w:id="308"/>
      <w:bookmarkStart w:id="309" w:name="_Toc184312099"/>
      <w:bookmarkEnd w:id="309"/>
      <w:bookmarkStart w:id="310" w:name="_Toc184313274"/>
      <w:bookmarkEnd w:id="310"/>
      <w:bookmarkStart w:id="311" w:name="_Toc184308094"/>
      <w:bookmarkEnd w:id="311"/>
      <w:bookmarkStart w:id="312" w:name="_Toc184314475"/>
      <w:bookmarkEnd w:id="312"/>
      <w:bookmarkStart w:id="313" w:name="_Toc184313244"/>
      <w:bookmarkEnd w:id="313"/>
      <w:bookmarkStart w:id="314" w:name="_Toc184308069"/>
      <w:bookmarkEnd w:id="314"/>
      <w:bookmarkStart w:id="315" w:name="_Toc184312081"/>
      <w:bookmarkEnd w:id="315"/>
      <w:bookmarkStart w:id="316" w:name="_Toc184310299"/>
      <w:bookmarkEnd w:id="316"/>
      <w:bookmarkStart w:id="317" w:name="_Toc184312119"/>
      <w:bookmarkEnd w:id="317"/>
      <w:bookmarkStart w:id="318" w:name="_Toc184314460"/>
      <w:bookmarkEnd w:id="318"/>
      <w:bookmarkStart w:id="319" w:name="_Toc184312122"/>
      <w:bookmarkEnd w:id="319"/>
      <w:bookmarkStart w:id="320" w:name="_Toc184313308"/>
      <w:bookmarkEnd w:id="320"/>
      <w:bookmarkStart w:id="321" w:name="_Toc184313263"/>
      <w:bookmarkEnd w:id="321"/>
      <w:bookmarkStart w:id="322" w:name="_Toc184312114"/>
      <w:bookmarkEnd w:id="322"/>
      <w:bookmarkStart w:id="323" w:name="_Toc184313284"/>
      <w:bookmarkEnd w:id="323"/>
      <w:bookmarkStart w:id="324" w:name="_Toc184308085"/>
      <w:bookmarkEnd w:id="324"/>
      <w:bookmarkStart w:id="325" w:name="_Toc184313285"/>
      <w:bookmarkEnd w:id="325"/>
      <w:bookmarkStart w:id="326" w:name="_Toc184312105"/>
      <w:bookmarkEnd w:id="326"/>
      <w:bookmarkStart w:id="327" w:name="_Toc184308054"/>
      <w:bookmarkEnd w:id="327"/>
      <w:bookmarkStart w:id="328" w:name="_Toc184314433"/>
      <w:bookmarkEnd w:id="328"/>
      <w:bookmarkStart w:id="329" w:name="_Toc184310289"/>
      <w:bookmarkEnd w:id="329"/>
      <w:bookmarkStart w:id="330" w:name="_Toc184314467"/>
      <w:bookmarkEnd w:id="330"/>
      <w:bookmarkStart w:id="331" w:name="_Toc184313262"/>
      <w:bookmarkEnd w:id="331"/>
      <w:bookmarkStart w:id="332" w:name="_Toc184308093"/>
      <w:bookmarkEnd w:id="332"/>
      <w:bookmarkStart w:id="333" w:name="_Toc184313251"/>
      <w:bookmarkEnd w:id="333"/>
      <w:bookmarkStart w:id="334" w:name="_Toc184308073"/>
      <w:bookmarkEnd w:id="334"/>
      <w:bookmarkStart w:id="335" w:name="_Toc184314478"/>
      <w:bookmarkEnd w:id="335"/>
      <w:bookmarkStart w:id="336" w:name="_Toc184308045"/>
      <w:bookmarkEnd w:id="336"/>
      <w:bookmarkStart w:id="337" w:name="_Toc184313255"/>
      <w:bookmarkEnd w:id="337"/>
      <w:bookmarkStart w:id="338" w:name="_Toc184314479"/>
      <w:bookmarkEnd w:id="338"/>
      <w:bookmarkStart w:id="339" w:name="_Toc184308105"/>
      <w:bookmarkEnd w:id="339"/>
      <w:bookmarkStart w:id="340" w:name="_Toc184314435"/>
      <w:bookmarkEnd w:id="340"/>
      <w:bookmarkStart w:id="341" w:name="_Toc184308044"/>
      <w:bookmarkEnd w:id="341"/>
      <w:bookmarkStart w:id="342" w:name="_Toc184308087"/>
      <w:bookmarkEnd w:id="342"/>
      <w:bookmarkStart w:id="343" w:name="_Toc184314411"/>
      <w:bookmarkEnd w:id="343"/>
      <w:bookmarkStart w:id="344" w:name="_Toc184310294"/>
      <w:bookmarkEnd w:id="344"/>
      <w:bookmarkStart w:id="345" w:name="_Toc184308079"/>
      <w:bookmarkEnd w:id="345"/>
      <w:bookmarkStart w:id="346" w:name="_Toc184314451"/>
      <w:bookmarkEnd w:id="346"/>
      <w:bookmarkStart w:id="347" w:name="_Toc184310287"/>
      <w:bookmarkEnd w:id="347"/>
      <w:bookmarkStart w:id="348" w:name="_Toc184310286"/>
      <w:bookmarkEnd w:id="348"/>
      <w:bookmarkStart w:id="349" w:name="_Toc184314454"/>
      <w:bookmarkEnd w:id="349"/>
      <w:bookmarkStart w:id="350" w:name="_Toc184313261"/>
      <w:bookmarkEnd w:id="350"/>
      <w:bookmarkStart w:id="351" w:name="_Toc184308090"/>
      <w:bookmarkEnd w:id="351"/>
      <w:bookmarkStart w:id="352" w:name="_Toc184308068"/>
      <w:bookmarkEnd w:id="352"/>
      <w:bookmarkStart w:id="353" w:name="_Toc184308080"/>
      <w:bookmarkEnd w:id="353"/>
      <w:bookmarkStart w:id="354" w:name="_Toc184314447"/>
      <w:bookmarkEnd w:id="354"/>
      <w:bookmarkStart w:id="355" w:name="_Toc184308088"/>
      <w:bookmarkEnd w:id="355"/>
      <w:bookmarkStart w:id="356" w:name="_Toc184314455"/>
      <w:bookmarkEnd w:id="356"/>
      <w:bookmarkStart w:id="357" w:name="_Toc184314432"/>
      <w:bookmarkEnd w:id="357"/>
      <w:bookmarkStart w:id="358" w:name="_Toc184308049"/>
      <w:bookmarkEnd w:id="358"/>
      <w:bookmarkStart w:id="359" w:name="_Toc184313243"/>
      <w:bookmarkEnd w:id="359"/>
      <w:bookmarkStart w:id="360" w:name="_Toc184312121"/>
      <w:bookmarkEnd w:id="360"/>
      <w:bookmarkStart w:id="361" w:name="_Toc184308056"/>
      <w:bookmarkEnd w:id="361"/>
      <w:bookmarkStart w:id="362" w:name="_Toc184308103"/>
      <w:bookmarkEnd w:id="362"/>
      <w:bookmarkStart w:id="363" w:name="_Toc184312135"/>
      <w:bookmarkEnd w:id="363"/>
      <w:bookmarkStart w:id="364" w:name="_Toc184313254"/>
      <w:bookmarkEnd w:id="364"/>
      <w:bookmarkStart w:id="365" w:name="_Toc184314418"/>
      <w:bookmarkEnd w:id="365"/>
      <w:bookmarkStart w:id="366" w:name="_Toc184314441"/>
      <w:bookmarkEnd w:id="366"/>
      <w:bookmarkStart w:id="367" w:name="_Toc184308075"/>
      <w:bookmarkEnd w:id="367"/>
      <w:bookmarkStart w:id="368" w:name="_Toc184310291"/>
      <w:bookmarkEnd w:id="368"/>
      <w:bookmarkStart w:id="369" w:name="_Toc184313259"/>
      <w:bookmarkEnd w:id="369"/>
      <w:bookmarkStart w:id="370" w:name="_Toc184310339"/>
      <w:bookmarkEnd w:id="370"/>
      <w:bookmarkStart w:id="371" w:name="_Toc184312070"/>
      <w:bookmarkEnd w:id="371"/>
      <w:bookmarkStart w:id="372" w:name="_Toc184314450"/>
      <w:bookmarkEnd w:id="372"/>
      <w:bookmarkStart w:id="373" w:name="_Toc184308074"/>
      <w:bookmarkEnd w:id="373"/>
      <w:bookmarkStart w:id="374" w:name="_Toc184313282"/>
      <w:bookmarkEnd w:id="374"/>
      <w:bookmarkStart w:id="375" w:name="_Toc184313260"/>
      <w:bookmarkEnd w:id="375"/>
      <w:bookmarkStart w:id="376" w:name="_Toc184310323"/>
      <w:bookmarkEnd w:id="376"/>
      <w:bookmarkStart w:id="377" w:name="_Toc184313301"/>
      <w:bookmarkEnd w:id="377"/>
      <w:bookmarkStart w:id="378" w:name="_Toc184314464"/>
      <w:bookmarkEnd w:id="378"/>
      <w:bookmarkStart w:id="379" w:name="_Toc184308081"/>
      <w:bookmarkEnd w:id="379"/>
      <w:bookmarkStart w:id="380" w:name="_Toc184314442"/>
      <w:bookmarkEnd w:id="380"/>
      <w:bookmarkStart w:id="381" w:name="_Toc184312093"/>
      <w:bookmarkEnd w:id="381"/>
      <w:bookmarkStart w:id="382" w:name="_Toc184312136"/>
      <w:bookmarkEnd w:id="382"/>
      <w:bookmarkStart w:id="383" w:name="_Toc184314465"/>
      <w:bookmarkEnd w:id="383"/>
      <w:bookmarkStart w:id="384" w:name="_Toc184313277"/>
      <w:bookmarkEnd w:id="384"/>
      <w:bookmarkStart w:id="385" w:name="_Toc184308095"/>
      <w:bookmarkEnd w:id="385"/>
      <w:bookmarkStart w:id="386" w:name="_Toc184312109"/>
      <w:bookmarkEnd w:id="386"/>
      <w:bookmarkStart w:id="387" w:name="_Toc184314429"/>
      <w:bookmarkEnd w:id="387"/>
      <w:bookmarkStart w:id="388" w:name="_Toc184308043"/>
      <w:bookmarkEnd w:id="388"/>
      <w:bookmarkStart w:id="389" w:name="_Toc184308060"/>
      <w:bookmarkEnd w:id="389"/>
      <w:bookmarkStart w:id="390" w:name="_Toc184314449"/>
      <w:bookmarkEnd w:id="390"/>
      <w:bookmarkStart w:id="391" w:name="_Toc184313242"/>
      <w:bookmarkEnd w:id="391"/>
      <w:bookmarkStart w:id="392" w:name="_Toc184314421"/>
      <w:bookmarkEnd w:id="392"/>
      <w:bookmarkStart w:id="393" w:name="_Toc184308036"/>
      <w:bookmarkEnd w:id="393"/>
      <w:bookmarkStart w:id="394" w:name="_Toc184310321"/>
      <w:bookmarkEnd w:id="394"/>
      <w:bookmarkStart w:id="395" w:name="_Toc184314426"/>
      <w:bookmarkEnd w:id="395"/>
      <w:bookmarkStart w:id="396" w:name="_Toc184312104"/>
      <w:bookmarkEnd w:id="396"/>
      <w:bookmarkStart w:id="397" w:name="_Toc184314458"/>
      <w:bookmarkEnd w:id="397"/>
      <w:bookmarkStart w:id="398" w:name="_Toc184313294"/>
      <w:bookmarkEnd w:id="398"/>
      <w:bookmarkStart w:id="399" w:name="_Toc184308039"/>
      <w:bookmarkEnd w:id="399"/>
      <w:bookmarkStart w:id="400" w:name="_Toc184313250"/>
      <w:bookmarkEnd w:id="400"/>
      <w:bookmarkStart w:id="401" w:name="_Toc184308052"/>
      <w:bookmarkEnd w:id="401"/>
      <w:bookmarkStart w:id="402" w:name="_Toc184308041"/>
      <w:bookmarkEnd w:id="402"/>
      <w:bookmarkStart w:id="403" w:name="_Toc184310325"/>
      <w:bookmarkEnd w:id="403"/>
      <w:bookmarkStart w:id="404" w:name="_Toc184313296"/>
      <w:bookmarkEnd w:id="404"/>
      <w:bookmarkStart w:id="405" w:name="_Toc184312117"/>
      <w:bookmarkEnd w:id="405"/>
      <w:bookmarkStart w:id="406" w:name="_Toc184310302"/>
      <w:bookmarkEnd w:id="406"/>
      <w:bookmarkStart w:id="407" w:name="_Toc184312108"/>
      <w:bookmarkEnd w:id="407"/>
      <w:bookmarkStart w:id="408" w:name="_Toc184313287"/>
      <w:bookmarkEnd w:id="408"/>
      <w:bookmarkStart w:id="409" w:name="_Toc184308082"/>
      <w:bookmarkEnd w:id="409"/>
      <w:bookmarkStart w:id="410" w:name="_Toc184310297"/>
      <w:bookmarkEnd w:id="410"/>
      <w:bookmarkStart w:id="411" w:name="_Toc184308059"/>
      <w:bookmarkEnd w:id="411"/>
      <w:bookmarkStart w:id="412" w:name="_Toc184314457"/>
      <w:bookmarkEnd w:id="412"/>
      <w:bookmarkStart w:id="413" w:name="_Toc184313299"/>
      <w:bookmarkEnd w:id="413"/>
      <w:bookmarkStart w:id="414" w:name="_Toc184313252"/>
      <w:bookmarkEnd w:id="414"/>
      <w:bookmarkStart w:id="415" w:name="_Toc184312069"/>
      <w:bookmarkEnd w:id="415"/>
      <w:bookmarkStart w:id="416" w:name="_Toc184312106"/>
      <w:bookmarkEnd w:id="416"/>
      <w:bookmarkStart w:id="417" w:name="_Toc184313248"/>
      <w:bookmarkEnd w:id="417"/>
      <w:bookmarkStart w:id="418" w:name="_Toc184310280"/>
      <w:bookmarkEnd w:id="418"/>
      <w:r>
        <w:rPr>
          <w:rFonts w:hint="eastAsia" w:ascii="宋体" w:hAnsi="宋体" w:eastAsia="宋体" w:cs="宋体"/>
          <w:color w:val="auto"/>
          <w:highlight w:val="none"/>
        </w:rPr>
        <w:t>评标方法及评分标准</w:t>
      </w:r>
    </w:p>
    <w:p w14:paraId="05D07898">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0"/>
        <w:tblpPr w:leftFromText="180" w:rightFromText="180" w:vertAnchor="text" w:horzAnchor="page" w:tblpX="1602" w:tblpY="469"/>
        <w:tblW w:w="525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7"/>
      </w:tblGrid>
      <w:tr w14:paraId="3BBBE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5000" w:type="pct"/>
            <w:vAlign w:val="center"/>
          </w:tcPr>
          <w:p w14:paraId="6FF0D962">
            <w:pPr>
              <w:autoSpaceDE w:val="0"/>
              <w:autoSpaceDN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本项目采用综合评分法</w:t>
            </w:r>
            <w:r>
              <w:rPr>
                <w:rFonts w:hint="eastAsia" w:ascii="宋体" w:hAnsi="宋体" w:eastAsia="宋体" w:cs="宋体"/>
                <w:color w:val="auto"/>
                <w:sz w:val="24"/>
                <w:highlight w:val="none"/>
              </w:rPr>
              <w:t>，评标委员会将对各投标人的投标报价、投标人提供的资信与商务部分、技术部分等方面进行综合评审，评标委员会各成员应当独立对每个有效投标人的投标文件进行评价、打分。经统计，得出各投标人的最终评审分,按最终评审分由高到低顺序排列。得分相同的，按投标报价由低到高顺序排列，</w:t>
            </w:r>
            <w:r>
              <w:rPr>
                <w:rFonts w:hint="eastAsia" w:ascii="宋体" w:hAnsi="宋体" w:eastAsia="宋体" w:cs="宋体"/>
                <w:color w:val="auto"/>
                <w:sz w:val="24"/>
                <w:szCs w:val="21"/>
                <w:highlight w:val="none"/>
              </w:rPr>
              <w:t>得分且投标报价相同的并列</w:t>
            </w:r>
            <w:r>
              <w:rPr>
                <w:rFonts w:hint="eastAsia" w:ascii="宋体" w:hAnsi="宋体" w:eastAsia="宋体" w:cs="宋体"/>
                <w:color w:val="auto"/>
                <w:sz w:val="24"/>
                <w:highlight w:val="none"/>
              </w:rPr>
              <w:t xml:space="preserve">，并形成评标意见。 </w:t>
            </w:r>
          </w:p>
          <w:p w14:paraId="317F2F57">
            <w:pPr>
              <w:spacing w:line="360" w:lineRule="auto"/>
              <w:ind w:left="105" w:leftChars="50" w:firstLine="427" w:firstLineChars="178"/>
              <w:rPr>
                <w:rFonts w:hint="eastAsia" w:ascii="宋体" w:hAnsi="宋体" w:eastAsia="宋体" w:cs="宋体"/>
                <w:color w:val="auto"/>
                <w:sz w:val="24"/>
                <w:highlight w:val="none"/>
              </w:rPr>
            </w:pPr>
            <w:r>
              <w:rPr>
                <w:rFonts w:hint="eastAsia" w:ascii="宋体" w:hAnsi="宋体" w:eastAsia="宋体" w:cs="宋体"/>
                <w:color w:val="auto"/>
                <w:sz w:val="24"/>
                <w:highlight w:val="none"/>
              </w:rPr>
              <w:t>各投标人的综合得分为：投标价格得分+</w:t>
            </w:r>
            <w:r>
              <w:rPr>
                <w:rFonts w:hint="eastAsia" w:ascii="宋体" w:hAnsi="宋体" w:eastAsia="宋体" w:cs="宋体"/>
                <w:bCs/>
                <w:color w:val="auto"/>
                <w:sz w:val="24"/>
                <w:highlight w:val="none"/>
              </w:rPr>
              <w:t>技术部分</w:t>
            </w:r>
            <w:r>
              <w:rPr>
                <w:rFonts w:hint="eastAsia" w:ascii="宋体" w:hAnsi="宋体" w:eastAsia="宋体" w:cs="宋体"/>
                <w:color w:val="auto"/>
                <w:sz w:val="24"/>
                <w:highlight w:val="none"/>
              </w:rPr>
              <w:t>得分+资信与商务部分得分之和，总和为</w:t>
            </w:r>
            <w:r>
              <w:rPr>
                <w:rFonts w:hint="eastAsia" w:ascii="宋体" w:hAnsi="宋体" w:eastAsia="宋体" w:cs="宋体"/>
                <w:color w:val="auto"/>
                <w:sz w:val="24"/>
                <w:highlight w:val="none"/>
                <w:u w:val="single"/>
              </w:rPr>
              <w:t>100</w:t>
            </w:r>
            <w:r>
              <w:rPr>
                <w:rFonts w:hint="eastAsia" w:ascii="宋体" w:hAnsi="宋体" w:eastAsia="宋体" w:cs="宋体"/>
                <w:color w:val="auto"/>
                <w:sz w:val="24"/>
                <w:highlight w:val="none"/>
              </w:rPr>
              <w:t xml:space="preserve">分， </w:t>
            </w:r>
          </w:p>
          <w:p w14:paraId="286E0541">
            <w:pPr>
              <w:autoSpaceDE w:val="0"/>
              <w:autoSpaceDN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各投标人的技术和服务方案、投标人资信与商务部分得分为：评标委员会各成员评分的算术平均值。各投标人的投标价格得分按投标价格评分公式由采购机构计算，评标委员会审核。</w:t>
            </w:r>
            <w:r>
              <w:rPr>
                <w:rFonts w:hint="eastAsia" w:ascii="宋体" w:hAnsi="宋体" w:eastAsia="宋体" w:cs="宋体"/>
                <w:color w:val="auto"/>
                <w:sz w:val="24"/>
                <w:highlight w:val="none"/>
              </w:rPr>
              <w:t>根据上述评标原则，分值安排如下：</w:t>
            </w:r>
          </w:p>
        </w:tc>
      </w:tr>
    </w:tbl>
    <w:p w14:paraId="016AFEBC">
      <w:pPr>
        <w:snapToGrid w:val="0"/>
        <w:spacing w:line="360" w:lineRule="auto"/>
        <w:rPr>
          <w:rFonts w:hint="eastAsia" w:ascii="宋体" w:hAnsi="宋体" w:eastAsia="宋体" w:cs="宋体"/>
          <w:b/>
          <w:color w:val="auto"/>
          <w:sz w:val="32"/>
          <w:highlight w:val="none"/>
        </w:rPr>
      </w:pPr>
    </w:p>
    <w:p w14:paraId="50301B7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1、商务</w:t>
      </w:r>
      <w:r>
        <w:rPr>
          <w:rFonts w:hint="eastAsia" w:ascii="宋体" w:hAnsi="宋体" w:eastAsia="宋体" w:cs="宋体"/>
          <w:color w:val="auto"/>
          <w:sz w:val="24"/>
          <w:highlight w:val="none"/>
          <w:lang w:val="en-US" w:eastAsia="zh-CN"/>
        </w:rPr>
        <w:t>技术</w:t>
      </w:r>
      <w:r>
        <w:rPr>
          <w:rFonts w:hint="eastAsia" w:ascii="宋体" w:hAnsi="宋体" w:eastAsia="宋体" w:cs="宋体"/>
          <w:color w:val="auto"/>
          <w:sz w:val="24"/>
          <w:highlight w:val="none"/>
        </w:rPr>
        <w:t>部分（</w:t>
      </w:r>
      <w:r>
        <w:rPr>
          <w:rFonts w:hint="eastAsia" w:ascii="宋体" w:hAnsi="宋体" w:cs="宋体"/>
          <w:color w:val="auto"/>
          <w:sz w:val="24"/>
          <w:highlight w:val="none"/>
          <w:lang w:val="en-US" w:eastAsia="zh-CN"/>
        </w:rPr>
        <w:t>90</w:t>
      </w:r>
      <w:r>
        <w:rPr>
          <w:rFonts w:hint="eastAsia" w:ascii="宋体" w:hAnsi="宋体" w:eastAsia="宋体" w:cs="宋体"/>
          <w:color w:val="auto"/>
          <w:sz w:val="24"/>
          <w:highlight w:val="none"/>
        </w:rPr>
        <w:t>分）</w:t>
      </w:r>
    </w:p>
    <w:tbl>
      <w:tblPr>
        <w:tblStyle w:val="60"/>
        <w:tblW w:w="9029" w:type="dxa"/>
        <w:tblInd w:w="-176" w:type="dxa"/>
        <w:tblLayout w:type="fixed"/>
        <w:tblCellMar>
          <w:top w:w="0" w:type="dxa"/>
          <w:left w:w="108" w:type="dxa"/>
          <w:bottom w:w="0" w:type="dxa"/>
          <w:right w:w="108" w:type="dxa"/>
        </w:tblCellMar>
      </w:tblPr>
      <w:tblGrid>
        <w:gridCol w:w="986"/>
        <w:gridCol w:w="574"/>
        <w:gridCol w:w="814"/>
        <w:gridCol w:w="100"/>
        <w:gridCol w:w="4895"/>
        <w:gridCol w:w="720"/>
        <w:gridCol w:w="940"/>
      </w:tblGrid>
      <w:tr w14:paraId="6443FAEB">
        <w:tblPrEx>
          <w:tblCellMar>
            <w:top w:w="0" w:type="dxa"/>
            <w:left w:w="108" w:type="dxa"/>
            <w:bottom w:w="0" w:type="dxa"/>
            <w:right w:w="108" w:type="dxa"/>
          </w:tblCellMar>
        </w:tblPrEx>
        <w:trPr>
          <w:trHeight w:val="840" w:hRule="atLeast"/>
        </w:trPr>
        <w:tc>
          <w:tcPr>
            <w:tcW w:w="986" w:type="dxa"/>
            <w:tcBorders>
              <w:top w:val="single" w:color="auto" w:sz="4" w:space="0"/>
              <w:left w:val="single" w:color="auto" w:sz="4" w:space="0"/>
              <w:bottom w:val="single" w:color="auto" w:sz="4" w:space="0"/>
              <w:right w:val="single" w:color="auto" w:sz="4" w:space="0"/>
            </w:tcBorders>
            <w:vAlign w:val="center"/>
          </w:tcPr>
          <w:p w14:paraId="20ABA735">
            <w:pPr>
              <w:widowControl/>
              <w:spacing w:line="288" w:lineRule="auto"/>
              <w:jc w:val="center"/>
              <w:rPr>
                <w:rFonts w:hint="eastAsia" w:ascii="宋体" w:hAnsi="宋体" w:cs="宋体"/>
                <w:kern w:val="0"/>
                <w:sz w:val="24"/>
              </w:rPr>
            </w:pPr>
            <w:r>
              <w:rPr>
                <w:rFonts w:hint="eastAsia" w:ascii="宋体" w:hAnsi="宋体" w:cs="宋体"/>
                <w:kern w:val="0"/>
                <w:sz w:val="24"/>
              </w:rPr>
              <w:t>序号</w:t>
            </w:r>
          </w:p>
        </w:tc>
        <w:tc>
          <w:tcPr>
            <w:tcW w:w="6383" w:type="dxa"/>
            <w:gridSpan w:val="4"/>
            <w:tcBorders>
              <w:top w:val="single" w:color="auto" w:sz="4" w:space="0"/>
              <w:left w:val="single" w:color="auto" w:sz="4" w:space="0"/>
              <w:bottom w:val="single" w:color="auto" w:sz="4" w:space="0"/>
              <w:right w:val="single" w:color="auto" w:sz="4" w:space="0"/>
            </w:tcBorders>
            <w:vAlign w:val="center"/>
          </w:tcPr>
          <w:p w14:paraId="749C6636">
            <w:pPr>
              <w:widowControl/>
              <w:spacing w:line="288" w:lineRule="auto"/>
              <w:jc w:val="center"/>
              <w:rPr>
                <w:rFonts w:hint="eastAsia" w:ascii="宋体" w:hAnsi="宋体" w:cs="宋体"/>
                <w:kern w:val="0"/>
                <w:sz w:val="24"/>
              </w:rPr>
            </w:pPr>
            <w:r>
              <w:rPr>
                <w:rFonts w:hint="eastAsia" w:ascii="宋体" w:hAnsi="宋体" w:cs="宋体"/>
                <w:kern w:val="0"/>
                <w:sz w:val="24"/>
              </w:rPr>
              <w:t>评分内容和标准</w:t>
            </w:r>
          </w:p>
        </w:tc>
        <w:tc>
          <w:tcPr>
            <w:tcW w:w="720" w:type="dxa"/>
            <w:tcBorders>
              <w:top w:val="single" w:color="auto" w:sz="8" w:space="0"/>
              <w:left w:val="nil"/>
              <w:bottom w:val="single" w:color="auto" w:sz="4" w:space="0"/>
              <w:right w:val="single" w:color="auto" w:sz="4" w:space="0"/>
            </w:tcBorders>
            <w:vAlign w:val="center"/>
          </w:tcPr>
          <w:p w14:paraId="18549F48">
            <w:pPr>
              <w:widowControl/>
              <w:spacing w:line="288" w:lineRule="auto"/>
              <w:jc w:val="center"/>
              <w:rPr>
                <w:rFonts w:hint="eastAsia" w:ascii="宋体" w:hAnsi="宋体" w:cs="宋体"/>
                <w:kern w:val="0"/>
                <w:sz w:val="24"/>
              </w:rPr>
            </w:pPr>
            <w:r>
              <w:rPr>
                <w:rFonts w:hint="eastAsia" w:ascii="宋体" w:hAnsi="宋体" w:cs="宋体"/>
                <w:kern w:val="0"/>
                <w:sz w:val="24"/>
              </w:rPr>
              <w:t>分值</w:t>
            </w:r>
          </w:p>
        </w:tc>
        <w:tc>
          <w:tcPr>
            <w:tcW w:w="940" w:type="dxa"/>
            <w:tcBorders>
              <w:top w:val="single" w:color="auto" w:sz="8" w:space="0"/>
              <w:left w:val="nil"/>
              <w:bottom w:val="single" w:color="auto" w:sz="4" w:space="0"/>
              <w:right w:val="single" w:color="auto" w:sz="4" w:space="0"/>
            </w:tcBorders>
            <w:vAlign w:val="center"/>
          </w:tcPr>
          <w:p w14:paraId="6195603E">
            <w:pPr>
              <w:widowControl/>
              <w:spacing w:line="288" w:lineRule="auto"/>
              <w:jc w:val="center"/>
              <w:rPr>
                <w:rFonts w:hint="eastAsia" w:ascii="宋体" w:hAnsi="宋体" w:cs="宋体"/>
                <w:kern w:val="0"/>
                <w:sz w:val="24"/>
              </w:rPr>
            </w:pPr>
            <w:r>
              <w:rPr>
                <w:rFonts w:hint="eastAsia" w:ascii="宋体" w:hAnsi="宋体" w:cs="宋体"/>
                <w:kern w:val="0"/>
                <w:sz w:val="24"/>
              </w:rPr>
              <w:t>客/主观分</w:t>
            </w:r>
          </w:p>
        </w:tc>
      </w:tr>
      <w:tr w14:paraId="23EBD77A">
        <w:tblPrEx>
          <w:tblCellMar>
            <w:top w:w="0" w:type="dxa"/>
            <w:left w:w="108" w:type="dxa"/>
            <w:bottom w:w="0" w:type="dxa"/>
            <w:right w:w="108" w:type="dxa"/>
          </w:tblCellMar>
        </w:tblPrEx>
        <w:trPr>
          <w:trHeight w:val="1123" w:hRule="atLeast"/>
        </w:trPr>
        <w:tc>
          <w:tcPr>
            <w:tcW w:w="986" w:type="dxa"/>
            <w:vMerge w:val="restart"/>
            <w:tcBorders>
              <w:top w:val="single" w:color="auto" w:sz="4" w:space="0"/>
              <w:left w:val="single" w:color="auto" w:sz="4" w:space="0"/>
              <w:right w:val="single" w:color="auto" w:sz="4" w:space="0"/>
            </w:tcBorders>
            <w:vAlign w:val="center"/>
          </w:tcPr>
          <w:p w14:paraId="437E618E">
            <w:pPr>
              <w:widowControl/>
              <w:spacing w:line="288" w:lineRule="auto"/>
              <w:jc w:val="center"/>
              <w:rPr>
                <w:rFonts w:hint="eastAsia" w:ascii="宋体" w:hAnsi="宋体" w:cs="宋体"/>
                <w:kern w:val="0"/>
                <w:sz w:val="24"/>
              </w:rPr>
            </w:pPr>
            <w:r>
              <w:rPr>
                <w:rFonts w:hint="eastAsia" w:ascii="宋体" w:hAnsi="宋体" w:cs="宋体"/>
                <w:kern w:val="0"/>
                <w:sz w:val="24"/>
              </w:rPr>
              <w:t>商务资信分</w:t>
            </w:r>
          </w:p>
          <w:p w14:paraId="2271010A">
            <w:pPr>
              <w:widowControl/>
              <w:spacing w:line="288" w:lineRule="auto"/>
              <w:jc w:val="center"/>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60DF0C14">
            <w:pPr>
              <w:widowControl/>
              <w:spacing w:line="288" w:lineRule="auto"/>
              <w:jc w:val="center"/>
              <w:rPr>
                <w:rFonts w:hint="eastAsia" w:ascii="宋体" w:hAnsi="宋体" w:cs="宋体"/>
                <w:kern w:val="0"/>
                <w:sz w:val="24"/>
              </w:rPr>
            </w:pPr>
            <w:r>
              <w:rPr>
                <w:rFonts w:hint="eastAsia" w:ascii="宋体" w:hAnsi="宋体" w:cs="宋体"/>
                <w:kern w:val="0"/>
                <w:sz w:val="24"/>
              </w:rPr>
              <w:t>1</w:t>
            </w:r>
          </w:p>
        </w:tc>
        <w:tc>
          <w:tcPr>
            <w:tcW w:w="5809" w:type="dxa"/>
            <w:gridSpan w:val="3"/>
            <w:tcBorders>
              <w:top w:val="nil"/>
              <w:left w:val="nil"/>
              <w:bottom w:val="single" w:color="auto" w:sz="4" w:space="0"/>
              <w:right w:val="single" w:color="auto" w:sz="4" w:space="0"/>
            </w:tcBorders>
            <w:vAlign w:val="center"/>
          </w:tcPr>
          <w:p w14:paraId="678A2D37">
            <w:pPr>
              <w:pStyle w:val="453"/>
              <w:spacing w:line="288" w:lineRule="auto"/>
              <w:rPr>
                <w:rFonts w:hint="eastAsia" w:ascii="宋体" w:hAnsi="宋体" w:cs="宋体"/>
                <w:kern w:val="0"/>
                <w:sz w:val="24"/>
                <w:szCs w:val="24"/>
              </w:rPr>
            </w:pPr>
            <w:r>
              <w:rPr>
                <w:rFonts w:hint="eastAsia" w:ascii="宋体" w:hAnsi="宋体" w:cs="宋体"/>
                <w:kern w:val="0"/>
                <w:sz w:val="24"/>
                <w:szCs w:val="24"/>
              </w:rPr>
              <w:t>投标人具有质量管理体系认证证书、环境管理体系认证证书、职业健康安全管理体系认证证书、</w:t>
            </w:r>
            <w:r>
              <w:rPr>
                <w:rFonts w:hint="eastAsia" w:ascii="宋体" w:hAnsi="宋体" w:cs="宋体"/>
                <w:snapToGrid w:val="0"/>
                <w:color w:val="000000"/>
                <w:kern w:val="0"/>
                <w:sz w:val="24"/>
                <w:szCs w:val="24"/>
              </w:rPr>
              <w:t>水安全管理体系认证</w:t>
            </w:r>
            <w:r>
              <w:rPr>
                <w:rFonts w:hint="eastAsia" w:ascii="宋体" w:hAnsi="宋体" w:cs="宋体"/>
                <w:kern w:val="0"/>
                <w:sz w:val="24"/>
                <w:szCs w:val="24"/>
              </w:rPr>
              <w:t>证书，每个得1分，本项最高得4分。</w:t>
            </w:r>
          </w:p>
          <w:p w14:paraId="248EE611">
            <w:pPr>
              <w:pStyle w:val="453"/>
              <w:spacing w:line="288" w:lineRule="auto"/>
              <w:rPr>
                <w:rFonts w:hint="eastAsia" w:ascii="宋体" w:hAnsi="宋体" w:cs="宋体"/>
                <w:kern w:val="0"/>
                <w:sz w:val="24"/>
                <w:szCs w:val="24"/>
              </w:rPr>
            </w:pPr>
            <w:r>
              <w:rPr>
                <w:rFonts w:hint="eastAsia" w:ascii="宋体" w:hAnsi="宋体" w:cs="宋体"/>
                <w:kern w:val="0"/>
                <w:sz w:val="24"/>
                <w:szCs w:val="24"/>
              </w:rPr>
              <w:t>[提供有效期内的认证证书复印件加盖公章]</w:t>
            </w:r>
          </w:p>
        </w:tc>
        <w:tc>
          <w:tcPr>
            <w:tcW w:w="720" w:type="dxa"/>
            <w:tcBorders>
              <w:top w:val="nil"/>
              <w:left w:val="nil"/>
              <w:bottom w:val="single" w:color="auto" w:sz="4" w:space="0"/>
              <w:right w:val="single" w:color="auto" w:sz="4" w:space="0"/>
            </w:tcBorders>
            <w:vAlign w:val="center"/>
          </w:tcPr>
          <w:p w14:paraId="3573F72B">
            <w:pPr>
              <w:spacing w:line="288" w:lineRule="auto"/>
              <w:jc w:val="center"/>
              <w:rPr>
                <w:rFonts w:hint="eastAsia" w:ascii="宋体" w:hAnsi="宋体" w:cs="宋体"/>
                <w:kern w:val="0"/>
                <w:sz w:val="24"/>
              </w:rPr>
            </w:pPr>
            <w:r>
              <w:rPr>
                <w:rFonts w:hint="eastAsia" w:ascii="宋体" w:hAnsi="宋体" w:cs="宋体"/>
                <w:sz w:val="24"/>
              </w:rPr>
              <w:t>4</w:t>
            </w:r>
          </w:p>
        </w:tc>
        <w:tc>
          <w:tcPr>
            <w:tcW w:w="940" w:type="dxa"/>
            <w:tcBorders>
              <w:top w:val="nil"/>
              <w:left w:val="nil"/>
              <w:bottom w:val="single" w:color="auto" w:sz="4" w:space="0"/>
              <w:right w:val="single" w:color="auto" w:sz="4" w:space="0"/>
            </w:tcBorders>
            <w:vAlign w:val="center"/>
          </w:tcPr>
          <w:p w14:paraId="68A28EE4">
            <w:pPr>
              <w:spacing w:line="288" w:lineRule="auto"/>
              <w:jc w:val="center"/>
              <w:rPr>
                <w:rFonts w:hint="eastAsia" w:ascii="宋体" w:hAnsi="宋体" w:cs="宋体"/>
                <w:sz w:val="24"/>
              </w:rPr>
            </w:pPr>
            <w:r>
              <w:rPr>
                <w:rFonts w:hint="eastAsia" w:ascii="宋体" w:hAnsi="宋体" w:cs="宋体"/>
                <w:kern w:val="0"/>
                <w:sz w:val="24"/>
              </w:rPr>
              <w:t>客观分</w:t>
            </w:r>
          </w:p>
        </w:tc>
      </w:tr>
      <w:tr w14:paraId="6315B73D">
        <w:tblPrEx>
          <w:tblCellMar>
            <w:top w:w="0" w:type="dxa"/>
            <w:left w:w="108" w:type="dxa"/>
            <w:bottom w:w="0" w:type="dxa"/>
            <w:right w:w="108" w:type="dxa"/>
          </w:tblCellMar>
        </w:tblPrEx>
        <w:trPr>
          <w:trHeight w:val="1123" w:hRule="atLeast"/>
        </w:trPr>
        <w:tc>
          <w:tcPr>
            <w:tcW w:w="986" w:type="dxa"/>
            <w:vMerge w:val="continue"/>
            <w:tcBorders>
              <w:left w:val="single" w:color="auto" w:sz="4" w:space="0"/>
              <w:right w:val="single" w:color="auto" w:sz="4" w:space="0"/>
            </w:tcBorders>
            <w:vAlign w:val="center"/>
          </w:tcPr>
          <w:p w14:paraId="3A317476">
            <w:pPr>
              <w:widowControl/>
              <w:spacing w:line="288" w:lineRule="auto"/>
              <w:jc w:val="center"/>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0B6BA290">
            <w:pPr>
              <w:widowControl/>
              <w:spacing w:line="288" w:lineRule="auto"/>
              <w:jc w:val="center"/>
              <w:rPr>
                <w:rFonts w:hint="eastAsia" w:ascii="宋体" w:hAnsi="宋体" w:cs="宋体"/>
                <w:kern w:val="0"/>
                <w:sz w:val="24"/>
              </w:rPr>
            </w:pPr>
            <w:r>
              <w:rPr>
                <w:rFonts w:hint="eastAsia" w:ascii="宋体" w:hAnsi="宋体" w:cs="宋体"/>
                <w:kern w:val="0"/>
                <w:sz w:val="24"/>
              </w:rPr>
              <w:t>2</w:t>
            </w:r>
          </w:p>
        </w:tc>
        <w:tc>
          <w:tcPr>
            <w:tcW w:w="5809" w:type="dxa"/>
            <w:gridSpan w:val="3"/>
            <w:tcBorders>
              <w:top w:val="nil"/>
              <w:left w:val="nil"/>
              <w:bottom w:val="single" w:color="auto" w:sz="4" w:space="0"/>
              <w:right w:val="single" w:color="auto" w:sz="4" w:space="0"/>
            </w:tcBorders>
            <w:shd w:val="clear" w:color="auto" w:fill="auto"/>
            <w:vAlign w:val="center"/>
          </w:tcPr>
          <w:p w14:paraId="5E2CAF46">
            <w:pPr>
              <w:pStyle w:val="453"/>
              <w:spacing w:line="288" w:lineRule="auto"/>
              <w:rPr>
                <w:rFonts w:hint="eastAsia" w:ascii="宋体" w:hAnsi="宋体" w:cs="宋体"/>
                <w:kern w:val="0"/>
                <w:sz w:val="24"/>
                <w:szCs w:val="24"/>
              </w:rPr>
            </w:pPr>
            <w:r>
              <w:rPr>
                <w:rFonts w:hint="eastAsia" w:ascii="宋体" w:hAnsi="宋体" w:cs="宋体"/>
                <w:kern w:val="0"/>
                <w:sz w:val="24"/>
                <w:szCs w:val="24"/>
              </w:rPr>
              <w:t>投标人自2022年01月01日以来（以合同签订时间为准）承担过类似项目业绩的，每个得0.2分，本项最高得1分。</w:t>
            </w:r>
          </w:p>
          <w:p w14:paraId="0EEE25AA">
            <w:pPr>
              <w:pStyle w:val="453"/>
              <w:spacing w:line="288" w:lineRule="auto"/>
              <w:rPr>
                <w:rFonts w:hint="eastAsia" w:ascii="宋体" w:hAnsi="宋体" w:cs="宋体"/>
                <w:kern w:val="0"/>
                <w:sz w:val="24"/>
                <w:szCs w:val="24"/>
              </w:rPr>
            </w:pPr>
            <w:r>
              <w:rPr>
                <w:rFonts w:hint="eastAsia" w:ascii="宋体" w:hAnsi="宋体" w:cs="宋体"/>
                <w:kern w:val="0"/>
                <w:sz w:val="24"/>
                <w:szCs w:val="24"/>
              </w:rPr>
              <w:t>[提供合同或中标通知书复印件加盖公章]</w:t>
            </w:r>
          </w:p>
        </w:tc>
        <w:tc>
          <w:tcPr>
            <w:tcW w:w="720" w:type="dxa"/>
            <w:tcBorders>
              <w:top w:val="nil"/>
              <w:left w:val="nil"/>
              <w:bottom w:val="single" w:color="auto" w:sz="4" w:space="0"/>
              <w:right w:val="single" w:color="auto" w:sz="4" w:space="0"/>
            </w:tcBorders>
            <w:shd w:val="clear" w:color="auto" w:fill="auto"/>
            <w:vAlign w:val="center"/>
          </w:tcPr>
          <w:p w14:paraId="426307C1">
            <w:pPr>
              <w:spacing w:line="288" w:lineRule="auto"/>
              <w:jc w:val="center"/>
              <w:rPr>
                <w:rFonts w:hint="eastAsia" w:ascii="宋体" w:hAnsi="宋体" w:cs="宋体"/>
                <w:sz w:val="24"/>
              </w:rPr>
            </w:pPr>
            <w:r>
              <w:rPr>
                <w:rFonts w:hint="eastAsia" w:ascii="宋体" w:hAnsi="宋体" w:cs="宋体"/>
                <w:sz w:val="24"/>
              </w:rPr>
              <w:t>1</w:t>
            </w:r>
          </w:p>
        </w:tc>
        <w:tc>
          <w:tcPr>
            <w:tcW w:w="940" w:type="dxa"/>
            <w:tcBorders>
              <w:top w:val="nil"/>
              <w:left w:val="nil"/>
              <w:bottom w:val="single" w:color="auto" w:sz="4" w:space="0"/>
              <w:right w:val="single" w:color="auto" w:sz="4" w:space="0"/>
            </w:tcBorders>
            <w:shd w:val="clear" w:color="auto" w:fill="auto"/>
            <w:vAlign w:val="center"/>
          </w:tcPr>
          <w:p w14:paraId="5AC30C99">
            <w:pPr>
              <w:spacing w:line="288" w:lineRule="auto"/>
              <w:jc w:val="center"/>
              <w:rPr>
                <w:rFonts w:hint="eastAsia" w:ascii="宋体" w:hAnsi="宋体" w:cs="宋体"/>
                <w:sz w:val="24"/>
              </w:rPr>
            </w:pPr>
            <w:r>
              <w:rPr>
                <w:rFonts w:hint="eastAsia" w:ascii="宋体" w:hAnsi="宋体" w:cs="宋体"/>
                <w:kern w:val="0"/>
                <w:sz w:val="24"/>
              </w:rPr>
              <w:t>客观分</w:t>
            </w:r>
          </w:p>
        </w:tc>
      </w:tr>
      <w:tr w14:paraId="75E1AB36">
        <w:tblPrEx>
          <w:tblCellMar>
            <w:top w:w="0" w:type="dxa"/>
            <w:left w:w="108" w:type="dxa"/>
            <w:bottom w:w="0" w:type="dxa"/>
            <w:right w:w="108" w:type="dxa"/>
          </w:tblCellMar>
        </w:tblPrEx>
        <w:trPr>
          <w:trHeight w:val="335" w:hRule="atLeast"/>
        </w:trPr>
        <w:tc>
          <w:tcPr>
            <w:tcW w:w="986" w:type="dxa"/>
            <w:vMerge w:val="continue"/>
            <w:tcBorders>
              <w:top w:val="single" w:color="auto" w:sz="4" w:space="0"/>
              <w:left w:val="single" w:color="auto" w:sz="4" w:space="0"/>
              <w:bottom w:val="single" w:color="auto" w:sz="4" w:space="0"/>
              <w:right w:val="single" w:color="auto" w:sz="4" w:space="0"/>
            </w:tcBorders>
            <w:vAlign w:val="center"/>
          </w:tcPr>
          <w:p w14:paraId="3F5CA742">
            <w:pPr>
              <w:widowControl/>
              <w:spacing w:line="288" w:lineRule="auto"/>
              <w:jc w:val="center"/>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2BE9EFCE">
            <w:pPr>
              <w:widowControl/>
              <w:spacing w:line="288" w:lineRule="auto"/>
              <w:jc w:val="center"/>
              <w:rPr>
                <w:rFonts w:hint="eastAsia" w:ascii="宋体" w:hAnsi="宋体" w:cs="宋体"/>
                <w:kern w:val="0"/>
                <w:sz w:val="24"/>
              </w:rPr>
            </w:pPr>
            <w:r>
              <w:rPr>
                <w:rFonts w:hint="eastAsia" w:ascii="宋体" w:hAnsi="宋体" w:cs="宋体"/>
                <w:kern w:val="0"/>
                <w:sz w:val="24"/>
              </w:rPr>
              <w:t>3</w:t>
            </w:r>
          </w:p>
        </w:tc>
        <w:tc>
          <w:tcPr>
            <w:tcW w:w="5809" w:type="dxa"/>
            <w:gridSpan w:val="3"/>
            <w:tcBorders>
              <w:top w:val="single" w:color="auto" w:sz="4" w:space="0"/>
              <w:left w:val="single" w:color="auto" w:sz="4" w:space="0"/>
              <w:bottom w:val="single" w:color="auto" w:sz="4" w:space="0"/>
              <w:right w:val="single" w:color="auto" w:sz="4" w:space="0"/>
            </w:tcBorders>
            <w:vAlign w:val="center"/>
          </w:tcPr>
          <w:p w14:paraId="236C0A5C">
            <w:pPr>
              <w:pStyle w:val="502"/>
              <w:widowControl/>
              <w:kinsoku w:val="0"/>
              <w:autoSpaceDE w:val="0"/>
              <w:autoSpaceDN w:val="0"/>
              <w:snapToGrid w:val="0"/>
              <w:spacing w:line="288" w:lineRule="auto"/>
              <w:ind w:firstLine="0" w:firstLineChars="0"/>
              <w:textAlignment w:val="baseline"/>
              <w:rPr>
                <w:rFonts w:hint="eastAsia" w:ascii="宋体" w:hAnsi="宋体" w:eastAsia="宋体" w:cs="宋体"/>
                <w:snapToGrid w:val="0"/>
                <w:color w:val="000000"/>
                <w:kern w:val="0"/>
              </w:rPr>
            </w:pPr>
            <w:r>
              <w:rPr>
                <w:rFonts w:hint="eastAsia" w:ascii="宋体" w:hAnsi="宋体" w:eastAsia="宋体" w:cs="宋体"/>
                <w:snapToGrid w:val="0"/>
                <w:color w:val="000000"/>
                <w:kern w:val="0"/>
              </w:rPr>
              <w:t>投标人自2022年01月01日以来（以专利授权公告时间为准）获得过国家知识产权局颁发的水质净化处理相关发明专利的得3分，本项最高得3分。</w:t>
            </w:r>
          </w:p>
          <w:p w14:paraId="323F253A">
            <w:pPr>
              <w:pStyle w:val="453"/>
              <w:spacing w:line="288" w:lineRule="auto"/>
              <w:rPr>
                <w:rFonts w:hint="eastAsia" w:ascii="宋体" w:hAnsi="宋体" w:cs="宋体"/>
                <w:kern w:val="0"/>
                <w:sz w:val="24"/>
                <w:szCs w:val="24"/>
              </w:rPr>
            </w:pPr>
            <w:r>
              <w:rPr>
                <w:rFonts w:hint="eastAsia" w:ascii="宋体" w:hAnsi="宋体" w:cs="宋体"/>
                <w:kern w:val="0"/>
                <w:sz w:val="24"/>
                <w:szCs w:val="24"/>
              </w:rPr>
              <w:t>[提供有效的证书复印件加盖公章]</w:t>
            </w:r>
          </w:p>
        </w:tc>
        <w:tc>
          <w:tcPr>
            <w:tcW w:w="720" w:type="dxa"/>
            <w:tcBorders>
              <w:top w:val="single" w:color="auto" w:sz="4" w:space="0"/>
              <w:left w:val="single" w:color="auto" w:sz="4" w:space="0"/>
              <w:bottom w:val="single" w:color="auto" w:sz="4" w:space="0"/>
              <w:right w:val="single" w:color="auto" w:sz="4" w:space="0"/>
            </w:tcBorders>
            <w:vAlign w:val="center"/>
          </w:tcPr>
          <w:p w14:paraId="398922C2">
            <w:pPr>
              <w:spacing w:line="288" w:lineRule="auto"/>
              <w:jc w:val="center"/>
              <w:rPr>
                <w:rFonts w:hint="eastAsia" w:ascii="宋体" w:hAnsi="宋体" w:cs="宋体"/>
                <w:sz w:val="24"/>
              </w:rPr>
            </w:pPr>
            <w:r>
              <w:rPr>
                <w:rFonts w:hint="eastAsia" w:ascii="宋体" w:hAnsi="宋体" w:cs="宋体"/>
                <w:sz w:val="24"/>
              </w:rPr>
              <w:t>3</w:t>
            </w:r>
          </w:p>
        </w:tc>
        <w:tc>
          <w:tcPr>
            <w:tcW w:w="940" w:type="dxa"/>
            <w:tcBorders>
              <w:top w:val="single" w:color="auto" w:sz="4" w:space="0"/>
              <w:left w:val="single" w:color="auto" w:sz="4" w:space="0"/>
              <w:bottom w:val="single" w:color="auto" w:sz="4" w:space="0"/>
              <w:right w:val="single" w:color="auto" w:sz="4" w:space="0"/>
            </w:tcBorders>
            <w:vAlign w:val="center"/>
          </w:tcPr>
          <w:p w14:paraId="0900CF47">
            <w:pPr>
              <w:spacing w:line="288" w:lineRule="auto"/>
              <w:jc w:val="center"/>
              <w:rPr>
                <w:rFonts w:hint="eastAsia" w:ascii="宋体" w:hAnsi="宋体" w:cs="宋体"/>
                <w:sz w:val="24"/>
              </w:rPr>
            </w:pPr>
            <w:r>
              <w:rPr>
                <w:rFonts w:hint="eastAsia" w:ascii="宋体" w:hAnsi="宋体" w:cs="宋体"/>
                <w:kern w:val="0"/>
                <w:sz w:val="24"/>
              </w:rPr>
              <w:t>客观分</w:t>
            </w:r>
          </w:p>
        </w:tc>
      </w:tr>
      <w:tr w14:paraId="2EA98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986" w:type="dxa"/>
            <w:vMerge w:val="restart"/>
            <w:tcBorders>
              <w:top w:val="single" w:color="auto" w:sz="4" w:space="0"/>
              <w:left w:val="single" w:color="auto" w:sz="4" w:space="0"/>
              <w:bottom w:val="single" w:color="auto" w:sz="4" w:space="0"/>
              <w:right w:val="single" w:color="auto" w:sz="4" w:space="0"/>
            </w:tcBorders>
            <w:vAlign w:val="center"/>
          </w:tcPr>
          <w:p w14:paraId="11FD15B1">
            <w:pPr>
              <w:widowControl/>
              <w:spacing w:line="288" w:lineRule="auto"/>
              <w:jc w:val="center"/>
              <w:rPr>
                <w:rFonts w:hint="eastAsia" w:ascii="宋体" w:hAnsi="宋体" w:cs="宋体"/>
                <w:kern w:val="0"/>
                <w:sz w:val="24"/>
              </w:rPr>
            </w:pPr>
            <w:r>
              <w:rPr>
                <w:rFonts w:hint="eastAsia" w:ascii="宋体" w:hAnsi="宋体" w:cs="宋体"/>
                <w:kern w:val="0"/>
                <w:sz w:val="24"/>
              </w:rPr>
              <w:t>技术分</w:t>
            </w:r>
          </w:p>
        </w:tc>
        <w:tc>
          <w:tcPr>
            <w:tcW w:w="574" w:type="dxa"/>
            <w:vMerge w:val="restart"/>
            <w:tcBorders>
              <w:top w:val="single" w:color="auto" w:sz="4" w:space="0"/>
              <w:left w:val="single" w:color="auto" w:sz="4" w:space="0"/>
              <w:right w:val="single" w:color="auto" w:sz="4" w:space="0"/>
            </w:tcBorders>
            <w:vAlign w:val="center"/>
          </w:tcPr>
          <w:p w14:paraId="4A1C574C">
            <w:pPr>
              <w:spacing w:line="288" w:lineRule="auto"/>
              <w:jc w:val="center"/>
              <w:rPr>
                <w:rFonts w:hint="eastAsia" w:ascii="宋体" w:hAnsi="宋体" w:cs="宋体"/>
                <w:sz w:val="24"/>
              </w:rPr>
            </w:pPr>
            <w:r>
              <w:rPr>
                <w:rFonts w:hint="eastAsia" w:ascii="宋体" w:hAnsi="宋体" w:cs="宋体"/>
                <w:sz w:val="24"/>
              </w:rPr>
              <w:t>4</w:t>
            </w:r>
          </w:p>
        </w:tc>
        <w:tc>
          <w:tcPr>
            <w:tcW w:w="814" w:type="dxa"/>
            <w:vMerge w:val="restart"/>
            <w:tcBorders>
              <w:top w:val="single" w:color="auto" w:sz="4" w:space="0"/>
              <w:left w:val="single" w:color="auto" w:sz="4" w:space="0"/>
              <w:right w:val="single" w:color="auto" w:sz="4" w:space="0"/>
            </w:tcBorders>
            <w:vAlign w:val="center"/>
          </w:tcPr>
          <w:p w14:paraId="31529437">
            <w:pPr>
              <w:pStyle w:val="502"/>
              <w:widowControl/>
              <w:spacing w:line="288" w:lineRule="auto"/>
              <w:ind w:firstLine="0" w:firstLineChars="0"/>
              <w:contextualSpacing/>
              <w:jc w:val="center"/>
              <w:rPr>
                <w:rFonts w:hint="eastAsia" w:ascii="宋体" w:hAnsi="宋体" w:eastAsia="宋体" w:cs="宋体"/>
                <w:highlight w:val="none"/>
              </w:rPr>
            </w:pPr>
            <w:r>
              <w:rPr>
                <w:rFonts w:hint="eastAsia" w:ascii="宋体" w:hAnsi="宋体" w:eastAsia="宋体" w:cs="宋体"/>
                <w:highlight w:val="none"/>
              </w:rPr>
              <w:t>总体</w:t>
            </w:r>
          </w:p>
          <w:p w14:paraId="1E0534CD">
            <w:pPr>
              <w:pStyle w:val="502"/>
              <w:widowControl/>
              <w:spacing w:line="288" w:lineRule="auto"/>
              <w:ind w:firstLine="0" w:firstLineChars="0"/>
              <w:contextualSpacing/>
              <w:jc w:val="center"/>
              <w:rPr>
                <w:rFonts w:hint="eastAsia" w:ascii="宋体" w:hAnsi="宋体" w:eastAsia="宋体" w:cs="宋体"/>
                <w:highlight w:val="none"/>
              </w:rPr>
            </w:pPr>
            <w:r>
              <w:rPr>
                <w:rFonts w:hint="eastAsia" w:ascii="宋体" w:hAnsi="宋体" w:eastAsia="宋体" w:cs="宋体"/>
                <w:highlight w:val="none"/>
              </w:rPr>
              <w:t>方案</w:t>
            </w:r>
          </w:p>
        </w:tc>
        <w:tc>
          <w:tcPr>
            <w:tcW w:w="4995" w:type="dxa"/>
            <w:gridSpan w:val="2"/>
            <w:tcBorders>
              <w:top w:val="single" w:color="auto" w:sz="4" w:space="0"/>
              <w:left w:val="single" w:color="auto" w:sz="4" w:space="0"/>
              <w:bottom w:val="single" w:color="auto" w:sz="4" w:space="0"/>
              <w:right w:val="single" w:color="auto" w:sz="4" w:space="0"/>
            </w:tcBorders>
            <w:vAlign w:val="center"/>
          </w:tcPr>
          <w:p w14:paraId="6043C7DF">
            <w:pPr>
              <w:pStyle w:val="502"/>
              <w:widowControl/>
              <w:spacing w:line="288" w:lineRule="auto"/>
              <w:ind w:firstLine="0" w:firstLineChars="0"/>
              <w:contextualSpacing/>
              <w:jc w:val="left"/>
              <w:rPr>
                <w:rFonts w:hint="eastAsia" w:ascii="宋体" w:hAnsi="宋体" w:eastAsia="宋体" w:cs="宋体"/>
                <w:highlight w:val="none"/>
              </w:rPr>
            </w:pPr>
            <w:r>
              <w:rPr>
                <w:rFonts w:hint="eastAsia" w:ascii="宋体" w:hAnsi="宋体" w:eastAsia="宋体" w:cs="宋体"/>
                <w:highlight w:val="none"/>
              </w:rPr>
              <w:t>项目采购需求分析</w:t>
            </w:r>
            <w:r>
              <w:rPr>
                <w:rFonts w:hint="eastAsia" w:ascii="宋体" w:hAnsi="宋体" w:eastAsia="宋体" w:cs="宋体"/>
                <w:highlight w:val="none"/>
                <w:lang w:eastAsia="zh-CN"/>
              </w:rPr>
              <w:t>，</w:t>
            </w:r>
            <w:r>
              <w:rPr>
                <w:rFonts w:hint="eastAsia" w:ascii="宋体" w:hAnsi="宋体" w:eastAsia="宋体" w:cs="宋体"/>
                <w:highlight w:val="none"/>
              </w:rPr>
              <w:t>包括对小砾山引水枢纽、水质净化设施和湘湖情况的分析。</w:t>
            </w:r>
          </w:p>
          <w:p w14:paraId="27DA58E4">
            <w:pPr>
              <w:pStyle w:val="502"/>
              <w:widowControl/>
              <w:spacing w:line="288" w:lineRule="auto"/>
              <w:ind w:firstLine="0" w:firstLineChars="0"/>
              <w:contextualSpacing/>
              <w:jc w:val="left"/>
              <w:rPr>
                <w:rFonts w:hint="eastAsia" w:ascii="宋体" w:hAnsi="宋体" w:eastAsia="宋体" w:cs="宋体"/>
                <w:highlight w:val="none"/>
              </w:rPr>
            </w:pPr>
            <w:r>
              <w:rPr>
                <w:rFonts w:hint="eastAsia" w:ascii="宋体" w:hAnsi="宋体" w:eastAsia="宋体" w:cs="宋体"/>
                <w:highlight w:val="none"/>
              </w:rPr>
              <w:t>方案详细完善的得5分，方案较详细完善的得3分，方案不够详细完善的得1分，不提供的不得分。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14331F9D">
            <w:pPr>
              <w:spacing w:line="288" w:lineRule="auto"/>
              <w:jc w:val="center"/>
              <w:rPr>
                <w:rFonts w:hint="eastAsia" w:ascii="宋体" w:hAnsi="宋体" w:cs="宋体"/>
                <w:sz w:val="24"/>
              </w:rPr>
            </w:pPr>
            <w:r>
              <w:rPr>
                <w:rFonts w:hint="eastAsia" w:ascii="宋体" w:hAnsi="宋体" w:cs="宋体"/>
                <w:sz w:val="24"/>
              </w:rPr>
              <w:t>5</w:t>
            </w:r>
          </w:p>
        </w:tc>
        <w:tc>
          <w:tcPr>
            <w:tcW w:w="940" w:type="dxa"/>
            <w:tcBorders>
              <w:top w:val="single" w:color="auto" w:sz="4" w:space="0"/>
              <w:left w:val="single" w:color="auto" w:sz="4" w:space="0"/>
              <w:bottom w:val="single" w:color="auto" w:sz="4" w:space="0"/>
              <w:right w:val="single" w:color="auto" w:sz="4" w:space="0"/>
            </w:tcBorders>
            <w:vAlign w:val="center"/>
          </w:tcPr>
          <w:p w14:paraId="4C99DC87">
            <w:pPr>
              <w:spacing w:line="288" w:lineRule="auto"/>
              <w:jc w:val="center"/>
              <w:rPr>
                <w:rFonts w:hint="eastAsia" w:ascii="宋体" w:hAnsi="宋体" w:cs="宋体"/>
                <w:sz w:val="24"/>
              </w:rPr>
            </w:pPr>
            <w:r>
              <w:rPr>
                <w:rFonts w:hint="eastAsia" w:ascii="宋体" w:hAnsi="宋体" w:cs="宋体"/>
                <w:kern w:val="0"/>
                <w:sz w:val="24"/>
              </w:rPr>
              <w:t>主观分</w:t>
            </w:r>
          </w:p>
        </w:tc>
      </w:tr>
      <w:tr w14:paraId="6D5C4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86" w:type="dxa"/>
            <w:vMerge w:val="continue"/>
            <w:tcBorders>
              <w:left w:val="single" w:color="auto" w:sz="4" w:space="0"/>
              <w:right w:val="single" w:color="auto" w:sz="4" w:space="0"/>
            </w:tcBorders>
            <w:vAlign w:val="center"/>
          </w:tcPr>
          <w:p w14:paraId="5870E0C8">
            <w:pPr>
              <w:widowControl/>
              <w:spacing w:line="288" w:lineRule="auto"/>
              <w:jc w:val="center"/>
              <w:rPr>
                <w:rFonts w:hint="eastAsia" w:ascii="宋体" w:hAnsi="宋体" w:cs="宋体"/>
                <w:kern w:val="0"/>
                <w:sz w:val="24"/>
              </w:rPr>
            </w:pPr>
          </w:p>
        </w:tc>
        <w:tc>
          <w:tcPr>
            <w:tcW w:w="574" w:type="dxa"/>
            <w:vMerge w:val="continue"/>
            <w:tcBorders>
              <w:left w:val="single" w:color="auto" w:sz="4" w:space="0"/>
              <w:bottom w:val="single" w:color="auto" w:sz="4" w:space="0"/>
              <w:right w:val="single" w:color="auto" w:sz="4" w:space="0"/>
            </w:tcBorders>
            <w:vAlign w:val="center"/>
          </w:tcPr>
          <w:p w14:paraId="67CC1A52">
            <w:pPr>
              <w:spacing w:line="288" w:lineRule="auto"/>
              <w:jc w:val="center"/>
              <w:rPr>
                <w:rFonts w:hint="eastAsia" w:ascii="宋体" w:hAnsi="宋体" w:cs="宋体"/>
                <w:sz w:val="24"/>
              </w:rPr>
            </w:pPr>
          </w:p>
        </w:tc>
        <w:tc>
          <w:tcPr>
            <w:tcW w:w="814" w:type="dxa"/>
            <w:vMerge w:val="continue"/>
            <w:tcBorders>
              <w:left w:val="single" w:color="auto" w:sz="4" w:space="0"/>
              <w:bottom w:val="single" w:color="auto" w:sz="4" w:space="0"/>
              <w:right w:val="single" w:color="auto" w:sz="4" w:space="0"/>
            </w:tcBorders>
            <w:vAlign w:val="center"/>
          </w:tcPr>
          <w:p w14:paraId="62AFC4D1">
            <w:pPr>
              <w:pStyle w:val="502"/>
              <w:widowControl/>
              <w:spacing w:line="288" w:lineRule="auto"/>
              <w:ind w:firstLine="0" w:firstLineChars="0"/>
              <w:contextualSpacing/>
              <w:jc w:val="left"/>
              <w:rPr>
                <w:rFonts w:hint="eastAsia" w:ascii="宋体" w:hAnsi="宋体" w:eastAsia="宋体" w:cs="宋体"/>
                <w:highlight w:val="none"/>
              </w:rPr>
            </w:pPr>
          </w:p>
        </w:tc>
        <w:tc>
          <w:tcPr>
            <w:tcW w:w="4995" w:type="dxa"/>
            <w:gridSpan w:val="2"/>
            <w:tcBorders>
              <w:top w:val="single" w:color="auto" w:sz="4" w:space="0"/>
              <w:left w:val="single" w:color="auto" w:sz="4" w:space="0"/>
              <w:bottom w:val="single" w:color="auto" w:sz="4" w:space="0"/>
              <w:right w:val="single" w:color="auto" w:sz="4" w:space="0"/>
            </w:tcBorders>
            <w:vAlign w:val="center"/>
          </w:tcPr>
          <w:p w14:paraId="7883FDE4">
            <w:pPr>
              <w:pStyle w:val="502"/>
              <w:widowControl/>
              <w:spacing w:line="288" w:lineRule="auto"/>
              <w:ind w:firstLine="0" w:firstLineChars="0"/>
              <w:contextualSpacing/>
              <w:jc w:val="left"/>
              <w:rPr>
                <w:rFonts w:hint="eastAsia" w:ascii="宋体" w:hAnsi="宋体" w:eastAsia="宋体" w:cs="宋体"/>
                <w:highlight w:val="none"/>
              </w:rPr>
            </w:pPr>
            <w:r>
              <w:rPr>
                <w:rFonts w:hint="eastAsia" w:ascii="宋体" w:hAnsi="宋体" w:eastAsia="宋体" w:cs="宋体"/>
                <w:highlight w:val="none"/>
              </w:rPr>
              <w:t>运行维护方案</w:t>
            </w:r>
            <w:r>
              <w:rPr>
                <w:rFonts w:hint="eastAsia" w:ascii="宋体" w:hAnsi="宋体" w:eastAsia="宋体" w:cs="宋体"/>
                <w:highlight w:val="none"/>
                <w:lang w:eastAsia="zh-CN"/>
              </w:rPr>
              <w:t>，</w:t>
            </w:r>
            <w:r>
              <w:rPr>
                <w:rFonts w:hint="eastAsia" w:ascii="宋体" w:hAnsi="宋体" w:eastAsia="宋体" w:cs="宋体"/>
                <w:highlight w:val="none"/>
              </w:rPr>
              <w:t>包括水质净化设施运行方案、净水剂采购方案。</w:t>
            </w:r>
          </w:p>
          <w:p w14:paraId="349665AA">
            <w:pPr>
              <w:pStyle w:val="502"/>
              <w:widowControl/>
              <w:spacing w:line="288" w:lineRule="auto"/>
              <w:ind w:firstLine="0" w:firstLineChars="0"/>
              <w:contextualSpacing/>
              <w:jc w:val="left"/>
              <w:rPr>
                <w:rFonts w:hint="eastAsia" w:ascii="宋体" w:hAnsi="宋体" w:eastAsia="宋体" w:cs="宋体"/>
                <w:highlight w:val="none"/>
              </w:rPr>
            </w:pPr>
            <w:r>
              <w:rPr>
                <w:rFonts w:hint="eastAsia" w:ascii="宋体" w:hAnsi="宋体" w:eastAsia="宋体" w:cs="宋体"/>
                <w:highlight w:val="none"/>
              </w:rPr>
              <w:t>方案详细完善的得5分，方案较详细完善的得3分，方案不够详细完善的得1分，不提供的不得分。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460B6615">
            <w:pPr>
              <w:spacing w:line="288" w:lineRule="auto"/>
              <w:jc w:val="center"/>
              <w:rPr>
                <w:rFonts w:hint="eastAsia" w:ascii="宋体" w:hAnsi="宋体" w:cs="宋体"/>
                <w:sz w:val="24"/>
              </w:rPr>
            </w:pPr>
            <w:r>
              <w:rPr>
                <w:rFonts w:hint="eastAsia" w:ascii="宋体" w:hAnsi="宋体" w:cs="宋体"/>
                <w:sz w:val="24"/>
              </w:rPr>
              <w:t>5</w:t>
            </w:r>
          </w:p>
        </w:tc>
        <w:tc>
          <w:tcPr>
            <w:tcW w:w="940" w:type="dxa"/>
            <w:tcBorders>
              <w:top w:val="single" w:color="auto" w:sz="4" w:space="0"/>
              <w:left w:val="single" w:color="auto" w:sz="4" w:space="0"/>
              <w:bottom w:val="single" w:color="auto" w:sz="4" w:space="0"/>
              <w:right w:val="single" w:color="auto" w:sz="4" w:space="0"/>
            </w:tcBorders>
            <w:vAlign w:val="center"/>
          </w:tcPr>
          <w:p w14:paraId="1BEC7DE9">
            <w:pPr>
              <w:spacing w:line="288" w:lineRule="auto"/>
              <w:jc w:val="center"/>
              <w:rPr>
                <w:rFonts w:hint="eastAsia" w:ascii="宋体" w:hAnsi="宋体" w:cs="宋体"/>
                <w:kern w:val="0"/>
                <w:sz w:val="24"/>
              </w:rPr>
            </w:pPr>
            <w:r>
              <w:rPr>
                <w:rFonts w:hint="eastAsia" w:ascii="宋体" w:hAnsi="宋体" w:cs="宋体"/>
                <w:kern w:val="0"/>
                <w:sz w:val="24"/>
              </w:rPr>
              <w:t>主观分</w:t>
            </w:r>
          </w:p>
        </w:tc>
      </w:tr>
      <w:tr w14:paraId="5B8E7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986" w:type="dxa"/>
            <w:vMerge w:val="continue"/>
            <w:tcBorders>
              <w:left w:val="single" w:color="auto" w:sz="4" w:space="0"/>
              <w:right w:val="single" w:color="auto" w:sz="4" w:space="0"/>
            </w:tcBorders>
            <w:vAlign w:val="center"/>
          </w:tcPr>
          <w:p w14:paraId="172AB3CD">
            <w:pPr>
              <w:widowControl/>
              <w:spacing w:line="288" w:lineRule="auto"/>
              <w:jc w:val="center"/>
              <w:rPr>
                <w:rFonts w:hint="eastAsia" w:ascii="宋体" w:hAnsi="宋体" w:cs="宋体"/>
                <w:kern w:val="0"/>
                <w:sz w:val="24"/>
              </w:rPr>
            </w:pPr>
          </w:p>
        </w:tc>
        <w:tc>
          <w:tcPr>
            <w:tcW w:w="574" w:type="dxa"/>
            <w:vMerge w:val="continue"/>
            <w:tcBorders>
              <w:left w:val="single" w:color="auto" w:sz="4" w:space="0"/>
              <w:bottom w:val="single" w:color="auto" w:sz="4" w:space="0"/>
              <w:right w:val="single" w:color="auto" w:sz="4" w:space="0"/>
            </w:tcBorders>
            <w:vAlign w:val="center"/>
          </w:tcPr>
          <w:p w14:paraId="2B0589A9">
            <w:pPr>
              <w:spacing w:line="288" w:lineRule="auto"/>
              <w:jc w:val="center"/>
              <w:rPr>
                <w:rFonts w:hint="eastAsia" w:ascii="宋体" w:hAnsi="宋体" w:cs="宋体"/>
                <w:sz w:val="24"/>
              </w:rPr>
            </w:pPr>
          </w:p>
        </w:tc>
        <w:tc>
          <w:tcPr>
            <w:tcW w:w="814" w:type="dxa"/>
            <w:vMerge w:val="continue"/>
            <w:tcBorders>
              <w:left w:val="single" w:color="auto" w:sz="4" w:space="0"/>
              <w:bottom w:val="single" w:color="auto" w:sz="4" w:space="0"/>
              <w:right w:val="single" w:color="auto" w:sz="4" w:space="0"/>
            </w:tcBorders>
            <w:vAlign w:val="center"/>
          </w:tcPr>
          <w:p w14:paraId="444AA1C5">
            <w:pPr>
              <w:pStyle w:val="502"/>
              <w:widowControl/>
              <w:spacing w:line="288" w:lineRule="auto"/>
              <w:ind w:firstLine="0" w:firstLineChars="0"/>
              <w:contextualSpacing/>
              <w:jc w:val="left"/>
              <w:rPr>
                <w:rFonts w:hint="eastAsia" w:ascii="宋体" w:hAnsi="宋体" w:eastAsia="宋体" w:cs="宋体"/>
                <w:highlight w:val="none"/>
              </w:rPr>
            </w:pPr>
          </w:p>
        </w:tc>
        <w:tc>
          <w:tcPr>
            <w:tcW w:w="4995" w:type="dxa"/>
            <w:gridSpan w:val="2"/>
            <w:tcBorders>
              <w:top w:val="single" w:color="auto" w:sz="4" w:space="0"/>
              <w:left w:val="single" w:color="auto" w:sz="4" w:space="0"/>
              <w:bottom w:val="single" w:color="auto" w:sz="4" w:space="0"/>
              <w:right w:val="single" w:color="auto" w:sz="4" w:space="0"/>
            </w:tcBorders>
            <w:vAlign w:val="center"/>
          </w:tcPr>
          <w:p w14:paraId="5E41D663">
            <w:pPr>
              <w:pStyle w:val="502"/>
              <w:widowControl/>
              <w:spacing w:line="288" w:lineRule="auto"/>
              <w:ind w:firstLine="0" w:firstLineChars="0"/>
              <w:contextualSpacing/>
              <w:jc w:val="left"/>
              <w:rPr>
                <w:rFonts w:hint="eastAsia" w:ascii="宋体" w:hAnsi="宋体" w:eastAsia="宋体" w:cs="宋体"/>
                <w:highlight w:val="none"/>
              </w:rPr>
            </w:pPr>
            <w:r>
              <w:rPr>
                <w:rFonts w:hint="eastAsia" w:ascii="宋体" w:hAnsi="宋体" w:eastAsia="宋体" w:cs="宋体"/>
                <w:highlight w:val="none"/>
              </w:rPr>
              <w:t>水质巡查方案</w:t>
            </w:r>
            <w:r>
              <w:rPr>
                <w:rFonts w:hint="eastAsia" w:ascii="宋体" w:hAnsi="宋体" w:eastAsia="宋体" w:cs="宋体"/>
                <w:highlight w:val="none"/>
                <w:lang w:eastAsia="zh-CN"/>
              </w:rPr>
              <w:t>，</w:t>
            </w:r>
            <w:r>
              <w:rPr>
                <w:rFonts w:hint="eastAsia" w:ascii="宋体" w:hAnsi="宋体" w:eastAsia="宋体" w:cs="宋体"/>
                <w:highlight w:val="none"/>
              </w:rPr>
              <w:t>包括浊度和透明度指标水样采集检测方案、水质巡查方案。</w:t>
            </w:r>
          </w:p>
          <w:p w14:paraId="7B7396D4">
            <w:pPr>
              <w:pStyle w:val="502"/>
              <w:widowControl/>
              <w:spacing w:line="288" w:lineRule="auto"/>
              <w:ind w:firstLine="0" w:firstLineChars="0"/>
              <w:contextualSpacing/>
              <w:jc w:val="left"/>
              <w:rPr>
                <w:rFonts w:hint="eastAsia" w:ascii="宋体" w:hAnsi="宋体" w:eastAsia="宋体" w:cs="宋体"/>
                <w:highlight w:val="none"/>
              </w:rPr>
            </w:pPr>
            <w:r>
              <w:rPr>
                <w:rFonts w:hint="eastAsia" w:ascii="宋体" w:hAnsi="宋体" w:eastAsia="宋体" w:cs="宋体"/>
                <w:highlight w:val="none"/>
              </w:rPr>
              <w:t>方案详细完善的得5分，方案较详细完善的得3分，方案不够详细完善的得1分，不提供的不得分。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78835BD9">
            <w:pPr>
              <w:spacing w:line="288" w:lineRule="auto"/>
              <w:jc w:val="center"/>
              <w:rPr>
                <w:rFonts w:hint="eastAsia" w:ascii="宋体" w:hAnsi="宋体" w:cs="宋体"/>
                <w:sz w:val="24"/>
              </w:rPr>
            </w:pPr>
            <w:r>
              <w:rPr>
                <w:rFonts w:hint="eastAsia" w:ascii="宋体" w:hAnsi="宋体" w:cs="宋体"/>
                <w:sz w:val="24"/>
              </w:rPr>
              <w:t>5</w:t>
            </w:r>
          </w:p>
        </w:tc>
        <w:tc>
          <w:tcPr>
            <w:tcW w:w="940" w:type="dxa"/>
            <w:tcBorders>
              <w:top w:val="single" w:color="auto" w:sz="4" w:space="0"/>
              <w:left w:val="single" w:color="auto" w:sz="4" w:space="0"/>
              <w:bottom w:val="single" w:color="auto" w:sz="4" w:space="0"/>
              <w:right w:val="single" w:color="auto" w:sz="4" w:space="0"/>
            </w:tcBorders>
            <w:vAlign w:val="center"/>
          </w:tcPr>
          <w:p w14:paraId="51ABAE99">
            <w:pPr>
              <w:spacing w:line="288" w:lineRule="auto"/>
              <w:jc w:val="center"/>
              <w:rPr>
                <w:rFonts w:hint="eastAsia" w:ascii="宋体" w:hAnsi="宋体" w:cs="宋体"/>
                <w:kern w:val="0"/>
                <w:sz w:val="24"/>
              </w:rPr>
            </w:pPr>
            <w:r>
              <w:rPr>
                <w:rFonts w:hint="eastAsia" w:ascii="宋体" w:hAnsi="宋体" w:cs="宋体"/>
                <w:kern w:val="0"/>
                <w:sz w:val="24"/>
              </w:rPr>
              <w:t>主观分</w:t>
            </w:r>
          </w:p>
        </w:tc>
      </w:tr>
      <w:tr w14:paraId="4C0F2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86" w:type="dxa"/>
            <w:vMerge w:val="continue"/>
            <w:tcBorders>
              <w:left w:val="single" w:color="auto" w:sz="4" w:space="0"/>
              <w:right w:val="single" w:color="auto" w:sz="4" w:space="0"/>
            </w:tcBorders>
            <w:vAlign w:val="center"/>
          </w:tcPr>
          <w:p w14:paraId="3AD55663">
            <w:pPr>
              <w:widowControl/>
              <w:spacing w:line="288" w:lineRule="auto"/>
              <w:jc w:val="center"/>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0C364455">
            <w:pPr>
              <w:spacing w:line="288" w:lineRule="auto"/>
              <w:jc w:val="center"/>
              <w:rPr>
                <w:rFonts w:hint="eastAsia" w:ascii="宋体" w:hAnsi="宋体" w:cs="宋体"/>
                <w:sz w:val="24"/>
              </w:rPr>
            </w:pPr>
            <w:r>
              <w:rPr>
                <w:rFonts w:hint="eastAsia" w:ascii="宋体" w:hAnsi="宋体" w:cs="宋体"/>
                <w:sz w:val="24"/>
              </w:rPr>
              <w:t>5</w:t>
            </w:r>
          </w:p>
        </w:tc>
        <w:tc>
          <w:tcPr>
            <w:tcW w:w="5809" w:type="dxa"/>
            <w:gridSpan w:val="3"/>
            <w:tcBorders>
              <w:top w:val="single" w:color="auto" w:sz="4" w:space="0"/>
              <w:left w:val="single" w:color="auto" w:sz="4" w:space="0"/>
              <w:bottom w:val="single" w:color="auto" w:sz="4" w:space="0"/>
              <w:right w:val="single" w:color="auto" w:sz="4" w:space="0"/>
            </w:tcBorders>
            <w:vAlign w:val="center"/>
          </w:tcPr>
          <w:p w14:paraId="6321F75E">
            <w:pPr>
              <w:pStyle w:val="646"/>
              <w:adjustRightInd/>
              <w:spacing w:line="288" w:lineRule="auto"/>
              <w:rPr>
                <w:rFonts w:hint="eastAsia"/>
                <w:sz w:val="24"/>
                <w:szCs w:val="24"/>
                <w:highlight w:val="none"/>
                <w:lang w:eastAsia="zh-CN"/>
              </w:rPr>
            </w:pPr>
            <w:r>
              <w:rPr>
                <w:rFonts w:hint="eastAsia"/>
                <w:sz w:val="24"/>
                <w:szCs w:val="24"/>
                <w:highlight w:val="none"/>
              </w:rPr>
              <w:t>项目管理制度（员工</w:t>
            </w:r>
            <w:r>
              <w:rPr>
                <w:rFonts w:hint="eastAsia"/>
                <w:sz w:val="24"/>
                <w:szCs w:val="24"/>
                <w:highlight w:val="none"/>
                <w:lang w:eastAsia="zh-CN"/>
              </w:rPr>
              <w:t>管理</w:t>
            </w:r>
            <w:r>
              <w:rPr>
                <w:rFonts w:hint="eastAsia"/>
                <w:sz w:val="24"/>
                <w:szCs w:val="24"/>
                <w:highlight w:val="none"/>
              </w:rPr>
              <w:t>制度、员工考勤制度、</w:t>
            </w:r>
            <w:r>
              <w:rPr>
                <w:rFonts w:hint="eastAsia"/>
                <w:sz w:val="24"/>
                <w:szCs w:val="24"/>
                <w:highlight w:val="none"/>
                <w:lang w:eastAsia="zh-CN"/>
              </w:rPr>
              <w:t>奖惩</w:t>
            </w:r>
            <w:r>
              <w:rPr>
                <w:rFonts w:hint="eastAsia"/>
                <w:sz w:val="24"/>
                <w:szCs w:val="24"/>
                <w:highlight w:val="none"/>
              </w:rPr>
              <w:t>管理制度、</w:t>
            </w:r>
            <w:r>
              <w:rPr>
                <w:rFonts w:hint="eastAsia"/>
                <w:sz w:val="24"/>
                <w:szCs w:val="24"/>
                <w:highlight w:val="none"/>
                <w:lang w:eastAsia="zh-CN"/>
              </w:rPr>
              <w:t>合同</w:t>
            </w:r>
            <w:r>
              <w:rPr>
                <w:rFonts w:hint="eastAsia"/>
                <w:sz w:val="24"/>
                <w:szCs w:val="24"/>
                <w:highlight w:val="none"/>
              </w:rPr>
              <w:t>管理制度、档案管理制度等相关规章制度）</w:t>
            </w:r>
            <w:r>
              <w:rPr>
                <w:rFonts w:hint="eastAsia"/>
                <w:sz w:val="24"/>
                <w:szCs w:val="24"/>
                <w:highlight w:val="none"/>
                <w:lang w:eastAsia="zh-CN"/>
              </w:rPr>
              <w:t>。</w:t>
            </w:r>
          </w:p>
          <w:p w14:paraId="5423C286">
            <w:pPr>
              <w:pStyle w:val="646"/>
              <w:adjustRightInd/>
              <w:spacing w:line="288" w:lineRule="auto"/>
              <w:rPr>
                <w:rFonts w:hint="eastAsia"/>
                <w:sz w:val="24"/>
                <w:szCs w:val="24"/>
                <w:highlight w:val="none"/>
                <w:lang w:val="en-US" w:eastAsia="zh-CN"/>
              </w:rPr>
            </w:pPr>
            <w:r>
              <w:rPr>
                <w:rFonts w:hint="eastAsia"/>
                <w:sz w:val="24"/>
                <w:szCs w:val="24"/>
                <w:highlight w:val="none"/>
                <w:lang w:val="en-US" w:eastAsia="zh-CN"/>
              </w:rPr>
              <w:t>方案详细完善的得5分，方案较详细完善的得3分，方案不够详细完善的得1分，不提供的不得分。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14:paraId="51CEB959">
            <w:pPr>
              <w:pStyle w:val="453"/>
              <w:spacing w:line="288" w:lineRule="auto"/>
              <w:jc w:val="center"/>
              <w:rPr>
                <w:rFonts w:hint="eastAsia" w:ascii="宋体" w:hAnsi="宋体" w:cs="宋体"/>
                <w:sz w:val="24"/>
                <w:szCs w:val="24"/>
              </w:rPr>
            </w:pPr>
            <w:r>
              <w:rPr>
                <w:rFonts w:hint="eastAsia" w:ascii="宋体" w:hAnsi="宋体" w:cs="宋体"/>
                <w:sz w:val="24"/>
                <w:szCs w:val="24"/>
              </w:rPr>
              <w:t>5</w:t>
            </w:r>
          </w:p>
        </w:tc>
        <w:tc>
          <w:tcPr>
            <w:tcW w:w="940" w:type="dxa"/>
            <w:tcBorders>
              <w:top w:val="single" w:color="auto" w:sz="4" w:space="0"/>
              <w:left w:val="single" w:color="auto" w:sz="4" w:space="0"/>
              <w:bottom w:val="single" w:color="auto" w:sz="4" w:space="0"/>
              <w:right w:val="single" w:color="auto" w:sz="4" w:space="0"/>
            </w:tcBorders>
            <w:shd w:val="clear" w:color="auto" w:fill="auto"/>
            <w:vAlign w:val="center"/>
          </w:tcPr>
          <w:p w14:paraId="653EDBE1">
            <w:pPr>
              <w:pStyle w:val="453"/>
              <w:spacing w:line="288" w:lineRule="auto"/>
              <w:jc w:val="center"/>
              <w:rPr>
                <w:rFonts w:hint="eastAsia" w:ascii="宋体" w:hAnsi="宋体" w:cs="宋体"/>
                <w:sz w:val="24"/>
                <w:szCs w:val="24"/>
              </w:rPr>
            </w:pPr>
            <w:r>
              <w:rPr>
                <w:rFonts w:hint="eastAsia" w:ascii="宋体" w:hAnsi="宋体" w:cs="宋体"/>
                <w:sz w:val="24"/>
                <w:szCs w:val="24"/>
              </w:rPr>
              <w:t>主观分</w:t>
            </w:r>
          </w:p>
        </w:tc>
      </w:tr>
      <w:tr w14:paraId="54B33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86" w:type="dxa"/>
            <w:vMerge w:val="continue"/>
            <w:tcBorders>
              <w:left w:val="single" w:color="auto" w:sz="4" w:space="0"/>
              <w:right w:val="single" w:color="auto" w:sz="4" w:space="0"/>
            </w:tcBorders>
            <w:vAlign w:val="center"/>
          </w:tcPr>
          <w:p w14:paraId="647D44FA">
            <w:pPr>
              <w:widowControl/>
              <w:spacing w:line="288" w:lineRule="auto"/>
              <w:jc w:val="center"/>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07C6900E">
            <w:pPr>
              <w:spacing w:line="288" w:lineRule="auto"/>
              <w:jc w:val="center"/>
              <w:rPr>
                <w:rFonts w:hint="eastAsia" w:ascii="宋体" w:hAnsi="宋体" w:cs="宋体"/>
                <w:sz w:val="24"/>
              </w:rPr>
            </w:pPr>
            <w:r>
              <w:rPr>
                <w:rFonts w:hint="eastAsia" w:ascii="宋体" w:hAnsi="宋体" w:cs="宋体"/>
                <w:sz w:val="24"/>
              </w:rPr>
              <w:t>6</w:t>
            </w:r>
          </w:p>
        </w:tc>
        <w:tc>
          <w:tcPr>
            <w:tcW w:w="5809" w:type="dxa"/>
            <w:gridSpan w:val="3"/>
            <w:tcBorders>
              <w:top w:val="single" w:color="auto" w:sz="4" w:space="0"/>
              <w:left w:val="single" w:color="auto" w:sz="4" w:space="0"/>
              <w:bottom w:val="single" w:color="auto" w:sz="4" w:space="0"/>
              <w:right w:val="single" w:color="auto" w:sz="4" w:space="0"/>
            </w:tcBorders>
            <w:vAlign w:val="center"/>
          </w:tcPr>
          <w:p w14:paraId="0662D9A9">
            <w:pPr>
              <w:pStyle w:val="646"/>
              <w:adjustRightInd/>
              <w:spacing w:line="288" w:lineRule="auto"/>
              <w:rPr>
                <w:rFonts w:hint="eastAsia"/>
                <w:sz w:val="24"/>
                <w:szCs w:val="24"/>
                <w:highlight w:val="none"/>
                <w:lang w:eastAsia="zh-CN"/>
              </w:rPr>
            </w:pPr>
            <w:r>
              <w:rPr>
                <w:rFonts w:hint="eastAsia"/>
                <w:sz w:val="24"/>
                <w:szCs w:val="24"/>
                <w:highlight w:val="none"/>
              </w:rPr>
              <w:t>现场安全管理体系、安全文明措施完善并有针对性</w:t>
            </w:r>
            <w:r>
              <w:rPr>
                <w:rFonts w:hint="eastAsia"/>
                <w:sz w:val="24"/>
                <w:szCs w:val="24"/>
                <w:highlight w:val="none"/>
                <w:lang w:eastAsia="zh-CN"/>
              </w:rPr>
              <w:t>。</w:t>
            </w:r>
          </w:p>
          <w:p w14:paraId="77601D95">
            <w:pPr>
              <w:pStyle w:val="646"/>
              <w:adjustRightInd/>
              <w:spacing w:line="288" w:lineRule="auto"/>
              <w:rPr>
                <w:rFonts w:hint="eastAsia"/>
                <w:sz w:val="24"/>
                <w:szCs w:val="24"/>
                <w:highlight w:val="none"/>
                <w:lang w:val="en-US" w:eastAsia="zh-CN"/>
              </w:rPr>
            </w:pPr>
            <w:r>
              <w:rPr>
                <w:rFonts w:hint="eastAsia"/>
                <w:sz w:val="24"/>
                <w:szCs w:val="24"/>
                <w:highlight w:val="none"/>
                <w:lang w:val="en-US" w:eastAsia="zh-CN"/>
              </w:rPr>
              <w:t>方案详细完善的得5分，方案较详细完善的得3分，方案不够详细完善的得1分，不提供的不得分。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1E1DDA8A">
            <w:pPr>
              <w:pStyle w:val="453"/>
              <w:spacing w:line="288" w:lineRule="auto"/>
              <w:jc w:val="center"/>
              <w:rPr>
                <w:rFonts w:hint="eastAsia" w:ascii="宋体" w:hAnsi="宋体" w:cs="宋体"/>
                <w:sz w:val="24"/>
                <w:szCs w:val="24"/>
              </w:rPr>
            </w:pPr>
            <w:r>
              <w:rPr>
                <w:rFonts w:hint="eastAsia" w:ascii="宋体" w:hAnsi="宋体" w:cs="宋体"/>
                <w:sz w:val="24"/>
                <w:szCs w:val="24"/>
              </w:rPr>
              <w:t>5</w:t>
            </w:r>
          </w:p>
        </w:tc>
        <w:tc>
          <w:tcPr>
            <w:tcW w:w="940" w:type="dxa"/>
            <w:tcBorders>
              <w:top w:val="single" w:color="auto" w:sz="4" w:space="0"/>
              <w:left w:val="single" w:color="auto" w:sz="4" w:space="0"/>
              <w:bottom w:val="single" w:color="auto" w:sz="4" w:space="0"/>
              <w:right w:val="single" w:color="auto" w:sz="4" w:space="0"/>
            </w:tcBorders>
            <w:vAlign w:val="center"/>
          </w:tcPr>
          <w:p w14:paraId="45211269">
            <w:pPr>
              <w:pStyle w:val="453"/>
              <w:spacing w:line="288" w:lineRule="auto"/>
              <w:jc w:val="center"/>
              <w:rPr>
                <w:rFonts w:hint="eastAsia" w:ascii="宋体" w:hAnsi="宋体" w:cs="宋体"/>
                <w:sz w:val="24"/>
                <w:szCs w:val="24"/>
              </w:rPr>
            </w:pPr>
            <w:r>
              <w:rPr>
                <w:rFonts w:hint="eastAsia" w:ascii="宋体" w:hAnsi="宋体" w:cs="宋体"/>
                <w:sz w:val="24"/>
                <w:szCs w:val="24"/>
              </w:rPr>
              <w:t>主观分</w:t>
            </w:r>
          </w:p>
        </w:tc>
      </w:tr>
      <w:tr w14:paraId="56FE3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86" w:type="dxa"/>
            <w:vMerge w:val="continue"/>
            <w:tcBorders>
              <w:left w:val="single" w:color="auto" w:sz="4" w:space="0"/>
              <w:right w:val="single" w:color="auto" w:sz="4" w:space="0"/>
            </w:tcBorders>
            <w:vAlign w:val="center"/>
          </w:tcPr>
          <w:p w14:paraId="598BA4B6">
            <w:pPr>
              <w:widowControl/>
              <w:spacing w:line="288" w:lineRule="auto"/>
              <w:jc w:val="center"/>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5A746161">
            <w:pPr>
              <w:spacing w:line="288" w:lineRule="auto"/>
              <w:jc w:val="center"/>
              <w:rPr>
                <w:rFonts w:hint="eastAsia" w:ascii="宋体" w:hAnsi="宋体" w:cs="宋体"/>
                <w:sz w:val="24"/>
              </w:rPr>
            </w:pPr>
            <w:r>
              <w:rPr>
                <w:rFonts w:hint="eastAsia" w:ascii="宋体" w:hAnsi="宋体" w:cs="宋体"/>
                <w:sz w:val="24"/>
              </w:rPr>
              <w:t>7</w:t>
            </w:r>
          </w:p>
        </w:tc>
        <w:tc>
          <w:tcPr>
            <w:tcW w:w="5809" w:type="dxa"/>
            <w:gridSpan w:val="3"/>
            <w:tcBorders>
              <w:top w:val="single" w:color="auto" w:sz="4" w:space="0"/>
              <w:left w:val="single" w:color="auto" w:sz="4" w:space="0"/>
              <w:bottom w:val="single" w:color="auto" w:sz="4" w:space="0"/>
              <w:right w:val="single" w:color="auto" w:sz="4" w:space="0"/>
            </w:tcBorders>
            <w:vAlign w:val="center"/>
          </w:tcPr>
          <w:p w14:paraId="0D41932C">
            <w:pPr>
              <w:pStyle w:val="453"/>
              <w:spacing w:line="288" w:lineRule="auto"/>
              <w:rPr>
                <w:rFonts w:hint="eastAsia" w:ascii="宋体" w:hAnsi="宋体" w:cs="宋体"/>
                <w:sz w:val="24"/>
                <w:szCs w:val="24"/>
                <w:highlight w:val="none"/>
              </w:rPr>
            </w:pPr>
            <w:r>
              <w:rPr>
                <w:rFonts w:hint="eastAsia" w:ascii="宋体" w:hAnsi="宋体" w:cs="宋体"/>
                <w:sz w:val="24"/>
                <w:szCs w:val="24"/>
                <w:highlight w:val="none"/>
              </w:rPr>
              <w:t>项目进度管理及保证措施完善并有针对性。</w:t>
            </w:r>
          </w:p>
          <w:p w14:paraId="2BB7CDE4">
            <w:pPr>
              <w:pStyle w:val="453"/>
              <w:spacing w:line="288" w:lineRule="auto"/>
              <w:rPr>
                <w:rFonts w:hint="eastAsia" w:ascii="宋体" w:hAnsi="宋体" w:cs="宋体"/>
                <w:kern w:val="0"/>
                <w:sz w:val="24"/>
                <w:szCs w:val="24"/>
                <w:highlight w:val="none"/>
              </w:rPr>
            </w:pPr>
            <w:r>
              <w:rPr>
                <w:rFonts w:hint="eastAsia" w:ascii="宋体" w:hAnsi="宋体" w:cs="宋体"/>
                <w:sz w:val="24"/>
                <w:szCs w:val="24"/>
                <w:highlight w:val="none"/>
              </w:rPr>
              <w:t>方案详细完善的得5分，方案较详细完善的得3分，方案不够详细完善的得1分，不提供的不得分。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1EDCE669">
            <w:pPr>
              <w:pStyle w:val="453"/>
              <w:spacing w:line="288" w:lineRule="auto"/>
              <w:jc w:val="center"/>
              <w:rPr>
                <w:rFonts w:hint="eastAsia" w:ascii="宋体" w:hAnsi="宋体" w:cs="宋体"/>
                <w:sz w:val="24"/>
                <w:szCs w:val="24"/>
              </w:rPr>
            </w:pPr>
            <w:r>
              <w:rPr>
                <w:rFonts w:hint="eastAsia" w:ascii="宋体" w:hAnsi="宋体" w:cs="宋体"/>
                <w:sz w:val="24"/>
                <w:szCs w:val="24"/>
              </w:rPr>
              <w:t>5</w:t>
            </w:r>
          </w:p>
        </w:tc>
        <w:tc>
          <w:tcPr>
            <w:tcW w:w="940" w:type="dxa"/>
            <w:tcBorders>
              <w:top w:val="single" w:color="auto" w:sz="4" w:space="0"/>
              <w:left w:val="single" w:color="auto" w:sz="4" w:space="0"/>
              <w:bottom w:val="single" w:color="auto" w:sz="4" w:space="0"/>
              <w:right w:val="single" w:color="auto" w:sz="4" w:space="0"/>
            </w:tcBorders>
            <w:vAlign w:val="center"/>
          </w:tcPr>
          <w:p w14:paraId="6F47F0DD">
            <w:pPr>
              <w:pStyle w:val="453"/>
              <w:spacing w:line="288" w:lineRule="auto"/>
              <w:jc w:val="center"/>
              <w:rPr>
                <w:rFonts w:hint="eastAsia" w:ascii="宋体" w:hAnsi="宋体" w:cs="宋体"/>
                <w:sz w:val="24"/>
                <w:szCs w:val="24"/>
              </w:rPr>
            </w:pPr>
            <w:r>
              <w:rPr>
                <w:rFonts w:hint="eastAsia" w:ascii="宋体" w:hAnsi="宋体" w:cs="宋体"/>
                <w:sz w:val="24"/>
                <w:szCs w:val="24"/>
              </w:rPr>
              <w:t>主观分</w:t>
            </w:r>
          </w:p>
        </w:tc>
      </w:tr>
      <w:tr w14:paraId="7B91F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986" w:type="dxa"/>
            <w:vMerge w:val="continue"/>
            <w:tcBorders>
              <w:left w:val="single" w:color="auto" w:sz="4" w:space="0"/>
              <w:right w:val="single" w:color="auto" w:sz="4" w:space="0"/>
            </w:tcBorders>
            <w:vAlign w:val="center"/>
          </w:tcPr>
          <w:p w14:paraId="2967C87C">
            <w:pPr>
              <w:widowControl/>
              <w:spacing w:line="288" w:lineRule="auto"/>
              <w:jc w:val="center"/>
              <w:rPr>
                <w:rFonts w:hint="eastAsia" w:ascii="宋体" w:hAnsi="宋体" w:cs="宋体"/>
                <w:kern w:val="0"/>
                <w:sz w:val="24"/>
              </w:rPr>
            </w:pPr>
          </w:p>
        </w:tc>
        <w:tc>
          <w:tcPr>
            <w:tcW w:w="574" w:type="dxa"/>
            <w:vMerge w:val="restart"/>
            <w:tcBorders>
              <w:top w:val="single" w:color="auto" w:sz="4" w:space="0"/>
              <w:left w:val="single" w:color="auto" w:sz="4" w:space="0"/>
              <w:right w:val="single" w:color="auto" w:sz="4" w:space="0"/>
            </w:tcBorders>
            <w:vAlign w:val="center"/>
          </w:tcPr>
          <w:p w14:paraId="17EBFB97">
            <w:pPr>
              <w:spacing w:line="288" w:lineRule="auto"/>
              <w:jc w:val="center"/>
              <w:rPr>
                <w:rFonts w:hint="eastAsia" w:ascii="宋体" w:hAnsi="宋体" w:cs="宋体"/>
                <w:sz w:val="24"/>
              </w:rPr>
            </w:pPr>
            <w:r>
              <w:rPr>
                <w:rFonts w:hint="eastAsia" w:ascii="宋体" w:hAnsi="宋体" w:cs="宋体"/>
                <w:sz w:val="24"/>
              </w:rPr>
              <w:t>8</w:t>
            </w:r>
          </w:p>
        </w:tc>
        <w:tc>
          <w:tcPr>
            <w:tcW w:w="914" w:type="dxa"/>
            <w:gridSpan w:val="2"/>
            <w:vMerge w:val="restart"/>
            <w:tcBorders>
              <w:top w:val="single" w:color="auto" w:sz="4" w:space="0"/>
              <w:left w:val="single" w:color="auto" w:sz="4" w:space="0"/>
              <w:right w:val="single" w:color="auto" w:sz="4" w:space="0"/>
            </w:tcBorders>
            <w:vAlign w:val="center"/>
          </w:tcPr>
          <w:p w14:paraId="763FC093">
            <w:pPr>
              <w:pStyle w:val="453"/>
              <w:spacing w:line="288" w:lineRule="auto"/>
              <w:jc w:val="center"/>
              <w:rPr>
                <w:rFonts w:hint="eastAsia" w:ascii="宋体" w:hAnsi="宋体" w:cs="宋体"/>
                <w:kern w:val="0"/>
                <w:sz w:val="24"/>
                <w:szCs w:val="24"/>
              </w:rPr>
            </w:pPr>
            <w:r>
              <w:rPr>
                <w:rFonts w:hint="eastAsia" w:ascii="宋体" w:hAnsi="宋体" w:cs="宋体"/>
                <w:kern w:val="0"/>
                <w:sz w:val="24"/>
                <w:szCs w:val="24"/>
              </w:rPr>
              <w:t>应急</w:t>
            </w:r>
          </w:p>
          <w:p w14:paraId="215AE4D0">
            <w:pPr>
              <w:pStyle w:val="453"/>
              <w:spacing w:line="288" w:lineRule="auto"/>
              <w:jc w:val="center"/>
              <w:rPr>
                <w:rFonts w:hint="eastAsia" w:ascii="宋体" w:hAnsi="宋体" w:cs="宋体"/>
                <w:kern w:val="0"/>
                <w:sz w:val="24"/>
                <w:szCs w:val="24"/>
              </w:rPr>
            </w:pPr>
            <w:r>
              <w:rPr>
                <w:rFonts w:hint="eastAsia" w:ascii="宋体" w:hAnsi="宋体" w:cs="宋体"/>
                <w:kern w:val="0"/>
                <w:sz w:val="24"/>
                <w:szCs w:val="24"/>
              </w:rPr>
              <w:t>预案</w:t>
            </w:r>
          </w:p>
        </w:tc>
        <w:tc>
          <w:tcPr>
            <w:tcW w:w="4895" w:type="dxa"/>
            <w:tcBorders>
              <w:top w:val="single" w:color="auto" w:sz="4" w:space="0"/>
              <w:left w:val="single" w:color="auto" w:sz="4" w:space="0"/>
              <w:bottom w:val="single" w:color="auto" w:sz="4" w:space="0"/>
              <w:right w:val="single" w:color="auto" w:sz="4" w:space="0"/>
            </w:tcBorders>
            <w:shd w:val="clear" w:color="auto" w:fill="auto"/>
            <w:vAlign w:val="center"/>
          </w:tcPr>
          <w:p w14:paraId="76AE343B">
            <w:pPr>
              <w:pStyle w:val="453"/>
              <w:spacing w:line="288" w:lineRule="auto"/>
              <w:rPr>
                <w:rFonts w:hint="eastAsia" w:ascii="宋体" w:hAnsi="宋体" w:cs="宋体"/>
                <w:kern w:val="0"/>
                <w:sz w:val="24"/>
                <w:szCs w:val="24"/>
              </w:rPr>
            </w:pPr>
            <w:r>
              <w:rPr>
                <w:rFonts w:hint="eastAsia" w:ascii="宋体" w:hAnsi="宋体" w:cs="宋体"/>
                <w:kern w:val="0"/>
                <w:sz w:val="24"/>
                <w:szCs w:val="24"/>
              </w:rPr>
              <w:t>水质恶化突发性事件应急预案。</w:t>
            </w:r>
          </w:p>
          <w:p w14:paraId="4766FECD">
            <w:pPr>
              <w:pStyle w:val="453"/>
              <w:spacing w:line="288" w:lineRule="auto"/>
              <w:rPr>
                <w:rFonts w:hint="eastAsia" w:ascii="宋体" w:hAnsi="宋体" w:cs="宋体"/>
                <w:kern w:val="0"/>
                <w:sz w:val="24"/>
                <w:szCs w:val="24"/>
              </w:rPr>
            </w:pPr>
            <w:r>
              <w:rPr>
                <w:rFonts w:hint="eastAsia" w:ascii="宋体" w:hAnsi="宋体" w:cs="宋体"/>
                <w:kern w:val="0"/>
                <w:sz w:val="24"/>
                <w:szCs w:val="24"/>
              </w:rPr>
              <w:t>方案详细完善的得5分，方案较详细完善的得3分，方案不够详细完善的得1分，不提供的不得分。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00972A1D">
            <w:pPr>
              <w:pStyle w:val="453"/>
              <w:spacing w:line="288" w:lineRule="auto"/>
              <w:jc w:val="center"/>
              <w:rPr>
                <w:rFonts w:hint="eastAsia" w:ascii="宋体" w:hAnsi="宋体" w:cs="宋体"/>
                <w:sz w:val="24"/>
                <w:szCs w:val="24"/>
              </w:rPr>
            </w:pPr>
            <w:r>
              <w:rPr>
                <w:rFonts w:hint="eastAsia" w:ascii="宋体" w:hAnsi="宋体" w:cs="宋体"/>
                <w:sz w:val="24"/>
                <w:szCs w:val="24"/>
              </w:rPr>
              <w:t>5</w:t>
            </w:r>
          </w:p>
        </w:tc>
        <w:tc>
          <w:tcPr>
            <w:tcW w:w="940" w:type="dxa"/>
            <w:tcBorders>
              <w:top w:val="single" w:color="auto" w:sz="4" w:space="0"/>
              <w:left w:val="single" w:color="auto" w:sz="4" w:space="0"/>
              <w:bottom w:val="single" w:color="auto" w:sz="4" w:space="0"/>
              <w:right w:val="single" w:color="auto" w:sz="4" w:space="0"/>
            </w:tcBorders>
            <w:vAlign w:val="center"/>
          </w:tcPr>
          <w:p w14:paraId="49FEEE24">
            <w:pPr>
              <w:pStyle w:val="453"/>
              <w:spacing w:line="288" w:lineRule="auto"/>
              <w:jc w:val="center"/>
              <w:rPr>
                <w:rFonts w:hint="eastAsia" w:ascii="宋体" w:hAnsi="宋体" w:cs="宋体"/>
                <w:sz w:val="24"/>
                <w:szCs w:val="24"/>
              </w:rPr>
            </w:pPr>
            <w:r>
              <w:rPr>
                <w:rFonts w:hint="eastAsia" w:ascii="宋体" w:hAnsi="宋体" w:cs="宋体"/>
                <w:sz w:val="24"/>
                <w:szCs w:val="24"/>
              </w:rPr>
              <w:t>主观分</w:t>
            </w:r>
          </w:p>
        </w:tc>
      </w:tr>
      <w:tr w14:paraId="454D7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986" w:type="dxa"/>
            <w:vMerge w:val="continue"/>
            <w:tcBorders>
              <w:left w:val="single" w:color="auto" w:sz="4" w:space="0"/>
              <w:right w:val="single" w:color="auto" w:sz="4" w:space="0"/>
            </w:tcBorders>
            <w:vAlign w:val="center"/>
          </w:tcPr>
          <w:p w14:paraId="74C1044B">
            <w:pPr>
              <w:widowControl/>
              <w:spacing w:line="288" w:lineRule="auto"/>
              <w:jc w:val="center"/>
              <w:rPr>
                <w:rFonts w:hint="eastAsia" w:ascii="宋体" w:hAnsi="宋体" w:cs="宋体"/>
                <w:kern w:val="0"/>
                <w:sz w:val="24"/>
              </w:rPr>
            </w:pPr>
          </w:p>
        </w:tc>
        <w:tc>
          <w:tcPr>
            <w:tcW w:w="574" w:type="dxa"/>
            <w:vMerge w:val="continue"/>
            <w:tcBorders>
              <w:left w:val="single" w:color="auto" w:sz="4" w:space="0"/>
              <w:bottom w:val="single" w:color="auto" w:sz="4" w:space="0"/>
              <w:right w:val="single" w:color="auto" w:sz="4" w:space="0"/>
            </w:tcBorders>
            <w:vAlign w:val="center"/>
          </w:tcPr>
          <w:p w14:paraId="3904F4A7">
            <w:pPr>
              <w:spacing w:line="288" w:lineRule="auto"/>
              <w:jc w:val="center"/>
              <w:rPr>
                <w:rFonts w:hint="eastAsia" w:ascii="宋体" w:hAnsi="宋体" w:cs="宋体"/>
                <w:sz w:val="24"/>
              </w:rPr>
            </w:pPr>
          </w:p>
        </w:tc>
        <w:tc>
          <w:tcPr>
            <w:tcW w:w="914" w:type="dxa"/>
            <w:gridSpan w:val="2"/>
            <w:vMerge w:val="continue"/>
            <w:tcBorders>
              <w:left w:val="single" w:color="auto" w:sz="4" w:space="0"/>
              <w:bottom w:val="single" w:color="auto" w:sz="4" w:space="0"/>
              <w:right w:val="single" w:color="auto" w:sz="4" w:space="0"/>
            </w:tcBorders>
            <w:vAlign w:val="center"/>
          </w:tcPr>
          <w:p w14:paraId="10BAEA3A">
            <w:pPr>
              <w:pStyle w:val="453"/>
              <w:spacing w:line="288" w:lineRule="auto"/>
              <w:rPr>
                <w:rFonts w:hint="eastAsia" w:ascii="宋体" w:hAnsi="宋体" w:cs="宋体"/>
                <w:kern w:val="0"/>
                <w:sz w:val="24"/>
                <w:szCs w:val="24"/>
              </w:rPr>
            </w:pPr>
          </w:p>
        </w:tc>
        <w:tc>
          <w:tcPr>
            <w:tcW w:w="4895" w:type="dxa"/>
            <w:tcBorders>
              <w:top w:val="single" w:color="auto" w:sz="4" w:space="0"/>
              <w:left w:val="single" w:color="auto" w:sz="4" w:space="0"/>
              <w:bottom w:val="single" w:color="auto" w:sz="4" w:space="0"/>
              <w:right w:val="single" w:color="auto" w:sz="4" w:space="0"/>
            </w:tcBorders>
            <w:shd w:val="clear" w:color="auto" w:fill="auto"/>
            <w:vAlign w:val="center"/>
          </w:tcPr>
          <w:p w14:paraId="476B18D2">
            <w:pPr>
              <w:pStyle w:val="453"/>
              <w:spacing w:line="288" w:lineRule="auto"/>
              <w:rPr>
                <w:rFonts w:hint="eastAsia" w:ascii="宋体" w:hAnsi="宋体" w:cs="宋体"/>
                <w:kern w:val="0"/>
                <w:sz w:val="24"/>
                <w:szCs w:val="24"/>
              </w:rPr>
            </w:pPr>
            <w:r>
              <w:rPr>
                <w:rFonts w:hint="eastAsia" w:ascii="宋体" w:hAnsi="宋体" w:cs="宋体"/>
                <w:kern w:val="0"/>
                <w:sz w:val="24"/>
                <w:szCs w:val="24"/>
              </w:rPr>
              <w:t>高温季节、防汛、渡汛的安全保证措施应急预案。</w:t>
            </w:r>
          </w:p>
          <w:p w14:paraId="73091F08">
            <w:pPr>
              <w:pStyle w:val="453"/>
              <w:spacing w:line="288" w:lineRule="auto"/>
              <w:rPr>
                <w:rFonts w:hint="eastAsia" w:ascii="宋体" w:hAnsi="宋体" w:cs="宋体"/>
                <w:kern w:val="0"/>
                <w:sz w:val="24"/>
                <w:szCs w:val="24"/>
              </w:rPr>
            </w:pPr>
            <w:r>
              <w:rPr>
                <w:rFonts w:hint="eastAsia" w:ascii="宋体" w:hAnsi="宋体" w:cs="宋体"/>
                <w:kern w:val="0"/>
                <w:sz w:val="24"/>
                <w:szCs w:val="24"/>
              </w:rPr>
              <w:t>方案详细完善的得5分，方案较详细完善的得3分，方案不够详细完善的得1分，不提供的不得分。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7CB932D3">
            <w:pPr>
              <w:pStyle w:val="453"/>
              <w:spacing w:line="288" w:lineRule="auto"/>
              <w:jc w:val="center"/>
              <w:rPr>
                <w:rFonts w:hint="eastAsia" w:ascii="宋体" w:hAnsi="宋体" w:cs="宋体"/>
                <w:sz w:val="24"/>
                <w:szCs w:val="24"/>
              </w:rPr>
            </w:pPr>
            <w:r>
              <w:rPr>
                <w:rFonts w:hint="eastAsia" w:ascii="宋体" w:hAnsi="宋体" w:cs="宋体"/>
                <w:sz w:val="24"/>
                <w:szCs w:val="24"/>
              </w:rPr>
              <w:t>5</w:t>
            </w:r>
          </w:p>
        </w:tc>
        <w:tc>
          <w:tcPr>
            <w:tcW w:w="940" w:type="dxa"/>
            <w:tcBorders>
              <w:top w:val="single" w:color="auto" w:sz="4" w:space="0"/>
              <w:left w:val="single" w:color="auto" w:sz="4" w:space="0"/>
              <w:bottom w:val="single" w:color="auto" w:sz="4" w:space="0"/>
              <w:right w:val="single" w:color="auto" w:sz="4" w:space="0"/>
            </w:tcBorders>
            <w:vAlign w:val="center"/>
          </w:tcPr>
          <w:p w14:paraId="3F8A97FA">
            <w:pPr>
              <w:pStyle w:val="453"/>
              <w:spacing w:line="288" w:lineRule="auto"/>
              <w:jc w:val="center"/>
              <w:rPr>
                <w:rFonts w:hint="eastAsia" w:ascii="宋体" w:hAnsi="宋体" w:cs="宋体"/>
                <w:sz w:val="24"/>
                <w:szCs w:val="24"/>
              </w:rPr>
            </w:pPr>
            <w:r>
              <w:rPr>
                <w:rFonts w:hint="eastAsia" w:ascii="宋体" w:hAnsi="宋体" w:cs="宋体"/>
                <w:sz w:val="24"/>
                <w:szCs w:val="24"/>
              </w:rPr>
              <w:t>主观分</w:t>
            </w:r>
          </w:p>
        </w:tc>
      </w:tr>
      <w:tr w14:paraId="653E3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86" w:type="dxa"/>
            <w:vMerge w:val="continue"/>
            <w:tcBorders>
              <w:left w:val="single" w:color="auto" w:sz="4" w:space="0"/>
              <w:right w:val="single" w:color="auto" w:sz="4" w:space="0"/>
            </w:tcBorders>
            <w:vAlign w:val="center"/>
          </w:tcPr>
          <w:p w14:paraId="425A6607">
            <w:pPr>
              <w:widowControl/>
              <w:spacing w:line="288" w:lineRule="auto"/>
              <w:jc w:val="center"/>
              <w:rPr>
                <w:rFonts w:hint="eastAsia" w:ascii="宋体" w:hAnsi="宋体" w:cs="宋体"/>
                <w:kern w:val="0"/>
                <w:sz w:val="24"/>
              </w:rPr>
            </w:pPr>
          </w:p>
        </w:tc>
        <w:tc>
          <w:tcPr>
            <w:tcW w:w="574" w:type="dxa"/>
            <w:vMerge w:val="continue"/>
            <w:tcBorders>
              <w:left w:val="single" w:color="auto" w:sz="4" w:space="0"/>
              <w:bottom w:val="single" w:color="auto" w:sz="4" w:space="0"/>
              <w:right w:val="single" w:color="auto" w:sz="4" w:space="0"/>
            </w:tcBorders>
            <w:vAlign w:val="center"/>
          </w:tcPr>
          <w:p w14:paraId="19F9547E">
            <w:pPr>
              <w:spacing w:line="288" w:lineRule="auto"/>
              <w:jc w:val="center"/>
              <w:rPr>
                <w:rFonts w:hint="eastAsia" w:ascii="宋体" w:hAnsi="宋体" w:cs="宋体"/>
                <w:sz w:val="24"/>
              </w:rPr>
            </w:pPr>
          </w:p>
        </w:tc>
        <w:tc>
          <w:tcPr>
            <w:tcW w:w="914" w:type="dxa"/>
            <w:gridSpan w:val="2"/>
            <w:vMerge w:val="continue"/>
            <w:tcBorders>
              <w:left w:val="single" w:color="auto" w:sz="4" w:space="0"/>
              <w:bottom w:val="single" w:color="auto" w:sz="4" w:space="0"/>
              <w:right w:val="single" w:color="auto" w:sz="4" w:space="0"/>
            </w:tcBorders>
            <w:vAlign w:val="center"/>
          </w:tcPr>
          <w:p w14:paraId="2F44D1E4">
            <w:pPr>
              <w:pStyle w:val="453"/>
              <w:spacing w:line="288" w:lineRule="auto"/>
              <w:rPr>
                <w:rFonts w:hint="eastAsia" w:ascii="宋体" w:hAnsi="宋体" w:cs="宋体"/>
                <w:kern w:val="0"/>
                <w:sz w:val="24"/>
                <w:szCs w:val="24"/>
              </w:rPr>
            </w:pPr>
          </w:p>
        </w:tc>
        <w:tc>
          <w:tcPr>
            <w:tcW w:w="4895" w:type="dxa"/>
            <w:tcBorders>
              <w:top w:val="single" w:color="auto" w:sz="4" w:space="0"/>
              <w:left w:val="single" w:color="auto" w:sz="4" w:space="0"/>
              <w:bottom w:val="single" w:color="auto" w:sz="4" w:space="0"/>
              <w:right w:val="single" w:color="auto" w:sz="4" w:space="0"/>
            </w:tcBorders>
            <w:shd w:val="clear" w:color="auto" w:fill="auto"/>
            <w:vAlign w:val="center"/>
          </w:tcPr>
          <w:p w14:paraId="65D38664">
            <w:pPr>
              <w:pStyle w:val="453"/>
              <w:spacing w:line="288" w:lineRule="auto"/>
              <w:rPr>
                <w:rFonts w:hint="eastAsia" w:ascii="宋体" w:hAnsi="宋体" w:cs="宋体"/>
                <w:kern w:val="0"/>
                <w:sz w:val="24"/>
                <w:szCs w:val="24"/>
              </w:rPr>
            </w:pPr>
            <w:r>
              <w:rPr>
                <w:rFonts w:hint="eastAsia" w:ascii="宋体" w:hAnsi="宋体" w:cs="宋体"/>
                <w:kern w:val="0"/>
                <w:sz w:val="24"/>
                <w:szCs w:val="24"/>
              </w:rPr>
              <w:t>重大活动创建和检查期间的应急响应管理预案。</w:t>
            </w:r>
          </w:p>
          <w:p w14:paraId="78DDE023">
            <w:pPr>
              <w:pStyle w:val="453"/>
              <w:spacing w:line="288" w:lineRule="auto"/>
              <w:rPr>
                <w:rFonts w:hint="eastAsia" w:ascii="宋体" w:hAnsi="宋体" w:cs="宋体"/>
                <w:kern w:val="0"/>
                <w:sz w:val="24"/>
                <w:szCs w:val="24"/>
              </w:rPr>
            </w:pPr>
            <w:r>
              <w:rPr>
                <w:rFonts w:hint="eastAsia" w:ascii="宋体" w:hAnsi="宋体" w:cs="宋体"/>
                <w:kern w:val="0"/>
                <w:sz w:val="24"/>
                <w:szCs w:val="24"/>
              </w:rPr>
              <w:t>方案详细完善的得5分，方案较详细完善的得3分，方案不够详细完善的得1分，不提供的不得分。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415C49E1">
            <w:pPr>
              <w:pStyle w:val="453"/>
              <w:spacing w:line="288" w:lineRule="auto"/>
              <w:jc w:val="center"/>
              <w:rPr>
                <w:rFonts w:hint="eastAsia" w:ascii="宋体" w:hAnsi="宋体" w:cs="宋体"/>
                <w:sz w:val="24"/>
                <w:szCs w:val="24"/>
              </w:rPr>
            </w:pPr>
            <w:r>
              <w:rPr>
                <w:rFonts w:hint="eastAsia" w:ascii="宋体" w:hAnsi="宋体" w:cs="宋体"/>
                <w:sz w:val="24"/>
                <w:szCs w:val="24"/>
              </w:rPr>
              <w:t>5</w:t>
            </w:r>
          </w:p>
        </w:tc>
        <w:tc>
          <w:tcPr>
            <w:tcW w:w="940" w:type="dxa"/>
            <w:tcBorders>
              <w:top w:val="single" w:color="auto" w:sz="4" w:space="0"/>
              <w:left w:val="single" w:color="auto" w:sz="4" w:space="0"/>
              <w:bottom w:val="single" w:color="auto" w:sz="4" w:space="0"/>
              <w:right w:val="single" w:color="auto" w:sz="4" w:space="0"/>
            </w:tcBorders>
            <w:vAlign w:val="center"/>
          </w:tcPr>
          <w:p w14:paraId="53544D4A">
            <w:pPr>
              <w:pStyle w:val="453"/>
              <w:spacing w:line="288" w:lineRule="auto"/>
              <w:jc w:val="center"/>
              <w:rPr>
                <w:rFonts w:hint="eastAsia" w:ascii="宋体" w:hAnsi="宋体" w:cs="宋体"/>
                <w:sz w:val="24"/>
                <w:szCs w:val="24"/>
              </w:rPr>
            </w:pPr>
            <w:r>
              <w:rPr>
                <w:rFonts w:hint="eastAsia" w:ascii="宋体" w:hAnsi="宋体" w:cs="宋体"/>
                <w:sz w:val="24"/>
                <w:szCs w:val="24"/>
              </w:rPr>
              <w:t>主观分</w:t>
            </w:r>
          </w:p>
        </w:tc>
      </w:tr>
      <w:tr w14:paraId="6EE2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exact"/>
          <w:jc w:val="center"/>
        </w:trPr>
        <w:tc>
          <w:tcPr>
            <w:tcW w:w="986" w:type="dxa"/>
            <w:vMerge w:val="continue"/>
            <w:tcBorders>
              <w:top w:val="single" w:color="auto" w:sz="4" w:space="0"/>
              <w:left w:val="single" w:color="auto" w:sz="4" w:space="0"/>
              <w:bottom w:val="single" w:color="auto" w:sz="4" w:space="0"/>
              <w:right w:val="single" w:color="auto" w:sz="4" w:space="0"/>
            </w:tcBorders>
            <w:vAlign w:val="center"/>
          </w:tcPr>
          <w:p w14:paraId="6AABF703">
            <w:pPr>
              <w:widowControl/>
              <w:adjustRightInd/>
              <w:spacing w:line="288" w:lineRule="auto"/>
              <w:jc w:val="left"/>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696B2C20">
            <w:pPr>
              <w:widowControl/>
              <w:spacing w:line="288" w:lineRule="auto"/>
              <w:jc w:val="center"/>
              <w:rPr>
                <w:rFonts w:hint="eastAsia" w:ascii="宋体" w:hAnsi="宋体" w:cs="宋体"/>
                <w:kern w:val="0"/>
                <w:sz w:val="24"/>
              </w:rPr>
            </w:pPr>
            <w:r>
              <w:rPr>
                <w:rFonts w:hint="eastAsia" w:ascii="宋体" w:hAnsi="宋体" w:cs="宋体"/>
                <w:kern w:val="0"/>
                <w:sz w:val="24"/>
              </w:rPr>
              <w:t>9</w:t>
            </w:r>
          </w:p>
        </w:tc>
        <w:tc>
          <w:tcPr>
            <w:tcW w:w="5809" w:type="dxa"/>
            <w:gridSpan w:val="3"/>
            <w:tcBorders>
              <w:top w:val="single" w:color="auto" w:sz="4" w:space="0"/>
              <w:left w:val="single" w:color="auto" w:sz="4" w:space="0"/>
              <w:bottom w:val="single" w:color="auto" w:sz="4" w:space="0"/>
              <w:right w:val="single" w:color="auto" w:sz="4" w:space="0"/>
            </w:tcBorders>
            <w:vAlign w:val="center"/>
          </w:tcPr>
          <w:p w14:paraId="4B389417">
            <w:pPr>
              <w:pStyle w:val="453"/>
              <w:spacing w:line="288" w:lineRule="auto"/>
              <w:rPr>
                <w:rFonts w:hint="eastAsia" w:ascii="宋体" w:hAnsi="宋体" w:cs="宋体"/>
                <w:kern w:val="0"/>
                <w:sz w:val="24"/>
                <w:szCs w:val="24"/>
              </w:rPr>
            </w:pPr>
            <w:r>
              <w:rPr>
                <w:rFonts w:hint="eastAsia" w:ascii="宋体" w:hAnsi="宋体" w:cs="宋体"/>
                <w:kern w:val="0"/>
                <w:sz w:val="24"/>
                <w:szCs w:val="24"/>
              </w:rPr>
              <w:t>拟投入本项目设备的技术实力、先进性。</w:t>
            </w:r>
          </w:p>
          <w:p w14:paraId="038C96C0">
            <w:pPr>
              <w:pStyle w:val="453"/>
              <w:spacing w:line="288" w:lineRule="auto"/>
              <w:rPr>
                <w:rFonts w:hint="eastAsia" w:ascii="宋体" w:hAnsi="宋体" w:cs="宋体"/>
                <w:kern w:val="0"/>
                <w:sz w:val="24"/>
                <w:szCs w:val="24"/>
              </w:rPr>
            </w:pPr>
            <w:r>
              <w:rPr>
                <w:rFonts w:hint="eastAsia" w:ascii="宋体" w:hAnsi="宋体" w:cs="宋体"/>
                <w:kern w:val="0"/>
                <w:sz w:val="24"/>
                <w:szCs w:val="24"/>
              </w:rPr>
              <w:t>设备配备完善的得5分，基本满足项目要求的得3分，不能完全满足的得1分，不提供的不得分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206225EE">
            <w:pPr>
              <w:spacing w:line="288" w:lineRule="auto"/>
              <w:jc w:val="center"/>
              <w:rPr>
                <w:rFonts w:hint="eastAsia" w:ascii="宋体" w:hAnsi="宋体" w:cs="宋体"/>
                <w:sz w:val="24"/>
              </w:rPr>
            </w:pPr>
            <w:r>
              <w:rPr>
                <w:rFonts w:hint="eastAsia" w:ascii="宋体" w:hAnsi="宋体" w:cs="宋体"/>
                <w:sz w:val="24"/>
              </w:rPr>
              <w:t>5</w:t>
            </w:r>
          </w:p>
        </w:tc>
        <w:tc>
          <w:tcPr>
            <w:tcW w:w="940" w:type="dxa"/>
            <w:tcBorders>
              <w:top w:val="single" w:color="auto" w:sz="4" w:space="0"/>
              <w:left w:val="single" w:color="auto" w:sz="4" w:space="0"/>
              <w:bottom w:val="single" w:color="auto" w:sz="4" w:space="0"/>
              <w:right w:val="single" w:color="auto" w:sz="4" w:space="0"/>
            </w:tcBorders>
            <w:vAlign w:val="center"/>
          </w:tcPr>
          <w:p w14:paraId="3183F4B8">
            <w:pPr>
              <w:spacing w:line="288" w:lineRule="auto"/>
              <w:jc w:val="center"/>
              <w:rPr>
                <w:rFonts w:hint="eastAsia" w:ascii="宋体" w:hAnsi="宋体" w:cs="宋体"/>
                <w:sz w:val="24"/>
              </w:rPr>
            </w:pPr>
            <w:r>
              <w:rPr>
                <w:rFonts w:hint="eastAsia" w:ascii="宋体" w:hAnsi="宋体" w:cs="宋体"/>
                <w:sz w:val="24"/>
              </w:rPr>
              <w:t>主观分</w:t>
            </w:r>
          </w:p>
        </w:tc>
      </w:tr>
      <w:tr w14:paraId="015D1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986" w:type="dxa"/>
            <w:vMerge w:val="continue"/>
            <w:tcBorders>
              <w:top w:val="single" w:color="auto" w:sz="4" w:space="0"/>
              <w:left w:val="single" w:color="auto" w:sz="4" w:space="0"/>
              <w:bottom w:val="single" w:color="auto" w:sz="4" w:space="0"/>
              <w:right w:val="single" w:color="auto" w:sz="4" w:space="0"/>
            </w:tcBorders>
            <w:vAlign w:val="center"/>
          </w:tcPr>
          <w:p w14:paraId="1FF7D5A9">
            <w:pPr>
              <w:widowControl/>
              <w:adjustRightInd/>
              <w:spacing w:line="288" w:lineRule="auto"/>
              <w:jc w:val="left"/>
              <w:rPr>
                <w:rFonts w:hint="eastAsia" w:ascii="宋体" w:hAnsi="宋体" w:cs="宋体"/>
                <w:kern w:val="0"/>
                <w:sz w:val="24"/>
              </w:rPr>
            </w:pPr>
          </w:p>
        </w:tc>
        <w:tc>
          <w:tcPr>
            <w:tcW w:w="574" w:type="dxa"/>
            <w:vMerge w:val="restart"/>
            <w:tcBorders>
              <w:top w:val="single" w:color="auto" w:sz="4" w:space="0"/>
              <w:left w:val="single" w:color="auto" w:sz="4" w:space="0"/>
              <w:right w:val="single" w:color="auto" w:sz="4" w:space="0"/>
            </w:tcBorders>
            <w:vAlign w:val="center"/>
          </w:tcPr>
          <w:p w14:paraId="044522B9">
            <w:pPr>
              <w:spacing w:line="288" w:lineRule="auto"/>
              <w:jc w:val="center"/>
              <w:rPr>
                <w:rFonts w:hint="eastAsia" w:ascii="宋体" w:hAnsi="宋体" w:cs="宋体"/>
                <w:sz w:val="24"/>
              </w:rPr>
            </w:pPr>
            <w:r>
              <w:rPr>
                <w:rFonts w:hint="eastAsia" w:ascii="宋体" w:hAnsi="宋体" w:cs="宋体"/>
                <w:sz w:val="24"/>
              </w:rPr>
              <w:t>10</w:t>
            </w:r>
          </w:p>
        </w:tc>
        <w:tc>
          <w:tcPr>
            <w:tcW w:w="914" w:type="dxa"/>
            <w:gridSpan w:val="2"/>
            <w:vMerge w:val="restart"/>
            <w:tcBorders>
              <w:top w:val="single" w:color="auto" w:sz="4" w:space="0"/>
              <w:left w:val="single" w:color="auto" w:sz="4" w:space="0"/>
              <w:right w:val="single" w:color="auto" w:sz="4" w:space="0"/>
            </w:tcBorders>
            <w:vAlign w:val="center"/>
          </w:tcPr>
          <w:p w14:paraId="25847A08">
            <w:pPr>
              <w:pStyle w:val="453"/>
              <w:spacing w:line="288" w:lineRule="auto"/>
              <w:jc w:val="center"/>
              <w:rPr>
                <w:rFonts w:hint="eastAsia" w:ascii="宋体" w:hAnsi="宋体" w:cs="宋体"/>
                <w:kern w:val="0"/>
                <w:sz w:val="24"/>
                <w:szCs w:val="24"/>
              </w:rPr>
            </w:pPr>
            <w:r>
              <w:rPr>
                <w:rFonts w:hint="eastAsia" w:ascii="宋体" w:hAnsi="宋体" w:cs="宋体"/>
                <w:kern w:val="0"/>
                <w:sz w:val="24"/>
                <w:szCs w:val="24"/>
              </w:rPr>
              <w:t>人员</w:t>
            </w:r>
          </w:p>
          <w:p w14:paraId="72AD2443">
            <w:pPr>
              <w:pStyle w:val="453"/>
              <w:spacing w:line="288" w:lineRule="auto"/>
              <w:jc w:val="center"/>
              <w:rPr>
                <w:rFonts w:hint="eastAsia" w:ascii="宋体" w:hAnsi="宋体" w:cs="宋体"/>
                <w:kern w:val="0"/>
                <w:sz w:val="24"/>
                <w:szCs w:val="24"/>
              </w:rPr>
            </w:pPr>
            <w:r>
              <w:rPr>
                <w:rFonts w:hint="eastAsia" w:ascii="宋体" w:hAnsi="宋体" w:cs="宋体"/>
                <w:kern w:val="0"/>
                <w:sz w:val="24"/>
                <w:szCs w:val="24"/>
              </w:rPr>
              <w:t>团队</w:t>
            </w:r>
          </w:p>
        </w:tc>
        <w:tc>
          <w:tcPr>
            <w:tcW w:w="4895" w:type="dxa"/>
            <w:tcBorders>
              <w:top w:val="single" w:color="auto" w:sz="4" w:space="0"/>
              <w:left w:val="single" w:color="auto" w:sz="4" w:space="0"/>
              <w:bottom w:val="single" w:color="auto" w:sz="4" w:space="0"/>
              <w:right w:val="single" w:color="auto" w:sz="4" w:space="0"/>
            </w:tcBorders>
            <w:vAlign w:val="center"/>
          </w:tcPr>
          <w:p w14:paraId="60729612">
            <w:pPr>
              <w:widowControl/>
              <w:kinsoku w:val="0"/>
              <w:autoSpaceDE w:val="0"/>
              <w:autoSpaceDN w:val="0"/>
              <w:snapToGrid w:val="0"/>
              <w:spacing w:line="288" w:lineRule="auto"/>
              <w:textAlignment w:val="baseline"/>
              <w:rPr>
                <w:rFonts w:hint="eastAsia" w:ascii="宋体" w:hAnsi="宋体" w:cs="宋体"/>
                <w:kern w:val="0"/>
                <w:sz w:val="24"/>
              </w:rPr>
            </w:pPr>
            <w:r>
              <w:rPr>
                <w:rFonts w:hint="eastAsia" w:ascii="宋体" w:hAnsi="宋体" w:cs="宋体"/>
                <w:kern w:val="0"/>
                <w:sz w:val="24"/>
              </w:rPr>
              <w:t>拟派项目负责人：具有水利水电或环保类相关专业中级技术职称的得2分，高级及以上技术职称的得4分；本项最高计4分。</w:t>
            </w:r>
          </w:p>
          <w:p w14:paraId="0A7CE643">
            <w:pPr>
              <w:widowControl/>
              <w:kinsoku w:val="0"/>
              <w:autoSpaceDE w:val="0"/>
              <w:autoSpaceDN w:val="0"/>
              <w:snapToGrid w:val="0"/>
              <w:spacing w:line="288" w:lineRule="auto"/>
              <w:textAlignment w:val="baseline"/>
              <w:rPr>
                <w:rFonts w:hint="eastAsia" w:ascii="宋体" w:hAnsi="宋体" w:cs="宋体"/>
                <w:kern w:val="0"/>
                <w:sz w:val="24"/>
              </w:rPr>
            </w:pPr>
            <w:r>
              <w:rPr>
                <w:rFonts w:hint="eastAsia" w:ascii="宋体" w:hAnsi="宋体" w:cs="宋体"/>
                <w:sz w:val="24"/>
                <w:lang w:val="zh-CN"/>
              </w:rPr>
              <w:t>[</w:t>
            </w:r>
            <w:r>
              <w:rPr>
                <w:rFonts w:hint="eastAsia" w:ascii="宋体" w:hAnsi="宋体" w:cs="宋体"/>
                <w:sz w:val="24"/>
              </w:rPr>
              <w:t>同时</w:t>
            </w:r>
            <w:r>
              <w:rPr>
                <w:rFonts w:hint="eastAsia" w:ascii="宋体" w:hAnsi="宋体" w:cs="宋体"/>
                <w:sz w:val="24"/>
                <w:lang w:val="zh-CN"/>
              </w:rPr>
              <w:t>提供人员</w:t>
            </w:r>
            <w:r>
              <w:rPr>
                <w:rFonts w:hint="eastAsia" w:ascii="宋体" w:hAnsi="宋体" w:cs="宋体"/>
                <w:sz w:val="24"/>
              </w:rPr>
              <w:t>相关证书及</w:t>
            </w:r>
            <w:r>
              <w:rPr>
                <w:rFonts w:hint="eastAsia" w:ascii="宋体" w:hAnsi="宋体" w:cs="宋体"/>
                <w:sz w:val="24"/>
                <w:lang w:val="zh-CN"/>
              </w:rPr>
              <w:t>投标</w:t>
            </w:r>
            <w:r>
              <w:rPr>
                <w:rFonts w:hint="eastAsia" w:ascii="宋体" w:hAnsi="宋体" w:cs="宋体"/>
                <w:sz w:val="24"/>
              </w:rPr>
              <w:t>人为人员缴纳的社保证明</w:t>
            </w:r>
            <w:r>
              <w:rPr>
                <w:rFonts w:hint="eastAsia" w:ascii="宋体" w:hAnsi="宋体" w:cs="宋体"/>
                <w:sz w:val="24"/>
                <w:lang w:val="zh-CN"/>
              </w:rPr>
              <w:t>（截止开标当月前连续三个月的社保缴纳证明）</w:t>
            </w:r>
            <w:r>
              <w:rPr>
                <w:rFonts w:hint="eastAsia" w:ascii="宋体" w:hAnsi="宋体" w:cs="宋体"/>
                <w:kern w:val="0"/>
                <w:sz w:val="24"/>
              </w:rPr>
              <w:t>复印件加盖公章</w:t>
            </w:r>
            <w:r>
              <w:rPr>
                <w:rFonts w:hint="eastAsia" w:ascii="宋体" w:hAnsi="宋体" w:cs="宋体"/>
                <w:sz w:val="24"/>
                <w:lang w:val="zh-CN"/>
              </w:rPr>
              <w:t>]</w:t>
            </w:r>
          </w:p>
        </w:tc>
        <w:tc>
          <w:tcPr>
            <w:tcW w:w="720" w:type="dxa"/>
            <w:tcBorders>
              <w:top w:val="single" w:color="auto" w:sz="4" w:space="0"/>
              <w:left w:val="single" w:color="auto" w:sz="4" w:space="0"/>
              <w:bottom w:val="single" w:color="auto" w:sz="4" w:space="0"/>
              <w:right w:val="single" w:color="auto" w:sz="4" w:space="0"/>
            </w:tcBorders>
            <w:vAlign w:val="center"/>
          </w:tcPr>
          <w:p w14:paraId="0FAC01FB">
            <w:pPr>
              <w:spacing w:line="288" w:lineRule="auto"/>
              <w:jc w:val="center"/>
              <w:rPr>
                <w:rFonts w:hint="eastAsia" w:ascii="宋体" w:hAnsi="宋体" w:cs="宋体"/>
                <w:sz w:val="24"/>
              </w:rPr>
            </w:pPr>
            <w:r>
              <w:rPr>
                <w:rFonts w:hint="eastAsia" w:ascii="宋体" w:hAnsi="宋体" w:cs="宋体"/>
                <w:sz w:val="24"/>
              </w:rPr>
              <w:t>4</w:t>
            </w:r>
          </w:p>
        </w:tc>
        <w:tc>
          <w:tcPr>
            <w:tcW w:w="940" w:type="dxa"/>
            <w:tcBorders>
              <w:top w:val="single" w:color="auto" w:sz="4" w:space="0"/>
              <w:left w:val="single" w:color="auto" w:sz="4" w:space="0"/>
              <w:bottom w:val="single" w:color="auto" w:sz="4" w:space="0"/>
              <w:right w:val="single" w:color="auto" w:sz="4" w:space="0"/>
            </w:tcBorders>
            <w:vAlign w:val="center"/>
          </w:tcPr>
          <w:p w14:paraId="17D59140">
            <w:pPr>
              <w:spacing w:line="288" w:lineRule="auto"/>
              <w:jc w:val="center"/>
              <w:rPr>
                <w:rFonts w:hint="eastAsia" w:ascii="宋体" w:hAnsi="宋体" w:cs="宋体"/>
                <w:sz w:val="24"/>
              </w:rPr>
            </w:pPr>
            <w:r>
              <w:rPr>
                <w:rFonts w:hint="eastAsia" w:ascii="宋体" w:hAnsi="宋体" w:cs="宋体"/>
                <w:kern w:val="0"/>
                <w:sz w:val="24"/>
              </w:rPr>
              <w:t>客观分</w:t>
            </w:r>
          </w:p>
        </w:tc>
      </w:tr>
      <w:tr w14:paraId="7CDE9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986" w:type="dxa"/>
            <w:vMerge w:val="continue"/>
            <w:tcBorders>
              <w:top w:val="single" w:color="auto" w:sz="4" w:space="0"/>
              <w:left w:val="single" w:color="auto" w:sz="4" w:space="0"/>
              <w:bottom w:val="single" w:color="auto" w:sz="4" w:space="0"/>
              <w:right w:val="single" w:color="auto" w:sz="4" w:space="0"/>
            </w:tcBorders>
            <w:vAlign w:val="center"/>
          </w:tcPr>
          <w:p w14:paraId="44F6E3D0">
            <w:pPr>
              <w:widowControl/>
              <w:adjustRightInd/>
              <w:spacing w:line="288" w:lineRule="auto"/>
              <w:jc w:val="left"/>
              <w:rPr>
                <w:rFonts w:hint="eastAsia" w:ascii="宋体" w:hAnsi="宋体" w:cs="宋体"/>
                <w:kern w:val="0"/>
                <w:sz w:val="24"/>
              </w:rPr>
            </w:pPr>
          </w:p>
        </w:tc>
        <w:tc>
          <w:tcPr>
            <w:tcW w:w="574" w:type="dxa"/>
            <w:vMerge w:val="continue"/>
            <w:tcBorders>
              <w:left w:val="single" w:color="auto" w:sz="4" w:space="0"/>
              <w:bottom w:val="single" w:color="auto" w:sz="4" w:space="0"/>
              <w:right w:val="single" w:color="auto" w:sz="4" w:space="0"/>
            </w:tcBorders>
            <w:vAlign w:val="center"/>
          </w:tcPr>
          <w:p w14:paraId="476CDEC0">
            <w:pPr>
              <w:spacing w:line="288" w:lineRule="auto"/>
              <w:jc w:val="center"/>
              <w:rPr>
                <w:rFonts w:hint="eastAsia" w:ascii="宋体" w:hAnsi="宋体" w:cs="宋体"/>
                <w:sz w:val="24"/>
              </w:rPr>
            </w:pPr>
          </w:p>
        </w:tc>
        <w:tc>
          <w:tcPr>
            <w:tcW w:w="914" w:type="dxa"/>
            <w:gridSpan w:val="2"/>
            <w:vMerge w:val="continue"/>
            <w:tcBorders>
              <w:left w:val="single" w:color="auto" w:sz="4" w:space="0"/>
              <w:bottom w:val="single" w:color="auto" w:sz="4" w:space="0"/>
              <w:right w:val="single" w:color="auto" w:sz="4" w:space="0"/>
            </w:tcBorders>
            <w:vAlign w:val="center"/>
          </w:tcPr>
          <w:p w14:paraId="290F3057">
            <w:pPr>
              <w:pStyle w:val="453"/>
              <w:spacing w:line="288" w:lineRule="auto"/>
              <w:jc w:val="center"/>
              <w:rPr>
                <w:rFonts w:hint="eastAsia" w:ascii="宋体" w:hAnsi="宋体" w:cs="宋体"/>
                <w:kern w:val="0"/>
                <w:sz w:val="24"/>
                <w:szCs w:val="24"/>
              </w:rPr>
            </w:pPr>
          </w:p>
        </w:tc>
        <w:tc>
          <w:tcPr>
            <w:tcW w:w="4895" w:type="dxa"/>
            <w:tcBorders>
              <w:top w:val="single" w:color="auto" w:sz="4" w:space="0"/>
              <w:left w:val="single" w:color="auto" w:sz="4" w:space="0"/>
              <w:bottom w:val="single" w:color="auto" w:sz="4" w:space="0"/>
              <w:right w:val="single" w:color="auto" w:sz="4" w:space="0"/>
            </w:tcBorders>
            <w:vAlign w:val="center"/>
          </w:tcPr>
          <w:p w14:paraId="0251AF12">
            <w:pPr>
              <w:pStyle w:val="453"/>
              <w:spacing w:line="288" w:lineRule="auto"/>
              <w:rPr>
                <w:rFonts w:hint="eastAsia" w:ascii="宋体" w:hAnsi="宋体" w:cs="宋体"/>
                <w:kern w:val="0"/>
                <w:sz w:val="24"/>
                <w:szCs w:val="24"/>
              </w:rPr>
            </w:pPr>
            <w:r>
              <w:rPr>
                <w:rFonts w:hint="eastAsia" w:ascii="宋体" w:hAnsi="宋体" w:cs="宋体"/>
                <w:kern w:val="0"/>
                <w:sz w:val="24"/>
                <w:szCs w:val="24"/>
              </w:rPr>
              <w:t>拟派</w:t>
            </w:r>
            <w:r>
              <w:rPr>
                <w:rFonts w:hint="eastAsia" w:ascii="宋体" w:hAnsi="宋体" w:cs="宋体"/>
                <w:snapToGrid w:val="0"/>
                <w:color w:val="000000"/>
                <w:kern w:val="0"/>
                <w:sz w:val="24"/>
                <w:szCs w:val="24"/>
              </w:rPr>
              <w:t>技术负责人：具有水利水电或环保类相关专业高级及以上技术职称证书、环境影响评价工程师资格证书、注册环保工程师资格证书，每个得1分，</w:t>
            </w:r>
            <w:r>
              <w:rPr>
                <w:rFonts w:hint="eastAsia" w:ascii="宋体" w:hAnsi="宋体" w:cs="宋体"/>
                <w:kern w:val="0"/>
                <w:sz w:val="24"/>
                <w:szCs w:val="24"/>
              </w:rPr>
              <w:t>本项最高得3分。</w:t>
            </w:r>
          </w:p>
          <w:p w14:paraId="68701056">
            <w:pPr>
              <w:pStyle w:val="453"/>
              <w:spacing w:line="288" w:lineRule="auto"/>
              <w:rPr>
                <w:rFonts w:hint="eastAsia" w:ascii="宋体" w:hAnsi="宋体" w:cs="宋体"/>
                <w:kern w:val="0"/>
                <w:sz w:val="24"/>
                <w:szCs w:val="24"/>
              </w:rPr>
            </w:pPr>
            <w:r>
              <w:rPr>
                <w:rFonts w:hint="eastAsia" w:ascii="宋体" w:hAnsi="宋体" w:cs="宋体"/>
                <w:snapToGrid w:val="0"/>
                <w:color w:val="000000"/>
                <w:kern w:val="0"/>
                <w:sz w:val="24"/>
                <w:szCs w:val="24"/>
              </w:rPr>
              <w:t>注：技术负责人和</w:t>
            </w:r>
            <w:r>
              <w:rPr>
                <w:rFonts w:hint="eastAsia" w:ascii="宋体" w:hAnsi="宋体" w:cs="宋体"/>
                <w:kern w:val="0"/>
                <w:sz w:val="24"/>
                <w:szCs w:val="24"/>
              </w:rPr>
              <w:t>项目负责人不得兼任。</w:t>
            </w:r>
          </w:p>
          <w:p w14:paraId="24961F19">
            <w:pPr>
              <w:pStyle w:val="453"/>
              <w:spacing w:line="288" w:lineRule="auto"/>
              <w:rPr>
                <w:rFonts w:hint="eastAsia" w:ascii="宋体" w:hAnsi="宋体" w:cs="宋体"/>
                <w:kern w:val="0"/>
                <w:sz w:val="24"/>
                <w:szCs w:val="24"/>
              </w:rPr>
            </w:pPr>
            <w:r>
              <w:rPr>
                <w:rFonts w:hint="eastAsia" w:ascii="宋体" w:hAnsi="宋体" w:cs="宋体"/>
                <w:sz w:val="24"/>
                <w:szCs w:val="24"/>
                <w:lang w:val="zh-CN"/>
              </w:rPr>
              <w:t>[</w:t>
            </w:r>
            <w:r>
              <w:rPr>
                <w:rFonts w:hint="eastAsia" w:ascii="宋体" w:hAnsi="宋体" w:cs="宋体"/>
                <w:sz w:val="24"/>
                <w:szCs w:val="24"/>
              </w:rPr>
              <w:t>同时</w:t>
            </w:r>
            <w:r>
              <w:rPr>
                <w:rFonts w:hint="eastAsia" w:ascii="宋体" w:hAnsi="宋体" w:cs="宋体"/>
                <w:sz w:val="24"/>
                <w:szCs w:val="24"/>
                <w:lang w:val="zh-CN"/>
              </w:rPr>
              <w:t>提供人员</w:t>
            </w:r>
            <w:r>
              <w:rPr>
                <w:rFonts w:hint="eastAsia" w:ascii="宋体" w:hAnsi="宋体" w:cs="宋体"/>
                <w:sz w:val="24"/>
                <w:szCs w:val="24"/>
              </w:rPr>
              <w:t>相关证书及</w:t>
            </w:r>
            <w:r>
              <w:rPr>
                <w:rFonts w:hint="eastAsia" w:ascii="宋体" w:hAnsi="宋体" w:cs="宋体"/>
                <w:sz w:val="24"/>
                <w:szCs w:val="24"/>
                <w:lang w:val="zh-CN"/>
              </w:rPr>
              <w:t>投标</w:t>
            </w:r>
            <w:r>
              <w:rPr>
                <w:rFonts w:hint="eastAsia" w:ascii="宋体" w:hAnsi="宋体" w:cs="宋体"/>
                <w:sz w:val="24"/>
                <w:szCs w:val="24"/>
              </w:rPr>
              <w:t>人为人员缴纳的社保证明</w:t>
            </w:r>
            <w:r>
              <w:rPr>
                <w:rFonts w:hint="eastAsia" w:ascii="宋体" w:hAnsi="宋体" w:cs="宋体"/>
                <w:sz w:val="24"/>
                <w:szCs w:val="24"/>
                <w:lang w:val="zh-CN"/>
              </w:rPr>
              <w:t>（截止开标当月前连续三个月的社保缴纳证明）</w:t>
            </w:r>
            <w:r>
              <w:rPr>
                <w:rFonts w:hint="eastAsia" w:ascii="宋体" w:hAnsi="宋体" w:cs="宋体"/>
                <w:kern w:val="0"/>
                <w:sz w:val="24"/>
                <w:szCs w:val="24"/>
              </w:rPr>
              <w:t>复印件加盖公章</w:t>
            </w:r>
            <w:r>
              <w:rPr>
                <w:rFonts w:hint="eastAsia" w:ascii="宋体" w:hAnsi="宋体" w:cs="宋体"/>
                <w:sz w:val="24"/>
                <w:szCs w:val="24"/>
                <w:lang w:val="zh-CN"/>
              </w:rPr>
              <w:t>]</w:t>
            </w:r>
          </w:p>
        </w:tc>
        <w:tc>
          <w:tcPr>
            <w:tcW w:w="720" w:type="dxa"/>
            <w:tcBorders>
              <w:top w:val="single" w:color="auto" w:sz="4" w:space="0"/>
              <w:left w:val="single" w:color="auto" w:sz="4" w:space="0"/>
              <w:bottom w:val="single" w:color="auto" w:sz="4" w:space="0"/>
              <w:right w:val="single" w:color="auto" w:sz="4" w:space="0"/>
            </w:tcBorders>
            <w:vAlign w:val="center"/>
          </w:tcPr>
          <w:p w14:paraId="376507CB">
            <w:pPr>
              <w:spacing w:line="288" w:lineRule="auto"/>
              <w:jc w:val="center"/>
              <w:rPr>
                <w:rFonts w:hint="eastAsia" w:ascii="宋体" w:hAnsi="宋体" w:cs="宋体"/>
                <w:sz w:val="24"/>
              </w:rPr>
            </w:pPr>
            <w:r>
              <w:rPr>
                <w:rFonts w:hint="eastAsia" w:ascii="宋体" w:hAnsi="宋体" w:cs="宋体"/>
                <w:sz w:val="24"/>
              </w:rPr>
              <w:t>3</w:t>
            </w:r>
          </w:p>
        </w:tc>
        <w:tc>
          <w:tcPr>
            <w:tcW w:w="940" w:type="dxa"/>
            <w:tcBorders>
              <w:top w:val="single" w:color="auto" w:sz="4" w:space="0"/>
              <w:left w:val="single" w:color="auto" w:sz="4" w:space="0"/>
              <w:bottom w:val="single" w:color="auto" w:sz="4" w:space="0"/>
              <w:right w:val="single" w:color="auto" w:sz="4" w:space="0"/>
            </w:tcBorders>
            <w:vAlign w:val="center"/>
          </w:tcPr>
          <w:p w14:paraId="10C2B73D">
            <w:pPr>
              <w:spacing w:line="288" w:lineRule="auto"/>
              <w:jc w:val="center"/>
              <w:rPr>
                <w:rFonts w:hint="eastAsia" w:ascii="宋体" w:hAnsi="宋体" w:cs="宋体"/>
                <w:kern w:val="0"/>
                <w:sz w:val="24"/>
              </w:rPr>
            </w:pPr>
            <w:r>
              <w:rPr>
                <w:rFonts w:hint="eastAsia" w:ascii="宋体" w:hAnsi="宋体" w:cs="宋体"/>
                <w:kern w:val="0"/>
                <w:sz w:val="24"/>
              </w:rPr>
              <w:t>客观分</w:t>
            </w:r>
          </w:p>
        </w:tc>
      </w:tr>
      <w:tr w14:paraId="110A5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986" w:type="dxa"/>
            <w:vMerge w:val="continue"/>
            <w:tcBorders>
              <w:top w:val="single" w:color="auto" w:sz="4" w:space="0"/>
              <w:left w:val="single" w:color="auto" w:sz="4" w:space="0"/>
              <w:bottom w:val="single" w:color="auto" w:sz="4" w:space="0"/>
              <w:right w:val="single" w:color="auto" w:sz="4" w:space="0"/>
            </w:tcBorders>
            <w:vAlign w:val="center"/>
          </w:tcPr>
          <w:p w14:paraId="4B9530DC">
            <w:pPr>
              <w:widowControl/>
              <w:adjustRightInd/>
              <w:spacing w:line="288" w:lineRule="auto"/>
              <w:jc w:val="left"/>
              <w:rPr>
                <w:rFonts w:hint="eastAsia" w:ascii="宋体" w:hAnsi="宋体" w:cs="宋体"/>
                <w:kern w:val="0"/>
                <w:sz w:val="24"/>
              </w:rPr>
            </w:pPr>
          </w:p>
        </w:tc>
        <w:tc>
          <w:tcPr>
            <w:tcW w:w="574" w:type="dxa"/>
            <w:vMerge w:val="continue"/>
            <w:tcBorders>
              <w:left w:val="single" w:color="auto" w:sz="4" w:space="0"/>
              <w:bottom w:val="single" w:color="auto" w:sz="4" w:space="0"/>
              <w:right w:val="single" w:color="auto" w:sz="4" w:space="0"/>
            </w:tcBorders>
            <w:vAlign w:val="center"/>
          </w:tcPr>
          <w:p w14:paraId="1DA1B185">
            <w:pPr>
              <w:spacing w:line="288" w:lineRule="auto"/>
              <w:jc w:val="center"/>
              <w:rPr>
                <w:rFonts w:hint="eastAsia" w:ascii="宋体" w:hAnsi="宋体" w:cs="宋体"/>
                <w:sz w:val="24"/>
              </w:rPr>
            </w:pPr>
          </w:p>
        </w:tc>
        <w:tc>
          <w:tcPr>
            <w:tcW w:w="914" w:type="dxa"/>
            <w:gridSpan w:val="2"/>
            <w:vMerge w:val="continue"/>
            <w:tcBorders>
              <w:left w:val="single" w:color="auto" w:sz="4" w:space="0"/>
              <w:bottom w:val="single" w:color="auto" w:sz="4" w:space="0"/>
              <w:right w:val="single" w:color="auto" w:sz="4" w:space="0"/>
            </w:tcBorders>
            <w:vAlign w:val="center"/>
          </w:tcPr>
          <w:p w14:paraId="662A4055">
            <w:pPr>
              <w:pStyle w:val="453"/>
              <w:spacing w:line="288" w:lineRule="auto"/>
              <w:jc w:val="center"/>
              <w:rPr>
                <w:rFonts w:hint="eastAsia" w:ascii="宋体" w:hAnsi="宋体" w:cs="宋体"/>
                <w:kern w:val="0"/>
                <w:sz w:val="24"/>
                <w:szCs w:val="24"/>
              </w:rPr>
            </w:pPr>
          </w:p>
        </w:tc>
        <w:tc>
          <w:tcPr>
            <w:tcW w:w="4895" w:type="dxa"/>
            <w:tcBorders>
              <w:top w:val="single" w:color="auto" w:sz="4" w:space="0"/>
              <w:left w:val="single" w:color="auto" w:sz="4" w:space="0"/>
              <w:bottom w:val="single" w:color="auto" w:sz="4" w:space="0"/>
              <w:right w:val="single" w:color="auto" w:sz="4" w:space="0"/>
            </w:tcBorders>
            <w:vAlign w:val="center"/>
          </w:tcPr>
          <w:p w14:paraId="47A392A9">
            <w:pPr>
              <w:pStyle w:val="502"/>
              <w:spacing w:line="288" w:lineRule="auto"/>
              <w:ind w:firstLine="0" w:firstLineChars="0"/>
              <w:rPr>
                <w:rFonts w:hint="eastAsia" w:ascii="宋体" w:hAnsi="宋体" w:eastAsia="宋体"/>
                <w:highlight w:val="none"/>
              </w:rPr>
            </w:pPr>
            <w:r>
              <w:rPr>
                <w:rFonts w:hint="eastAsia" w:ascii="宋体" w:hAnsi="宋体" w:eastAsia="宋体"/>
                <w:highlight w:val="none"/>
              </w:rPr>
              <w:t>项目服务团队（项目负责人和技术负责人除外）不少于6人，须包括环保、给排水、水文水资源、水利、自动化等</w:t>
            </w:r>
            <w:r>
              <w:rPr>
                <w:rFonts w:ascii="宋体" w:hAnsi="宋体" w:eastAsia="宋体"/>
                <w:highlight w:val="none"/>
              </w:rPr>
              <w:t>5个</w:t>
            </w:r>
            <w:r>
              <w:rPr>
                <w:rFonts w:hint="eastAsia" w:ascii="宋体" w:hAnsi="宋体" w:eastAsia="宋体"/>
                <w:highlight w:val="none"/>
              </w:rPr>
              <w:t>相关</w:t>
            </w:r>
            <w:r>
              <w:rPr>
                <w:rFonts w:ascii="宋体" w:hAnsi="宋体" w:eastAsia="宋体"/>
                <w:highlight w:val="none"/>
              </w:rPr>
              <w:t>专业</w:t>
            </w:r>
            <w:r>
              <w:rPr>
                <w:rFonts w:hint="eastAsia" w:ascii="宋体" w:hAnsi="宋体" w:eastAsia="宋体"/>
                <w:highlight w:val="none"/>
              </w:rPr>
              <w:t>，满足的得1分，在此基础上：</w:t>
            </w:r>
          </w:p>
          <w:p w14:paraId="1A35B1E6">
            <w:pPr>
              <w:pStyle w:val="502"/>
              <w:spacing w:line="288" w:lineRule="auto"/>
              <w:ind w:firstLine="0" w:firstLineChars="0"/>
              <w:rPr>
                <w:rFonts w:hint="eastAsia" w:ascii="宋体" w:hAnsi="宋体" w:eastAsia="宋体" w:cs="宋体"/>
                <w:highlight w:val="none"/>
              </w:rPr>
            </w:pPr>
            <w:r>
              <w:rPr>
                <w:rFonts w:hint="eastAsia" w:ascii="宋体" w:hAnsi="宋体" w:eastAsia="宋体"/>
                <w:highlight w:val="none"/>
              </w:rPr>
              <w:t>（1）团队成员具有</w:t>
            </w:r>
            <w:r>
              <w:rPr>
                <w:rFonts w:ascii="宋体" w:hAnsi="宋体" w:eastAsia="宋体"/>
                <w:highlight w:val="none"/>
              </w:rPr>
              <w:t>高级及以上</w:t>
            </w:r>
            <w:r>
              <w:rPr>
                <w:rFonts w:hint="eastAsia" w:ascii="宋体" w:hAnsi="宋体" w:eastAsia="宋体"/>
                <w:highlight w:val="none"/>
              </w:rPr>
              <w:t>技术</w:t>
            </w:r>
            <w:r>
              <w:rPr>
                <w:rFonts w:ascii="宋体" w:hAnsi="宋体" w:eastAsia="宋体"/>
                <w:highlight w:val="none"/>
              </w:rPr>
              <w:t>职称</w:t>
            </w:r>
            <w:r>
              <w:rPr>
                <w:rFonts w:hint="eastAsia" w:ascii="宋体" w:hAnsi="宋体" w:eastAsia="宋体"/>
                <w:highlight w:val="none"/>
                <w:lang w:val="en-US" w:eastAsia="zh-CN"/>
              </w:rPr>
              <w:t>的</w:t>
            </w:r>
            <w:r>
              <w:rPr>
                <w:rFonts w:ascii="宋体" w:hAnsi="宋体" w:eastAsia="宋体"/>
                <w:highlight w:val="none"/>
              </w:rPr>
              <w:t>每个得1分，具有中级</w:t>
            </w:r>
            <w:r>
              <w:rPr>
                <w:rFonts w:hint="eastAsia" w:ascii="宋体" w:hAnsi="宋体" w:eastAsia="宋体"/>
                <w:highlight w:val="none"/>
              </w:rPr>
              <w:t>技术</w:t>
            </w:r>
            <w:r>
              <w:rPr>
                <w:rFonts w:ascii="宋体" w:hAnsi="宋体" w:eastAsia="宋体"/>
                <w:highlight w:val="none"/>
              </w:rPr>
              <w:t>职称</w:t>
            </w:r>
            <w:r>
              <w:rPr>
                <w:rFonts w:hint="eastAsia" w:ascii="宋体" w:hAnsi="宋体" w:eastAsia="宋体"/>
                <w:highlight w:val="none"/>
                <w:lang w:val="en-US" w:eastAsia="zh-CN"/>
              </w:rPr>
              <w:t>的</w:t>
            </w:r>
            <w:r>
              <w:rPr>
                <w:rFonts w:ascii="宋体" w:hAnsi="宋体" w:eastAsia="宋体"/>
                <w:highlight w:val="none"/>
              </w:rPr>
              <w:t>每个得0.5分</w:t>
            </w:r>
            <w:r>
              <w:rPr>
                <w:rFonts w:hint="eastAsia" w:ascii="宋体" w:hAnsi="宋体" w:eastAsia="宋体"/>
                <w:highlight w:val="none"/>
              </w:rPr>
              <w:t>，最高得6分（同一人员有多个</w:t>
            </w:r>
            <w:r>
              <w:rPr>
                <w:rFonts w:ascii="宋体" w:hAnsi="宋体" w:eastAsia="宋体"/>
                <w:highlight w:val="none"/>
              </w:rPr>
              <w:t>专业</w:t>
            </w:r>
            <w:r>
              <w:rPr>
                <w:rFonts w:hint="eastAsia" w:ascii="宋体" w:hAnsi="宋体" w:eastAsia="宋体"/>
                <w:highlight w:val="none"/>
              </w:rPr>
              <w:t>只</w:t>
            </w:r>
            <w:r>
              <w:rPr>
                <w:rFonts w:ascii="宋体" w:hAnsi="宋体" w:eastAsia="宋体"/>
                <w:highlight w:val="none"/>
              </w:rPr>
              <w:t>计一次得分</w:t>
            </w:r>
            <w:r>
              <w:rPr>
                <w:rFonts w:hint="eastAsia" w:ascii="宋体" w:hAnsi="宋体" w:eastAsia="宋体"/>
                <w:highlight w:val="none"/>
              </w:rPr>
              <w:t>）</w:t>
            </w:r>
            <w:r>
              <w:rPr>
                <w:rFonts w:hint="eastAsia" w:ascii="宋体" w:hAnsi="宋体" w:eastAsia="宋体" w:cs="宋体"/>
                <w:highlight w:val="none"/>
              </w:rPr>
              <w:t>。</w:t>
            </w:r>
          </w:p>
          <w:p w14:paraId="3EB9441A">
            <w:pPr>
              <w:pStyle w:val="502"/>
              <w:spacing w:line="288" w:lineRule="auto"/>
              <w:ind w:firstLine="0" w:firstLineChars="0"/>
              <w:rPr>
                <w:rFonts w:hint="eastAsia" w:ascii="宋体" w:hAnsi="宋体" w:eastAsia="宋体" w:cs="宋体"/>
                <w:highlight w:val="none"/>
              </w:rPr>
            </w:pPr>
            <w:r>
              <w:rPr>
                <w:rFonts w:hint="eastAsia" w:ascii="宋体" w:hAnsi="宋体" w:eastAsia="宋体"/>
                <w:highlight w:val="none"/>
              </w:rPr>
              <w:t>（2）上述团队成员</w:t>
            </w:r>
            <w:r>
              <w:rPr>
                <w:rFonts w:ascii="宋体" w:hAnsi="宋体" w:eastAsia="宋体"/>
                <w:highlight w:val="none"/>
              </w:rPr>
              <w:t>具有</w:t>
            </w:r>
            <w:r>
              <w:rPr>
                <w:rFonts w:hint="eastAsia" w:ascii="宋体" w:hAnsi="宋体" w:eastAsia="宋体"/>
                <w:highlight w:val="none"/>
              </w:rPr>
              <w:t>注册环保工程师、</w:t>
            </w:r>
            <w:r>
              <w:rPr>
                <w:rFonts w:ascii="宋体" w:hAnsi="宋体" w:eastAsia="宋体"/>
                <w:highlight w:val="none"/>
              </w:rPr>
              <w:t>注册</w:t>
            </w:r>
            <w:r>
              <w:rPr>
                <w:rFonts w:hint="eastAsia" w:ascii="宋体" w:hAnsi="宋体" w:eastAsia="宋体"/>
                <w:highlight w:val="none"/>
              </w:rPr>
              <w:t>安全工程师</w:t>
            </w:r>
            <w:r>
              <w:rPr>
                <w:rFonts w:ascii="宋体" w:hAnsi="宋体" w:eastAsia="宋体"/>
                <w:highlight w:val="none"/>
              </w:rPr>
              <w:t>、环境影响评价工程师资格证书、</w:t>
            </w:r>
            <w:r>
              <w:rPr>
                <w:rFonts w:hint="eastAsia" w:ascii="宋体" w:hAnsi="宋体" w:eastAsia="宋体"/>
                <w:highlight w:val="none"/>
              </w:rPr>
              <w:t>注册公用设备工程师、</w:t>
            </w:r>
            <w:r>
              <w:rPr>
                <w:rFonts w:ascii="宋体" w:hAnsi="宋体" w:eastAsia="宋体"/>
                <w:highlight w:val="none"/>
              </w:rPr>
              <w:t>注册土木工程师（水利水电工程规划）证书、</w:t>
            </w:r>
            <w:r>
              <w:rPr>
                <w:rFonts w:hint="eastAsia" w:ascii="宋体" w:hAnsi="宋体" w:eastAsia="宋体"/>
                <w:highlight w:val="none"/>
              </w:rPr>
              <w:t>注册电气工程师</w:t>
            </w:r>
            <w:r>
              <w:rPr>
                <w:rFonts w:hint="eastAsia" w:ascii="宋体" w:hAnsi="宋体" w:eastAsia="宋体"/>
                <w:highlight w:val="none"/>
                <w:lang w:eastAsia="zh-CN"/>
              </w:rPr>
              <w:t>，</w:t>
            </w:r>
            <w:r>
              <w:rPr>
                <w:rFonts w:ascii="宋体" w:hAnsi="宋体" w:eastAsia="宋体"/>
                <w:highlight w:val="none"/>
              </w:rPr>
              <w:t>每个得</w:t>
            </w:r>
            <w:r>
              <w:rPr>
                <w:rFonts w:hint="eastAsia" w:ascii="宋体" w:hAnsi="宋体" w:eastAsia="宋体"/>
                <w:highlight w:val="none"/>
              </w:rPr>
              <w:t>1</w:t>
            </w:r>
            <w:r>
              <w:rPr>
                <w:rFonts w:ascii="宋体" w:hAnsi="宋体" w:eastAsia="宋体"/>
                <w:highlight w:val="none"/>
              </w:rPr>
              <w:t>分</w:t>
            </w:r>
            <w:r>
              <w:rPr>
                <w:rFonts w:hint="eastAsia" w:ascii="宋体" w:hAnsi="宋体" w:eastAsia="宋体"/>
                <w:highlight w:val="none"/>
              </w:rPr>
              <w:t>，最高得6分</w:t>
            </w:r>
            <w:r>
              <w:rPr>
                <w:rFonts w:ascii="宋体" w:hAnsi="宋体" w:eastAsia="宋体"/>
                <w:highlight w:val="none"/>
              </w:rPr>
              <w:t>（</w:t>
            </w:r>
            <w:r>
              <w:rPr>
                <w:rFonts w:hint="eastAsia" w:ascii="宋体" w:hAnsi="宋体" w:eastAsia="宋体"/>
                <w:highlight w:val="none"/>
              </w:rPr>
              <w:t>同一人员有多个证书只计一次得分</w:t>
            </w:r>
            <w:r>
              <w:rPr>
                <w:rFonts w:ascii="宋体" w:hAnsi="宋体" w:eastAsia="宋体"/>
                <w:highlight w:val="none"/>
              </w:rPr>
              <w:t>）。</w:t>
            </w:r>
          </w:p>
          <w:p w14:paraId="1C0F001B">
            <w:pPr>
              <w:pStyle w:val="502"/>
              <w:spacing w:line="288" w:lineRule="auto"/>
              <w:ind w:firstLine="0" w:firstLineChars="0"/>
              <w:rPr>
                <w:rFonts w:hint="eastAsia" w:ascii="宋体" w:hAnsi="宋体" w:eastAsia="宋体" w:cs="宋体"/>
                <w:highlight w:val="none"/>
              </w:rPr>
            </w:pPr>
            <w:r>
              <w:rPr>
                <w:rFonts w:hint="eastAsia" w:ascii="宋体" w:hAnsi="宋体" w:eastAsia="宋体" w:cs="宋体"/>
                <w:highlight w:val="none"/>
              </w:rPr>
              <w:t>注：人员专业以上述得分项证书上的专业为准。</w:t>
            </w:r>
          </w:p>
          <w:p w14:paraId="46800E98">
            <w:pPr>
              <w:pStyle w:val="502"/>
              <w:spacing w:line="288" w:lineRule="auto"/>
              <w:ind w:firstLine="0" w:firstLineChars="0"/>
              <w:rPr>
                <w:rFonts w:hint="eastAsia" w:ascii="宋体" w:hAnsi="宋体" w:eastAsia="宋体" w:cs="宋体"/>
                <w:highlight w:val="none"/>
              </w:rPr>
            </w:pPr>
            <w:r>
              <w:rPr>
                <w:rFonts w:hint="eastAsia" w:ascii="宋体" w:hAnsi="宋体" w:eastAsia="宋体" w:cs="宋体"/>
                <w:highlight w:val="none"/>
              </w:rPr>
              <w:t>本项最高得13分。</w:t>
            </w:r>
          </w:p>
          <w:p w14:paraId="14C009E5">
            <w:pPr>
              <w:pStyle w:val="502"/>
              <w:spacing w:line="288" w:lineRule="auto"/>
              <w:ind w:firstLine="0" w:firstLineChars="0"/>
              <w:rPr>
                <w:rFonts w:hint="eastAsia" w:ascii="宋体" w:hAnsi="宋体" w:eastAsia="宋体" w:cs="宋体"/>
                <w:highlight w:val="none"/>
              </w:rPr>
            </w:pPr>
            <w:r>
              <w:rPr>
                <w:rFonts w:hint="eastAsia" w:ascii="宋体" w:hAnsi="宋体" w:eastAsia="宋体" w:cs="宋体"/>
                <w:highlight w:val="none"/>
                <w:lang w:val="zh-CN"/>
              </w:rPr>
              <w:t>[</w:t>
            </w:r>
            <w:r>
              <w:rPr>
                <w:rFonts w:hint="eastAsia" w:ascii="宋体" w:hAnsi="宋体" w:eastAsia="宋体" w:cs="宋体"/>
                <w:highlight w:val="none"/>
              </w:rPr>
              <w:t>同时</w:t>
            </w:r>
            <w:r>
              <w:rPr>
                <w:rFonts w:hint="eastAsia" w:ascii="宋体" w:hAnsi="宋体" w:eastAsia="宋体" w:cs="宋体"/>
                <w:highlight w:val="none"/>
                <w:lang w:val="zh-CN"/>
              </w:rPr>
              <w:t>提供人员</w:t>
            </w:r>
            <w:r>
              <w:rPr>
                <w:rFonts w:hint="eastAsia" w:ascii="宋体" w:hAnsi="宋体" w:eastAsia="宋体" w:cs="宋体"/>
                <w:highlight w:val="none"/>
              </w:rPr>
              <w:t>相关证书及</w:t>
            </w:r>
            <w:r>
              <w:rPr>
                <w:rFonts w:hint="eastAsia" w:ascii="宋体" w:hAnsi="宋体" w:eastAsia="宋体" w:cs="宋体"/>
                <w:highlight w:val="none"/>
                <w:lang w:val="zh-CN"/>
              </w:rPr>
              <w:t>投标</w:t>
            </w:r>
            <w:r>
              <w:rPr>
                <w:rFonts w:hint="eastAsia" w:ascii="宋体" w:hAnsi="宋体" w:eastAsia="宋体" w:cs="宋体"/>
                <w:highlight w:val="none"/>
              </w:rPr>
              <w:t>人为人员缴纳的社保证明</w:t>
            </w:r>
            <w:r>
              <w:rPr>
                <w:rFonts w:hint="eastAsia" w:ascii="宋体" w:hAnsi="宋体" w:eastAsia="宋体" w:cs="宋体"/>
                <w:highlight w:val="none"/>
                <w:lang w:val="zh-CN"/>
              </w:rPr>
              <w:t>（截止开标当月前连续三个月的社保缴纳证明）</w:t>
            </w:r>
            <w:r>
              <w:rPr>
                <w:rFonts w:hint="eastAsia" w:ascii="宋体" w:hAnsi="宋体" w:eastAsia="宋体" w:cs="宋体"/>
                <w:highlight w:val="none"/>
              </w:rPr>
              <w:t>复印件加盖公章</w:t>
            </w:r>
            <w:r>
              <w:rPr>
                <w:rFonts w:hint="eastAsia" w:ascii="宋体" w:hAnsi="宋体" w:eastAsia="宋体" w:cs="宋体"/>
                <w:highlight w:val="none"/>
                <w:lang w:val="zh-CN"/>
              </w:rPr>
              <w:t>]</w:t>
            </w:r>
          </w:p>
        </w:tc>
        <w:tc>
          <w:tcPr>
            <w:tcW w:w="720" w:type="dxa"/>
            <w:tcBorders>
              <w:top w:val="single" w:color="auto" w:sz="4" w:space="0"/>
              <w:left w:val="single" w:color="auto" w:sz="4" w:space="0"/>
              <w:bottom w:val="single" w:color="auto" w:sz="4" w:space="0"/>
              <w:right w:val="single" w:color="auto" w:sz="4" w:space="0"/>
            </w:tcBorders>
            <w:vAlign w:val="center"/>
          </w:tcPr>
          <w:p w14:paraId="39F0E95E">
            <w:pPr>
              <w:spacing w:line="288" w:lineRule="auto"/>
              <w:jc w:val="center"/>
              <w:rPr>
                <w:rFonts w:hint="eastAsia" w:ascii="宋体" w:hAnsi="宋体" w:cs="宋体"/>
                <w:sz w:val="24"/>
              </w:rPr>
            </w:pPr>
            <w:r>
              <w:rPr>
                <w:rFonts w:hint="eastAsia" w:ascii="宋体" w:hAnsi="宋体" w:cs="宋体"/>
                <w:sz w:val="24"/>
              </w:rPr>
              <w:t>13</w:t>
            </w:r>
          </w:p>
        </w:tc>
        <w:tc>
          <w:tcPr>
            <w:tcW w:w="940" w:type="dxa"/>
            <w:tcBorders>
              <w:top w:val="single" w:color="auto" w:sz="4" w:space="0"/>
              <w:left w:val="single" w:color="auto" w:sz="4" w:space="0"/>
              <w:bottom w:val="single" w:color="auto" w:sz="4" w:space="0"/>
              <w:right w:val="single" w:color="auto" w:sz="4" w:space="0"/>
            </w:tcBorders>
            <w:vAlign w:val="center"/>
          </w:tcPr>
          <w:p w14:paraId="0B680113">
            <w:pPr>
              <w:spacing w:line="288" w:lineRule="auto"/>
              <w:jc w:val="center"/>
              <w:rPr>
                <w:rFonts w:hint="eastAsia" w:ascii="宋体" w:hAnsi="宋体" w:cs="宋体"/>
                <w:kern w:val="0"/>
                <w:sz w:val="24"/>
              </w:rPr>
            </w:pPr>
            <w:r>
              <w:rPr>
                <w:rFonts w:hint="eastAsia" w:ascii="宋体" w:hAnsi="宋体" w:cs="宋体"/>
                <w:kern w:val="0"/>
                <w:sz w:val="24"/>
              </w:rPr>
              <w:t>客观分</w:t>
            </w:r>
          </w:p>
        </w:tc>
      </w:tr>
      <w:tr w14:paraId="63FB5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986" w:type="dxa"/>
            <w:vMerge w:val="continue"/>
            <w:tcBorders>
              <w:top w:val="single" w:color="auto" w:sz="4" w:space="0"/>
              <w:left w:val="single" w:color="auto" w:sz="4" w:space="0"/>
              <w:bottom w:val="single" w:color="auto" w:sz="4" w:space="0"/>
              <w:right w:val="single" w:color="auto" w:sz="4" w:space="0"/>
            </w:tcBorders>
            <w:vAlign w:val="center"/>
          </w:tcPr>
          <w:p w14:paraId="6A8ABA01">
            <w:pPr>
              <w:widowControl/>
              <w:adjustRightInd/>
              <w:spacing w:line="288" w:lineRule="auto"/>
              <w:jc w:val="left"/>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7F0325F9">
            <w:pPr>
              <w:widowControl/>
              <w:spacing w:line="288" w:lineRule="auto"/>
              <w:jc w:val="center"/>
              <w:rPr>
                <w:rFonts w:hint="eastAsia" w:ascii="宋体" w:hAnsi="宋体" w:cs="宋体"/>
                <w:kern w:val="0"/>
                <w:sz w:val="24"/>
              </w:rPr>
            </w:pPr>
            <w:r>
              <w:rPr>
                <w:rFonts w:hint="eastAsia" w:ascii="宋体" w:hAnsi="宋体" w:cs="宋体"/>
                <w:kern w:val="0"/>
                <w:sz w:val="24"/>
              </w:rPr>
              <w:t>11</w:t>
            </w:r>
          </w:p>
        </w:tc>
        <w:tc>
          <w:tcPr>
            <w:tcW w:w="5809" w:type="dxa"/>
            <w:gridSpan w:val="3"/>
            <w:tcBorders>
              <w:top w:val="single" w:color="auto" w:sz="4" w:space="0"/>
              <w:left w:val="single" w:color="auto" w:sz="4" w:space="0"/>
              <w:bottom w:val="single" w:color="auto" w:sz="4" w:space="0"/>
              <w:right w:val="single" w:color="auto" w:sz="4" w:space="0"/>
            </w:tcBorders>
            <w:vAlign w:val="center"/>
          </w:tcPr>
          <w:p w14:paraId="5D8B0B27">
            <w:pPr>
              <w:spacing w:line="288" w:lineRule="auto"/>
              <w:rPr>
                <w:rFonts w:hint="eastAsia" w:ascii="宋体" w:hAnsi="宋体" w:cs="宋体"/>
                <w:sz w:val="24"/>
                <w:lang w:val="zh-CN"/>
              </w:rPr>
            </w:pPr>
            <w:r>
              <w:rPr>
                <w:rFonts w:hint="eastAsia" w:ascii="宋体" w:hAnsi="宋体" w:cs="宋体"/>
                <w:sz w:val="24"/>
              </w:rPr>
              <w:t>质量保证</w:t>
            </w:r>
            <w:r>
              <w:rPr>
                <w:rFonts w:hint="eastAsia" w:ascii="宋体" w:hAnsi="宋体" w:cs="宋体"/>
                <w:sz w:val="24"/>
                <w:lang w:val="zh-CN"/>
              </w:rPr>
              <w:t>的方案和措施等（综合评定）。</w:t>
            </w:r>
          </w:p>
          <w:p w14:paraId="767B3415">
            <w:pPr>
              <w:spacing w:line="288" w:lineRule="auto"/>
              <w:rPr>
                <w:rFonts w:hint="eastAsia" w:ascii="宋体" w:hAnsi="宋体" w:cs="宋体"/>
                <w:sz w:val="24"/>
                <w:lang w:val="zh-CN"/>
              </w:rPr>
            </w:pPr>
            <w:r>
              <w:rPr>
                <w:rFonts w:hint="eastAsia" w:ascii="宋体" w:hAnsi="宋体" w:cs="宋体"/>
                <w:sz w:val="24"/>
              </w:rPr>
              <w:t>方案详细完善的得</w:t>
            </w:r>
            <w:r>
              <w:rPr>
                <w:rFonts w:hint="eastAsia" w:ascii="宋体" w:hAnsi="宋体" w:cs="宋体"/>
                <w:sz w:val="24"/>
                <w:lang w:val="en-US" w:eastAsia="zh-CN"/>
              </w:rPr>
              <w:t>5</w:t>
            </w:r>
            <w:r>
              <w:rPr>
                <w:rFonts w:hint="eastAsia" w:ascii="宋体" w:hAnsi="宋体" w:cs="宋体"/>
                <w:sz w:val="24"/>
              </w:rPr>
              <w:t>分，方案较详细完善的得</w:t>
            </w:r>
            <w:r>
              <w:rPr>
                <w:rFonts w:hint="eastAsia" w:ascii="宋体" w:hAnsi="宋体" w:cs="宋体"/>
                <w:sz w:val="24"/>
                <w:lang w:val="en-US" w:eastAsia="zh-CN"/>
              </w:rPr>
              <w:t>3</w:t>
            </w:r>
            <w:r>
              <w:rPr>
                <w:rFonts w:hint="eastAsia" w:ascii="宋体" w:hAnsi="宋体" w:cs="宋体"/>
                <w:sz w:val="24"/>
              </w:rPr>
              <w:t>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46F5A633">
            <w:pPr>
              <w:spacing w:line="288" w:lineRule="auto"/>
              <w:jc w:val="center"/>
              <w:rPr>
                <w:rFonts w:hint="eastAsia" w:ascii="宋体" w:hAnsi="宋体" w:eastAsia="宋体" w:cs="宋体"/>
                <w:sz w:val="24"/>
                <w:lang w:eastAsia="zh-CN"/>
              </w:rPr>
            </w:pPr>
            <w:r>
              <w:rPr>
                <w:rFonts w:hint="eastAsia" w:ascii="宋体" w:hAnsi="宋体" w:cs="宋体"/>
                <w:sz w:val="24"/>
                <w:lang w:val="en-US" w:eastAsia="zh-CN"/>
              </w:rPr>
              <w:t>5</w:t>
            </w:r>
          </w:p>
        </w:tc>
        <w:tc>
          <w:tcPr>
            <w:tcW w:w="940" w:type="dxa"/>
            <w:tcBorders>
              <w:top w:val="single" w:color="auto" w:sz="4" w:space="0"/>
              <w:left w:val="single" w:color="auto" w:sz="4" w:space="0"/>
              <w:bottom w:val="single" w:color="auto" w:sz="4" w:space="0"/>
              <w:right w:val="single" w:color="auto" w:sz="4" w:space="0"/>
            </w:tcBorders>
            <w:vAlign w:val="center"/>
          </w:tcPr>
          <w:p w14:paraId="6FFC8246">
            <w:pPr>
              <w:spacing w:line="288" w:lineRule="auto"/>
              <w:jc w:val="center"/>
              <w:rPr>
                <w:rFonts w:hint="eastAsia" w:ascii="宋体" w:hAnsi="宋体" w:cs="宋体"/>
                <w:sz w:val="24"/>
              </w:rPr>
            </w:pPr>
            <w:r>
              <w:rPr>
                <w:rFonts w:hint="eastAsia" w:ascii="宋体" w:hAnsi="宋体" w:cs="宋体"/>
                <w:kern w:val="0"/>
                <w:sz w:val="24"/>
              </w:rPr>
              <w:t>主观分</w:t>
            </w:r>
          </w:p>
        </w:tc>
      </w:tr>
      <w:tr w14:paraId="2782F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86" w:type="dxa"/>
            <w:vMerge w:val="continue"/>
            <w:tcBorders>
              <w:top w:val="single" w:color="auto" w:sz="4" w:space="0"/>
              <w:left w:val="single" w:color="auto" w:sz="4" w:space="0"/>
              <w:bottom w:val="single" w:color="auto" w:sz="4" w:space="0"/>
              <w:right w:val="single" w:color="auto" w:sz="4" w:space="0"/>
            </w:tcBorders>
            <w:vAlign w:val="center"/>
          </w:tcPr>
          <w:p w14:paraId="183E4DC6">
            <w:pPr>
              <w:widowControl/>
              <w:adjustRightInd/>
              <w:spacing w:line="288" w:lineRule="auto"/>
              <w:jc w:val="left"/>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17C5D604">
            <w:pPr>
              <w:widowControl/>
              <w:spacing w:line="288" w:lineRule="auto"/>
              <w:jc w:val="center"/>
              <w:rPr>
                <w:rFonts w:hint="eastAsia" w:ascii="宋体" w:hAnsi="宋体" w:cs="宋体"/>
                <w:kern w:val="0"/>
                <w:sz w:val="24"/>
              </w:rPr>
            </w:pPr>
            <w:r>
              <w:rPr>
                <w:rFonts w:hint="eastAsia" w:ascii="宋体" w:hAnsi="宋体" w:cs="宋体"/>
                <w:kern w:val="0"/>
                <w:sz w:val="24"/>
              </w:rPr>
              <w:t>12</w:t>
            </w:r>
          </w:p>
        </w:tc>
        <w:tc>
          <w:tcPr>
            <w:tcW w:w="5809" w:type="dxa"/>
            <w:gridSpan w:val="3"/>
            <w:tcBorders>
              <w:top w:val="single" w:color="auto" w:sz="4" w:space="0"/>
              <w:left w:val="single" w:color="auto" w:sz="4" w:space="0"/>
              <w:bottom w:val="single" w:color="auto" w:sz="4" w:space="0"/>
              <w:right w:val="single" w:color="auto" w:sz="4" w:space="0"/>
            </w:tcBorders>
            <w:vAlign w:val="center"/>
          </w:tcPr>
          <w:p w14:paraId="50399D8D">
            <w:pPr>
              <w:spacing w:line="288" w:lineRule="auto"/>
              <w:rPr>
                <w:rFonts w:hint="eastAsia" w:ascii="宋体" w:hAnsi="宋体" w:cs="宋体"/>
                <w:sz w:val="24"/>
                <w:lang w:val="zh-CN"/>
              </w:rPr>
            </w:pPr>
            <w:r>
              <w:rPr>
                <w:rFonts w:hint="eastAsia" w:ascii="宋体" w:hAnsi="宋体" w:cs="宋体"/>
                <w:sz w:val="24"/>
                <w:lang w:val="zh-CN"/>
              </w:rPr>
              <w:t>服务承诺（投标人结合自身服务网点情况，阐述服务能力和服务便利性、服务响应等情况综合评定）。</w:t>
            </w:r>
          </w:p>
          <w:p w14:paraId="0DBBF126">
            <w:pPr>
              <w:spacing w:line="288" w:lineRule="auto"/>
              <w:rPr>
                <w:rFonts w:hint="eastAsia" w:ascii="宋体" w:hAnsi="宋体" w:cs="宋体"/>
                <w:sz w:val="24"/>
                <w:lang w:val="zh-CN"/>
              </w:rPr>
            </w:pPr>
            <w:r>
              <w:rPr>
                <w:rFonts w:hint="eastAsia" w:ascii="宋体" w:hAnsi="宋体" w:cs="宋体"/>
                <w:sz w:val="24"/>
              </w:rPr>
              <w:t>方案详细完善的得4分，方案较详细完善的得2分，方案不够详细完善的得1分，不提供的不得分。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54D6BD42">
            <w:pPr>
              <w:spacing w:line="288" w:lineRule="auto"/>
              <w:jc w:val="center"/>
              <w:rPr>
                <w:rFonts w:hint="eastAsia" w:ascii="宋体" w:hAnsi="宋体" w:cs="宋体"/>
                <w:sz w:val="24"/>
              </w:rPr>
            </w:pPr>
            <w:r>
              <w:rPr>
                <w:rFonts w:hint="eastAsia" w:ascii="宋体" w:hAnsi="宋体" w:cs="宋体"/>
                <w:sz w:val="24"/>
              </w:rPr>
              <w:t>4</w:t>
            </w:r>
          </w:p>
        </w:tc>
        <w:tc>
          <w:tcPr>
            <w:tcW w:w="940" w:type="dxa"/>
            <w:tcBorders>
              <w:top w:val="single" w:color="auto" w:sz="4" w:space="0"/>
              <w:left w:val="single" w:color="auto" w:sz="4" w:space="0"/>
              <w:bottom w:val="single" w:color="auto" w:sz="4" w:space="0"/>
              <w:right w:val="single" w:color="auto" w:sz="4" w:space="0"/>
            </w:tcBorders>
            <w:vAlign w:val="center"/>
          </w:tcPr>
          <w:p w14:paraId="7D90CEBC">
            <w:pPr>
              <w:spacing w:line="288" w:lineRule="auto"/>
              <w:jc w:val="center"/>
              <w:rPr>
                <w:rFonts w:hint="eastAsia" w:ascii="宋体" w:hAnsi="宋体" w:cs="宋体"/>
                <w:sz w:val="24"/>
              </w:rPr>
            </w:pPr>
            <w:r>
              <w:rPr>
                <w:rFonts w:hint="eastAsia" w:ascii="宋体" w:hAnsi="宋体" w:cs="宋体"/>
                <w:kern w:val="0"/>
                <w:sz w:val="24"/>
              </w:rPr>
              <w:t>主观分</w:t>
            </w:r>
          </w:p>
        </w:tc>
      </w:tr>
      <w:tr w14:paraId="6B3C5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986" w:type="dxa"/>
            <w:vMerge w:val="continue"/>
            <w:tcBorders>
              <w:top w:val="single" w:color="auto" w:sz="4" w:space="0"/>
              <w:left w:val="single" w:color="auto" w:sz="4" w:space="0"/>
              <w:bottom w:val="single" w:color="auto" w:sz="4" w:space="0"/>
              <w:right w:val="single" w:color="auto" w:sz="4" w:space="0"/>
            </w:tcBorders>
            <w:vAlign w:val="center"/>
          </w:tcPr>
          <w:p w14:paraId="1879A9B0">
            <w:pPr>
              <w:widowControl/>
              <w:adjustRightInd/>
              <w:spacing w:line="288" w:lineRule="auto"/>
              <w:jc w:val="left"/>
              <w:rPr>
                <w:rFonts w:hint="eastAsia" w:ascii="宋体" w:hAnsi="宋体" w:cs="宋体"/>
                <w:kern w:val="0"/>
                <w:sz w:val="24"/>
              </w:rPr>
            </w:pPr>
          </w:p>
        </w:tc>
        <w:tc>
          <w:tcPr>
            <w:tcW w:w="574" w:type="dxa"/>
            <w:tcBorders>
              <w:top w:val="single" w:color="auto" w:sz="4" w:space="0"/>
              <w:left w:val="single" w:color="auto" w:sz="4" w:space="0"/>
              <w:bottom w:val="single" w:color="auto" w:sz="4" w:space="0"/>
              <w:right w:val="single" w:color="auto" w:sz="4" w:space="0"/>
            </w:tcBorders>
            <w:vAlign w:val="center"/>
          </w:tcPr>
          <w:p w14:paraId="18A50E5E">
            <w:pPr>
              <w:widowControl/>
              <w:spacing w:line="288" w:lineRule="auto"/>
              <w:jc w:val="center"/>
              <w:rPr>
                <w:rFonts w:hint="eastAsia" w:ascii="宋体" w:hAnsi="宋体" w:cs="宋体"/>
                <w:kern w:val="0"/>
                <w:sz w:val="24"/>
              </w:rPr>
            </w:pPr>
            <w:r>
              <w:rPr>
                <w:rFonts w:hint="eastAsia" w:ascii="宋体" w:hAnsi="宋体" w:cs="宋体"/>
                <w:kern w:val="0"/>
                <w:sz w:val="24"/>
              </w:rPr>
              <w:t>13</w:t>
            </w:r>
          </w:p>
        </w:tc>
        <w:tc>
          <w:tcPr>
            <w:tcW w:w="5809" w:type="dxa"/>
            <w:gridSpan w:val="3"/>
            <w:tcBorders>
              <w:top w:val="single" w:color="auto" w:sz="4" w:space="0"/>
              <w:left w:val="single" w:color="auto" w:sz="4" w:space="0"/>
              <w:bottom w:val="single" w:color="auto" w:sz="4" w:space="0"/>
              <w:right w:val="single" w:color="auto" w:sz="4" w:space="0"/>
            </w:tcBorders>
            <w:vAlign w:val="center"/>
          </w:tcPr>
          <w:p w14:paraId="4DBCAA28">
            <w:pPr>
              <w:spacing w:line="288" w:lineRule="auto"/>
              <w:rPr>
                <w:rFonts w:hint="eastAsia" w:ascii="宋体" w:hAnsi="宋体" w:cs="宋体"/>
                <w:color w:val="000000" w:themeColor="text1"/>
                <w:sz w:val="24"/>
                <w:lang w:val="zh-CN" w:bidi="zh-CN"/>
                <w14:textFill>
                  <w14:solidFill>
                    <w14:schemeClr w14:val="tx1"/>
                  </w14:solidFill>
                </w14:textFill>
              </w:rPr>
            </w:pPr>
            <w:r>
              <w:rPr>
                <w:rFonts w:hint="eastAsia" w:ascii="宋体" w:hAnsi="宋体" w:cs="宋体"/>
                <w:color w:val="000000" w:themeColor="text1"/>
                <w:sz w:val="24"/>
                <w:lang w:val="zh-CN" w:bidi="zh-CN"/>
                <w14:textFill>
                  <w14:solidFill>
                    <w14:schemeClr w14:val="tx1"/>
                  </w14:solidFill>
                </w14:textFill>
              </w:rPr>
              <w:t>对本项目的合理化建议（综合评定）。</w:t>
            </w:r>
          </w:p>
          <w:p w14:paraId="46DCD727">
            <w:pPr>
              <w:pStyle w:val="3"/>
              <w:numPr>
                <w:ilvl w:val="0"/>
                <w:numId w:val="0"/>
              </w:numPr>
              <w:spacing w:line="288" w:lineRule="auto"/>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方案详细完善的得3分，方案较详细完善的得2分，方案不够详细完善的得1分，不提供的不得分。</w:t>
            </w:r>
          </w:p>
        </w:tc>
        <w:tc>
          <w:tcPr>
            <w:tcW w:w="720" w:type="dxa"/>
            <w:tcBorders>
              <w:top w:val="single" w:color="auto" w:sz="4" w:space="0"/>
              <w:left w:val="single" w:color="auto" w:sz="4" w:space="0"/>
              <w:bottom w:val="single" w:color="auto" w:sz="4" w:space="0"/>
              <w:right w:val="single" w:color="auto" w:sz="4" w:space="0"/>
            </w:tcBorders>
            <w:vAlign w:val="center"/>
          </w:tcPr>
          <w:p w14:paraId="48353CFD">
            <w:pPr>
              <w:spacing w:line="288" w:lineRule="auto"/>
              <w:jc w:val="center"/>
              <w:rPr>
                <w:rFonts w:hint="eastAsia" w:ascii="宋体" w:hAnsi="宋体" w:cs="宋体"/>
                <w:kern w:val="0"/>
                <w:sz w:val="24"/>
              </w:rPr>
            </w:pPr>
            <w:r>
              <w:rPr>
                <w:rFonts w:hint="eastAsia" w:ascii="宋体" w:hAnsi="宋体" w:cs="宋体"/>
                <w:kern w:val="0"/>
                <w:sz w:val="24"/>
              </w:rPr>
              <w:t>3</w:t>
            </w:r>
          </w:p>
        </w:tc>
        <w:tc>
          <w:tcPr>
            <w:tcW w:w="940" w:type="dxa"/>
            <w:tcBorders>
              <w:top w:val="single" w:color="auto" w:sz="4" w:space="0"/>
              <w:left w:val="single" w:color="auto" w:sz="4" w:space="0"/>
              <w:bottom w:val="single" w:color="auto" w:sz="4" w:space="0"/>
              <w:right w:val="single" w:color="auto" w:sz="4" w:space="0"/>
            </w:tcBorders>
            <w:vAlign w:val="center"/>
          </w:tcPr>
          <w:p w14:paraId="50C67EC0">
            <w:pPr>
              <w:spacing w:line="288" w:lineRule="auto"/>
              <w:jc w:val="center"/>
              <w:rPr>
                <w:rFonts w:hint="eastAsia" w:ascii="宋体" w:hAnsi="宋体" w:cs="宋体"/>
                <w:kern w:val="0"/>
                <w:sz w:val="24"/>
              </w:rPr>
            </w:pPr>
            <w:r>
              <w:rPr>
                <w:rFonts w:hint="eastAsia" w:ascii="宋体" w:hAnsi="宋体" w:cs="宋体"/>
                <w:kern w:val="0"/>
                <w:sz w:val="24"/>
              </w:rPr>
              <w:t>主观分</w:t>
            </w:r>
          </w:p>
        </w:tc>
      </w:tr>
    </w:tbl>
    <w:p w14:paraId="7064954A">
      <w:pPr>
        <w:snapToGrid w:val="0"/>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备注：</w:t>
      </w:r>
      <w:r>
        <w:rPr>
          <w:rFonts w:hint="eastAsia" w:ascii="宋体" w:hAnsi="宋体" w:eastAsia="宋体" w:cs="宋体"/>
          <w:bCs/>
          <w:color w:val="auto"/>
          <w:sz w:val="24"/>
          <w:highlight w:val="none"/>
        </w:rPr>
        <w:t>（1）</w:t>
      </w:r>
      <w:r>
        <w:rPr>
          <w:rFonts w:hint="eastAsia" w:ascii="宋体" w:hAnsi="宋体" w:eastAsia="宋体" w:cs="宋体"/>
          <w:color w:val="auto"/>
          <w:sz w:val="24"/>
          <w:highlight w:val="none"/>
        </w:rPr>
        <w:t>投标人编制投标文件（商务技术文件部分）时，建议按此目录（序号和内容）提供评标标准相应的商务技术资料。</w:t>
      </w:r>
    </w:p>
    <w:p w14:paraId="7CDAD28C">
      <w:pPr>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kern w:val="0"/>
          <w:sz w:val="24"/>
          <w:szCs w:val="20"/>
          <w:highlight w:val="none"/>
          <w:lang w:val="en-US" w:eastAsia="zh-CN"/>
        </w:rPr>
        <w:t>2</w:t>
      </w:r>
      <w:r>
        <w:rPr>
          <w:rFonts w:hint="eastAsia" w:ascii="宋体" w:hAnsi="宋体" w:eastAsia="宋体" w:cs="宋体"/>
          <w:bCs/>
          <w:color w:val="auto"/>
          <w:kern w:val="0"/>
          <w:sz w:val="24"/>
          <w:highlight w:val="none"/>
        </w:rPr>
        <w:t>、价格分（</w:t>
      </w:r>
      <w:r>
        <w:rPr>
          <w:rFonts w:hint="eastAsia" w:ascii="宋体" w:hAnsi="宋体" w:cs="宋体"/>
          <w:bCs/>
          <w:color w:val="auto"/>
          <w:kern w:val="0"/>
          <w:sz w:val="24"/>
          <w:highlight w:val="none"/>
          <w:lang w:val="en-US" w:eastAsia="zh-CN"/>
        </w:rPr>
        <w:t>10</w:t>
      </w:r>
      <w:r>
        <w:rPr>
          <w:rFonts w:hint="eastAsia" w:ascii="宋体" w:hAnsi="宋体" w:eastAsia="宋体" w:cs="宋体"/>
          <w:bCs/>
          <w:color w:val="auto"/>
          <w:kern w:val="0"/>
          <w:sz w:val="24"/>
          <w:highlight w:val="none"/>
        </w:rPr>
        <w:t>分）</w:t>
      </w:r>
    </w:p>
    <w:tbl>
      <w:tblPr>
        <w:tblStyle w:val="60"/>
        <w:tblW w:w="89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4"/>
        <w:gridCol w:w="7075"/>
      </w:tblGrid>
      <w:tr w14:paraId="1A86E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844" w:type="dxa"/>
            <w:vAlign w:val="center"/>
          </w:tcPr>
          <w:p w14:paraId="2A9E1C9C">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价格权值</w:t>
            </w:r>
          </w:p>
        </w:tc>
        <w:tc>
          <w:tcPr>
            <w:tcW w:w="7075" w:type="dxa"/>
            <w:vAlign w:val="center"/>
          </w:tcPr>
          <w:p w14:paraId="4376972A">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计    算    方    法</w:t>
            </w:r>
          </w:p>
        </w:tc>
      </w:tr>
      <w:tr w14:paraId="154BE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1844" w:type="dxa"/>
            <w:vAlign w:val="center"/>
          </w:tcPr>
          <w:p w14:paraId="7474EB70">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价格权值=0.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0</w:t>
            </w:r>
          </w:p>
        </w:tc>
        <w:tc>
          <w:tcPr>
            <w:tcW w:w="7075" w:type="dxa"/>
            <w:vAlign w:val="center"/>
          </w:tcPr>
          <w:p w14:paraId="52D76208">
            <w:pPr>
              <w:autoSpaceDE w:val="0"/>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rPr>
              <w:t>最低有效投标价格为评标基准价</w:t>
            </w:r>
          </w:p>
          <w:p w14:paraId="7AFBFB0F">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投标报价得分=(评标基准价/投标报价)×价格权值×100 </w:t>
            </w:r>
          </w:p>
          <w:p w14:paraId="622A5E00">
            <w:pPr>
              <w:rPr>
                <w:rFonts w:hint="eastAsia" w:ascii="宋体" w:hAnsi="宋体" w:eastAsia="宋体" w:cs="宋体"/>
                <w:color w:val="auto"/>
                <w:sz w:val="24"/>
                <w:highlight w:val="none"/>
              </w:rPr>
            </w:pPr>
            <w:r>
              <w:rPr>
                <w:rFonts w:hint="eastAsia" w:ascii="宋体" w:hAnsi="宋体" w:eastAsia="宋体" w:cs="宋体"/>
                <w:color w:val="auto"/>
                <w:sz w:val="24"/>
                <w:highlight w:val="none"/>
              </w:rPr>
              <w:t>（计算得分保留小数点后2位）</w:t>
            </w:r>
          </w:p>
        </w:tc>
      </w:tr>
    </w:tbl>
    <w:p w14:paraId="1FD838E8">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7699EFCA">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09D790F3">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448C982A">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22A0B3C8">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068BE772">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7C810472">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2831BC54">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0369B443">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2621DB53">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19AD63F7">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07EF8DD7">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p>
    <w:p w14:paraId="351DA00B">
      <w:pPr>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一、评标方法</w:t>
      </w:r>
    </w:p>
    <w:p w14:paraId="5AC81C16">
      <w:pPr>
        <w:pageBreakBefore w:val="0"/>
        <w:kinsoku/>
        <w:wordWrap/>
        <w:overflowPunct/>
        <w:topLinePunct w:val="0"/>
        <w:autoSpaceDE/>
        <w:autoSpaceDN/>
        <w:bidi w:val="0"/>
        <w:adjustRightInd/>
        <w:spacing w:beforeAutospacing="0" w:afterAutospacing="0"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1.本项目采用综合评分法。</w:t>
      </w:r>
      <w:r>
        <w:rPr>
          <w:rFonts w:hint="eastAsia" w:ascii="宋体" w:hAnsi="宋体" w:eastAsia="宋体" w:cs="宋体"/>
          <w:color w:val="auto"/>
          <w:kern w:val="0"/>
          <w:sz w:val="24"/>
          <w:szCs w:val="24"/>
          <w:highlight w:val="none"/>
        </w:rPr>
        <w:t>综合评分法，是指投标文件满足招标文件全部实质性要求，且按照评审因素的量化指标评审得分最高的投标人为中标候选人的评标方法。</w:t>
      </w:r>
    </w:p>
    <w:p w14:paraId="74E21AE7">
      <w:pPr>
        <w:pageBreakBefore w:val="0"/>
        <w:kinsoku/>
        <w:wordWrap/>
        <w:overflowPunct/>
        <w:topLinePunct w:val="0"/>
        <w:autoSpaceDE/>
        <w:autoSpaceDN/>
        <w:bidi w:val="0"/>
        <w:adjustRightInd/>
        <w:spacing w:beforeAutospacing="0" w:afterAutospacing="0"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sz w:val="24"/>
          <w:szCs w:val="24"/>
          <w:highlight w:val="none"/>
        </w:rPr>
        <w:t>二、评标标准</w:t>
      </w:r>
    </w:p>
    <w:p w14:paraId="6F65417B">
      <w:pPr>
        <w:pageBreakBefore w:val="0"/>
        <w:kinsoku/>
        <w:wordWrap/>
        <w:overflowPunct/>
        <w:topLinePunct w:val="0"/>
        <w:autoSpaceDE/>
        <w:autoSpaceDN/>
        <w:bidi w:val="0"/>
        <w:spacing w:beforeAutospacing="0" w:afterAutospacing="0"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w:t>
      </w: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评标标准：</w:t>
      </w:r>
      <w:r>
        <w:rPr>
          <w:rFonts w:hint="eastAsia" w:ascii="宋体" w:hAnsi="宋体" w:eastAsia="宋体" w:cs="宋体"/>
          <w:color w:val="auto"/>
          <w:kern w:val="0"/>
          <w:sz w:val="24"/>
          <w:szCs w:val="24"/>
          <w:highlight w:val="none"/>
        </w:rPr>
        <w:t>见评标办法前附表。</w:t>
      </w:r>
    </w:p>
    <w:p w14:paraId="7E736B44">
      <w:pPr>
        <w:pageBreakBefore w:val="0"/>
        <w:kinsoku/>
        <w:wordWrap/>
        <w:overflowPunct/>
        <w:topLinePunct w:val="0"/>
        <w:autoSpaceDE/>
        <w:autoSpaceDN/>
        <w:bidi w:val="0"/>
        <w:adjustRightInd/>
        <w:spacing w:beforeAutospacing="0" w:afterAutospacing="0"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三、评标程序</w:t>
      </w:r>
    </w:p>
    <w:p w14:paraId="395A94A9">
      <w:pPr>
        <w:pageBreakBefore w:val="0"/>
        <w:kinsoku/>
        <w:wordWrap/>
        <w:overflowPunct/>
        <w:topLinePunct w:val="0"/>
        <w:autoSpaceDE/>
        <w:autoSpaceDN/>
        <w:bidi w:val="0"/>
        <w:spacing w:beforeAutospacing="0" w:afterAutospacing="0"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3.1符合性审查。</w:t>
      </w:r>
      <w:r>
        <w:rPr>
          <w:rFonts w:hint="eastAsia" w:ascii="宋体" w:hAnsi="宋体" w:eastAsia="宋体" w:cs="宋体"/>
          <w:color w:val="auto"/>
          <w:kern w:val="0"/>
          <w:sz w:val="24"/>
          <w:szCs w:val="24"/>
          <w:highlight w:val="none"/>
        </w:rPr>
        <w:t>评标委员会应当对符合资格的投标人的投标文件进行符合性审查，以确定其是否满足招标文件的实质性要求。不满足招标文件的实质性要求的，投标无效。</w:t>
      </w:r>
    </w:p>
    <w:p w14:paraId="63FAC18E">
      <w:pPr>
        <w:pageBreakBefore w:val="0"/>
        <w:kinsoku/>
        <w:wordWrap/>
        <w:overflowPunct/>
        <w:topLinePunct w:val="0"/>
        <w:autoSpaceDE/>
        <w:autoSpaceDN/>
        <w:bidi w:val="0"/>
        <w:spacing w:beforeAutospacing="0" w:afterAutospacing="0"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3.2 比较与评价。</w:t>
      </w:r>
      <w:r>
        <w:rPr>
          <w:rFonts w:hint="eastAsia" w:ascii="宋体" w:hAnsi="宋体" w:eastAsia="宋体" w:cs="宋体"/>
          <w:color w:val="auto"/>
          <w:kern w:val="0"/>
          <w:sz w:val="24"/>
          <w:szCs w:val="24"/>
          <w:highlight w:val="none"/>
        </w:rPr>
        <w:t>评标委员会应当按照招标文件中规定的评标方法和标准，对符合性审查合格的投标文件进行商务和技术评估，综合比较与评价。</w:t>
      </w:r>
    </w:p>
    <w:p w14:paraId="60B6ACC2">
      <w:pPr>
        <w:pageBreakBefore w:val="0"/>
        <w:kinsoku/>
        <w:wordWrap/>
        <w:overflowPunct/>
        <w:topLinePunct w:val="0"/>
        <w:autoSpaceDE/>
        <w:autoSpaceDN/>
        <w:bidi w:val="0"/>
        <w:spacing w:beforeAutospacing="0" w:afterAutospacing="0"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3.3汇总商务技术得分。</w:t>
      </w:r>
      <w:r>
        <w:rPr>
          <w:rFonts w:hint="eastAsia" w:ascii="宋体" w:hAnsi="宋体" w:eastAsia="宋体" w:cs="宋体"/>
          <w:color w:val="auto"/>
          <w:kern w:val="0"/>
          <w:sz w:val="24"/>
          <w:szCs w:val="24"/>
          <w:highlight w:val="none"/>
        </w:rPr>
        <w:t>评标委员会各成员应当独立对每个投标人的商务和技术文件进行评价，并汇总商务技术得分情况。</w:t>
      </w:r>
    </w:p>
    <w:p w14:paraId="481B28B6">
      <w:pPr>
        <w:pageBreakBefore w:val="0"/>
        <w:kinsoku/>
        <w:wordWrap/>
        <w:overflowPunct/>
        <w:topLinePunct w:val="0"/>
        <w:autoSpaceDE/>
        <w:autoSpaceDN/>
        <w:bidi w:val="0"/>
        <w:spacing w:beforeAutospacing="0" w:afterAutospacing="0" w:line="360" w:lineRule="auto"/>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3.4报价评审。</w:t>
      </w:r>
    </w:p>
    <w:p w14:paraId="54DF3E9B">
      <w:pPr>
        <w:pStyle w:val="217"/>
        <w:pageBreakBefore w:val="0"/>
        <w:kinsoku/>
        <w:wordWrap/>
        <w:overflowPunct/>
        <w:topLinePunct w:val="0"/>
        <w:autoSpaceDE/>
        <w:autoSpaceDN/>
        <w:bidi w:val="0"/>
        <w:spacing w:before="0" w:beforeAutospacing="0" w:afterAutospacing="0" w:line="360" w:lineRule="auto"/>
        <w:ind w:firstLine="0" w:firstLineChars="0"/>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3.4.1投标文件报价出现前后不一致的，按照下列规定修正：</w:t>
      </w:r>
    </w:p>
    <w:p w14:paraId="5795CB84">
      <w:pPr>
        <w:pStyle w:val="217"/>
        <w:pageBreakBefore w:val="0"/>
        <w:kinsoku/>
        <w:wordWrap/>
        <w:overflowPunct/>
        <w:topLinePunct w:val="0"/>
        <w:autoSpaceDE/>
        <w:autoSpaceDN/>
        <w:bidi w:val="0"/>
        <w:spacing w:before="0" w:beforeAutospacing="0" w:afterAutospacing="0" w:line="360" w:lineRule="auto"/>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3.4.1.1投标文件中开标一览表(报价表)内容与投标文件中相应内容不一致的，以开标一览表(报价表)为准;</w:t>
      </w:r>
    </w:p>
    <w:p w14:paraId="57AE1C69">
      <w:pPr>
        <w:pStyle w:val="217"/>
        <w:pageBreakBefore w:val="0"/>
        <w:kinsoku/>
        <w:wordWrap/>
        <w:overflowPunct/>
        <w:topLinePunct w:val="0"/>
        <w:autoSpaceDE/>
        <w:autoSpaceDN/>
        <w:bidi w:val="0"/>
        <w:spacing w:before="0" w:beforeAutospacing="0" w:afterAutospacing="0" w:line="360" w:lineRule="auto"/>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3.4.1.2大写金额和小写金额不一致的，以大写金额为准;</w:t>
      </w:r>
    </w:p>
    <w:p w14:paraId="591DD2AF">
      <w:pPr>
        <w:pStyle w:val="217"/>
        <w:pageBreakBefore w:val="0"/>
        <w:kinsoku/>
        <w:wordWrap/>
        <w:overflowPunct/>
        <w:topLinePunct w:val="0"/>
        <w:autoSpaceDE/>
        <w:autoSpaceDN/>
        <w:bidi w:val="0"/>
        <w:spacing w:before="0" w:beforeAutospacing="0" w:afterAutospacing="0" w:line="360" w:lineRule="auto"/>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3.4.1.3单价金额小数点或者百分比有明显错位的，以开标一览表的总价为准，并修改单价;</w:t>
      </w:r>
    </w:p>
    <w:p w14:paraId="2D680371">
      <w:pPr>
        <w:pStyle w:val="217"/>
        <w:pageBreakBefore w:val="0"/>
        <w:kinsoku/>
        <w:wordWrap/>
        <w:overflowPunct/>
        <w:topLinePunct w:val="0"/>
        <w:autoSpaceDE/>
        <w:autoSpaceDN/>
        <w:bidi w:val="0"/>
        <w:spacing w:before="0" w:beforeAutospacing="0" w:afterAutospacing="0" w:line="360" w:lineRule="auto"/>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3.4.1.4总价金额与按单价汇总金额不一致的，以单价金额计算结果为准。</w:t>
      </w:r>
    </w:p>
    <w:p w14:paraId="11634423">
      <w:pPr>
        <w:pStyle w:val="217"/>
        <w:pageBreakBefore w:val="0"/>
        <w:kinsoku/>
        <w:wordWrap/>
        <w:overflowPunct/>
        <w:topLinePunct w:val="0"/>
        <w:autoSpaceDE/>
        <w:autoSpaceDN/>
        <w:bidi w:val="0"/>
        <w:spacing w:before="0" w:beforeAutospacing="0" w:afterAutospacing="0" w:line="360" w:lineRule="auto"/>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3.4.1.5同时出现两种以上不一致的，按照3.4.1规定的顺序修正。修正后的报价经投标人确认后产生约束力。</w:t>
      </w:r>
    </w:p>
    <w:p w14:paraId="1D422455">
      <w:pPr>
        <w:pageBreakBefore w:val="0"/>
        <w:kinsoku/>
        <w:wordWrap/>
        <w:overflowPunct/>
        <w:topLinePunct w:val="0"/>
        <w:autoSpaceDE/>
        <w:autoSpaceDN/>
        <w:bidi w:val="0"/>
        <w:snapToGrid w:val="0"/>
        <w:spacing w:beforeAutospacing="0" w:afterAutospacing="0" w:line="36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3.4.2</w:t>
      </w:r>
      <w:r>
        <w:rPr>
          <w:rFonts w:hint="eastAsia" w:ascii="宋体" w:hAnsi="宋体" w:eastAsia="宋体" w:cs="宋体"/>
          <w:color w:val="auto"/>
          <w:kern w:val="0"/>
          <w:sz w:val="24"/>
          <w:szCs w:val="24"/>
          <w:highlight w:val="none"/>
        </w:rPr>
        <w:t>投标文件出现不是唯一的、有选择性投标报价的，投标无效。</w:t>
      </w:r>
    </w:p>
    <w:p w14:paraId="51D1AC2B">
      <w:pPr>
        <w:pageBreakBefore w:val="0"/>
        <w:kinsoku/>
        <w:wordWrap/>
        <w:overflowPunct/>
        <w:topLinePunct w:val="0"/>
        <w:autoSpaceDE/>
        <w:autoSpaceDN/>
        <w:bidi w:val="0"/>
        <w:snapToGrid w:val="0"/>
        <w:spacing w:beforeAutospacing="0" w:afterAutospacing="0" w:line="36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3.4.3</w:t>
      </w:r>
      <w:r>
        <w:rPr>
          <w:rFonts w:hint="eastAsia" w:ascii="宋体" w:hAnsi="宋体" w:eastAsia="宋体" w:cs="宋体"/>
          <w:color w:val="auto"/>
          <w:kern w:val="0"/>
          <w:sz w:val="24"/>
          <w:szCs w:val="24"/>
          <w:highlight w:val="none"/>
        </w:rPr>
        <w:t>投标报价超过招标文件中规定的最高限价的，投标无效。</w:t>
      </w:r>
    </w:p>
    <w:p w14:paraId="55C6E060">
      <w:pPr>
        <w:pStyle w:val="217"/>
        <w:pageBreakBefore w:val="0"/>
        <w:kinsoku/>
        <w:wordWrap/>
        <w:overflowPunct/>
        <w:topLinePunct w:val="0"/>
        <w:autoSpaceDE/>
        <w:autoSpaceDN/>
        <w:bidi w:val="0"/>
        <w:spacing w:before="0" w:beforeAutospacing="0" w:afterAutospacing="0" w:line="360" w:lineRule="auto"/>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3.4.4</w:t>
      </w:r>
      <w:r>
        <w:rPr>
          <w:rFonts w:hint="eastAsia" w:ascii="宋体" w:hAnsi="宋体" w:eastAsia="宋体" w:cs="宋体"/>
          <w:color w:val="auto"/>
          <w:kern w:val="0"/>
          <w:sz w:val="24"/>
          <w:szCs w:val="24"/>
          <w:highlight w:val="none"/>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81A8C5F">
      <w:pPr>
        <w:pageBreakBefore w:val="0"/>
        <w:kinsoku/>
        <w:wordWrap/>
        <w:overflowPunct/>
        <w:topLinePunct w:val="0"/>
        <w:autoSpaceDE/>
        <w:autoSpaceDN/>
        <w:bidi w:val="0"/>
        <w:spacing w:beforeAutospacing="0" w:afterAutospacing="0"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w:t>
      </w:r>
      <w:r>
        <w:rPr>
          <w:rFonts w:hint="eastAsia" w:ascii="宋体" w:hAnsi="宋体" w:eastAsia="宋体" w:cs="宋体"/>
          <w:b/>
          <w:color w:val="auto"/>
          <w:kern w:val="0"/>
          <w:sz w:val="24"/>
          <w:szCs w:val="24"/>
          <w:highlight w:val="none"/>
        </w:rPr>
        <w:t>排序与推荐。</w:t>
      </w:r>
      <w:r>
        <w:rPr>
          <w:rFonts w:hint="eastAsia" w:ascii="宋体" w:hAnsi="宋体" w:eastAsia="宋体" w:cs="宋体"/>
          <w:color w:val="auto"/>
          <w:kern w:val="0"/>
          <w:sz w:val="24"/>
          <w:szCs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AF5BBEE">
      <w:pPr>
        <w:pageBreakBefore w:val="0"/>
        <w:kinsoku/>
        <w:wordWrap/>
        <w:overflowPunct/>
        <w:topLinePunct w:val="0"/>
        <w:autoSpaceDE/>
        <w:autoSpaceDN/>
        <w:bidi w:val="0"/>
        <w:spacing w:beforeAutospacing="0" w:afterAutospacing="0"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55212A5">
      <w:pPr>
        <w:pageBreakBefore w:val="0"/>
        <w:widowControl/>
        <w:kinsoku/>
        <w:wordWrap/>
        <w:overflowPunct/>
        <w:topLinePunct w:val="0"/>
        <w:autoSpaceDE/>
        <w:autoSpaceDN/>
        <w:bidi w:val="0"/>
        <w:adjustRightInd/>
        <w:spacing w:beforeAutospacing="0" w:afterAutospacing="0" w:line="36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3.5编写评标报告。</w:t>
      </w:r>
      <w:r>
        <w:rPr>
          <w:rFonts w:hint="eastAsia" w:ascii="宋体" w:hAnsi="宋体" w:eastAsia="宋体" w:cs="宋体"/>
          <w:color w:val="auto"/>
          <w:kern w:val="0"/>
          <w:sz w:val="24"/>
          <w:szCs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49F12F2">
      <w:pPr>
        <w:pageBreakBefore w:val="0"/>
        <w:widowControl/>
        <w:kinsoku/>
        <w:wordWrap/>
        <w:overflowPunct/>
        <w:topLinePunct w:val="0"/>
        <w:autoSpaceDE/>
        <w:autoSpaceDN/>
        <w:bidi w:val="0"/>
        <w:adjustRightInd/>
        <w:spacing w:beforeAutospacing="0" w:afterAutospacing="0" w:line="360" w:lineRule="auto"/>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四、评标中的其他事项</w:t>
      </w:r>
    </w:p>
    <w:p w14:paraId="4575D1CE">
      <w:pPr>
        <w:pStyle w:val="217"/>
        <w:pageBreakBefore w:val="0"/>
        <w:kinsoku/>
        <w:wordWrap/>
        <w:overflowPunct/>
        <w:topLinePunct w:val="0"/>
        <w:autoSpaceDE/>
        <w:autoSpaceDN/>
        <w:bidi w:val="0"/>
        <w:spacing w:before="0" w:beforeAutospacing="0" w:afterAutospacing="0" w:line="360" w:lineRule="auto"/>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w:t>
      </w:r>
      <w:r>
        <w:rPr>
          <w:rFonts w:hint="eastAsia" w:ascii="宋体" w:hAnsi="宋体" w:eastAsia="宋体" w:cs="宋体"/>
          <w:b/>
          <w:color w:val="auto"/>
          <w:kern w:val="0"/>
          <w:sz w:val="24"/>
          <w:szCs w:val="24"/>
          <w:highlight w:val="none"/>
        </w:rPr>
        <w:t>投标人澄清、说明或者补正。</w:t>
      </w:r>
      <w:r>
        <w:rPr>
          <w:rFonts w:hint="eastAsia" w:ascii="宋体" w:hAnsi="宋体" w:eastAsia="宋体" w:cs="宋体"/>
          <w:color w:val="auto"/>
          <w:kern w:val="0"/>
          <w:sz w:val="24"/>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章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BC168A9">
      <w:pPr>
        <w:pageBreakBefore w:val="0"/>
        <w:widowControl/>
        <w:shd w:val="clear" w:color="auto" w:fill="FFFFFF"/>
        <w:kinsoku/>
        <w:wordWrap/>
        <w:overflowPunct/>
        <w:topLinePunct w:val="0"/>
        <w:autoSpaceDE/>
        <w:autoSpaceDN/>
        <w:bidi w:val="0"/>
        <w:adjustRightInd/>
        <w:spacing w:beforeAutospacing="0" w:afterAutospacing="0" w:line="360" w:lineRule="auto"/>
        <w:jc w:val="left"/>
        <w:textAlignment w:val="auto"/>
        <w:rPr>
          <w:rFonts w:hint="eastAsia" w:ascii="宋体" w:hAnsi="宋体" w:eastAsia="宋体" w:cs="宋体"/>
          <w:color w:val="auto"/>
          <w:kern w:val="0"/>
          <w:sz w:val="24"/>
          <w:szCs w:val="24"/>
          <w:highlight w:val="none"/>
        </w:rPr>
      </w:pPr>
    </w:p>
    <w:p w14:paraId="3D4C8543">
      <w:pPr>
        <w:pStyle w:val="24"/>
        <w:pageBreakBefore w:val="0"/>
        <w:kinsoku/>
        <w:wordWrap/>
        <w:overflowPunct/>
        <w:topLinePunct w:val="0"/>
        <w:autoSpaceDE/>
        <w:autoSpaceDN/>
        <w:bidi w:val="0"/>
        <w:spacing w:beforeAutospacing="0" w:afterAutospacing="0" w:line="360" w:lineRule="auto"/>
        <w:ind w:left="559" w:hanging="559" w:hangingChars="199"/>
        <w:textAlignment w:val="auto"/>
        <w:rPr>
          <w:rFonts w:hint="eastAsia" w:ascii="宋体" w:hAnsi="宋体" w:eastAsia="宋体" w:cs="宋体"/>
          <w:color w:val="auto"/>
          <w:sz w:val="24"/>
          <w:szCs w:val="24"/>
          <w:highlight w:val="none"/>
        </w:rPr>
      </w:pPr>
      <w:r>
        <w:rPr>
          <w:rFonts w:hint="eastAsia" w:ascii="宋体" w:hAnsi="宋体" w:eastAsia="宋体" w:cs="宋体"/>
          <w:b/>
          <w:color w:val="auto"/>
          <w:spacing w:val="20"/>
          <w:sz w:val="24"/>
          <w:szCs w:val="24"/>
          <w:highlight w:val="none"/>
        </w:rPr>
        <w:t>4.2投标无效。</w:t>
      </w:r>
      <w:r>
        <w:rPr>
          <w:rFonts w:hint="eastAsia" w:ascii="宋体" w:hAnsi="宋体" w:eastAsia="宋体" w:cs="宋体"/>
          <w:color w:val="auto"/>
          <w:sz w:val="24"/>
          <w:szCs w:val="24"/>
          <w:highlight w:val="none"/>
        </w:rPr>
        <w:t>有下列情况之一的，投标无效：</w:t>
      </w:r>
    </w:p>
    <w:p w14:paraId="04F86FDA">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4.2.1投标人不具备招标文件中规定的资格要求的（投标人未提供有效的资格文件的，视为投标人不具备招标文件中规定的资格要求）；</w:t>
      </w:r>
    </w:p>
    <w:p w14:paraId="6B0E25D8">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4.2.2投标文件未按照招标文件要求签署、盖章的；</w:t>
      </w:r>
    </w:p>
    <w:p w14:paraId="08DFD3C3">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4.2.3投标文件含有采购人不能接受的附加条件的；</w:t>
      </w:r>
    </w:p>
    <w:p w14:paraId="6AE782FC">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4.2.4投标文件中承诺的投标有效期少于招标文件中载明的投标有效期的；</w:t>
      </w:r>
    </w:p>
    <w:p w14:paraId="46D79074">
      <w:pPr>
        <w:pageBreakBefore w:val="0"/>
        <w:kinsoku/>
        <w:wordWrap/>
        <w:overflowPunct/>
        <w:topLinePunct w:val="0"/>
        <w:autoSpaceDE/>
        <w:autoSpaceDN/>
        <w:bidi w:val="0"/>
        <w:snapToGrid w:val="0"/>
        <w:spacing w:beforeAutospacing="0" w:afterAutospacing="0" w:line="360" w:lineRule="auto"/>
        <w:ind w:firstLine="120" w:firstLineChars="5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4.2.5投标文件出现不是唯一的、有选择性投标报价的;</w:t>
      </w:r>
    </w:p>
    <w:p w14:paraId="7220A79B">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4.2.6投标报价超过招标文件中规定的最高限价的;</w:t>
      </w:r>
    </w:p>
    <w:p w14:paraId="2B688156">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4.2.7报价明显低于其他通过符合性审查投标人的报价，有可能影响产品质量或者不能诚信履约的，未能按要求提供书面说明或者提交相关证明材料，不能证明其报价合理性的;</w:t>
      </w:r>
    </w:p>
    <w:p w14:paraId="31B7A65F">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4.2.8投标人对根据修正原则修正后的报价不确认的；</w:t>
      </w:r>
    </w:p>
    <w:p w14:paraId="4CEB09AB">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4.2.9投标人提供虚假材料投标的；</w:t>
      </w:r>
    </w:p>
    <w:p w14:paraId="6F4C8D0F">
      <w:pPr>
        <w:pageBreakBefore w:val="0"/>
        <w:kinsoku/>
        <w:wordWrap/>
        <w:overflowPunct/>
        <w:topLinePunct w:val="0"/>
        <w:autoSpaceDE/>
        <w:autoSpaceDN/>
        <w:bidi w:val="0"/>
        <w:spacing w:beforeAutospacing="0" w:afterAutospacing="0" w:line="360" w:lineRule="auto"/>
        <w:ind w:firstLine="240" w:firstLineChars="1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4.2.10投标人有恶意串通、妨碍其他投标人的竞争行为、损害采购人或者其他投标人的合法权益情形的；</w:t>
      </w:r>
    </w:p>
    <w:p w14:paraId="2ADC69DA">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4.2.11投标人仅提交备份投标文件，没有在电子交易平台传输递交投标文件的，投标无效；</w:t>
      </w:r>
    </w:p>
    <w:p w14:paraId="6E72E823">
      <w:pPr>
        <w:pStyle w:val="3"/>
        <w:pageBreakBefore w:val="0"/>
        <w:numPr>
          <w:ilvl w:val="0"/>
          <w:numId w:val="0"/>
        </w:numPr>
        <w:kinsoku/>
        <w:wordWrap/>
        <w:overflowPunct/>
        <w:topLinePunct w:val="0"/>
        <w:autoSpaceDE/>
        <w:autoSpaceDN/>
        <w:bidi w:val="0"/>
        <w:spacing w:beforeAutospacing="0" w:afterAutospacing="0" w:line="360" w:lineRule="auto"/>
        <w:ind w:left="434"/>
        <w:textAlignment w:val="auto"/>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4.2.12 投标文件不满足招标文件的其它实质性要求的；</w:t>
      </w:r>
    </w:p>
    <w:p w14:paraId="1803AE51">
      <w:pPr>
        <w:pageBreakBefore w:val="0"/>
        <w:kinsoku/>
        <w:wordWrap/>
        <w:overflowPunct/>
        <w:topLinePunct w:val="0"/>
        <w:autoSpaceDE/>
        <w:autoSpaceDN/>
        <w:bidi w:val="0"/>
        <w:spacing w:beforeAutospacing="0" w:afterAutospacing="0"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4.2.13法律、法规、规章（适用本市的）及省级以上规范性文件（适用本市的）规定的其他无效情形。</w:t>
      </w:r>
    </w:p>
    <w:p w14:paraId="2EF567C8">
      <w:pPr>
        <w:pStyle w:val="24"/>
        <w:pageBreakBefore w:val="0"/>
        <w:kinsoku/>
        <w:wordWrap/>
        <w:overflowPunct/>
        <w:topLinePunct w:val="0"/>
        <w:autoSpaceDE/>
        <w:autoSpaceDN/>
        <w:bidi w:val="0"/>
        <w:snapToGrid w:val="0"/>
        <w:spacing w:beforeAutospacing="0" w:afterAutospacing="0"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5.废标。</w:t>
      </w:r>
      <w:r>
        <w:rPr>
          <w:rFonts w:hint="eastAsia" w:ascii="宋体" w:hAnsi="宋体" w:eastAsia="宋体" w:cs="宋体"/>
          <w:color w:val="auto"/>
          <w:sz w:val="24"/>
          <w:szCs w:val="24"/>
          <w:highlight w:val="none"/>
        </w:rPr>
        <w:t>根据《中华人民共和国政府采购法》第三十六条之规定，在采购中，出现下列情形之一的，应予废标：</w:t>
      </w:r>
    </w:p>
    <w:p w14:paraId="72395CC2">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5.1符合专业条件的供应商或者对招标文件作实质响应的供应商不足3家的；</w:t>
      </w:r>
    </w:p>
    <w:p w14:paraId="2F331481">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5.2出现影响采购公正的违法、违规行为的；</w:t>
      </w:r>
    </w:p>
    <w:p w14:paraId="049781A6">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5.3投标人的报价均超过了采购预算，采购人不能支付的；</w:t>
      </w:r>
    </w:p>
    <w:p w14:paraId="0C2C9E24">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5.4因重大变故，采购任务取消的。</w:t>
      </w:r>
    </w:p>
    <w:p w14:paraId="598B2FD9">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废标后，采购机构应当将废标理由通知所有投标人。</w:t>
      </w:r>
    </w:p>
    <w:p w14:paraId="0F218E63">
      <w:pPr>
        <w:pStyle w:val="24"/>
        <w:pageBreakBefore w:val="0"/>
        <w:kinsoku/>
        <w:wordWrap/>
        <w:overflowPunct/>
        <w:topLinePunct w:val="0"/>
        <w:autoSpaceDE/>
        <w:autoSpaceDN/>
        <w:bidi w:val="0"/>
        <w:snapToGrid w:val="0"/>
        <w:spacing w:beforeAutospacing="0" w:afterAutospacing="0" w:line="360" w:lineRule="auto"/>
        <w:ind w:firstLine="118" w:firstLineChars="49"/>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6.修改招标文件，重新组织采购活动。</w:t>
      </w:r>
      <w:r>
        <w:rPr>
          <w:rFonts w:hint="eastAsia" w:ascii="宋体" w:hAnsi="宋体" w:eastAsia="宋体" w:cs="宋体"/>
          <w:color w:val="auto"/>
          <w:sz w:val="24"/>
          <w:szCs w:val="24"/>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6642E0AE">
      <w:pPr>
        <w:pStyle w:val="24"/>
        <w:pageBreakBefore w:val="0"/>
        <w:kinsoku/>
        <w:wordWrap/>
        <w:overflowPunct/>
        <w:topLinePunct w:val="0"/>
        <w:autoSpaceDE/>
        <w:autoSpaceDN/>
        <w:bidi w:val="0"/>
        <w:snapToGrid w:val="0"/>
        <w:spacing w:beforeAutospacing="0" w:afterAutospacing="0" w:line="360" w:lineRule="auto"/>
        <w:ind w:firstLine="118" w:firstLineChars="49"/>
        <w:textAlignment w:val="auto"/>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rPr>
        <w:t>7.重新开展采购。</w:t>
      </w:r>
      <w:r>
        <w:rPr>
          <w:rFonts w:hint="eastAsia" w:ascii="宋体" w:hAnsi="宋体" w:eastAsia="宋体" w:cs="宋体"/>
          <w:color w:val="auto"/>
          <w:sz w:val="24"/>
          <w:szCs w:val="24"/>
          <w:highlight w:val="none"/>
        </w:rPr>
        <w:t>有政府采购法第七十一条、第七十二条规定的违法行为之一，影响或者可能影响中标、成交结果的，依照下列规定处理：</w:t>
      </w:r>
    </w:p>
    <w:p w14:paraId="0D671CD4">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7.1未确定中标或者中标人的，终止本次采购活动，重新开展采购活动。</w:t>
      </w:r>
    </w:p>
    <w:p w14:paraId="5B565D6A">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7.2已确定中标或者中标人但尚未签订采购合同的，中标或者成交结果无效，从合格的中标或者成交候选人中另行确定中标或者中标人；没有合格的中标或者成交候选人的，重新开展采购活动。</w:t>
      </w:r>
    </w:p>
    <w:p w14:paraId="7439A776">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7.3采购合同已签订但尚未履行的，撤销合同，从合格的中标或者成交候选人中另行确定中标或者中标人；没有合格的中标或者成交候选人的，重新开展采购活动。</w:t>
      </w:r>
    </w:p>
    <w:p w14:paraId="0E7C302E">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7.4采购合同已经履行，给采购人、供应商造成损失的，由责任人承担赔偿责任。</w:t>
      </w:r>
    </w:p>
    <w:p w14:paraId="623E6219">
      <w:pPr>
        <w:pStyle w:val="24"/>
        <w:pageBreakBefore w:val="0"/>
        <w:kinsoku/>
        <w:wordWrap/>
        <w:overflowPunct/>
        <w:topLinePunct w:val="0"/>
        <w:autoSpaceDE/>
        <w:autoSpaceDN/>
        <w:bidi w:val="0"/>
        <w:snapToGrid w:val="0"/>
        <w:spacing w:beforeAutospacing="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7.5采购当事人有其他违反相关</w:t>
      </w:r>
      <w:r>
        <w:rPr>
          <w:rFonts w:hint="eastAsia" w:ascii="宋体" w:hAnsi="宋体" w:eastAsia="宋体" w:cs="宋体"/>
          <w:color w:val="auto"/>
          <w:kern w:val="0"/>
          <w:sz w:val="24"/>
          <w:szCs w:val="24"/>
          <w:highlight w:val="none"/>
        </w:rPr>
        <w:t>法律法规规定</w:t>
      </w:r>
      <w:r>
        <w:rPr>
          <w:rFonts w:hint="eastAsia" w:ascii="宋体" w:hAnsi="宋体" w:eastAsia="宋体" w:cs="宋体"/>
          <w:color w:val="auto"/>
          <w:sz w:val="24"/>
          <w:szCs w:val="24"/>
          <w:highlight w:val="none"/>
        </w:rPr>
        <w:t>的行为，经改正后仍然影响或者可能影响中标、成交结果或者依法被认定为中标、成交无效的，依照7.1-7.4规定处理。</w:t>
      </w:r>
    </w:p>
    <w:p w14:paraId="71A265F3">
      <w:pPr>
        <w:widowControl/>
        <w:spacing w:line="360" w:lineRule="auto"/>
        <w:ind w:firstLine="480" w:firstLineChars="200"/>
        <w:rPr>
          <w:rFonts w:hint="eastAsia" w:ascii="宋体" w:hAnsi="宋体" w:eastAsia="宋体" w:cs="宋体"/>
          <w:color w:val="auto"/>
          <w:sz w:val="24"/>
          <w:highlight w:val="none"/>
        </w:rPr>
      </w:pPr>
    </w:p>
    <w:p w14:paraId="7E44C38E">
      <w:pPr>
        <w:pStyle w:val="2"/>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highlight w:val="none"/>
        </w:rPr>
        <w:t>第五部分</w:t>
      </w:r>
      <w:bookmarkEnd w:id="51"/>
      <w:r>
        <w:rPr>
          <w:rFonts w:hint="eastAsia" w:ascii="宋体" w:hAnsi="宋体" w:eastAsia="宋体" w:cs="宋体"/>
          <w:color w:val="auto"/>
          <w:highlight w:val="none"/>
        </w:rPr>
        <w:t xml:space="preserve"> 拟签订的合同文本</w:t>
      </w:r>
      <w:bookmarkStart w:id="419" w:name="第五部分"/>
      <w:bookmarkStart w:id="420" w:name="_Toc86217003"/>
    </w:p>
    <w:p w14:paraId="6493A3C8">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190ED99B">
      <w:pPr>
        <w:spacing w:line="480" w:lineRule="auto"/>
        <w:jc w:val="center"/>
        <w:rPr>
          <w:rFonts w:hint="eastAsia" w:ascii="宋体" w:hAnsi="宋体" w:cs="宋体"/>
          <w:b/>
          <w:color w:val="auto"/>
          <w:sz w:val="36"/>
          <w:szCs w:val="36"/>
        </w:rPr>
      </w:pPr>
    </w:p>
    <w:p w14:paraId="32B14D54">
      <w:pPr>
        <w:spacing w:line="480" w:lineRule="auto"/>
        <w:jc w:val="center"/>
        <w:rPr>
          <w:rFonts w:hint="eastAsia" w:ascii="宋体" w:hAnsi="宋体" w:cs="宋体"/>
          <w:b/>
          <w:color w:val="auto"/>
          <w:sz w:val="36"/>
          <w:szCs w:val="36"/>
        </w:rPr>
      </w:pPr>
    </w:p>
    <w:p w14:paraId="7775721F">
      <w:pPr>
        <w:spacing w:line="480" w:lineRule="auto"/>
        <w:jc w:val="center"/>
        <w:rPr>
          <w:rFonts w:ascii="宋体" w:hAnsi="宋体" w:cs="宋体"/>
          <w:b/>
          <w:color w:val="auto"/>
          <w:sz w:val="36"/>
          <w:szCs w:val="36"/>
        </w:rPr>
      </w:pPr>
      <w:r>
        <w:rPr>
          <w:rFonts w:hint="eastAsia" w:ascii="宋体" w:hAnsi="宋体" w:cs="宋体"/>
          <w:b/>
          <w:color w:val="auto"/>
          <w:sz w:val="36"/>
          <w:szCs w:val="36"/>
        </w:rPr>
        <w:t>采购合同参考范本</w:t>
      </w:r>
    </w:p>
    <w:p w14:paraId="20EE5453">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14:paraId="5493413A">
      <w:pPr>
        <w:pStyle w:val="301"/>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21AD8F4E">
      <w:pPr>
        <w:spacing w:before="120" w:line="22" w:lineRule="atLeast"/>
        <w:rPr>
          <w:rFonts w:ascii="宋体" w:hAnsi="宋体" w:cs="宋体"/>
          <w:color w:val="auto"/>
          <w:sz w:val="24"/>
        </w:rPr>
      </w:pPr>
    </w:p>
    <w:p w14:paraId="1EACE8C4">
      <w:pPr>
        <w:pStyle w:val="3"/>
        <w:rPr>
          <w:color w:val="auto"/>
        </w:rPr>
      </w:pPr>
    </w:p>
    <w:p w14:paraId="6ADD62A6">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30F18CF0">
      <w:pPr>
        <w:pStyle w:val="621"/>
        <w:spacing w:before="120" w:line="22" w:lineRule="atLeast"/>
        <w:rPr>
          <w:rFonts w:ascii="宋体" w:hAnsi="宋体" w:eastAsia="宋体" w:cs="宋体"/>
          <w:color w:val="auto"/>
          <w:szCs w:val="24"/>
        </w:rPr>
      </w:pPr>
    </w:p>
    <w:p w14:paraId="6A1841C4">
      <w:pPr>
        <w:pStyle w:val="621"/>
        <w:spacing w:before="120" w:line="22" w:lineRule="atLeast"/>
        <w:rPr>
          <w:rFonts w:ascii="宋体" w:hAnsi="宋体" w:eastAsia="宋体" w:cs="宋体"/>
          <w:color w:val="auto"/>
          <w:szCs w:val="24"/>
        </w:rPr>
      </w:pPr>
    </w:p>
    <w:p w14:paraId="61A9AEFB">
      <w:pPr>
        <w:rPr>
          <w:rFonts w:ascii="宋体" w:hAnsi="宋体" w:cs="宋体"/>
          <w:color w:val="auto"/>
          <w:sz w:val="24"/>
        </w:rPr>
      </w:pPr>
    </w:p>
    <w:p w14:paraId="6D96A17A">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137EDB2C">
      <w:pPr>
        <w:spacing w:before="120" w:line="22" w:lineRule="atLeast"/>
        <w:rPr>
          <w:rFonts w:ascii="宋体" w:hAnsi="宋体" w:cs="宋体"/>
          <w:color w:val="auto"/>
          <w:sz w:val="24"/>
        </w:rPr>
      </w:pPr>
    </w:p>
    <w:p w14:paraId="03F9E1E8">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3E4B1E8B">
      <w:pPr>
        <w:spacing w:before="120" w:line="22" w:lineRule="atLeast"/>
        <w:rPr>
          <w:rFonts w:ascii="宋体" w:hAnsi="宋体" w:cs="宋体"/>
          <w:color w:val="auto"/>
          <w:sz w:val="24"/>
        </w:rPr>
      </w:pPr>
    </w:p>
    <w:p w14:paraId="6018097F">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290D76F5">
      <w:pPr>
        <w:spacing w:before="120" w:line="22" w:lineRule="atLeast"/>
        <w:rPr>
          <w:rFonts w:ascii="宋体" w:hAnsi="宋体" w:cs="宋体"/>
          <w:color w:val="auto"/>
          <w:sz w:val="24"/>
        </w:rPr>
      </w:pPr>
    </w:p>
    <w:p w14:paraId="79DC6F1A">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1C698F25">
      <w:pPr>
        <w:rPr>
          <w:rFonts w:ascii="宋体" w:hAnsi="宋体" w:cs="宋体"/>
          <w:b/>
          <w:color w:val="auto"/>
          <w:sz w:val="24"/>
        </w:rPr>
      </w:pPr>
      <w:r>
        <w:rPr>
          <w:rFonts w:ascii="宋体" w:hAnsi="宋体" w:cs="宋体"/>
          <w:b/>
          <w:color w:val="auto"/>
          <w:sz w:val="24"/>
        </w:rPr>
        <w:br w:type="page"/>
      </w:r>
    </w:p>
    <w:p w14:paraId="38F0276A">
      <w:pPr>
        <w:spacing w:line="560" w:lineRule="exact"/>
        <w:ind w:firstLine="480" w:firstLineChars="20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rPr>
        <w:t>（采购人）</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rPr>
        <w:t xml:space="preserve">（项目名称）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27777EDF">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根据《中华人民共和国民法典》等相关法律法规之规定，按照平等、自愿、公平和诚实信用的原则，经</w:t>
      </w:r>
      <w:r>
        <w:rPr>
          <w:rFonts w:ascii="宋体" w:hAnsi="宋体"/>
          <w:color w:val="auto"/>
          <w:sz w:val="24"/>
          <w:u w:val="single"/>
        </w:rPr>
        <w:t xml:space="preserve">   （采购人）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14:paraId="430A3DF9">
      <w:pPr>
        <w:spacing w:line="560" w:lineRule="exact"/>
        <w:ind w:firstLine="482" w:firstLineChars="200"/>
        <w:outlineLvl w:val="0"/>
        <w:rPr>
          <w:rFonts w:ascii="宋体" w:hAnsi="宋体"/>
          <w:color w:val="auto"/>
          <w:sz w:val="24"/>
        </w:rPr>
      </w:pPr>
      <w:bookmarkStart w:id="421" w:name="_Toc22967"/>
      <w:bookmarkStart w:id="422" w:name="_Toc28855"/>
      <w:bookmarkStart w:id="423" w:name="_Toc19273"/>
      <w:bookmarkStart w:id="424" w:name="_Toc20421"/>
      <w:bookmarkStart w:id="425" w:name="_Toc15367"/>
      <w:r>
        <w:rPr>
          <w:rFonts w:ascii="宋体" w:hAnsi="宋体"/>
          <w:b/>
          <w:color w:val="auto"/>
          <w:sz w:val="24"/>
        </w:rPr>
        <w:t xml:space="preserve">1.1 </w:t>
      </w:r>
      <w:r>
        <w:rPr>
          <w:rFonts w:hint="eastAsia" w:ascii="宋体" w:hAnsi="宋体"/>
          <w:b/>
          <w:color w:val="auto"/>
          <w:sz w:val="24"/>
        </w:rPr>
        <w:t>合同组成部分</w:t>
      </w:r>
      <w:bookmarkEnd w:id="421"/>
      <w:bookmarkEnd w:id="422"/>
      <w:bookmarkEnd w:id="423"/>
      <w:bookmarkEnd w:id="424"/>
      <w:bookmarkEnd w:id="425"/>
    </w:p>
    <w:p w14:paraId="6347BAC4">
      <w:pPr>
        <w:spacing w:line="560" w:lineRule="exact"/>
        <w:ind w:firstLine="480" w:firstLineChars="200"/>
        <w:rPr>
          <w:rFonts w:ascii="宋体" w:hAnsi="宋体"/>
          <w:color w:val="auto"/>
          <w:sz w:val="24"/>
        </w:rPr>
      </w:pPr>
      <w:r>
        <w:rPr>
          <w:rFonts w:hint="eastAsia" w:ascii="宋体" w:hAnsi="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9A986D6">
      <w:pPr>
        <w:spacing w:line="560" w:lineRule="exact"/>
        <w:ind w:firstLine="480" w:firstLineChars="200"/>
        <w:rPr>
          <w:rFonts w:ascii="宋体" w:hAnsi="宋体"/>
          <w:color w:val="auto"/>
          <w:sz w:val="24"/>
        </w:rPr>
      </w:pPr>
      <w:r>
        <w:rPr>
          <w:rFonts w:ascii="宋体" w:hAnsi="宋体"/>
          <w:color w:val="auto"/>
          <w:sz w:val="24"/>
        </w:rPr>
        <w:t xml:space="preserve">1.1.1 </w:t>
      </w:r>
      <w:r>
        <w:rPr>
          <w:rFonts w:hint="eastAsia" w:ascii="宋体" w:hAnsi="宋体"/>
          <w:color w:val="auto"/>
          <w:sz w:val="24"/>
        </w:rPr>
        <w:t>本合同及其补充合同、变更协议；</w:t>
      </w:r>
    </w:p>
    <w:p w14:paraId="4FF5068A">
      <w:pPr>
        <w:spacing w:line="560" w:lineRule="exact"/>
        <w:ind w:firstLine="480" w:firstLineChars="200"/>
        <w:rPr>
          <w:rFonts w:ascii="宋体" w:hAnsi="宋体"/>
          <w:color w:val="auto"/>
          <w:sz w:val="24"/>
        </w:rPr>
      </w:pPr>
      <w:r>
        <w:rPr>
          <w:rFonts w:ascii="宋体" w:hAnsi="宋体"/>
          <w:color w:val="auto"/>
          <w:sz w:val="24"/>
        </w:rPr>
        <w:t xml:space="preserve">1.1.2 </w:t>
      </w:r>
      <w:r>
        <w:rPr>
          <w:rFonts w:hint="eastAsia" w:ascii="宋体" w:hAnsi="宋体"/>
          <w:color w:val="auto"/>
          <w:sz w:val="24"/>
        </w:rPr>
        <w:t>中标或者成交通知书；</w:t>
      </w:r>
    </w:p>
    <w:p w14:paraId="2BBAD215">
      <w:pPr>
        <w:spacing w:line="560" w:lineRule="exact"/>
        <w:ind w:firstLine="480" w:firstLineChars="200"/>
        <w:rPr>
          <w:rFonts w:ascii="宋体" w:hAnsi="宋体"/>
          <w:color w:val="auto"/>
          <w:sz w:val="24"/>
        </w:rPr>
      </w:pPr>
      <w:r>
        <w:rPr>
          <w:rFonts w:ascii="宋体" w:hAnsi="宋体"/>
          <w:color w:val="auto"/>
          <w:sz w:val="24"/>
        </w:rPr>
        <w:t xml:space="preserve">1.1.3 </w:t>
      </w:r>
      <w:r>
        <w:rPr>
          <w:rFonts w:hint="eastAsia" w:ascii="宋体" w:hAnsi="宋体"/>
          <w:color w:val="auto"/>
          <w:sz w:val="24"/>
        </w:rPr>
        <w:t>投标或者响应文件（含澄清或者说明文件）；</w:t>
      </w:r>
    </w:p>
    <w:p w14:paraId="0576CA84">
      <w:pPr>
        <w:spacing w:line="560" w:lineRule="exact"/>
        <w:ind w:firstLine="480" w:firstLineChars="200"/>
        <w:rPr>
          <w:rFonts w:ascii="宋体" w:hAnsi="宋体"/>
          <w:color w:val="auto"/>
          <w:sz w:val="24"/>
        </w:rPr>
      </w:pPr>
      <w:r>
        <w:rPr>
          <w:rFonts w:ascii="宋体" w:hAnsi="宋体"/>
          <w:color w:val="auto"/>
          <w:sz w:val="24"/>
        </w:rPr>
        <w:t xml:space="preserve">1.1.4 </w:t>
      </w:r>
      <w:r>
        <w:rPr>
          <w:rFonts w:hint="eastAsia" w:ascii="宋体" w:hAnsi="宋体"/>
          <w:color w:val="auto"/>
          <w:sz w:val="24"/>
        </w:rPr>
        <w:t>采购文件（含澄清或者修改文件）；</w:t>
      </w:r>
    </w:p>
    <w:p w14:paraId="0AD9B9BE">
      <w:pPr>
        <w:spacing w:line="560" w:lineRule="exact"/>
        <w:ind w:firstLine="480" w:firstLineChars="200"/>
        <w:rPr>
          <w:rFonts w:ascii="宋体" w:hAnsi="宋体"/>
          <w:color w:val="auto"/>
          <w:sz w:val="24"/>
        </w:rPr>
      </w:pPr>
      <w:r>
        <w:rPr>
          <w:rFonts w:ascii="宋体" w:hAnsi="宋体"/>
          <w:color w:val="auto"/>
          <w:sz w:val="24"/>
        </w:rPr>
        <w:t xml:space="preserve">1.1.5 </w:t>
      </w:r>
      <w:r>
        <w:rPr>
          <w:rFonts w:hint="eastAsia" w:ascii="宋体" w:hAnsi="宋体"/>
          <w:color w:val="auto"/>
          <w:sz w:val="24"/>
        </w:rPr>
        <w:t>其他相关采购文件。</w:t>
      </w:r>
    </w:p>
    <w:p w14:paraId="063AF3B6">
      <w:pPr>
        <w:spacing w:line="560" w:lineRule="exact"/>
        <w:ind w:firstLine="482" w:firstLineChars="200"/>
        <w:outlineLvl w:val="0"/>
        <w:rPr>
          <w:rFonts w:ascii="宋体" w:hAnsi="宋体"/>
          <w:b/>
          <w:color w:val="auto"/>
          <w:sz w:val="24"/>
        </w:rPr>
      </w:pPr>
      <w:bookmarkStart w:id="426" w:name="_Toc18585"/>
      <w:bookmarkStart w:id="427" w:name="_Toc2918"/>
      <w:bookmarkStart w:id="428" w:name="_Toc22185"/>
      <w:bookmarkStart w:id="429" w:name="_Toc6773"/>
      <w:bookmarkStart w:id="430" w:name="_Toc6311"/>
      <w:r>
        <w:rPr>
          <w:rFonts w:ascii="宋体" w:hAnsi="宋体"/>
          <w:b/>
          <w:color w:val="auto"/>
          <w:sz w:val="24"/>
        </w:rPr>
        <w:t xml:space="preserve">1.2 </w:t>
      </w:r>
      <w:r>
        <w:rPr>
          <w:rFonts w:hint="eastAsia" w:ascii="宋体" w:hAnsi="宋体"/>
          <w:b/>
          <w:color w:val="auto"/>
          <w:sz w:val="24"/>
        </w:rPr>
        <w:t>标的</w:t>
      </w:r>
      <w:bookmarkEnd w:id="426"/>
      <w:bookmarkEnd w:id="427"/>
      <w:bookmarkEnd w:id="428"/>
      <w:bookmarkEnd w:id="429"/>
      <w:bookmarkEnd w:id="430"/>
    </w:p>
    <w:p w14:paraId="09C4FD7C">
      <w:pPr>
        <w:spacing w:line="560" w:lineRule="exact"/>
        <w:ind w:firstLine="480" w:firstLineChars="200"/>
        <w:rPr>
          <w:rFonts w:ascii="宋体" w:hAnsi="宋体"/>
          <w:color w:val="auto"/>
          <w:sz w:val="24"/>
          <w:u w:val="single"/>
        </w:rPr>
      </w:pPr>
      <w:r>
        <w:rPr>
          <w:rFonts w:ascii="宋体" w:hAnsi="宋体"/>
          <w:color w:val="auto"/>
          <w:sz w:val="24"/>
        </w:rPr>
        <w:t xml:space="preserve">1.2.1 </w:t>
      </w:r>
      <w:r>
        <w:rPr>
          <w:rFonts w:hint="eastAsia" w:ascii="宋体" w:hAnsi="宋体"/>
          <w:color w:val="auto"/>
          <w:sz w:val="24"/>
        </w:rPr>
        <w:t>服务内容</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48C69CF4">
      <w:pPr>
        <w:spacing w:line="560" w:lineRule="exact"/>
        <w:ind w:firstLine="480" w:firstLineChars="200"/>
        <w:rPr>
          <w:rFonts w:ascii="宋体" w:hAnsi="宋体"/>
          <w:color w:val="auto"/>
          <w:sz w:val="24"/>
          <w:u w:val="single"/>
        </w:rPr>
      </w:pPr>
      <w:r>
        <w:rPr>
          <w:rFonts w:ascii="宋体" w:hAnsi="宋体"/>
          <w:color w:val="auto"/>
          <w:sz w:val="24"/>
        </w:rPr>
        <w:t xml:space="preserve">1.2.2 </w:t>
      </w:r>
      <w:r>
        <w:rPr>
          <w:rFonts w:hint="eastAsia" w:ascii="宋体" w:hAnsi="宋体"/>
          <w:color w:val="auto"/>
          <w:sz w:val="24"/>
        </w:rPr>
        <w:t>服务标准</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0707478F">
      <w:pPr>
        <w:spacing w:line="560" w:lineRule="exact"/>
        <w:ind w:firstLine="480" w:firstLineChars="200"/>
        <w:rPr>
          <w:rFonts w:ascii="宋体" w:hAnsi="宋体"/>
          <w:color w:val="auto"/>
          <w:sz w:val="24"/>
          <w:u w:val="single"/>
        </w:rPr>
      </w:pPr>
      <w:r>
        <w:rPr>
          <w:rFonts w:ascii="宋体" w:hAnsi="宋体"/>
          <w:color w:val="auto"/>
          <w:sz w:val="24"/>
        </w:rPr>
        <w:t xml:space="preserve">1.2.3 </w:t>
      </w:r>
      <w:r>
        <w:rPr>
          <w:rFonts w:hint="eastAsia" w:ascii="宋体" w:hAnsi="宋体"/>
          <w:color w:val="auto"/>
          <w:sz w:val="24"/>
        </w:rPr>
        <w:t>技术保障：</w:t>
      </w:r>
      <w:r>
        <w:rPr>
          <w:rFonts w:ascii="宋体" w:hAnsi="宋体"/>
          <w:color w:val="auto"/>
          <w:sz w:val="24"/>
          <w:u w:val="single"/>
        </w:rPr>
        <w:t xml:space="preserve">　　　　　　　　　                      　      </w:t>
      </w:r>
      <w:r>
        <w:rPr>
          <w:rFonts w:hint="eastAsia" w:ascii="宋体" w:hAnsi="宋体"/>
          <w:color w:val="auto"/>
          <w:sz w:val="24"/>
          <w:u w:val="single"/>
        </w:rPr>
        <w:t>；</w:t>
      </w:r>
    </w:p>
    <w:p w14:paraId="5B7C7F58">
      <w:pPr>
        <w:spacing w:line="560" w:lineRule="exact"/>
        <w:ind w:firstLine="480" w:firstLineChars="200"/>
        <w:jc w:val="left"/>
        <w:rPr>
          <w:rFonts w:ascii="宋体" w:hAnsi="宋体"/>
          <w:color w:val="auto"/>
          <w:sz w:val="24"/>
        </w:rPr>
      </w:pPr>
      <w:r>
        <w:rPr>
          <w:rFonts w:hint="eastAsia" w:ascii="宋体" w:hAnsi="宋体"/>
          <w:color w:val="auto"/>
          <w:sz w:val="24"/>
        </w:rPr>
        <w:t>1.2.4 服务人员组成：</w:t>
      </w:r>
      <w:r>
        <w:rPr>
          <w:rFonts w:ascii="宋体" w:hAnsi="宋体"/>
          <w:color w:val="auto"/>
          <w:sz w:val="24"/>
          <w:u w:val="single"/>
        </w:rPr>
        <w:t xml:space="preserve">　　             　      </w:t>
      </w:r>
      <w:r>
        <w:rPr>
          <w:rFonts w:hint="eastAsia" w:ascii="宋体" w:hAnsi="宋体"/>
          <w:color w:val="auto"/>
          <w:sz w:val="24"/>
        </w:rPr>
        <w:t>；</w:t>
      </w:r>
    </w:p>
    <w:p w14:paraId="7586B04E">
      <w:pPr>
        <w:pStyle w:val="628"/>
        <w:spacing w:before="0" w:beforeAutospacing="0" w:after="0" w:afterAutospacing="0" w:line="360" w:lineRule="auto"/>
        <w:ind w:firstLine="480"/>
        <w:rPr>
          <w:color w:val="auto"/>
        </w:rPr>
      </w:pPr>
      <w:r>
        <w:rPr>
          <w:rFonts w:hint="eastAsia"/>
          <w:color w:val="auto"/>
        </w:rPr>
        <w:t>1.2.5合同</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否）涉及货物。若涉及货物的的，则：</w:t>
      </w:r>
    </w:p>
    <w:p w14:paraId="625E981E">
      <w:pPr>
        <w:spacing w:line="560" w:lineRule="exact"/>
        <w:ind w:firstLine="480" w:firstLineChars="200"/>
        <w:rPr>
          <w:rFonts w:ascii="宋体" w:hAnsi="宋体" w:cs="宋体"/>
          <w:color w:val="auto"/>
          <w:sz w:val="24"/>
          <w:u w:val="single"/>
        </w:rPr>
      </w:pPr>
      <w:bookmarkStart w:id="431" w:name="_Toc1386"/>
      <w:bookmarkStart w:id="432" w:name="_Toc21124"/>
      <w:bookmarkStart w:id="433" w:name="_Toc5635"/>
      <w:bookmarkStart w:id="434" w:name="_Toc13918"/>
      <w:bookmarkStart w:id="435" w:name="_Toc4929"/>
      <w:r>
        <w:rPr>
          <w:rFonts w:hint="eastAsia" w:ascii="宋体" w:hAnsi="宋体" w:cs="宋体"/>
          <w:color w:val="auto"/>
          <w:sz w:val="24"/>
        </w:rPr>
        <w:t>1.2.5.1 货物名称、品牌、规格型号、花色：</w:t>
      </w:r>
      <w:r>
        <w:rPr>
          <w:rFonts w:hint="eastAsia" w:ascii="宋体" w:hAnsi="宋体" w:cs="宋体"/>
          <w:color w:val="auto"/>
          <w:sz w:val="24"/>
          <w:u w:val="single"/>
        </w:rPr>
        <w:t xml:space="preserve">                      </w:t>
      </w:r>
      <w:r>
        <w:rPr>
          <w:rFonts w:hint="eastAsia" w:ascii="宋体" w:hAnsi="宋体" w:cs="宋体"/>
          <w:color w:val="auto"/>
          <w:sz w:val="24"/>
        </w:rPr>
        <w:t>；</w:t>
      </w:r>
    </w:p>
    <w:p w14:paraId="0C78FC24">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1.2.5.2 货物数量：</w:t>
      </w:r>
      <w:r>
        <w:rPr>
          <w:rFonts w:hint="eastAsia" w:ascii="宋体" w:hAnsi="宋体" w:cs="宋体"/>
          <w:color w:val="auto"/>
          <w:sz w:val="24"/>
          <w:u w:val="single"/>
        </w:rPr>
        <w:t xml:space="preserve">                                       </w:t>
      </w:r>
      <w:r>
        <w:rPr>
          <w:rFonts w:hint="eastAsia" w:ascii="宋体" w:hAnsi="宋体" w:cs="宋体"/>
          <w:color w:val="auto"/>
          <w:sz w:val="24"/>
        </w:rPr>
        <w:t>；</w:t>
      </w:r>
    </w:p>
    <w:p w14:paraId="6D4C3E39">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1.2.5.3 货物质量：</w:t>
      </w:r>
      <w:r>
        <w:rPr>
          <w:rFonts w:hint="eastAsia" w:ascii="宋体" w:hAnsi="宋体" w:cs="宋体"/>
          <w:color w:val="auto"/>
          <w:sz w:val="24"/>
          <w:u w:val="single"/>
        </w:rPr>
        <w:t xml:space="preserve">　　　　　　　　　                      　 </w:t>
      </w:r>
      <w:r>
        <w:rPr>
          <w:rFonts w:hint="eastAsia" w:ascii="宋体" w:hAnsi="宋体" w:cs="宋体"/>
          <w:color w:val="auto"/>
          <w:sz w:val="24"/>
        </w:rPr>
        <w:t>；</w:t>
      </w:r>
    </w:p>
    <w:p w14:paraId="767469F6">
      <w:pPr>
        <w:spacing w:line="560" w:lineRule="exact"/>
        <w:ind w:firstLine="482" w:firstLineChars="200"/>
        <w:outlineLvl w:val="0"/>
        <w:rPr>
          <w:rFonts w:ascii="宋体" w:hAnsi="宋体"/>
          <w:b/>
          <w:color w:val="auto"/>
          <w:sz w:val="24"/>
        </w:rPr>
      </w:pPr>
      <w:r>
        <w:rPr>
          <w:rFonts w:ascii="宋体" w:hAnsi="宋体"/>
          <w:b/>
          <w:color w:val="auto"/>
          <w:sz w:val="24"/>
        </w:rPr>
        <w:t>1.3 价款</w:t>
      </w:r>
      <w:bookmarkEnd w:id="431"/>
      <w:bookmarkEnd w:id="432"/>
      <w:bookmarkEnd w:id="433"/>
      <w:bookmarkEnd w:id="434"/>
      <w:bookmarkEnd w:id="435"/>
    </w:p>
    <w:p w14:paraId="3CB93CBA">
      <w:pPr>
        <w:spacing w:line="560" w:lineRule="exact"/>
        <w:ind w:firstLine="480" w:firstLineChars="200"/>
        <w:rPr>
          <w:rFonts w:ascii="宋体" w:hAnsi="宋体"/>
          <w:color w:val="auto"/>
          <w:sz w:val="24"/>
        </w:rPr>
      </w:pPr>
      <w:r>
        <w:rPr>
          <w:rFonts w:hint="eastAsia" w:ascii="宋体" w:hAnsi="宋体" w:cs="宋体"/>
          <w:color w:val="auto"/>
          <w:sz w:val="24"/>
        </w:rPr>
        <w:t>本项目采用以下第</w:t>
      </w:r>
      <w:r>
        <w:rPr>
          <w:rFonts w:hint="eastAsia" w:ascii="宋体" w:hAnsi="宋体" w:cs="宋体"/>
          <w:color w:val="auto"/>
          <w:sz w:val="24"/>
          <w:u w:val="single"/>
        </w:rPr>
        <w:t xml:space="preserve">     </w:t>
      </w:r>
      <w:r>
        <w:rPr>
          <w:rFonts w:hint="eastAsia" w:ascii="宋体" w:hAnsi="宋体" w:cs="宋体"/>
          <w:color w:val="auto"/>
          <w:sz w:val="24"/>
        </w:rPr>
        <w:t>条款规定的计价方式计价。</w:t>
      </w:r>
    </w:p>
    <w:p w14:paraId="396E3818">
      <w:pPr>
        <w:spacing w:line="560" w:lineRule="exact"/>
        <w:ind w:firstLine="480" w:firstLineChars="200"/>
        <w:rPr>
          <w:rFonts w:ascii="宋体" w:hAnsi="宋体"/>
          <w:color w:val="auto"/>
          <w:sz w:val="24"/>
        </w:rPr>
      </w:pPr>
      <w:r>
        <w:rPr>
          <w:rFonts w:hint="eastAsia" w:ascii="宋体" w:hAnsi="宋体"/>
          <w:color w:val="auto"/>
          <w:sz w:val="24"/>
        </w:rPr>
        <w:t>1.3.1总价合同，</w:t>
      </w:r>
      <w:r>
        <w:rPr>
          <w:rFonts w:ascii="宋体" w:hAnsi="宋体"/>
          <w:color w:val="auto"/>
          <w:sz w:val="24"/>
        </w:rPr>
        <w:t>本合同总价</w:t>
      </w:r>
      <w:r>
        <w:rPr>
          <w:rFonts w:hint="eastAsia" w:ascii="宋体" w:hAnsi="宋体"/>
          <w:color w:val="auto"/>
          <w:sz w:val="24"/>
        </w:rPr>
        <w:t>（含税）</w:t>
      </w:r>
      <w:r>
        <w:rPr>
          <w:rFonts w:ascii="宋体" w:hAnsi="宋体"/>
          <w:color w:val="auto"/>
          <w:sz w:val="24"/>
        </w:rPr>
        <w:t>为</w:t>
      </w:r>
      <w:r>
        <w:rPr>
          <w:rFonts w:hint="eastAsia" w:ascii="宋体" w:hAnsi="宋体"/>
          <w:color w:val="auto"/>
          <w:sz w:val="24"/>
        </w:rPr>
        <w:t>：￥</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r>
        <w:rPr>
          <w:rFonts w:ascii="宋体" w:hAnsi="宋体"/>
          <w:color w:val="auto"/>
          <w:sz w:val="24"/>
        </w:rPr>
        <w:t>。</w:t>
      </w:r>
    </w:p>
    <w:p w14:paraId="2873C81F">
      <w:pPr>
        <w:spacing w:line="560" w:lineRule="exact"/>
        <w:ind w:firstLine="480" w:firstLineChars="200"/>
        <w:rPr>
          <w:rFonts w:ascii="宋体" w:hAnsi="宋体"/>
          <w:color w:val="auto"/>
          <w:sz w:val="24"/>
          <w:u w:val="single"/>
        </w:rPr>
      </w:pPr>
      <w:r>
        <w:rPr>
          <w:rFonts w:ascii="宋体" w:hAnsi="宋体"/>
          <w:color w:val="auto"/>
          <w:sz w:val="24"/>
        </w:rPr>
        <w:t>分项价格：</w:t>
      </w:r>
    </w:p>
    <w:tbl>
      <w:tblPr>
        <w:tblStyle w:val="60"/>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F787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A4917A9">
            <w:pPr>
              <w:pStyle w:val="620"/>
              <w:spacing w:line="560" w:lineRule="exact"/>
              <w:jc w:val="center"/>
              <w:rPr>
                <w:rFonts w:hAnsi="宋体"/>
                <w:color w:val="auto"/>
                <w:sz w:val="24"/>
                <w:szCs w:val="24"/>
              </w:rPr>
            </w:pPr>
            <w:r>
              <w:rPr>
                <w:rFonts w:hAnsi="宋体"/>
                <w:color w:val="auto"/>
                <w:sz w:val="24"/>
                <w:szCs w:val="24"/>
              </w:rPr>
              <w:t>序号</w:t>
            </w:r>
          </w:p>
        </w:tc>
        <w:tc>
          <w:tcPr>
            <w:tcW w:w="3402" w:type="dxa"/>
            <w:vAlign w:val="center"/>
          </w:tcPr>
          <w:p w14:paraId="527C6440">
            <w:pPr>
              <w:pStyle w:val="620"/>
              <w:spacing w:line="560" w:lineRule="exact"/>
              <w:ind w:firstLine="200"/>
              <w:jc w:val="center"/>
              <w:rPr>
                <w:rFonts w:hAnsi="宋体"/>
                <w:color w:val="auto"/>
                <w:sz w:val="24"/>
                <w:szCs w:val="24"/>
              </w:rPr>
            </w:pPr>
            <w:r>
              <w:rPr>
                <w:rFonts w:hint="eastAsia" w:hAnsi="宋体"/>
                <w:color w:val="auto"/>
                <w:sz w:val="24"/>
                <w:szCs w:val="24"/>
              </w:rPr>
              <w:t>分项名称</w:t>
            </w:r>
          </w:p>
        </w:tc>
        <w:tc>
          <w:tcPr>
            <w:tcW w:w="2552" w:type="dxa"/>
            <w:vAlign w:val="center"/>
          </w:tcPr>
          <w:p w14:paraId="078FE34D">
            <w:pPr>
              <w:pStyle w:val="620"/>
              <w:spacing w:line="560" w:lineRule="exact"/>
              <w:jc w:val="center"/>
              <w:rPr>
                <w:rFonts w:hAnsi="宋体"/>
                <w:color w:val="auto"/>
                <w:sz w:val="24"/>
                <w:szCs w:val="24"/>
              </w:rPr>
            </w:pPr>
            <w:r>
              <w:rPr>
                <w:rFonts w:hAnsi="宋体"/>
                <w:color w:val="auto"/>
                <w:sz w:val="24"/>
                <w:szCs w:val="24"/>
              </w:rPr>
              <w:t>分项价格</w:t>
            </w:r>
          </w:p>
        </w:tc>
      </w:tr>
      <w:tr w14:paraId="11D8F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C4FA8F">
            <w:pPr>
              <w:pStyle w:val="620"/>
              <w:spacing w:line="560" w:lineRule="exact"/>
              <w:ind w:firstLine="200"/>
              <w:jc w:val="center"/>
              <w:rPr>
                <w:rFonts w:hAnsi="宋体"/>
                <w:color w:val="auto"/>
                <w:sz w:val="24"/>
                <w:szCs w:val="24"/>
              </w:rPr>
            </w:pPr>
          </w:p>
        </w:tc>
        <w:tc>
          <w:tcPr>
            <w:tcW w:w="3402" w:type="dxa"/>
            <w:vAlign w:val="center"/>
          </w:tcPr>
          <w:p w14:paraId="12B79185">
            <w:pPr>
              <w:pStyle w:val="620"/>
              <w:spacing w:line="560" w:lineRule="exact"/>
              <w:ind w:firstLine="200"/>
              <w:jc w:val="center"/>
              <w:rPr>
                <w:rFonts w:hAnsi="宋体"/>
                <w:color w:val="auto"/>
                <w:sz w:val="24"/>
                <w:szCs w:val="24"/>
              </w:rPr>
            </w:pPr>
          </w:p>
        </w:tc>
        <w:tc>
          <w:tcPr>
            <w:tcW w:w="2552" w:type="dxa"/>
            <w:vAlign w:val="center"/>
          </w:tcPr>
          <w:p w14:paraId="5E0537D0">
            <w:pPr>
              <w:pStyle w:val="620"/>
              <w:spacing w:line="560" w:lineRule="exact"/>
              <w:ind w:firstLine="200"/>
              <w:jc w:val="center"/>
              <w:rPr>
                <w:rFonts w:hAnsi="宋体"/>
                <w:color w:val="auto"/>
                <w:sz w:val="24"/>
                <w:szCs w:val="24"/>
              </w:rPr>
            </w:pPr>
          </w:p>
        </w:tc>
      </w:tr>
      <w:tr w14:paraId="6295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03C8C981">
            <w:pPr>
              <w:pStyle w:val="620"/>
              <w:spacing w:line="560" w:lineRule="exact"/>
              <w:ind w:firstLine="200"/>
              <w:jc w:val="center"/>
              <w:rPr>
                <w:rFonts w:hAnsi="宋体"/>
                <w:color w:val="auto"/>
                <w:sz w:val="24"/>
                <w:szCs w:val="24"/>
              </w:rPr>
            </w:pPr>
          </w:p>
        </w:tc>
        <w:tc>
          <w:tcPr>
            <w:tcW w:w="3402" w:type="dxa"/>
            <w:vAlign w:val="center"/>
          </w:tcPr>
          <w:p w14:paraId="763776FB">
            <w:pPr>
              <w:pStyle w:val="620"/>
              <w:spacing w:line="560" w:lineRule="exact"/>
              <w:ind w:firstLine="200"/>
              <w:jc w:val="center"/>
              <w:rPr>
                <w:rFonts w:hAnsi="宋体"/>
                <w:color w:val="auto"/>
                <w:sz w:val="24"/>
                <w:szCs w:val="24"/>
              </w:rPr>
            </w:pPr>
          </w:p>
        </w:tc>
        <w:tc>
          <w:tcPr>
            <w:tcW w:w="2552" w:type="dxa"/>
            <w:vAlign w:val="center"/>
          </w:tcPr>
          <w:p w14:paraId="0C589A27">
            <w:pPr>
              <w:pStyle w:val="620"/>
              <w:spacing w:line="560" w:lineRule="exact"/>
              <w:ind w:firstLine="200"/>
              <w:jc w:val="center"/>
              <w:rPr>
                <w:rFonts w:hAnsi="宋体"/>
                <w:color w:val="auto"/>
                <w:sz w:val="24"/>
                <w:szCs w:val="24"/>
              </w:rPr>
            </w:pPr>
          </w:p>
        </w:tc>
      </w:tr>
      <w:tr w14:paraId="76D2A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68391CB">
            <w:pPr>
              <w:pStyle w:val="620"/>
              <w:spacing w:line="560" w:lineRule="exact"/>
              <w:ind w:firstLine="200"/>
              <w:jc w:val="center"/>
              <w:rPr>
                <w:rFonts w:hAnsi="宋体"/>
                <w:color w:val="auto"/>
                <w:sz w:val="24"/>
                <w:szCs w:val="24"/>
              </w:rPr>
            </w:pPr>
          </w:p>
        </w:tc>
        <w:tc>
          <w:tcPr>
            <w:tcW w:w="3402" w:type="dxa"/>
            <w:vAlign w:val="center"/>
          </w:tcPr>
          <w:p w14:paraId="268B3453">
            <w:pPr>
              <w:pStyle w:val="620"/>
              <w:spacing w:line="560" w:lineRule="exact"/>
              <w:ind w:firstLine="200"/>
              <w:jc w:val="center"/>
              <w:rPr>
                <w:rFonts w:hAnsi="宋体"/>
                <w:color w:val="auto"/>
                <w:sz w:val="24"/>
                <w:szCs w:val="24"/>
              </w:rPr>
            </w:pPr>
          </w:p>
        </w:tc>
        <w:tc>
          <w:tcPr>
            <w:tcW w:w="2552" w:type="dxa"/>
            <w:vAlign w:val="center"/>
          </w:tcPr>
          <w:p w14:paraId="6E683956">
            <w:pPr>
              <w:pStyle w:val="620"/>
              <w:spacing w:line="560" w:lineRule="exact"/>
              <w:ind w:firstLine="200"/>
              <w:jc w:val="center"/>
              <w:rPr>
                <w:rFonts w:hAnsi="宋体"/>
                <w:color w:val="auto"/>
                <w:sz w:val="24"/>
                <w:szCs w:val="24"/>
              </w:rPr>
            </w:pPr>
          </w:p>
        </w:tc>
      </w:tr>
      <w:tr w14:paraId="5C53C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89A42AB">
            <w:pPr>
              <w:pStyle w:val="620"/>
              <w:spacing w:line="560" w:lineRule="exact"/>
              <w:ind w:firstLine="200"/>
              <w:jc w:val="center"/>
              <w:rPr>
                <w:rFonts w:hAnsi="宋体"/>
                <w:color w:val="auto"/>
                <w:sz w:val="24"/>
                <w:szCs w:val="24"/>
              </w:rPr>
            </w:pPr>
          </w:p>
        </w:tc>
        <w:tc>
          <w:tcPr>
            <w:tcW w:w="3402" w:type="dxa"/>
            <w:vAlign w:val="center"/>
          </w:tcPr>
          <w:p w14:paraId="7371BF92">
            <w:pPr>
              <w:pStyle w:val="620"/>
              <w:spacing w:line="560" w:lineRule="exact"/>
              <w:ind w:firstLine="200"/>
              <w:jc w:val="center"/>
              <w:rPr>
                <w:rFonts w:hAnsi="宋体"/>
                <w:color w:val="auto"/>
                <w:sz w:val="24"/>
                <w:szCs w:val="24"/>
              </w:rPr>
            </w:pPr>
          </w:p>
        </w:tc>
        <w:tc>
          <w:tcPr>
            <w:tcW w:w="2552" w:type="dxa"/>
            <w:vAlign w:val="center"/>
          </w:tcPr>
          <w:p w14:paraId="0A9D4766">
            <w:pPr>
              <w:pStyle w:val="620"/>
              <w:spacing w:line="560" w:lineRule="exact"/>
              <w:ind w:firstLine="200"/>
              <w:jc w:val="center"/>
              <w:rPr>
                <w:rFonts w:hAnsi="宋体"/>
                <w:color w:val="auto"/>
                <w:sz w:val="24"/>
                <w:szCs w:val="24"/>
              </w:rPr>
            </w:pPr>
          </w:p>
        </w:tc>
      </w:tr>
      <w:tr w14:paraId="6CC6B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937870F">
            <w:pPr>
              <w:pStyle w:val="620"/>
              <w:spacing w:line="560" w:lineRule="exact"/>
              <w:ind w:firstLine="200"/>
              <w:jc w:val="center"/>
              <w:rPr>
                <w:rFonts w:hAnsi="宋体"/>
                <w:color w:val="auto"/>
                <w:sz w:val="24"/>
                <w:szCs w:val="24"/>
              </w:rPr>
            </w:pPr>
            <w:r>
              <w:rPr>
                <w:rFonts w:hint="eastAsia" w:hAnsi="宋体"/>
                <w:color w:val="auto"/>
                <w:sz w:val="24"/>
                <w:szCs w:val="24"/>
              </w:rPr>
              <w:t>总价</w:t>
            </w:r>
          </w:p>
        </w:tc>
        <w:tc>
          <w:tcPr>
            <w:tcW w:w="2552" w:type="dxa"/>
            <w:vAlign w:val="center"/>
          </w:tcPr>
          <w:p w14:paraId="7B30E541">
            <w:pPr>
              <w:pStyle w:val="620"/>
              <w:spacing w:line="560" w:lineRule="exact"/>
              <w:ind w:firstLine="200"/>
              <w:jc w:val="center"/>
              <w:rPr>
                <w:rFonts w:hAnsi="宋体"/>
                <w:color w:val="auto"/>
                <w:sz w:val="24"/>
                <w:szCs w:val="24"/>
              </w:rPr>
            </w:pPr>
          </w:p>
        </w:tc>
      </w:tr>
    </w:tbl>
    <w:p w14:paraId="42CB690A">
      <w:pPr>
        <w:spacing w:line="560" w:lineRule="exact"/>
        <w:ind w:firstLine="480" w:firstLineChars="200"/>
        <w:rPr>
          <w:rFonts w:ascii="宋体" w:hAnsi="宋体"/>
          <w:color w:val="auto"/>
          <w:sz w:val="24"/>
        </w:rPr>
      </w:pPr>
      <w:bookmarkStart w:id="436" w:name="_Toc30158"/>
      <w:bookmarkStart w:id="437" w:name="_Toc30506"/>
      <w:bookmarkStart w:id="438" w:name="_Toc14993"/>
      <w:bookmarkStart w:id="439" w:name="_Toc3654"/>
      <w:bookmarkStart w:id="440" w:name="_Toc26916"/>
      <w:r>
        <w:rPr>
          <w:rFonts w:hint="eastAsia" w:ascii="宋体" w:hAnsi="宋体"/>
          <w:bCs/>
          <w:color w:val="auto"/>
          <w:sz w:val="24"/>
        </w:rPr>
        <w:t>1.3.2单价合同，本合同单价（含税）标准为：</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服务工作量的计量方式为：</w:t>
      </w:r>
      <w:r>
        <w:rPr>
          <w:rFonts w:hint="eastAsia" w:ascii="宋体" w:hAnsi="宋体"/>
          <w:bCs/>
          <w:color w:val="auto"/>
          <w:sz w:val="24"/>
          <w:u w:val="single"/>
        </w:rPr>
        <w:t xml:space="preserve">       </w:t>
      </w:r>
      <w:r>
        <w:rPr>
          <w:rFonts w:hint="eastAsia" w:ascii="宋体" w:hAnsi="宋体" w:cs="宋体"/>
          <w:b/>
          <w:i/>
          <w:color w:val="auto"/>
          <w:sz w:val="24"/>
          <w:u w:val="single"/>
        </w:rPr>
        <w:t>合同专用条款</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单价合同，在合同履行期间内，根据实际完成的工作量据实结算，但结算总价上限不得超过预算金额或者双方确定的金额￥</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p>
    <w:p w14:paraId="7DB33FD1">
      <w:pPr>
        <w:pStyle w:val="3"/>
        <w:numPr>
          <w:numId w:val="0"/>
        </w:numPr>
        <w:ind w:leftChars="0"/>
        <w:rPr>
          <w:color w:val="auto"/>
          <w:lang w:val="en-US"/>
        </w:rPr>
      </w:pPr>
      <w:r>
        <w:rPr>
          <w:rFonts w:hint="eastAsia" w:ascii="宋体" w:hAnsi="宋体"/>
          <w:color w:val="auto"/>
          <w:sz w:val="24"/>
          <w:lang w:val="en-US"/>
        </w:rPr>
        <w:t xml:space="preserve">   </w:t>
      </w:r>
      <w:r>
        <w:rPr>
          <w:rFonts w:hint="eastAsia" w:ascii="宋体" w:hAnsi="宋体"/>
          <w:color w:val="auto"/>
          <w:sz w:val="24"/>
          <w:lang w:val="en-US" w:eastAsia="zh-CN"/>
        </w:rPr>
        <w:t xml:space="preserve"> </w:t>
      </w:r>
      <w:bookmarkStart w:id="526" w:name="_GoBack"/>
      <w:bookmarkEnd w:id="526"/>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436"/>
    <w:bookmarkEnd w:id="437"/>
    <w:bookmarkEnd w:id="438"/>
    <w:bookmarkEnd w:id="439"/>
    <w:bookmarkEnd w:id="440"/>
    <w:p w14:paraId="05FA7CB8">
      <w:pPr>
        <w:pStyle w:val="628"/>
        <w:spacing w:before="0" w:beforeAutospacing="0" w:after="0" w:afterAutospacing="0" w:line="360" w:lineRule="auto"/>
        <w:ind w:firstLine="480"/>
        <w:rPr>
          <w:b/>
          <w:color w:val="auto"/>
        </w:rPr>
      </w:pPr>
      <w:bookmarkStart w:id="441" w:name="_Toc31421"/>
      <w:bookmarkStart w:id="442" w:name="_Toc11108"/>
      <w:bookmarkStart w:id="443" w:name="_Toc3625"/>
      <w:bookmarkStart w:id="444" w:name="_Toc4760"/>
      <w:bookmarkStart w:id="445" w:name="_Toc8772"/>
      <w:r>
        <w:rPr>
          <w:rFonts w:hint="eastAsia"/>
          <w:b/>
          <w:color w:val="auto"/>
        </w:rPr>
        <w:t>1.4履约保证金</w:t>
      </w:r>
    </w:p>
    <w:p w14:paraId="1E23502D">
      <w:pPr>
        <w:pStyle w:val="628"/>
        <w:spacing w:before="0" w:beforeAutospacing="0" w:after="0" w:afterAutospacing="0" w:line="360" w:lineRule="auto"/>
        <w:ind w:firstLine="480"/>
        <w:rPr>
          <w:color w:val="auto"/>
        </w:rPr>
      </w:pPr>
      <w:r>
        <w:rPr>
          <w:rFonts w:hint="eastAsia"/>
          <w:color w:val="auto"/>
        </w:rPr>
        <w:t>乙方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否）需要支付履约保证金。若需要支付履约保证金的，则：</w:t>
      </w:r>
    </w:p>
    <w:p w14:paraId="38786740">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1.4.1履约保证金的比例为合同金额的</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18F2E25C">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1.4.2履约保证金支付方式详见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58033C5C">
      <w:pPr>
        <w:pStyle w:val="3"/>
        <w:numPr>
          <w:numId w:val="0"/>
        </w:numPr>
        <w:tabs>
          <w:tab w:val="left" w:pos="0"/>
          <w:tab w:val="clear" w:pos="432"/>
        </w:tabs>
        <w:spacing w:line="560" w:lineRule="exact"/>
        <w:ind w:leftChars="200"/>
        <w:rPr>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B04ADEC">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1.4.4甲方在项目验收结束后及时退还履约保证金。甲方在项目通过验收之日起</w:t>
      </w:r>
      <w:r>
        <w:rPr>
          <w:rFonts w:hint="eastAsia" w:ascii="宋体" w:hAnsi="宋体" w:cs="宋体"/>
          <w:color w:val="auto"/>
          <w:kern w:val="0"/>
          <w:sz w:val="24"/>
          <w:u w:val="single"/>
        </w:rPr>
        <w:t xml:space="preserve">       </w:t>
      </w:r>
      <w:r>
        <w:rPr>
          <w:rFonts w:hint="eastAsia" w:ascii="宋体" w:hAnsi="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u w:val="single"/>
        </w:rPr>
        <w:t xml:space="preserve">  0.05（可根据情况修改）  </w:t>
      </w:r>
      <w:r>
        <w:rPr>
          <w:rFonts w:hint="eastAsia" w:ascii="宋体" w:hAnsi="宋体" w:cs="宋体"/>
          <w:color w:val="auto"/>
          <w:kern w:val="0"/>
          <w:sz w:val="24"/>
        </w:rPr>
        <w:t>%计算，最高限额为本合同履约保证金的</w:t>
      </w:r>
      <w:r>
        <w:rPr>
          <w:rFonts w:hint="eastAsia" w:ascii="宋体" w:hAnsi="宋体" w:cs="宋体"/>
          <w:color w:val="auto"/>
          <w:kern w:val="0"/>
          <w:sz w:val="24"/>
          <w:u w:val="single"/>
        </w:rPr>
        <w:t xml:space="preserve">  20  </w:t>
      </w:r>
      <w:r>
        <w:rPr>
          <w:rFonts w:hint="eastAsia" w:ascii="宋体" w:hAnsi="宋体" w:cs="宋体"/>
          <w:color w:val="auto"/>
          <w:kern w:val="0"/>
          <w:sz w:val="24"/>
        </w:rPr>
        <w:t xml:space="preserve"> %。</w:t>
      </w:r>
    </w:p>
    <w:p w14:paraId="59E79582">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1.5预付款</w:t>
      </w:r>
    </w:p>
    <w:p w14:paraId="0C50CACF">
      <w:pPr>
        <w:pStyle w:val="628"/>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否）需要支付预付款。若需要支付预付款的，则：</w:t>
      </w:r>
    </w:p>
    <w:p w14:paraId="29691597">
      <w:pPr>
        <w:spacing w:line="560" w:lineRule="exact"/>
        <w:ind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58767331">
      <w:pPr>
        <w:pStyle w:val="628"/>
        <w:spacing w:before="0" w:beforeAutospacing="0" w:after="0" w:afterAutospacing="0" w:line="360" w:lineRule="auto"/>
        <w:ind w:firstLine="480"/>
        <w:rPr>
          <w:color w:val="auto"/>
        </w:rPr>
      </w:pPr>
      <w:r>
        <w:rPr>
          <w:rFonts w:hint="eastAsia"/>
          <w:color w:val="auto"/>
        </w:rPr>
        <w:t>1.5.2预付款的扣回方式详见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74449CEA">
      <w:pPr>
        <w:pStyle w:val="628"/>
        <w:spacing w:before="0" w:beforeAutospacing="0" w:after="0" w:afterAutospacing="0" w:line="360" w:lineRule="auto"/>
        <w:ind w:firstLine="480"/>
        <w:rPr>
          <w:color w:val="auto"/>
          <w:u w:val="single"/>
        </w:rPr>
      </w:pPr>
      <w:r>
        <w:rPr>
          <w:rFonts w:hint="eastAsia"/>
          <w:color w:val="auto"/>
        </w:rPr>
        <w:t>1.5.3预付款的担保措施详见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2E9E468A">
      <w:pPr>
        <w:pStyle w:val="628"/>
        <w:spacing w:before="0" w:beforeAutospacing="0" w:after="0" w:afterAutospacing="0" w:line="360" w:lineRule="auto"/>
        <w:ind w:firstLine="480"/>
        <w:rPr>
          <w:b/>
          <w:bCs/>
          <w:color w:val="auto"/>
        </w:rPr>
      </w:pPr>
      <w:r>
        <w:rPr>
          <w:rFonts w:hint="eastAsia"/>
          <w:b/>
          <w:bCs/>
          <w:color w:val="auto"/>
        </w:rPr>
        <w:t>1.6资金支付</w:t>
      </w:r>
    </w:p>
    <w:p w14:paraId="356E37A2">
      <w:pPr>
        <w:pStyle w:val="628"/>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3D185CD">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14:paraId="263611E5">
      <w:pPr>
        <w:spacing w:line="560" w:lineRule="exact"/>
        <w:ind w:firstLine="482" w:firstLineChars="200"/>
        <w:outlineLvl w:val="0"/>
        <w:rPr>
          <w:rFonts w:ascii="宋体" w:hAnsi="宋体"/>
          <w:b/>
          <w:color w:val="auto"/>
          <w:sz w:val="24"/>
        </w:rPr>
      </w:pPr>
      <w:r>
        <w:rPr>
          <w:rFonts w:ascii="宋体" w:hAnsi="宋体"/>
          <w:b/>
          <w:color w:val="auto"/>
          <w:sz w:val="24"/>
        </w:rPr>
        <w:t>1.</w:t>
      </w:r>
      <w:r>
        <w:rPr>
          <w:rFonts w:hint="eastAsia" w:ascii="宋体" w:hAnsi="宋体"/>
          <w:b/>
          <w:color w:val="auto"/>
          <w:sz w:val="24"/>
        </w:rPr>
        <w:t>7</w:t>
      </w:r>
      <w:r>
        <w:rPr>
          <w:rFonts w:ascii="宋体" w:hAnsi="宋体"/>
          <w:b/>
          <w:color w:val="auto"/>
          <w:sz w:val="24"/>
        </w:rPr>
        <w:t xml:space="preserve"> 履行期限</w:t>
      </w:r>
      <w:r>
        <w:rPr>
          <w:rFonts w:hint="eastAsia" w:ascii="宋体" w:hAnsi="宋体"/>
          <w:b/>
          <w:color w:val="auto"/>
          <w:sz w:val="24"/>
        </w:rPr>
        <w:t>、地点和方式</w:t>
      </w:r>
      <w:bookmarkEnd w:id="441"/>
      <w:bookmarkEnd w:id="442"/>
      <w:bookmarkEnd w:id="443"/>
      <w:bookmarkEnd w:id="444"/>
      <w:bookmarkEnd w:id="445"/>
    </w:p>
    <w:p w14:paraId="0C2C53E3">
      <w:pPr>
        <w:spacing w:line="560" w:lineRule="exact"/>
        <w:ind w:firstLine="480" w:firstLineChars="200"/>
        <w:rPr>
          <w:rFonts w:ascii="宋体" w:hAnsi="宋体"/>
          <w:color w:val="auto"/>
          <w:sz w:val="24"/>
          <w:u w:val="single"/>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.1 </w:t>
      </w:r>
      <w:r>
        <w:rPr>
          <w:rFonts w:hint="eastAsia" w:ascii="宋体" w:hAnsi="宋体"/>
          <w:color w:val="auto"/>
          <w:sz w:val="24"/>
        </w:rPr>
        <w:t>服务交付（实施）的时间（期限）</w:t>
      </w:r>
      <w:r>
        <w:rPr>
          <w:rFonts w:ascii="宋体" w:hAnsi="宋体"/>
          <w:color w:val="auto"/>
          <w:sz w:val="24"/>
        </w:rPr>
        <w:t>：</w:t>
      </w:r>
      <w:r>
        <w:rPr>
          <w:rFonts w:hint="eastAsia" w:ascii="宋体" w:hAnsi="宋体"/>
          <w:b/>
          <w:i/>
          <w:color w:val="auto"/>
          <w:sz w:val="24"/>
          <w:u w:val="single"/>
        </w:rPr>
        <w:t>合同专用条款</w:t>
      </w:r>
      <w:r>
        <w:rPr>
          <w:rFonts w:hint="eastAsia" w:ascii="宋体" w:hAnsi="宋体"/>
          <w:color w:val="auto"/>
          <w:sz w:val="24"/>
        </w:rPr>
        <w:t>；</w:t>
      </w:r>
    </w:p>
    <w:p w14:paraId="4B49FC96">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.2 </w:t>
      </w:r>
      <w:r>
        <w:rPr>
          <w:rFonts w:hint="eastAsia" w:ascii="宋体" w:hAnsi="宋体"/>
          <w:color w:val="auto"/>
          <w:sz w:val="24"/>
        </w:rPr>
        <w:t>服</w:t>
      </w:r>
      <w:r>
        <w:rPr>
          <w:rFonts w:hint="eastAsia" w:ascii="宋体" w:hAnsi="宋体" w:cs="宋体"/>
          <w:color w:val="auto"/>
          <w:sz w:val="24"/>
        </w:rPr>
        <w:t>务交付（实施）的地点（地域范围）：</w:t>
      </w:r>
      <w:r>
        <w:rPr>
          <w:rFonts w:hint="eastAsia" w:ascii="宋体" w:hAnsi="宋体"/>
          <w:b/>
          <w:i/>
          <w:color w:val="auto"/>
          <w:sz w:val="24"/>
          <w:u w:val="single"/>
        </w:rPr>
        <w:t>合同专用条款</w:t>
      </w:r>
      <w:r>
        <w:rPr>
          <w:rFonts w:hint="eastAsia" w:ascii="宋体" w:hAnsi="宋体"/>
          <w:color w:val="auto"/>
          <w:sz w:val="24"/>
        </w:rPr>
        <w:t>；</w:t>
      </w:r>
    </w:p>
    <w:p w14:paraId="26D83919">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.3 </w:t>
      </w:r>
      <w:r>
        <w:rPr>
          <w:rFonts w:hint="eastAsia" w:ascii="宋体" w:hAnsi="宋体"/>
          <w:color w:val="auto"/>
          <w:sz w:val="24"/>
        </w:rPr>
        <w:t>服务交付（实施）的方式：</w:t>
      </w:r>
      <w:r>
        <w:rPr>
          <w:rFonts w:hint="eastAsia" w:ascii="宋体" w:hAnsi="宋体"/>
          <w:b/>
          <w:i/>
          <w:color w:val="auto"/>
          <w:sz w:val="24"/>
          <w:u w:val="single"/>
        </w:rPr>
        <w:t>合同专用条款</w:t>
      </w:r>
      <w:r>
        <w:rPr>
          <w:rFonts w:hint="eastAsia" w:ascii="宋体" w:hAnsi="宋体"/>
          <w:color w:val="auto"/>
          <w:sz w:val="24"/>
        </w:rPr>
        <w:t>。</w:t>
      </w:r>
    </w:p>
    <w:p w14:paraId="35C03BB1">
      <w:pPr>
        <w:spacing w:line="560" w:lineRule="exact"/>
        <w:ind w:firstLine="480" w:firstLineChars="200"/>
        <w:outlineLvl w:val="0"/>
        <w:rPr>
          <w:rFonts w:ascii="宋体" w:hAnsi="宋体"/>
          <w:bCs/>
          <w:color w:val="auto"/>
          <w:sz w:val="24"/>
        </w:rPr>
      </w:pPr>
      <w:bookmarkStart w:id="446" w:name="_Toc8586"/>
      <w:bookmarkStart w:id="447" w:name="_Toc2375"/>
      <w:bookmarkStart w:id="448" w:name="_Toc5698"/>
      <w:bookmarkStart w:id="449" w:name="_Toc24662"/>
      <w:bookmarkStart w:id="450" w:name="_Toc3079"/>
      <w:r>
        <w:rPr>
          <w:rFonts w:hint="eastAsia" w:ascii="宋体" w:hAnsi="宋体"/>
          <w:bCs/>
          <w:color w:val="auto"/>
          <w:sz w:val="24"/>
        </w:rPr>
        <w:t>1.7.4若服务</w:t>
      </w:r>
      <w:r>
        <w:rPr>
          <w:rFonts w:hint="eastAsia"/>
          <w:bCs/>
          <w:color w:val="auto"/>
          <w:sz w:val="24"/>
        </w:rPr>
        <w:t>涉及货物的，则货物的：</w:t>
      </w:r>
    </w:p>
    <w:p w14:paraId="7B6D8642">
      <w:pPr>
        <w:spacing w:line="560" w:lineRule="exact"/>
        <w:ind w:firstLine="480" w:firstLineChars="200"/>
        <w:rPr>
          <w:rFonts w:ascii="宋体" w:hAnsi="宋体" w:cs="宋体"/>
          <w:color w:val="auto"/>
          <w:sz w:val="24"/>
          <w:u w:val="single"/>
        </w:rPr>
      </w:pPr>
      <w:r>
        <w:rPr>
          <w:rFonts w:hint="eastAsia" w:ascii="宋体" w:hAnsi="宋体" w:cs="宋体"/>
          <w:color w:val="auto"/>
          <w:sz w:val="24"/>
        </w:rPr>
        <w:t>1.7.4.1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14:paraId="69C4F69F">
      <w:pPr>
        <w:spacing w:line="560" w:lineRule="exact"/>
        <w:ind w:firstLine="480" w:firstLineChars="200"/>
        <w:rPr>
          <w:rFonts w:ascii="宋体" w:hAnsi="宋体" w:cs="宋体"/>
          <w:color w:val="auto"/>
          <w:sz w:val="24"/>
        </w:rPr>
      </w:pPr>
      <w:r>
        <w:rPr>
          <w:rFonts w:hint="eastAsia" w:ascii="宋体" w:hAnsi="宋体" w:cs="宋体"/>
          <w:color w:val="auto"/>
          <w:sz w:val="24"/>
        </w:rPr>
        <w:t>1.7.4.2 交付地点：</w:t>
      </w:r>
      <w:r>
        <w:rPr>
          <w:rFonts w:hint="eastAsia" w:ascii="宋体" w:hAnsi="宋体" w:cs="宋体"/>
          <w:b/>
          <w:i/>
          <w:color w:val="auto"/>
          <w:sz w:val="24"/>
          <w:u w:val="single"/>
        </w:rPr>
        <w:t>合同专用条款</w:t>
      </w:r>
      <w:r>
        <w:rPr>
          <w:rFonts w:hint="eastAsia" w:ascii="宋体" w:hAnsi="宋体" w:cs="宋体"/>
          <w:color w:val="auto"/>
          <w:sz w:val="24"/>
        </w:rPr>
        <w:t>；</w:t>
      </w:r>
    </w:p>
    <w:p w14:paraId="63F64954">
      <w:pPr>
        <w:spacing w:line="560" w:lineRule="exact"/>
        <w:ind w:firstLine="480" w:firstLineChars="200"/>
        <w:rPr>
          <w:rFonts w:ascii="宋体" w:hAnsi="宋体" w:cs="宋体"/>
          <w:color w:val="auto"/>
          <w:sz w:val="24"/>
        </w:rPr>
      </w:pPr>
      <w:r>
        <w:rPr>
          <w:rFonts w:hint="eastAsia" w:ascii="宋体" w:hAnsi="宋体" w:cs="宋体"/>
          <w:color w:val="auto"/>
          <w:sz w:val="24"/>
        </w:rPr>
        <w:t>1.7.4.3 交付方式：</w:t>
      </w:r>
      <w:r>
        <w:rPr>
          <w:rFonts w:hint="eastAsia" w:ascii="宋体" w:hAnsi="宋体" w:cs="宋体"/>
          <w:b/>
          <w:i/>
          <w:color w:val="auto"/>
          <w:sz w:val="24"/>
          <w:u w:val="single"/>
        </w:rPr>
        <w:t>合同专用条款</w:t>
      </w:r>
      <w:r>
        <w:rPr>
          <w:rFonts w:hint="eastAsia" w:ascii="宋体" w:hAnsi="宋体" w:cs="宋体"/>
          <w:color w:val="auto"/>
          <w:sz w:val="24"/>
        </w:rPr>
        <w:t>。</w:t>
      </w:r>
    </w:p>
    <w:p w14:paraId="3CCAEFF8">
      <w:pPr>
        <w:spacing w:line="560" w:lineRule="exact"/>
        <w:ind w:firstLine="482" w:firstLineChars="200"/>
        <w:outlineLvl w:val="0"/>
        <w:rPr>
          <w:rFonts w:ascii="宋体" w:hAnsi="宋体"/>
          <w:color w:val="auto"/>
          <w:sz w:val="24"/>
          <w:u w:val="single"/>
        </w:rPr>
      </w:pPr>
      <w:r>
        <w:rPr>
          <w:rFonts w:ascii="宋体" w:hAnsi="宋体"/>
          <w:b/>
          <w:color w:val="auto"/>
          <w:sz w:val="24"/>
        </w:rPr>
        <w:t>1.</w:t>
      </w:r>
      <w:r>
        <w:rPr>
          <w:rFonts w:hint="eastAsia" w:ascii="宋体" w:hAnsi="宋体"/>
          <w:b/>
          <w:color w:val="auto"/>
          <w:sz w:val="24"/>
        </w:rPr>
        <w:t>8违约责任</w:t>
      </w:r>
      <w:bookmarkEnd w:id="446"/>
      <w:bookmarkEnd w:id="447"/>
      <w:bookmarkEnd w:id="448"/>
      <w:bookmarkEnd w:id="449"/>
      <w:bookmarkEnd w:id="450"/>
    </w:p>
    <w:p w14:paraId="5E8EA6D0">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.1 除不可抗力外，如果乙方没有按照本合同约定的期限</w:t>
      </w:r>
      <w:r>
        <w:rPr>
          <w:rFonts w:hint="eastAsia" w:ascii="宋体" w:hAnsi="宋体"/>
          <w:color w:val="auto"/>
          <w:sz w:val="24"/>
        </w:rPr>
        <w:t>、</w:t>
      </w:r>
      <w:r>
        <w:rPr>
          <w:rFonts w:ascii="宋体" w:hAnsi="宋体"/>
          <w:color w:val="auto"/>
          <w:sz w:val="24"/>
        </w:rPr>
        <w:t>地点和方式</w:t>
      </w:r>
      <w:r>
        <w:rPr>
          <w:rFonts w:hint="eastAsia" w:ascii="宋体" w:hAnsi="宋体"/>
          <w:color w:val="auto"/>
          <w:sz w:val="24"/>
        </w:rPr>
        <w:t>交付服务成果或者实施服务</w:t>
      </w:r>
      <w:r>
        <w:rPr>
          <w:rFonts w:ascii="宋体" w:hAnsi="宋体"/>
          <w:color w:val="auto"/>
          <w:sz w:val="24"/>
        </w:rPr>
        <w:t>，那么甲方可要求乙方支付违约金</w:t>
      </w:r>
      <w:r>
        <w:rPr>
          <w:rFonts w:hint="eastAsia" w:ascii="宋体" w:hAnsi="宋体"/>
          <w:color w:val="auto"/>
          <w:sz w:val="24"/>
        </w:rPr>
        <w:t>，迟延履行</w:t>
      </w:r>
      <w:r>
        <w:rPr>
          <w:rFonts w:ascii="宋体" w:hAnsi="宋体"/>
          <w:color w:val="auto"/>
          <w:sz w:val="24"/>
        </w:rPr>
        <w:t>违约金按每迟延</w:t>
      </w:r>
      <w:r>
        <w:rPr>
          <w:rFonts w:hint="eastAsia" w:ascii="宋体" w:hAnsi="宋体"/>
          <w:color w:val="auto"/>
          <w:sz w:val="24"/>
        </w:rPr>
        <w:t>履行</w:t>
      </w:r>
      <w:r>
        <w:rPr>
          <w:rFonts w:ascii="宋体" w:hAnsi="宋体"/>
          <w:color w:val="auto"/>
          <w:sz w:val="24"/>
        </w:rPr>
        <w:t>一日的应提供而未</w:t>
      </w:r>
      <w:r>
        <w:rPr>
          <w:rFonts w:hint="eastAsia" w:ascii="宋体" w:hAnsi="宋体"/>
          <w:color w:val="auto"/>
          <w:sz w:val="24"/>
        </w:rPr>
        <w:t>提供</w:t>
      </w:r>
      <w:r>
        <w:rPr>
          <w:rFonts w:ascii="宋体" w:hAnsi="宋体"/>
          <w:color w:val="auto"/>
          <w:sz w:val="24"/>
        </w:rPr>
        <w:t>服务价格的</w:t>
      </w:r>
      <w:r>
        <w:rPr>
          <w:rFonts w:hint="eastAsia" w:ascii="宋体" w:hAnsi="宋体"/>
          <w:color w:val="auto"/>
          <w:sz w:val="24"/>
          <w:u w:val="single"/>
        </w:rPr>
        <w:t>0.05</w:t>
      </w:r>
      <w:r>
        <w:rPr>
          <w:rFonts w:ascii="宋体" w:hAnsi="宋体"/>
          <w:color w:val="auto"/>
          <w:sz w:val="24"/>
          <w:u w:val="single"/>
        </w:rPr>
        <w:t xml:space="preserve"> </w:t>
      </w:r>
      <w:r>
        <w:rPr>
          <w:rFonts w:ascii="宋体" w:hAnsi="宋体"/>
          <w:color w:val="auto"/>
          <w:sz w:val="24"/>
        </w:rPr>
        <w:t>%计算</w:t>
      </w:r>
      <w:r>
        <w:rPr>
          <w:rFonts w:hint="eastAsia" w:ascii="宋体" w:hAnsi="宋体"/>
          <w:color w:val="auto"/>
          <w:sz w:val="24"/>
        </w:rPr>
        <w:t>，</w:t>
      </w:r>
      <w:r>
        <w:rPr>
          <w:rFonts w:ascii="宋体" w:hAnsi="宋体"/>
          <w:color w:val="auto"/>
          <w:sz w:val="24"/>
        </w:rPr>
        <w:t>最高限额为</w:t>
      </w:r>
      <w:r>
        <w:rPr>
          <w:rFonts w:hint="eastAsia" w:ascii="宋体" w:hAnsi="宋体"/>
          <w:color w:val="auto"/>
          <w:sz w:val="24"/>
        </w:rPr>
        <w:t>本</w:t>
      </w:r>
      <w:r>
        <w:rPr>
          <w:rFonts w:ascii="宋体" w:hAnsi="宋体"/>
          <w:color w:val="auto"/>
          <w:sz w:val="24"/>
        </w:rPr>
        <w:t>合同总价的</w:t>
      </w:r>
      <w:r>
        <w:rPr>
          <w:rFonts w:ascii="宋体" w:hAnsi="宋体"/>
          <w:color w:val="auto"/>
          <w:sz w:val="24"/>
          <w:u w:val="single"/>
        </w:rPr>
        <w:t xml:space="preserve">  20   </w:t>
      </w:r>
      <w:r>
        <w:rPr>
          <w:rFonts w:ascii="宋体" w:hAnsi="宋体"/>
          <w:color w:val="auto"/>
          <w:sz w:val="24"/>
        </w:rPr>
        <w:t>%</w:t>
      </w:r>
      <w:r>
        <w:rPr>
          <w:rFonts w:hint="eastAsia" w:ascii="宋体" w:hAnsi="宋体"/>
          <w:color w:val="auto"/>
          <w:sz w:val="24"/>
        </w:rPr>
        <w:t>；</w:t>
      </w:r>
      <w:r>
        <w:rPr>
          <w:rFonts w:ascii="宋体" w:hAnsi="宋体"/>
          <w:color w:val="auto"/>
          <w:sz w:val="24"/>
        </w:rPr>
        <w:t>迟延</w:t>
      </w:r>
      <w:r>
        <w:rPr>
          <w:rFonts w:hint="eastAsia" w:ascii="宋体" w:hAnsi="宋体"/>
          <w:color w:val="auto"/>
          <w:sz w:val="24"/>
        </w:rPr>
        <w:t>履行</w:t>
      </w:r>
      <w:r>
        <w:rPr>
          <w:rFonts w:ascii="宋体" w:hAnsi="宋体"/>
          <w:color w:val="auto"/>
          <w:sz w:val="24"/>
        </w:rPr>
        <w:t>的违约金计算数额达到前述最高限额之日起</w:t>
      </w:r>
      <w:r>
        <w:rPr>
          <w:rFonts w:hint="eastAsia" w:ascii="宋体" w:hAnsi="宋体"/>
          <w:color w:val="auto"/>
          <w:sz w:val="24"/>
        </w:rPr>
        <w:t>，</w:t>
      </w:r>
      <w:r>
        <w:rPr>
          <w:rFonts w:ascii="宋体" w:hAnsi="宋体"/>
          <w:color w:val="auto"/>
          <w:sz w:val="24"/>
        </w:rPr>
        <w:t>甲方有权在要求乙方支付违约金的同时</w:t>
      </w:r>
      <w:r>
        <w:rPr>
          <w:rFonts w:hint="eastAsia" w:ascii="宋体" w:hAnsi="宋体"/>
          <w:color w:val="auto"/>
          <w:sz w:val="24"/>
        </w:rPr>
        <w:t>，书面通知乙方</w:t>
      </w:r>
      <w:r>
        <w:rPr>
          <w:rFonts w:ascii="宋体" w:hAnsi="宋体"/>
          <w:color w:val="auto"/>
          <w:sz w:val="24"/>
        </w:rPr>
        <w:t>解除本合同</w:t>
      </w:r>
      <w:r>
        <w:rPr>
          <w:rFonts w:hint="eastAsia" w:ascii="宋体" w:hAnsi="宋体"/>
          <w:color w:val="auto"/>
          <w:sz w:val="24"/>
        </w:rPr>
        <w:t>；</w:t>
      </w:r>
    </w:p>
    <w:p w14:paraId="42BF7EF4">
      <w:pPr>
        <w:pStyle w:val="3"/>
        <w:ind w:left="0" w:firstLine="480" w:firstLineChars="200"/>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057F1E58">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w:t>
      </w:r>
      <w:r>
        <w:rPr>
          <w:rFonts w:hint="eastAsia" w:ascii="宋体" w:hAnsi="宋体"/>
          <w:color w:val="auto"/>
          <w:sz w:val="24"/>
        </w:rPr>
        <w:t>3</w:t>
      </w:r>
      <w:r>
        <w:rPr>
          <w:rFonts w:hint="eastAsia" w:ascii="宋体" w:hAnsi="宋体" w:cs="宋体"/>
          <w:color w:val="auto"/>
          <w:sz w:val="24"/>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%；迟延付款的违约金计算数额达到前述最高限额之日起，乙方有权在要求甲方支付违约金的同时，书面通知甲方解除本合同</w:t>
      </w:r>
      <w:r>
        <w:rPr>
          <w:rFonts w:hint="eastAsia" w:ascii="宋体" w:hAnsi="宋体"/>
          <w:color w:val="auto"/>
          <w:sz w:val="24"/>
        </w:rPr>
        <w:t>；</w:t>
      </w:r>
    </w:p>
    <w:p w14:paraId="25BA27C3">
      <w:pPr>
        <w:spacing w:line="560" w:lineRule="exact"/>
        <w:ind w:firstLine="480" w:firstLineChars="200"/>
        <w:rPr>
          <w:rFonts w:ascii="宋体" w:hAnsi="宋体" w:cs="宋体"/>
          <w:color w:val="auto"/>
          <w:sz w:val="24"/>
        </w:rPr>
      </w:pPr>
      <w:bookmarkStart w:id="451" w:name="_Toc18683"/>
      <w:bookmarkStart w:id="452" w:name="_Toc9497"/>
      <w:bookmarkStart w:id="453" w:name="_Toc30329"/>
      <w:bookmarkStart w:id="454" w:name="_Toc26807"/>
      <w:bookmarkStart w:id="455" w:name="_Toc32454"/>
      <w:r>
        <w:rPr>
          <w:rFonts w:hint="eastAsia" w:ascii="宋体" w:hAnsi="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37302AE">
      <w:pPr>
        <w:spacing w:line="560" w:lineRule="exact"/>
        <w:ind w:firstLine="480" w:firstLineChars="200"/>
        <w:rPr>
          <w:rFonts w:ascii="宋体" w:hAnsi="宋体" w:cs="宋体"/>
          <w:color w:val="auto"/>
          <w:sz w:val="24"/>
        </w:rPr>
      </w:pPr>
      <w:r>
        <w:rPr>
          <w:rFonts w:hint="eastAsia" w:ascii="宋体" w:hAnsi="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B41B67F">
      <w:pPr>
        <w:spacing w:line="560" w:lineRule="exact"/>
        <w:ind w:firstLine="480" w:firstLineChars="200"/>
        <w:rPr>
          <w:rFonts w:ascii="宋体" w:hAnsi="宋体" w:cs="宋体"/>
          <w:color w:val="auto"/>
          <w:sz w:val="24"/>
        </w:rPr>
      </w:pPr>
      <w:r>
        <w:rPr>
          <w:rFonts w:hint="eastAsia" w:ascii="宋体" w:hAnsi="宋体" w:cs="宋体"/>
          <w:color w:val="auto"/>
          <w:sz w:val="24"/>
        </w:rPr>
        <w:t>1.8.6如果出现采购监督管理部门在处理投诉事项期间，书面通知甲方暂停采购活动的情形，或者询问或质疑事项可能影响中标或者成交结果的，导致甲方中止履行合同的情形，均不视为甲方违约。</w:t>
      </w:r>
    </w:p>
    <w:p w14:paraId="13BFB5F4">
      <w:pPr>
        <w:spacing w:line="560" w:lineRule="exact"/>
        <w:ind w:right="-420" w:rightChars="-200" w:firstLine="480" w:firstLineChars="200"/>
        <w:rPr>
          <w:rFonts w:ascii="宋体" w:hAnsi="宋体" w:cs="宋体"/>
          <w:color w:val="auto"/>
        </w:rPr>
      </w:pPr>
      <w:r>
        <w:rPr>
          <w:rFonts w:hint="eastAsia" w:ascii="宋体" w:hAnsi="宋体" w:cs="宋体"/>
          <w:color w:val="auto"/>
          <w:sz w:val="24"/>
        </w:rPr>
        <w:t>1.8.7违约责任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bookmarkEnd w:id="451"/>
    <w:bookmarkEnd w:id="452"/>
    <w:bookmarkEnd w:id="453"/>
    <w:bookmarkEnd w:id="454"/>
    <w:bookmarkEnd w:id="455"/>
    <w:p w14:paraId="3D55E64E">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1.9合同争议的解决</w:t>
      </w:r>
    </w:p>
    <w:p w14:paraId="6D4EC58A">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w:t>
      </w:r>
      <w:r>
        <w:rPr>
          <w:rFonts w:hint="eastAsia" w:ascii="宋体" w:hAnsi="宋体" w:cs="宋体"/>
          <w:color w:val="auto"/>
          <w:sz w:val="24"/>
        </w:rPr>
        <w:t>条款规定的方式解决：</w:t>
      </w:r>
    </w:p>
    <w:p w14:paraId="64D2BFC9">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77B3AF11">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6C8CE9BA">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2.0 合同生效</w:t>
      </w:r>
    </w:p>
    <w:p w14:paraId="05F0E1EF">
      <w:pPr>
        <w:spacing w:line="560" w:lineRule="exact"/>
        <w:ind w:firstLine="480" w:firstLineChars="200"/>
        <w:rPr>
          <w:rFonts w:ascii="宋体" w:hAnsi="宋体"/>
          <w:color w:val="auto"/>
          <w:sz w:val="24"/>
          <w:lang w:val="zh-CN"/>
        </w:rPr>
      </w:pPr>
      <w:r>
        <w:rPr>
          <w:rFonts w:hint="eastAsia" w:ascii="宋体" w:hAnsi="宋体" w:cs="宋体"/>
          <w:color w:val="auto"/>
          <w:sz w:val="24"/>
        </w:rPr>
        <w:t>本合同自双方当事人盖章签字时生效。</w:t>
      </w:r>
    </w:p>
    <w:p w14:paraId="431FA1BD">
      <w:pPr>
        <w:autoSpaceDE w:val="0"/>
        <w:autoSpaceDN w:val="0"/>
        <w:spacing w:line="560" w:lineRule="exact"/>
        <w:rPr>
          <w:rFonts w:ascii="宋体" w:hAnsi="宋体"/>
          <w:color w:val="auto"/>
          <w:sz w:val="24"/>
          <w:lang w:val="zh-CN"/>
        </w:rPr>
      </w:pPr>
      <w:r>
        <w:rPr>
          <w:rFonts w:hint="eastAsia" w:ascii="宋体" w:hAnsi="宋体"/>
          <w:b/>
          <w:color w:val="auto"/>
          <w:sz w:val="24"/>
          <w:lang w:val="zh-CN"/>
        </w:rPr>
        <w:t>甲方</w:t>
      </w:r>
      <w:r>
        <w:rPr>
          <w:rFonts w:hint="eastAsia" w:ascii="宋体" w:hAnsi="宋体"/>
          <w:color w:val="auto"/>
          <w:sz w:val="24"/>
          <w:lang w:val="zh-CN"/>
        </w:rPr>
        <w:t>：</w:t>
      </w:r>
      <w:r>
        <w:rPr>
          <w:rFonts w:ascii="宋体" w:hAnsi="宋体"/>
          <w:color w:val="auto"/>
          <w:sz w:val="24"/>
          <w:lang w:val="zh-CN"/>
        </w:rPr>
        <w:t xml:space="preserve">                             </w:t>
      </w:r>
      <w:r>
        <w:rPr>
          <w:rFonts w:ascii="宋体" w:hAnsi="宋体"/>
          <w:b/>
          <w:color w:val="auto"/>
          <w:sz w:val="24"/>
          <w:lang w:val="zh-CN"/>
        </w:rPr>
        <w:t xml:space="preserve">      乙方</w:t>
      </w:r>
      <w:r>
        <w:rPr>
          <w:rFonts w:hint="eastAsia" w:ascii="宋体" w:hAnsi="宋体"/>
          <w:color w:val="auto"/>
          <w:sz w:val="24"/>
          <w:lang w:val="zh-CN"/>
        </w:rPr>
        <w:t>：</w:t>
      </w:r>
    </w:p>
    <w:p w14:paraId="38D9BCF5">
      <w:pPr>
        <w:autoSpaceDE w:val="0"/>
        <w:autoSpaceDN w:val="0"/>
        <w:spacing w:line="560" w:lineRule="exact"/>
        <w:rPr>
          <w:rFonts w:ascii="宋体" w:hAnsi="宋体"/>
          <w:color w:val="auto"/>
          <w:sz w:val="24"/>
          <w:lang w:val="zh-CN"/>
        </w:rPr>
      </w:pPr>
      <w:r>
        <w:rPr>
          <w:rFonts w:hint="eastAsia" w:ascii="宋体" w:hAnsi="宋体"/>
          <w:color w:val="auto"/>
          <w:sz w:val="24"/>
          <w:lang w:val="zh-CN"/>
        </w:rPr>
        <w:t>统一社会信用代码：</w:t>
      </w:r>
      <w:r>
        <w:rPr>
          <w:rFonts w:ascii="宋体" w:hAnsi="宋体"/>
          <w:color w:val="auto"/>
          <w:sz w:val="24"/>
          <w:lang w:val="zh-CN"/>
        </w:rPr>
        <w:t xml:space="preserve">                       </w:t>
      </w:r>
      <w:r>
        <w:rPr>
          <w:rFonts w:hint="eastAsia" w:ascii="宋体" w:hAnsi="宋体"/>
          <w:color w:val="auto"/>
          <w:sz w:val="24"/>
          <w:lang w:val="zh-CN"/>
        </w:rPr>
        <w:t>统一社会信用代码或身份证号码：</w:t>
      </w:r>
    </w:p>
    <w:p w14:paraId="126B0F8C">
      <w:pPr>
        <w:autoSpaceDE w:val="0"/>
        <w:autoSpaceDN w:val="0"/>
        <w:spacing w:line="560" w:lineRule="exact"/>
        <w:rPr>
          <w:rFonts w:ascii="宋体" w:hAnsi="宋体"/>
          <w:color w:val="auto"/>
          <w:sz w:val="24"/>
          <w:lang w:val="zh-CN"/>
        </w:rPr>
      </w:pPr>
      <w:r>
        <w:rPr>
          <w:rFonts w:hint="eastAsia" w:ascii="宋体" w:hAnsi="宋体"/>
          <w:color w:val="auto"/>
          <w:sz w:val="24"/>
          <w:lang w:val="zh-CN"/>
        </w:rPr>
        <w:t>住所：</w:t>
      </w:r>
      <w:r>
        <w:rPr>
          <w:rFonts w:ascii="宋体" w:hAnsi="宋体"/>
          <w:color w:val="auto"/>
          <w:sz w:val="24"/>
          <w:lang w:val="zh-CN"/>
        </w:rPr>
        <w:t xml:space="preserve">                                   </w:t>
      </w:r>
      <w:r>
        <w:rPr>
          <w:rFonts w:hint="eastAsia" w:ascii="宋体" w:hAnsi="宋体"/>
          <w:color w:val="auto"/>
          <w:sz w:val="24"/>
          <w:lang w:val="zh-CN"/>
        </w:rPr>
        <w:t>住所：</w:t>
      </w:r>
    </w:p>
    <w:p w14:paraId="334355FD">
      <w:pPr>
        <w:autoSpaceDE w:val="0"/>
        <w:autoSpaceDN w:val="0"/>
        <w:spacing w:line="560" w:lineRule="exact"/>
        <w:rPr>
          <w:rFonts w:ascii="宋体" w:hAnsi="宋体"/>
          <w:color w:val="auto"/>
          <w:sz w:val="24"/>
          <w:lang w:val="zh-CN"/>
        </w:rPr>
      </w:pPr>
      <w:r>
        <w:rPr>
          <w:rFonts w:hint="eastAsia" w:ascii="宋体" w:hAnsi="宋体"/>
          <w:color w:val="auto"/>
          <w:sz w:val="24"/>
          <w:lang w:val="zh-CN"/>
        </w:rPr>
        <w:t>法定代表人或</w:t>
      </w:r>
      <w:r>
        <w:rPr>
          <w:rFonts w:ascii="宋体" w:hAnsi="宋体"/>
          <w:color w:val="auto"/>
          <w:sz w:val="24"/>
          <w:lang w:val="zh-CN"/>
        </w:rPr>
        <w:t xml:space="preserve">                             </w:t>
      </w:r>
      <w:r>
        <w:rPr>
          <w:rFonts w:hint="eastAsia" w:ascii="宋体" w:hAnsi="宋体"/>
          <w:color w:val="auto"/>
          <w:sz w:val="24"/>
          <w:lang w:val="zh-CN"/>
        </w:rPr>
        <w:t>法定代表人或</w:t>
      </w:r>
    </w:p>
    <w:p w14:paraId="31A8573D">
      <w:pPr>
        <w:autoSpaceDE w:val="0"/>
        <w:autoSpaceDN w:val="0"/>
        <w:spacing w:line="560" w:lineRule="exact"/>
        <w:rPr>
          <w:rFonts w:ascii="宋体" w:hAnsi="宋体"/>
          <w:color w:val="auto"/>
          <w:sz w:val="24"/>
          <w:lang w:val="zh-CN"/>
        </w:rPr>
      </w:pPr>
      <w:r>
        <w:rPr>
          <w:rFonts w:hint="eastAsia" w:ascii="宋体" w:hAnsi="宋体"/>
          <w:color w:val="auto"/>
          <w:sz w:val="24"/>
          <w:lang w:val="zh-CN"/>
        </w:rPr>
        <w:t>授权代表（签字）：</w:t>
      </w:r>
      <w:r>
        <w:rPr>
          <w:rFonts w:ascii="宋体" w:hAnsi="宋体"/>
          <w:color w:val="auto"/>
          <w:sz w:val="24"/>
          <w:lang w:val="zh-CN"/>
        </w:rPr>
        <w:t xml:space="preserve">                       授权代表（签字）: </w:t>
      </w:r>
    </w:p>
    <w:p w14:paraId="408E3223">
      <w:pPr>
        <w:autoSpaceDE w:val="0"/>
        <w:autoSpaceDN w:val="0"/>
        <w:spacing w:line="560" w:lineRule="exact"/>
        <w:rPr>
          <w:rFonts w:ascii="宋体" w:hAnsi="宋体"/>
          <w:color w:val="auto"/>
          <w:sz w:val="24"/>
          <w:lang w:val="zh-CN"/>
        </w:rPr>
      </w:pPr>
      <w:r>
        <w:rPr>
          <w:rFonts w:hint="eastAsia" w:ascii="宋体" w:hAnsi="宋体"/>
          <w:color w:val="auto"/>
          <w:sz w:val="24"/>
          <w:lang w:val="zh-CN"/>
        </w:rPr>
        <w:t>联系人：</w:t>
      </w:r>
      <w:r>
        <w:rPr>
          <w:rFonts w:ascii="宋体" w:hAnsi="宋体"/>
          <w:color w:val="auto"/>
          <w:sz w:val="24"/>
          <w:lang w:val="zh-CN"/>
        </w:rPr>
        <w:t xml:space="preserve">                                 </w:t>
      </w:r>
      <w:r>
        <w:rPr>
          <w:rFonts w:hint="eastAsia" w:ascii="宋体" w:hAnsi="宋体"/>
          <w:color w:val="auto"/>
          <w:sz w:val="24"/>
          <w:lang w:val="zh-CN"/>
        </w:rPr>
        <w:t>联系人：</w:t>
      </w:r>
    </w:p>
    <w:p w14:paraId="2DF0623F">
      <w:pPr>
        <w:autoSpaceDE w:val="0"/>
        <w:autoSpaceDN w:val="0"/>
        <w:spacing w:line="560" w:lineRule="exact"/>
        <w:rPr>
          <w:rFonts w:ascii="宋体" w:hAnsi="宋体"/>
          <w:color w:val="auto"/>
          <w:sz w:val="24"/>
          <w:lang w:val="zh-CN"/>
        </w:rPr>
      </w:pPr>
      <w:r>
        <w:rPr>
          <w:rFonts w:hint="eastAsia" w:ascii="宋体" w:hAnsi="宋体"/>
          <w:color w:val="auto"/>
          <w:sz w:val="24"/>
          <w:lang w:val="zh-CN"/>
        </w:rPr>
        <w:t>约定送达地址：</w:t>
      </w:r>
      <w:r>
        <w:rPr>
          <w:rFonts w:ascii="宋体" w:hAnsi="宋体"/>
          <w:color w:val="auto"/>
          <w:sz w:val="24"/>
          <w:lang w:val="zh-CN"/>
        </w:rPr>
        <w:t xml:space="preserve">                           </w:t>
      </w:r>
      <w:r>
        <w:rPr>
          <w:rFonts w:hint="eastAsia" w:ascii="宋体" w:hAnsi="宋体"/>
          <w:color w:val="auto"/>
          <w:sz w:val="24"/>
          <w:lang w:val="zh-CN"/>
        </w:rPr>
        <w:t>约定送达地址：</w:t>
      </w:r>
    </w:p>
    <w:p w14:paraId="19D6FF8D">
      <w:pPr>
        <w:autoSpaceDE w:val="0"/>
        <w:autoSpaceDN w:val="0"/>
        <w:spacing w:line="560" w:lineRule="exact"/>
        <w:rPr>
          <w:rFonts w:ascii="宋体" w:hAnsi="宋体"/>
          <w:color w:val="auto"/>
          <w:sz w:val="24"/>
          <w:lang w:val="zh-CN"/>
        </w:rPr>
      </w:pPr>
      <w:r>
        <w:rPr>
          <w:rFonts w:hint="eastAsia" w:ascii="宋体" w:hAnsi="宋体"/>
          <w:color w:val="auto"/>
          <w:sz w:val="24"/>
          <w:lang w:val="zh-CN"/>
        </w:rPr>
        <w:t>邮政编码：</w:t>
      </w:r>
      <w:r>
        <w:rPr>
          <w:rFonts w:ascii="宋体" w:hAnsi="宋体"/>
          <w:color w:val="auto"/>
          <w:sz w:val="24"/>
          <w:lang w:val="zh-CN"/>
        </w:rPr>
        <w:t xml:space="preserve">                               </w:t>
      </w:r>
      <w:r>
        <w:rPr>
          <w:rFonts w:hint="eastAsia" w:ascii="宋体" w:hAnsi="宋体"/>
          <w:color w:val="auto"/>
          <w:sz w:val="24"/>
          <w:lang w:val="zh-CN"/>
        </w:rPr>
        <w:t>邮政编码：</w:t>
      </w:r>
    </w:p>
    <w:p w14:paraId="7358DB2B">
      <w:pPr>
        <w:autoSpaceDE w:val="0"/>
        <w:autoSpaceDN w:val="0"/>
        <w:spacing w:line="560" w:lineRule="exact"/>
        <w:rPr>
          <w:rFonts w:ascii="宋体" w:hAnsi="宋体"/>
          <w:color w:val="auto"/>
          <w:sz w:val="24"/>
          <w:lang w:val="zh-CN"/>
        </w:rPr>
      </w:pPr>
      <w:r>
        <w:rPr>
          <w:rFonts w:hint="eastAsia" w:ascii="宋体" w:hAnsi="宋体"/>
          <w:color w:val="auto"/>
          <w:sz w:val="24"/>
          <w:lang w:val="zh-CN"/>
        </w:rPr>
        <w:t>电话</w:t>
      </w:r>
      <w:r>
        <w:rPr>
          <w:rFonts w:ascii="宋体" w:hAnsi="宋体"/>
          <w:color w:val="auto"/>
          <w:sz w:val="24"/>
          <w:lang w:val="zh-CN"/>
        </w:rPr>
        <w:t xml:space="preserve">:                                    电话: </w:t>
      </w:r>
    </w:p>
    <w:p w14:paraId="5706B06F">
      <w:pPr>
        <w:autoSpaceDE w:val="0"/>
        <w:autoSpaceDN w:val="0"/>
        <w:spacing w:line="560" w:lineRule="exact"/>
        <w:rPr>
          <w:rFonts w:ascii="宋体" w:hAnsi="宋体"/>
          <w:color w:val="auto"/>
          <w:sz w:val="24"/>
          <w:lang w:val="zh-CN"/>
        </w:rPr>
      </w:pPr>
      <w:r>
        <w:rPr>
          <w:rFonts w:hint="eastAsia" w:ascii="宋体" w:hAnsi="宋体"/>
          <w:color w:val="auto"/>
          <w:sz w:val="24"/>
          <w:lang w:val="zh-CN"/>
        </w:rPr>
        <w:t>传真</w:t>
      </w:r>
      <w:r>
        <w:rPr>
          <w:rFonts w:ascii="宋体" w:hAnsi="宋体"/>
          <w:color w:val="auto"/>
          <w:sz w:val="24"/>
          <w:lang w:val="zh-CN"/>
        </w:rPr>
        <w:t xml:space="preserve">:                                    </w:t>
      </w:r>
      <w:r>
        <w:rPr>
          <w:rFonts w:hint="eastAsia" w:ascii="宋体" w:hAnsi="宋体"/>
          <w:color w:val="auto"/>
          <w:sz w:val="24"/>
          <w:lang w:val="zh-CN"/>
        </w:rPr>
        <w:t>传真</w:t>
      </w:r>
      <w:r>
        <w:rPr>
          <w:rFonts w:ascii="宋体" w:hAnsi="宋体"/>
          <w:color w:val="auto"/>
          <w:sz w:val="24"/>
          <w:lang w:val="zh-CN"/>
        </w:rPr>
        <w:t>:</w:t>
      </w:r>
    </w:p>
    <w:p w14:paraId="65A01876">
      <w:pPr>
        <w:autoSpaceDE w:val="0"/>
        <w:autoSpaceDN w:val="0"/>
        <w:spacing w:line="560" w:lineRule="exact"/>
        <w:rPr>
          <w:rFonts w:ascii="宋体" w:hAnsi="宋体"/>
          <w:color w:val="auto"/>
          <w:sz w:val="24"/>
        </w:rPr>
      </w:pPr>
      <w:r>
        <w:rPr>
          <w:rFonts w:hint="eastAsia" w:ascii="宋体" w:hAnsi="宋体"/>
          <w:color w:val="auto"/>
          <w:sz w:val="24"/>
          <w:lang w:val="zh-CN"/>
        </w:rPr>
        <w:t>电子邮箱：</w:t>
      </w:r>
      <w:r>
        <w:rPr>
          <w:rFonts w:ascii="宋体" w:hAnsi="宋体"/>
          <w:color w:val="auto"/>
          <w:sz w:val="24"/>
          <w:lang w:val="zh-CN"/>
        </w:rPr>
        <w:t xml:space="preserve">                               </w:t>
      </w:r>
      <w:r>
        <w:rPr>
          <w:rFonts w:hint="eastAsia" w:ascii="宋体" w:hAnsi="宋体"/>
          <w:color w:val="auto"/>
          <w:sz w:val="24"/>
          <w:lang w:val="zh-CN"/>
        </w:rPr>
        <w:t>电子邮箱：</w:t>
      </w:r>
    </w:p>
    <w:p w14:paraId="77316A4C">
      <w:pPr>
        <w:autoSpaceDE w:val="0"/>
        <w:autoSpaceDN w:val="0"/>
        <w:spacing w:line="560" w:lineRule="exact"/>
        <w:rPr>
          <w:rFonts w:ascii="宋体" w:hAnsi="宋体"/>
          <w:color w:val="auto"/>
          <w:sz w:val="24"/>
        </w:rPr>
      </w:pPr>
      <w:r>
        <w:rPr>
          <w:rFonts w:hint="eastAsia" w:ascii="宋体" w:hAnsi="宋体"/>
          <w:color w:val="auto"/>
          <w:sz w:val="24"/>
        </w:rPr>
        <w:t>开户银行：</w:t>
      </w:r>
      <w:r>
        <w:rPr>
          <w:rFonts w:ascii="宋体" w:hAnsi="宋体"/>
          <w:color w:val="auto"/>
          <w:sz w:val="24"/>
        </w:rPr>
        <w:t xml:space="preserve">                               开户银行： </w:t>
      </w:r>
    </w:p>
    <w:p w14:paraId="70292E9E">
      <w:pPr>
        <w:autoSpaceDE w:val="0"/>
        <w:autoSpaceDN w:val="0"/>
        <w:spacing w:line="560" w:lineRule="exact"/>
        <w:rPr>
          <w:rFonts w:ascii="宋体" w:hAnsi="宋体"/>
          <w:color w:val="auto"/>
          <w:sz w:val="24"/>
        </w:rPr>
      </w:pPr>
      <w:r>
        <w:rPr>
          <w:rFonts w:hint="eastAsia" w:ascii="宋体" w:hAnsi="宋体"/>
          <w:color w:val="auto"/>
          <w:sz w:val="24"/>
        </w:rPr>
        <w:t>开户名称：</w:t>
      </w:r>
      <w:r>
        <w:rPr>
          <w:rFonts w:ascii="宋体" w:hAnsi="宋体"/>
          <w:color w:val="auto"/>
          <w:sz w:val="24"/>
        </w:rPr>
        <w:t xml:space="preserve">                               开户名称： </w:t>
      </w:r>
    </w:p>
    <w:p w14:paraId="6BEE731C">
      <w:pPr>
        <w:autoSpaceDE w:val="0"/>
        <w:autoSpaceDN w:val="0"/>
        <w:spacing w:line="560" w:lineRule="exact"/>
        <w:rPr>
          <w:rFonts w:ascii="宋体" w:hAnsi="宋体"/>
          <w:color w:val="auto"/>
          <w:sz w:val="24"/>
        </w:rPr>
      </w:pPr>
      <w:r>
        <w:rPr>
          <w:rFonts w:hint="eastAsia" w:ascii="宋体" w:hAnsi="宋体"/>
          <w:color w:val="auto"/>
          <w:sz w:val="24"/>
        </w:rPr>
        <w:t>开户账号：</w:t>
      </w:r>
      <w:r>
        <w:rPr>
          <w:rFonts w:ascii="宋体" w:hAnsi="宋体"/>
          <w:color w:val="auto"/>
          <w:sz w:val="24"/>
          <w:lang w:val="zh-CN"/>
        </w:rPr>
        <w:t xml:space="preserve">                               </w:t>
      </w:r>
      <w:r>
        <w:rPr>
          <w:rFonts w:hint="eastAsia" w:ascii="宋体" w:hAnsi="宋体"/>
          <w:color w:val="auto"/>
          <w:sz w:val="24"/>
        </w:rPr>
        <w:t>开户账号：</w:t>
      </w:r>
    </w:p>
    <w:p w14:paraId="38A87325">
      <w:pPr>
        <w:pStyle w:val="301"/>
        <w:spacing w:line="560" w:lineRule="exact"/>
        <w:ind w:firstLine="482"/>
        <w:jc w:val="center"/>
        <w:rPr>
          <w:rFonts w:ascii="宋体" w:hAnsi="宋体"/>
          <w:b/>
          <w:color w:val="auto"/>
          <w:szCs w:val="24"/>
        </w:rPr>
      </w:pPr>
      <w:r>
        <w:rPr>
          <w:rFonts w:hint="eastAsia" w:ascii="宋体" w:hAnsi="宋体"/>
          <w:b/>
          <w:color w:val="auto"/>
          <w:szCs w:val="24"/>
        </w:rPr>
        <w:t>第二部分</w:t>
      </w:r>
      <w:r>
        <w:rPr>
          <w:rFonts w:ascii="宋体" w:hAnsi="宋体"/>
          <w:b/>
          <w:color w:val="auto"/>
          <w:szCs w:val="24"/>
        </w:rPr>
        <w:t xml:space="preserve"> </w:t>
      </w:r>
      <w:r>
        <w:rPr>
          <w:rFonts w:hint="eastAsia" w:ascii="宋体" w:hAnsi="宋体"/>
          <w:b/>
          <w:color w:val="auto"/>
          <w:szCs w:val="24"/>
        </w:rPr>
        <w:t>合同一般条款</w:t>
      </w:r>
    </w:p>
    <w:p w14:paraId="6FD8FB93">
      <w:pPr>
        <w:spacing w:line="560" w:lineRule="exact"/>
        <w:ind w:firstLine="482" w:firstLineChars="200"/>
        <w:outlineLvl w:val="0"/>
        <w:rPr>
          <w:rFonts w:ascii="宋体" w:hAnsi="宋体"/>
          <w:b/>
          <w:color w:val="auto"/>
          <w:sz w:val="24"/>
        </w:rPr>
      </w:pPr>
      <w:bookmarkStart w:id="456" w:name="_Toc14021"/>
      <w:bookmarkStart w:id="457" w:name="_Toc5228"/>
      <w:bookmarkStart w:id="458" w:name="_Toc25079"/>
      <w:bookmarkStart w:id="459" w:name="_Toc19680"/>
      <w:bookmarkStart w:id="460" w:name="_Toc31297"/>
      <w:r>
        <w:rPr>
          <w:rFonts w:ascii="宋体" w:hAnsi="宋体"/>
          <w:b/>
          <w:color w:val="auto"/>
          <w:sz w:val="24"/>
        </w:rPr>
        <w:t>2.1 定义</w:t>
      </w:r>
      <w:bookmarkEnd w:id="456"/>
      <w:bookmarkEnd w:id="457"/>
      <w:bookmarkEnd w:id="458"/>
      <w:bookmarkEnd w:id="459"/>
      <w:bookmarkEnd w:id="460"/>
    </w:p>
    <w:p w14:paraId="372CB9D3">
      <w:pPr>
        <w:spacing w:line="560" w:lineRule="exact"/>
        <w:ind w:firstLine="480" w:firstLineChars="200"/>
        <w:rPr>
          <w:rFonts w:ascii="宋体" w:hAnsi="宋体"/>
          <w:color w:val="auto"/>
          <w:sz w:val="24"/>
        </w:rPr>
      </w:pPr>
      <w:r>
        <w:rPr>
          <w:rFonts w:ascii="宋体" w:hAnsi="宋体"/>
          <w:color w:val="auto"/>
          <w:sz w:val="24"/>
        </w:rPr>
        <w:t>本合同中的下列</w:t>
      </w:r>
      <w:r>
        <w:rPr>
          <w:rFonts w:hint="eastAsia" w:ascii="宋体" w:hAnsi="宋体"/>
          <w:color w:val="auto"/>
          <w:sz w:val="24"/>
        </w:rPr>
        <w:t>词</w:t>
      </w:r>
      <w:r>
        <w:rPr>
          <w:rFonts w:ascii="宋体" w:hAnsi="宋体"/>
          <w:color w:val="auto"/>
          <w:sz w:val="24"/>
        </w:rPr>
        <w:t>语应</w:t>
      </w:r>
      <w:r>
        <w:rPr>
          <w:rFonts w:hint="eastAsia" w:ascii="宋体" w:hAnsi="宋体"/>
          <w:color w:val="auto"/>
          <w:sz w:val="24"/>
        </w:rPr>
        <w:t>按以下内容进行</w:t>
      </w:r>
      <w:r>
        <w:rPr>
          <w:rFonts w:ascii="宋体" w:hAnsi="宋体"/>
          <w:color w:val="auto"/>
          <w:sz w:val="24"/>
        </w:rPr>
        <w:t>解释：</w:t>
      </w:r>
    </w:p>
    <w:p w14:paraId="0713F158">
      <w:pPr>
        <w:spacing w:line="560" w:lineRule="exact"/>
        <w:ind w:firstLine="480" w:firstLineChars="200"/>
        <w:rPr>
          <w:rFonts w:ascii="宋体" w:hAnsi="宋体"/>
          <w:color w:val="auto"/>
          <w:sz w:val="24"/>
        </w:rPr>
      </w:pPr>
      <w:r>
        <w:rPr>
          <w:rFonts w:ascii="宋体" w:hAnsi="宋体"/>
          <w:color w:val="auto"/>
          <w:sz w:val="24"/>
        </w:rPr>
        <w:t>2.1.1 “合同”系指采购人和</w:t>
      </w:r>
      <w:r>
        <w:rPr>
          <w:rFonts w:hint="eastAsia" w:ascii="宋体" w:hAnsi="宋体" w:cs="宋体"/>
          <w:color w:val="auto"/>
          <w:sz w:val="24"/>
        </w:rPr>
        <w:t>中标或成交</w:t>
      </w:r>
      <w:r>
        <w:rPr>
          <w:rFonts w:ascii="宋体" w:hAnsi="宋体"/>
          <w:color w:val="auto"/>
          <w:sz w:val="24"/>
        </w:rPr>
        <w:t>供应商签订的载明双方当事人所达成的协议，并包括所有的附件、附录和构成合同的其他文件。</w:t>
      </w:r>
    </w:p>
    <w:p w14:paraId="65693C68">
      <w:pPr>
        <w:spacing w:line="560" w:lineRule="exact"/>
        <w:ind w:firstLine="480" w:firstLineChars="200"/>
        <w:rPr>
          <w:rFonts w:ascii="宋体" w:hAnsi="宋体"/>
          <w:color w:val="auto"/>
          <w:sz w:val="24"/>
        </w:rPr>
      </w:pPr>
      <w:r>
        <w:rPr>
          <w:rFonts w:ascii="宋体" w:hAnsi="宋体"/>
          <w:color w:val="auto"/>
          <w:sz w:val="24"/>
        </w:rPr>
        <w:t>2.1.2 “合同价”系指根据合同约定，</w:t>
      </w:r>
      <w:r>
        <w:rPr>
          <w:rFonts w:hint="eastAsia" w:ascii="宋体" w:hAnsi="宋体" w:cs="宋体"/>
          <w:color w:val="auto"/>
          <w:sz w:val="24"/>
        </w:rPr>
        <w:t>中标或成交</w:t>
      </w:r>
      <w:r>
        <w:rPr>
          <w:rFonts w:ascii="宋体" w:hAnsi="宋体"/>
          <w:color w:val="auto"/>
          <w:sz w:val="24"/>
        </w:rPr>
        <w:t>供应商在完全履行合同义务后</w:t>
      </w:r>
      <w:r>
        <w:rPr>
          <w:rFonts w:hint="eastAsia" w:ascii="宋体" w:hAnsi="宋体"/>
          <w:color w:val="auto"/>
          <w:sz w:val="24"/>
        </w:rPr>
        <w:t>，</w:t>
      </w:r>
      <w:r>
        <w:rPr>
          <w:rFonts w:ascii="宋体" w:hAnsi="宋体"/>
          <w:color w:val="auto"/>
          <w:sz w:val="24"/>
        </w:rPr>
        <w:t>采购人应支付给</w:t>
      </w:r>
      <w:r>
        <w:rPr>
          <w:rFonts w:hint="eastAsia" w:ascii="宋体" w:hAnsi="宋体" w:cs="宋体"/>
          <w:color w:val="auto"/>
          <w:sz w:val="24"/>
        </w:rPr>
        <w:t>中标或成交</w:t>
      </w:r>
      <w:r>
        <w:rPr>
          <w:rFonts w:ascii="宋体" w:hAnsi="宋体"/>
          <w:color w:val="auto"/>
          <w:sz w:val="24"/>
        </w:rPr>
        <w:t>供应商的价格。</w:t>
      </w:r>
    </w:p>
    <w:p w14:paraId="0EDA92B5">
      <w:pPr>
        <w:spacing w:line="560" w:lineRule="exact"/>
        <w:ind w:firstLine="480" w:firstLineChars="200"/>
        <w:rPr>
          <w:rFonts w:ascii="宋体" w:hAnsi="宋体"/>
          <w:color w:val="auto"/>
          <w:sz w:val="24"/>
        </w:rPr>
      </w:pPr>
      <w:r>
        <w:rPr>
          <w:rFonts w:ascii="宋体" w:hAnsi="宋体"/>
          <w:color w:val="auto"/>
          <w:sz w:val="24"/>
        </w:rPr>
        <w:t>2.1.3 “</w:t>
      </w:r>
      <w:r>
        <w:rPr>
          <w:rFonts w:hint="eastAsia" w:ascii="宋体" w:hAnsi="宋体"/>
          <w:color w:val="auto"/>
          <w:sz w:val="24"/>
        </w:rPr>
        <w:t>服务</w:t>
      </w:r>
      <w:r>
        <w:rPr>
          <w:rFonts w:ascii="宋体" w:hAnsi="宋体"/>
          <w:color w:val="auto"/>
          <w:sz w:val="24"/>
        </w:rPr>
        <w:t>”系指</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根据合同约定应向采购人</w:t>
      </w:r>
      <w:r>
        <w:rPr>
          <w:rFonts w:hint="eastAsia" w:ascii="宋体" w:hAnsi="宋体"/>
          <w:color w:val="auto"/>
          <w:sz w:val="24"/>
        </w:rPr>
        <w:t>履行</w:t>
      </w:r>
      <w:r>
        <w:rPr>
          <w:rFonts w:ascii="宋体" w:hAnsi="宋体"/>
          <w:color w:val="auto"/>
          <w:sz w:val="24"/>
        </w:rPr>
        <w:t>的</w:t>
      </w:r>
      <w:r>
        <w:rPr>
          <w:rFonts w:hint="eastAsia" w:ascii="宋体" w:hAnsi="宋体"/>
          <w:color w:val="auto"/>
          <w:sz w:val="24"/>
        </w:rPr>
        <w:t>除货物和工程以外的其他采购对象，包括采购人自身需要的服务和向社会公众提供的公共服务。</w:t>
      </w:r>
    </w:p>
    <w:p w14:paraId="6DC502CD">
      <w:pPr>
        <w:spacing w:line="560" w:lineRule="exact"/>
        <w:ind w:firstLine="480" w:firstLineChars="200"/>
        <w:rPr>
          <w:rFonts w:ascii="宋体" w:hAnsi="宋体"/>
          <w:color w:val="auto"/>
          <w:sz w:val="24"/>
        </w:rPr>
      </w:pPr>
      <w:r>
        <w:rPr>
          <w:rFonts w:ascii="宋体" w:hAnsi="宋体"/>
          <w:color w:val="auto"/>
          <w:sz w:val="24"/>
        </w:rPr>
        <w:t>2.1.4 “</w:t>
      </w:r>
      <w:r>
        <w:rPr>
          <w:rFonts w:hint="eastAsia" w:ascii="宋体" w:hAnsi="宋体"/>
          <w:color w:val="auto"/>
          <w:sz w:val="24"/>
        </w:rPr>
        <w:t>甲方</w:t>
      </w:r>
      <w:r>
        <w:rPr>
          <w:rFonts w:ascii="宋体" w:hAnsi="宋体"/>
          <w:color w:val="auto"/>
          <w:sz w:val="24"/>
        </w:rPr>
        <w:t>”系指与</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签署合同的采购人</w:t>
      </w:r>
      <w:r>
        <w:rPr>
          <w:rFonts w:hint="eastAsia" w:ascii="宋体" w:hAnsi="宋体"/>
          <w:color w:val="auto"/>
          <w:sz w:val="24"/>
        </w:rPr>
        <w:t>；采购人委托采购代理机构代表其与乙方签订合同的，采购人的授权委托书作为合同附件。</w:t>
      </w:r>
    </w:p>
    <w:p w14:paraId="3191639A">
      <w:pPr>
        <w:spacing w:line="560" w:lineRule="exact"/>
        <w:ind w:firstLine="480" w:firstLineChars="200"/>
        <w:rPr>
          <w:rFonts w:ascii="宋体" w:hAnsi="宋体"/>
          <w:color w:val="auto"/>
          <w:sz w:val="24"/>
        </w:rPr>
      </w:pPr>
      <w:r>
        <w:rPr>
          <w:rFonts w:ascii="宋体" w:hAnsi="宋体"/>
          <w:color w:val="auto"/>
          <w:sz w:val="24"/>
        </w:rPr>
        <w:t>2.1.5 “乙方”系指根据合同约定提供服务的</w:t>
      </w:r>
      <w:r>
        <w:rPr>
          <w:rFonts w:hint="eastAsia" w:ascii="宋体" w:hAnsi="宋体" w:cs="宋体"/>
          <w:color w:val="auto"/>
          <w:sz w:val="24"/>
        </w:rPr>
        <w:t>中标或成交</w:t>
      </w:r>
      <w:r>
        <w:rPr>
          <w:rFonts w:ascii="宋体" w:hAnsi="宋体"/>
          <w:color w:val="auto"/>
          <w:sz w:val="24"/>
        </w:rPr>
        <w:t>供应商</w:t>
      </w:r>
      <w:r>
        <w:rPr>
          <w:rFonts w:hint="eastAsia" w:ascii="宋体" w:hAnsi="宋体"/>
          <w:color w:val="auto"/>
          <w:sz w:val="24"/>
        </w:rPr>
        <w:t>；两个以上的自然人、法人或者其他组织组成一个联合体，以一个供应商的身份共同参加采购的，联合体各方均应为乙方或者与乙方相同地位的合同当事人，并就合同约定的事项对甲方承担连带责任。</w:t>
      </w:r>
    </w:p>
    <w:p w14:paraId="4D423E85">
      <w:pPr>
        <w:spacing w:line="560" w:lineRule="exact"/>
        <w:ind w:firstLine="480" w:firstLineChars="200"/>
        <w:rPr>
          <w:rFonts w:ascii="宋体" w:hAnsi="宋体"/>
          <w:color w:val="auto"/>
          <w:sz w:val="24"/>
        </w:rPr>
      </w:pPr>
      <w:r>
        <w:rPr>
          <w:rFonts w:ascii="宋体" w:hAnsi="宋体"/>
          <w:color w:val="auto"/>
          <w:sz w:val="24"/>
        </w:rPr>
        <w:t>2.1.6 “现场”系指合同约定提供服务的地点。</w:t>
      </w:r>
    </w:p>
    <w:p w14:paraId="1372A322">
      <w:pPr>
        <w:spacing w:line="560" w:lineRule="exact"/>
        <w:ind w:firstLine="482" w:firstLineChars="200"/>
        <w:outlineLvl w:val="0"/>
        <w:rPr>
          <w:rFonts w:ascii="宋体" w:hAnsi="宋体"/>
          <w:b/>
          <w:color w:val="auto"/>
          <w:sz w:val="24"/>
        </w:rPr>
      </w:pPr>
      <w:bookmarkStart w:id="461" w:name="_Toc23289"/>
      <w:bookmarkStart w:id="462" w:name="_Toc19539"/>
      <w:bookmarkStart w:id="463" w:name="_Toc3769"/>
      <w:bookmarkStart w:id="464" w:name="_Toc16752"/>
      <w:bookmarkStart w:id="465" w:name="_Toc31402"/>
      <w:r>
        <w:rPr>
          <w:rFonts w:ascii="宋体" w:hAnsi="宋体"/>
          <w:b/>
          <w:color w:val="auto"/>
          <w:sz w:val="24"/>
        </w:rPr>
        <w:t>2.2 技术规范</w:t>
      </w:r>
      <w:bookmarkEnd w:id="461"/>
      <w:bookmarkEnd w:id="462"/>
      <w:bookmarkEnd w:id="463"/>
      <w:bookmarkEnd w:id="464"/>
      <w:bookmarkEnd w:id="465"/>
    </w:p>
    <w:p w14:paraId="07C7552C">
      <w:pPr>
        <w:spacing w:line="560" w:lineRule="exact"/>
        <w:ind w:firstLine="480" w:firstLineChars="200"/>
        <w:rPr>
          <w:rFonts w:ascii="宋体" w:hAnsi="宋体"/>
          <w:color w:val="auto"/>
          <w:sz w:val="24"/>
        </w:rPr>
      </w:pPr>
      <w:r>
        <w:rPr>
          <w:rFonts w:hint="eastAsia" w:ascii="宋体" w:hAnsi="宋体"/>
          <w:color w:val="auto"/>
          <w:sz w:val="24"/>
        </w:rPr>
        <w:t>服务</w:t>
      </w:r>
      <w:r>
        <w:rPr>
          <w:rFonts w:ascii="宋体" w:hAnsi="宋体"/>
          <w:color w:val="auto"/>
          <w:sz w:val="24"/>
        </w:rPr>
        <w:t>所应遵守的技术规范应与采购文件规定的技术规范和技术规范附件(如果有的话)及其技术规范偏差表(如果被甲方接受的话)相一致</w:t>
      </w:r>
      <w:r>
        <w:rPr>
          <w:rFonts w:hint="eastAsia" w:ascii="宋体" w:hAnsi="宋体"/>
          <w:color w:val="auto"/>
          <w:sz w:val="24"/>
        </w:rPr>
        <w:t>；</w:t>
      </w:r>
      <w:r>
        <w:rPr>
          <w:rFonts w:ascii="宋体" w:hAnsi="宋体"/>
          <w:color w:val="auto"/>
          <w:sz w:val="24"/>
        </w:rPr>
        <w:t>如果采购文件中没有技术规范的相应说明，那么应以国家有关部门最新颁布的相应标准</w:t>
      </w:r>
      <w:r>
        <w:rPr>
          <w:rFonts w:hint="eastAsia" w:ascii="宋体" w:hAnsi="宋体"/>
          <w:color w:val="auto"/>
          <w:sz w:val="24"/>
        </w:rPr>
        <w:t>和</w:t>
      </w:r>
      <w:r>
        <w:rPr>
          <w:rFonts w:ascii="宋体" w:hAnsi="宋体"/>
          <w:color w:val="auto"/>
          <w:sz w:val="24"/>
        </w:rPr>
        <w:t>规范为准。</w:t>
      </w:r>
    </w:p>
    <w:p w14:paraId="2AB87D21">
      <w:pPr>
        <w:spacing w:line="560" w:lineRule="exact"/>
        <w:ind w:firstLine="482" w:firstLineChars="200"/>
        <w:outlineLvl w:val="0"/>
        <w:rPr>
          <w:rFonts w:ascii="宋体" w:hAnsi="宋体"/>
          <w:b/>
          <w:color w:val="auto"/>
          <w:sz w:val="24"/>
        </w:rPr>
      </w:pPr>
      <w:bookmarkStart w:id="466" w:name="_Toc12412"/>
      <w:bookmarkStart w:id="467" w:name="_Toc27945"/>
      <w:bookmarkStart w:id="468" w:name="_Toc13673"/>
      <w:bookmarkStart w:id="469" w:name="_Toc4133"/>
      <w:bookmarkStart w:id="470" w:name="_Toc9161"/>
      <w:r>
        <w:rPr>
          <w:rFonts w:ascii="宋体" w:hAnsi="宋体"/>
          <w:b/>
          <w:color w:val="auto"/>
          <w:sz w:val="24"/>
        </w:rPr>
        <w:t>2.3 知识产权</w:t>
      </w:r>
      <w:bookmarkEnd w:id="466"/>
      <w:bookmarkEnd w:id="467"/>
      <w:bookmarkEnd w:id="468"/>
      <w:bookmarkEnd w:id="469"/>
      <w:bookmarkEnd w:id="470"/>
    </w:p>
    <w:p w14:paraId="5E8440EE">
      <w:pPr>
        <w:spacing w:line="560" w:lineRule="exact"/>
        <w:ind w:firstLine="480" w:firstLineChars="200"/>
        <w:rPr>
          <w:rFonts w:ascii="宋体" w:hAnsi="宋体"/>
          <w:color w:val="auto"/>
          <w:sz w:val="24"/>
        </w:rPr>
      </w:pPr>
      <w:r>
        <w:rPr>
          <w:rFonts w:ascii="宋体" w:hAnsi="宋体"/>
          <w:color w:val="auto"/>
          <w:sz w:val="24"/>
        </w:rPr>
        <w:t xml:space="preserve">2.3.1 </w:t>
      </w:r>
      <w:r>
        <w:rPr>
          <w:rFonts w:hint="eastAsia" w:ascii="宋体" w:hAnsi="宋体"/>
          <w:color w:val="auto"/>
          <w:sz w:val="24"/>
        </w:rPr>
        <w:t>乙</w:t>
      </w:r>
      <w:r>
        <w:rPr>
          <w:rFonts w:ascii="宋体" w:hAnsi="宋体"/>
          <w:color w:val="auto"/>
          <w:sz w:val="24"/>
        </w:rPr>
        <w:t>方应保证</w:t>
      </w:r>
      <w:r>
        <w:rPr>
          <w:rFonts w:hint="eastAsia" w:ascii="宋体" w:hAnsi="宋体"/>
          <w:color w:val="auto"/>
          <w:sz w:val="24"/>
        </w:rPr>
        <w:t>其提供的服务</w:t>
      </w:r>
      <w:r>
        <w:rPr>
          <w:rFonts w:ascii="宋体" w:hAnsi="宋体"/>
          <w:color w:val="auto"/>
          <w:sz w:val="24"/>
        </w:rPr>
        <w:t>不受任何第三方提出的侵犯其著作权、商标权、专利权等知识产权方面的起诉</w:t>
      </w:r>
      <w:r>
        <w:rPr>
          <w:rFonts w:hint="eastAsia" w:ascii="宋体" w:hAnsi="宋体"/>
          <w:color w:val="auto"/>
          <w:sz w:val="24"/>
        </w:rPr>
        <w:t>；</w:t>
      </w:r>
      <w:r>
        <w:rPr>
          <w:rFonts w:ascii="宋体" w:hAnsi="宋体"/>
          <w:color w:val="auto"/>
          <w:sz w:val="24"/>
        </w:rPr>
        <w:t>如果任何第三方提出侵权</w:t>
      </w:r>
      <w:r>
        <w:rPr>
          <w:rFonts w:hint="eastAsia" w:ascii="宋体" w:hAnsi="宋体"/>
          <w:color w:val="auto"/>
          <w:sz w:val="24"/>
        </w:rPr>
        <w:t>指控</w:t>
      </w:r>
      <w:r>
        <w:rPr>
          <w:rFonts w:ascii="宋体" w:hAnsi="宋体"/>
          <w:color w:val="auto"/>
          <w:sz w:val="24"/>
        </w:rPr>
        <w:t>，那么乙方须与该第三方交涉并承担由此发生的一切责任、费用和赔偿</w:t>
      </w:r>
      <w:r>
        <w:rPr>
          <w:rFonts w:hint="eastAsia" w:ascii="宋体" w:hAnsi="宋体"/>
          <w:color w:val="auto"/>
          <w:sz w:val="24"/>
        </w:rPr>
        <w:t>，乙方还应及时澄清相关信息，使甲方声誉免受损害，甲方保留追责的权利。</w:t>
      </w:r>
    </w:p>
    <w:p w14:paraId="0E1B1A12">
      <w:pPr>
        <w:spacing w:line="560" w:lineRule="exact"/>
        <w:ind w:firstLine="480" w:firstLineChars="200"/>
        <w:rPr>
          <w:rFonts w:ascii="宋体" w:hAnsi="宋体"/>
          <w:color w:val="auto"/>
          <w:sz w:val="24"/>
        </w:rPr>
      </w:pPr>
      <w:r>
        <w:rPr>
          <w:rFonts w:ascii="宋体" w:hAnsi="宋体"/>
          <w:color w:val="auto"/>
          <w:sz w:val="24"/>
        </w:rPr>
        <w:t xml:space="preserve">2.3.2 </w:t>
      </w:r>
      <w:r>
        <w:rPr>
          <w:rFonts w:hint="eastAsia" w:ascii="宋体" w:hAnsi="宋体"/>
          <w:color w:val="auto"/>
          <w:sz w:val="24"/>
        </w:rPr>
        <w:t>合同涉及技术成果的归属和收益的分成办法的，</w:t>
      </w: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14:paraId="317A3F9C">
      <w:pPr>
        <w:spacing w:line="560" w:lineRule="exact"/>
        <w:ind w:firstLine="482" w:firstLineChars="200"/>
        <w:rPr>
          <w:rFonts w:ascii="宋体" w:hAnsi="宋体"/>
          <w:b/>
          <w:color w:val="auto"/>
          <w:sz w:val="24"/>
        </w:rPr>
      </w:pPr>
      <w:r>
        <w:rPr>
          <w:rFonts w:ascii="宋体" w:hAnsi="宋体"/>
          <w:b/>
          <w:color w:val="auto"/>
          <w:sz w:val="24"/>
        </w:rPr>
        <w:t xml:space="preserve">2.4 </w:t>
      </w:r>
      <w:r>
        <w:rPr>
          <w:rFonts w:hint="eastAsia" w:ascii="宋体" w:hAnsi="宋体"/>
          <w:b/>
          <w:color w:val="auto"/>
          <w:sz w:val="24"/>
        </w:rPr>
        <w:t>履约检查和问题反馈</w:t>
      </w:r>
    </w:p>
    <w:p w14:paraId="09BDB2CF">
      <w:pPr>
        <w:spacing w:line="560" w:lineRule="exact"/>
        <w:ind w:firstLine="480" w:firstLineChars="200"/>
        <w:rPr>
          <w:rFonts w:ascii="宋体" w:hAnsi="宋体"/>
          <w:color w:val="auto"/>
          <w:sz w:val="24"/>
        </w:rPr>
      </w:pPr>
      <w:r>
        <w:rPr>
          <w:rFonts w:ascii="宋体" w:hAnsi="宋体"/>
          <w:color w:val="auto"/>
          <w:sz w:val="24"/>
        </w:rPr>
        <w:t>2.4.1甲方</w:t>
      </w:r>
      <w:r>
        <w:rPr>
          <w:rFonts w:hint="eastAsia" w:ascii="宋体" w:hAnsi="宋体"/>
          <w:color w:val="auto"/>
          <w:sz w:val="24"/>
        </w:rPr>
        <w:t>有权</w:t>
      </w:r>
      <w:r>
        <w:rPr>
          <w:rFonts w:ascii="宋体" w:hAnsi="宋体"/>
          <w:color w:val="auto"/>
          <w:sz w:val="24"/>
        </w:rPr>
        <w:t>在其认为必要时</w:t>
      </w:r>
      <w:r>
        <w:rPr>
          <w:rFonts w:hint="eastAsia" w:ascii="宋体" w:hAnsi="宋体"/>
          <w:color w:val="auto"/>
          <w:sz w:val="24"/>
        </w:rPr>
        <w:t>，对乙方是否能够按照合同约定提供服务进行履约检查，以确保乙方所提供的服务能够依约满足甲方之项目需求，但不得因履约检查妨碍乙方的正常工作，乙方应予积极配合；</w:t>
      </w:r>
    </w:p>
    <w:p w14:paraId="3501036A">
      <w:pPr>
        <w:spacing w:line="560" w:lineRule="exact"/>
        <w:ind w:firstLine="480" w:firstLineChars="200"/>
        <w:rPr>
          <w:rFonts w:ascii="宋体" w:hAnsi="宋体"/>
          <w:color w:val="auto"/>
          <w:sz w:val="24"/>
        </w:rPr>
      </w:pPr>
      <w:r>
        <w:rPr>
          <w:rFonts w:ascii="宋体" w:hAnsi="宋体"/>
          <w:color w:val="auto"/>
          <w:sz w:val="24"/>
        </w:rPr>
        <w:t xml:space="preserve">2.4.2 </w:t>
      </w:r>
      <w:r>
        <w:rPr>
          <w:rFonts w:hint="eastAsia" w:ascii="宋体" w:hAnsi="宋体"/>
          <w:color w:val="auto"/>
          <w:sz w:val="24"/>
        </w:rPr>
        <w:t>合同履行期间，甲方有权将履行过程中出现的问题反馈给乙方，双方当事人应以书面形式约定需要完善和改进的内容。</w:t>
      </w:r>
    </w:p>
    <w:p w14:paraId="65FCCF48">
      <w:pPr>
        <w:spacing w:line="560" w:lineRule="exact"/>
        <w:ind w:firstLine="482" w:firstLineChars="200"/>
        <w:outlineLvl w:val="0"/>
        <w:rPr>
          <w:rFonts w:ascii="宋体" w:hAnsi="宋体"/>
          <w:b/>
          <w:color w:val="auto"/>
          <w:sz w:val="24"/>
        </w:rPr>
      </w:pPr>
      <w:bookmarkStart w:id="471" w:name="_Toc31233"/>
      <w:bookmarkStart w:id="472" w:name="_Toc32670"/>
      <w:bookmarkStart w:id="473" w:name="_Toc15447"/>
      <w:bookmarkStart w:id="474" w:name="_Toc22011"/>
      <w:bookmarkStart w:id="475" w:name="_Toc26555"/>
      <w:r>
        <w:rPr>
          <w:rFonts w:ascii="宋体" w:hAnsi="宋体"/>
          <w:b/>
          <w:color w:val="auto"/>
          <w:sz w:val="24"/>
        </w:rPr>
        <w:t>2.5 结算方式和付款条件</w:t>
      </w:r>
      <w:bookmarkEnd w:id="471"/>
      <w:bookmarkEnd w:id="472"/>
      <w:bookmarkEnd w:id="473"/>
      <w:bookmarkEnd w:id="474"/>
      <w:bookmarkEnd w:id="475"/>
    </w:p>
    <w:p w14:paraId="5DCF4C3F">
      <w:pPr>
        <w:spacing w:line="560" w:lineRule="exact"/>
        <w:ind w:firstLine="480" w:firstLineChars="200"/>
        <w:rPr>
          <w:rFonts w:ascii="宋体" w:hAnsi="宋体"/>
          <w:color w:val="auto"/>
          <w:sz w:val="24"/>
        </w:rPr>
      </w:pP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14:paraId="329674F1">
      <w:pPr>
        <w:spacing w:line="560" w:lineRule="exact"/>
        <w:ind w:firstLine="482" w:firstLineChars="200"/>
        <w:outlineLvl w:val="0"/>
        <w:rPr>
          <w:rFonts w:ascii="宋体" w:hAnsi="宋体"/>
          <w:b/>
          <w:color w:val="auto"/>
          <w:sz w:val="24"/>
        </w:rPr>
      </w:pPr>
      <w:bookmarkStart w:id="476" w:name="_Toc30507"/>
      <w:bookmarkStart w:id="477" w:name="_Toc18990"/>
      <w:bookmarkStart w:id="478" w:name="_Toc13154"/>
      <w:bookmarkStart w:id="479" w:name="_Toc16163"/>
      <w:bookmarkStart w:id="480" w:name="_Toc13467"/>
      <w:r>
        <w:rPr>
          <w:rFonts w:ascii="宋体" w:hAnsi="宋体"/>
          <w:b/>
          <w:color w:val="auto"/>
          <w:sz w:val="24"/>
        </w:rPr>
        <w:t>2.6 技术资料和保密义务</w:t>
      </w:r>
      <w:bookmarkEnd w:id="476"/>
      <w:bookmarkEnd w:id="477"/>
      <w:bookmarkEnd w:id="478"/>
      <w:bookmarkEnd w:id="479"/>
      <w:bookmarkEnd w:id="480"/>
    </w:p>
    <w:p w14:paraId="4FBA2DB9">
      <w:pPr>
        <w:spacing w:line="560" w:lineRule="exact"/>
        <w:ind w:firstLine="480" w:firstLineChars="200"/>
        <w:rPr>
          <w:rFonts w:ascii="宋体" w:hAnsi="宋体"/>
          <w:color w:val="auto"/>
          <w:sz w:val="24"/>
        </w:rPr>
      </w:pPr>
      <w:r>
        <w:rPr>
          <w:rFonts w:ascii="宋体" w:hAnsi="宋体"/>
          <w:color w:val="auto"/>
          <w:sz w:val="24"/>
        </w:rPr>
        <w:t>2.6.1 乙方有权依据合同约定和项目需要，向甲方了解有关情况，调阅有关资料等，甲方应予积极配合；</w:t>
      </w:r>
    </w:p>
    <w:p w14:paraId="0310D8E7">
      <w:pPr>
        <w:spacing w:line="560" w:lineRule="exact"/>
        <w:ind w:firstLine="480" w:firstLineChars="200"/>
        <w:rPr>
          <w:rFonts w:ascii="宋体" w:hAnsi="宋体"/>
          <w:color w:val="auto"/>
          <w:sz w:val="24"/>
        </w:rPr>
      </w:pPr>
      <w:r>
        <w:rPr>
          <w:rFonts w:ascii="宋体" w:hAnsi="宋体"/>
          <w:color w:val="auto"/>
          <w:sz w:val="24"/>
        </w:rPr>
        <w:t xml:space="preserve">2.6.2 </w:t>
      </w:r>
      <w:r>
        <w:rPr>
          <w:rFonts w:hint="eastAsia" w:ascii="宋体" w:hAnsi="宋体"/>
          <w:color w:val="auto"/>
          <w:sz w:val="24"/>
        </w:rPr>
        <w:t>乙方有义务妥善保管和保护由甲方提供的前款信息和资料等；</w:t>
      </w:r>
    </w:p>
    <w:p w14:paraId="20AE9FC6">
      <w:pPr>
        <w:spacing w:line="560" w:lineRule="exact"/>
        <w:ind w:firstLine="480" w:firstLineChars="200"/>
        <w:rPr>
          <w:rFonts w:ascii="宋体" w:hAnsi="宋体"/>
          <w:color w:val="auto"/>
          <w:sz w:val="24"/>
        </w:rPr>
      </w:pPr>
      <w:r>
        <w:rPr>
          <w:rFonts w:ascii="宋体" w:hAnsi="宋体"/>
          <w:color w:val="auto"/>
          <w:sz w:val="24"/>
        </w:rPr>
        <w:t xml:space="preserve">2.6.3 </w:t>
      </w:r>
      <w:r>
        <w:rPr>
          <w:rFonts w:hint="eastAsia" w:ascii="宋体" w:hAnsi="宋体"/>
          <w:color w:val="auto"/>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rPr>
        <w:t>技术情报</w:t>
      </w:r>
      <w:r>
        <w:rPr>
          <w:rFonts w:hint="eastAsia" w:ascii="宋体" w:hAnsi="宋体"/>
          <w:color w:val="auto"/>
          <w:sz w:val="24"/>
        </w:rPr>
        <w:t>、</w:t>
      </w:r>
      <w:r>
        <w:rPr>
          <w:rFonts w:ascii="宋体" w:hAnsi="宋体"/>
          <w:color w:val="auto"/>
          <w:sz w:val="24"/>
        </w:rPr>
        <w:t>技术资料</w:t>
      </w:r>
      <w:r>
        <w:rPr>
          <w:rFonts w:hint="eastAsia" w:ascii="宋体" w:hAnsi="宋体"/>
          <w:color w:val="auto"/>
          <w:sz w:val="24"/>
        </w:rPr>
        <w:t>、商业秘密和商业信息等，并采取一切合理和必要措施和方式防止任何第三方接触到对方当事人的上述保密信息和资料。</w:t>
      </w:r>
    </w:p>
    <w:p w14:paraId="34E72867">
      <w:pPr>
        <w:spacing w:line="560" w:lineRule="exact"/>
        <w:ind w:firstLine="482" w:firstLineChars="200"/>
        <w:outlineLvl w:val="0"/>
        <w:rPr>
          <w:rFonts w:ascii="宋体" w:hAnsi="宋体"/>
          <w:b/>
          <w:color w:val="auto"/>
          <w:sz w:val="24"/>
        </w:rPr>
      </w:pPr>
      <w:bookmarkStart w:id="481" w:name="_Toc19069"/>
      <w:r>
        <w:rPr>
          <w:rFonts w:ascii="宋体" w:hAnsi="宋体"/>
          <w:b/>
          <w:color w:val="auto"/>
          <w:sz w:val="24"/>
        </w:rPr>
        <w:t xml:space="preserve">2.7 </w:t>
      </w:r>
      <w:r>
        <w:rPr>
          <w:rFonts w:hint="eastAsia" w:ascii="宋体" w:hAnsi="宋体"/>
          <w:b/>
          <w:color w:val="auto"/>
          <w:sz w:val="24"/>
        </w:rPr>
        <w:t>质量保证</w:t>
      </w:r>
      <w:bookmarkEnd w:id="481"/>
    </w:p>
    <w:p w14:paraId="5EF84A61">
      <w:pPr>
        <w:spacing w:line="560" w:lineRule="exact"/>
        <w:ind w:firstLine="480" w:firstLineChars="200"/>
        <w:rPr>
          <w:rFonts w:ascii="宋体" w:hAnsi="宋体"/>
          <w:color w:val="auto"/>
          <w:sz w:val="24"/>
        </w:rPr>
      </w:pPr>
      <w:r>
        <w:rPr>
          <w:rFonts w:ascii="宋体" w:hAnsi="宋体"/>
          <w:color w:val="auto"/>
          <w:sz w:val="24"/>
        </w:rPr>
        <w:t xml:space="preserve">2.7.1 </w:t>
      </w:r>
      <w:r>
        <w:rPr>
          <w:rFonts w:hint="eastAsia" w:ascii="宋体" w:hAnsi="宋体"/>
          <w:color w:val="auto"/>
          <w:sz w:val="24"/>
        </w:rPr>
        <w:t>乙方应建立和完善履行合同的内部质量保证体系，并提供相关内部规章制度给甲方，以便甲方进行监督检查；</w:t>
      </w:r>
    </w:p>
    <w:p w14:paraId="2ACC36A9">
      <w:pPr>
        <w:spacing w:line="560" w:lineRule="exact"/>
        <w:ind w:firstLine="480" w:firstLineChars="200"/>
        <w:rPr>
          <w:rFonts w:ascii="宋体" w:hAnsi="宋体"/>
          <w:color w:val="auto"/>
          <w:sz w:val="24"/>
        </w:rPr>
      </w:pPr>
      <w:r>
        <w:rPr>
          <w:rFonts w:ascii="宋体" w:hAnsi="宋体"/>
          <w:color w:val="auto"/>
          <w:sz w:val="24"/>
        </w:rPr>
        <w:t xml:space="preserve">2.7.2 </w:t>
      </w:r>
      <w:r>
        <w:rPr>
          <w:rFonts w:hint="eastAsia" w:ascii="宋体" w:hAnsi="宋体"/>
          <w:color w:val="auto"/>
          <w:sz w:val="24"/>
        </w:rPr>
        <w:t>乙方应保证履行合同的人员数量和素质、软件和硬件设备的配置、场地、环境和设施等满足全面履行合同的要求，并应接受甲方的监督检查。</w:t>
      </w:r>
    </w:p>
    <w:p w14:paraId="2F8E0E53">
      <w:pPr>
        <w:spacing w:line="560" w:lineRule="exact"/>
        <w:ind w:firstLine="482" w:firstLineChars="200"/>
        <w:outlineLvl w:val="0"/>
        <w:rPr>
          <w:rFonts w:ascii="宋体" w:hAnsi="宋体"/>
          <w:b/>
          <w:color w:val="auto"/>
          <w:sz w:val="24"/>
        </w:rPr>
      </w:pPr>
      <w:bookmarkStart w:id="482" w:name="_Toc22267"/>
      <w:r>
        <w:rPr>
          <w:rFonts w:ascii="宋体" w:hAnsi="宋体"/>
          <w:b/>
          <w:color w:val="auto"/>
          <w:sz w:val="24"/>
        </w:rPr>
        <w:t xml:space="preserve">2.8 </w:t>
      </w:r>
      <w:r>
        <w:rPr>
          <w:rFonts w:hint="eastAsia" w:ascii="宋体" w:hAnsi="宋体"/>
          <w:b/>
          <w:color w:val="auto"/>
          <w:sz w:val="24"/>
        </w:rPr>
        <w:t>延迟履行</w:t>
      </w:r>
      <w:bookmarkEnd w:id="482"/>
    </w:p>
    <w:p w14:paraId="6CCD6EE3">
      <w:pPr>
        <w:spacing w:line="560" w:lineRule="exact"/>
        <w:ind w:firstLine="480" w:firstLineChars="200"/>
        <w:rPr>
          <w:rFonts w:ascii="宋体" w:hAnsi="宋体"/>
          <w:color w:val="auto"/>
          <w:sz w:val="24"/>
        </w:rPr>
      </w:pPr>
      <w:r>
        <w:rPr>
          <w:rFonts w:hint="eastAsia" w:ascii="宋体" w:hAnsi="宋体"/>
          <w:color w:val="auto"/>
          <w:sz w:val="24"/>
        </w:rPr>
        <w:t>甲乙双方签订合同后，乙方应按照合同约定履行合同义务，除不可抗力外，乙方不得延迟履行。</w:t>
      </w:r>
      <w:r>
        <w:rPr>
          <w:rFonts w:ascii="宋体" w:hAnsi="宋体"/>
          <w:color w:val="auto"/>
          <w:sz w:val="24"/>
        </w:rPr>
        <w:t>在合同履行过程中，如果</w:t>
      </w:r>
      <w:r>
        <w:rPr>
          <w:rFonts w:hint="eastAsia" w:ascii="宋体" w:hAnsi="宋体"/>
          <w:color w:val="auto"/>
          <w:sz w:val="24"/>
        </w:rPr>
        <w:t>因不可抗力，</w:t>
      </w:r>
      <w:r>
        <w:rPr>
          <w:rFonts w:ascii="宋体" w:hAnsi="宋体"/>
          <w:color w:val="auto"/>
          <w:sz w:val="24"/>
        </w:rPr>
        <w:t>乙方遇到不能按时</w:t>
      </w:r>
      <w:r>
        <w:rPr>
          <w:rFonts w:hint="eastAsia" w:ascii="宋体" w:hAnsi="宋体"/>
          <w:color w:val="auto"/>
          <w:sz w:val="24"/>
        </w:rPr>
        <w:t>提供服务</w:t>
      </w:r>
      <w:r>
        <w:rPr>
          <w:rFonts w:ascii="宋体" w:hAnsi="宋体"/>
          <w:color w:val="auto"/>
          <w:sz w:val="24"/>
        </w:rPr>
        <w:t>的情况，应及时以书面形式将不能按时</w:t>
      </w:r>
      <w:r>
        <w:rPr>
          <w:rFonts w:hint="eastAsia" w:ascii="宋体" w:hAnsi="宋体"/>
          <w:color w:val="auto"/>
          <w:sz w:val="24"/>
        </w:rPr>
        <w:t>提供服务</w:t>
      </w:r>
      <w:r>
        <w:rPr>
          <w:rFonts w:ascii="宋体" w:hAnsi="宋体"/>
          <w:color w:val="auto"/>
          <w:sz w:val="24"/>
        </w:rPr>
        <w:t>的理由、预期延误时间通知甲方</w:t>
      </w:r>
      <w:r>
        <w:rPr>
          <w:rFonts w:hint="eastAsia" w:ascii="宋体" w:hAnsi="宋体"/>
          <w:color w:val="auto"/>
          <w:sz w:val="24"/>
        </w:rPr>
        <w:t>；甲</w:t>
      </w:r>
      <w:r>
        <w:rPr>
          <w:rFonts w:ascii="宋体" w:hAnsi="宋体"/>
          <w:color w:val="auto"/>
          <w:sz w:val="24"/>
        </w:rPr>
        <w:t>方收到乙方通知后，认为其理由正当的，可以书面形式酌情同意乙方可以延长</w:t>
      </w:r>
      <w:r>
        <w:rPr>
          <w:rFonts w:hint="eastAsia" w:ascii="宋体" w:hAnsi="宋体"/>
          <w:color w:val="auto"/>
          <w:sz w:val="24"/>
        </w:rPr>
        <w:t>履行</w:t>
      </w:r>
      <w:r>
        <w:rPr>
          <w:rFonts w:ascii="宋体" w:hAnsi="宋体"/>
          <w:color w:val="auto"/>
          <w:sz w:val="24"/>
        </w:rPr>
        <w:t>的具体时间。</w:t>
      </w:r>
    </w:p>
    <w:p w14:paraId="225839FA">
      <w:pPr>
        <w:spacing w:line="560" w:lineRule="exact"/>
        <w:ind w:firstLine="482" w:firstLineChars="200"/>
        <w:outlineLvl w:val="0"/>
        <w:rPr>
          <w:rFonts w:ascii="宋体" w:hAnsi="宋体"/>
          <w:b/>
          <w:color w:val="auto"/>
          <w:sz w:val="24"/>
        </w:rPr>
      </w:pPr>
      <w:bookmarkStart w:id="483" w:name="_Toc10611"/>
      <w:r>
        <w:rPr>
          <w:rFonts w:ascii="宋体" w:hAnsi="宋体"/>
          <w:b/>
          <w:color w:val="auto"/>
          <w:sz w:val="24"/>
        </w:rPr>
        <w:t xml:space="preserve">2.9 </w:t>
      </w:r>
      <w:r>
        <w:rPr>
          <w:rFonts w:hint="eastAsia" w:ascii="宋体" w:hAnsi="宋体"/>
          <w:b/>
          <w:color w:val="auto"/>
          <w:sz w:val="24"/>
        </w:rPr>
        <w:t>合同变更</w:t>
      </w:r>
      <w:bookmarkEnd w:id="483"/>
    </w:p>
    <w:p w14:paraId="75CF7232">
      <w:pPr>
        <w:spacing w:line="560" w:lineRule="exact"/>
        <w:ind w:firstLine="480" w:firstLineChars="200"/>
        <w:rPr>
          <w:rFonts w:ascii="宋体" w:hAnsi="宋体"/>
          <w:color w:val="auto"/>
          <w:sz w:val="24"/>
        </w:rPr>
      </w:pPr>
      <w:r>
        <w:rPr>
          <w:rFonts w:hint="eastAsia" w:ascii="宋体" w:hAnsi="宋体"/>
          <w:color w:val="auto"/>
          <w:sz w:val="24"/>
        </w:rPr>
        <w:t>合同继续履行将损害国家利益和社会公共利益的，双方当事人应当以书面形式变更合同。有过错的一方应当承担赔偿责任，双方当事人都有过错的，各自承担相应的责任。</w:t>
      </w:r>
    </w:p>
    <w:p w14:paraId="03D4FDA7">
      <w:pPr>
        <w:spacing w:line="560" w:lineRule="exact"/>
        <w:ind w:firstLine="482" w:firstLineChars="200"/>
        <w:outlineLvl w:val="0"/>
        <w:rPr>
          <w:rFonts w:ascii="宋体" w:hAnsi="宋体"/>
          <w:b/>
          <w:color w:val="auto"/>
          <w:sz w:val="24"/>
        </w:rPr>
      </w:pPr>
      <w:bookmarkStart w:id="484" w:name="_Toc23368"/>
      <w:bookmarkStart w:id="485" w:name="_Toc21830"/>
      <w:bookmarkStart w:id="486" w:name="_Toc10663"/>
      <w:bookmarkStart w:id="487" w:name="_Toc26689"/>
      <w:bookmarkStart w:id="488" w:name="_Toc42"/>
      <w:r>
        <w:rPr>
          <w:rFonts w:ascii="宋体" w:hAnsi="宋体"/>
          <w:b/>
          <w:color w:val="auto"/>
          <w:sz w:val="24"/>
        </w:rPr>
        <w:t>2.10 合同转让和分包</w:t>
      </w:r>
      <w:bookmarkEnd w:id="484"/>
      <w:bookmarkEnd w:id="485"/>
      <w:bookmarkEnd w:id="486"/>
      <w:bookmarkEnd w:id="487"/>
      <w:bookmarkEnd w:id="488"/>
    </w:p>
    <w:p w14:paraId="031CE92E">
      <w:pPr>
        <w:spacing w:line="560" w:lineRule="exact"/>
        <w:ind w:firstLine="480" w:firstLineChars="200"/>
        <w:rPr>
          <w:rFonts w:ascii="宋体" w:hAnsi="宋体"/>
          <w:color w:val="auto"/>
          <w:sz w:val="24"/>
        </w:rPr>
      </w:pPr>
      <w:r>
        <w:rPr>
          <w:rFonts w:ascii="宋体" w:hAnsi="宋体"/>
          <w:color w:val="auto"/>
          <w:sz w:val="24"/>
        </w:rPr>
        <w:t>合同的权利义务依法不</w:t>
      </w:r>
      <w:r>
        <w:rPr>
          <w:rFonts w:hint="eastAsia" w:ascii="宋体" w:hAnsi="宋体"/>
          <w:color w:val="auto"/>
          <w:sz w:val="24"/>
        </w:rPr>
        <w:t>得</w:t>
      </w:r>
      <w:r>
        <w:rPr>
          <w:rFonts w:ascii="宋体" w:hAnsi="宋体"/>
          <w:color w:val="auto"/>
          <w:sz w:val="24"/>
        </w:rPr>
        <w:t>转让</w:t>
      </w:r>
      <w:r>
        <w:rPr>
          <w:rFonts w:hint="eastAsia" w:ascii="宋体" w:hAnsi="宋体"/>
          <w:color w:val="auto"/>
          <w:sz w:val="24"/>
        </w:rPr>
        <w:t>，</w:t>
      </w:r>
      <w:r>
        <w:rPr>
          <w:rFonts w:ascii="宋体" w:hAnsi="宋体"/>
          <w:color w:val="auto"/>
          <w:sz w:val="24"/>
        </w:rPr>
        <w:t>但经甲方</w:t>
      </w:r>
      <w:r>
        <w:rPr>
          <w:rFonts w:hint="eastAsia" w:ascii="宋体" w:hAnsi="宋体"/>
          <w:color w:val="auto"/>
          <w:sz w:val="24"/>
        </w:rPr>
        <w:t>同意，乙方可以依法采取分包方式履行合同，即：依法可以</w:t>
      </w:r>
      <w:r>
        <w:rPr>
          <w:rFonts w:ascii="宋体" w:hAnsi="宋体"/>
          <w:color w:val="auto"/>
          <w:sz w:val="24"/>
        </w:rPr>
        <w:t>将合同项下的部分非主体、非关键性工作分包给他人完成</w:t>
      </w:r>
      <w:r>
        <w:rPr>
          <w:rFonts w:hint="eastAsia" w:ascii="宋体" w:hAnsi="宋体"/>
          <w:color w:val="auto"/>
          <w:sz w:val="24"/>
        </w:rPr>
        <w:t>，</w:t>
      </w:r>
      <w:r>
        <w:rPr>
          <w:rFonts w:ascii="宋体" w:hAnsi="宋体"/>
          <w:color w:val="auto"/>
          <w:sz w:val="24"/>
        </w:rPr>
        <w:t>接受分包的人应当具备相应的资格条件，并不得再次分包</w:t>
      </w:r>
      <w:r>
        <w:rPr>
          <w:rFonts w:hint="eastAsia" w:ascii="宋体" w:hAnsi="宋体"/>
          <w:color w:val="auto"/>
          <w:sz w:val="24"/>
        </w:rPr>
        <w:t>，</w:t>
      </w:r>
      <w:r>
        <w:rPr>
          <w:rFonts w:ascii="宋体" w:hAnsi="宋体"/>
          <w:color w:val="auto"/>
          <w:sz w:val="24"/>
        </w:rPr>
        <w:t>且乙方应就分包项目向甲方负责</w:t>
      </w:r>
      <w:r>
        <w:rPr>
          <w:rFonts w:hint="eastAsia" w:ascii="宋体" w:hAnsi="宋体"/>
          <w:color w:val="auto"/>
          <w:sz w:val="24"/>
        </w:rPr>
        <w:t>，</w:t>
      </w:r>
      <w:r>
        <w:rPr>
          <w:rFonts w:ascii="宋体" w:hAnsi="宋体"/>
          <w:color w:val="auto"/>
          <w:sz w:val="24"/>
        </w:rPr>
        <w:t>并</w:t>
      </w:r>
      <w:r>
        <w:rPr>
          <w:rFonts w:hint="eastAsia" w:ascii="宋体" w:hAnsi="宋体"/>
          <w:color w:val="auto"/>
          <w:sz w:val="24"/>
        </w:rPr>
        <w:t>与分包供应商就分包项目向甲方承担连带责任。</w:t>
      </w:r>
    </w:p>
    <w:p w14:paraId="71335E5B">
      <w:pPr>
        <w:spacing w:line="560" w:lineRule="exact"/>
        <w:ind w:firstLine="482" w:firstLineChars="200"/>
        <w:outlineLvl w:val="0"/>
        <w:rPr>
          <w:rFonts w:ascii="宋体" w:hAnsi="宋体"/>
          <w:b/>
          <w:color w:val="auto"/>
          <w:sz w:val="24"/>
        </w:rPr>
      </w:pPr>
      <w:bookmarkStart w:id="489" w:name="_Toc32494"/>
      <w:bookmarkStart w:id="490" w:name="_Toc25571"/>
      <w:bookmarkStart w:id="491" w:name="_Toc14371"/>
      <w:bookmarkStart w:id="492" w:name="_Toc4720"/>
      <w:bookmarkStart w:id="493" w:name="_Toc26633"/>
      <w:r>
        <w:rPr>
          <w:rFonts w:ascii="宋体" w:hAnsi="宋体"/>
          <w:b/>
          <w:color w:val="auto"/>
          <w:sz w:val="24"/>
        </w:rPr>
        <w:t>2.11 不可抗力</w:t>
      </w:r>
      <w:bookmarkEnd w:id="489"/>
      <w:bookmarkEnd w:id="490"/>
      <w:bookmarkEnd w:id="491"/>
      <w:bookmarkEnd w:id="492"/>
      <w:bookmarkEnd w:id="493"/>
    </w:p>
    <w:p w14:paraId="18C1288E">
      <w:pPr>
        <w:spacing w:line="560" w:lineRule="exact"/>
        <w:ind w:firstLine="480" w:firstLineChars="200"/>
        <w:rPr>
          <w:rFonts w:ascii="宋体" w:hAnsi="宋体"/>
          <w:color w:val="auto"/>
          <w:sz w:val="24"/>
        </w:rPr>
      </w:pPr>
      <w:r>
        <w:rPr>
          <w:rFonts w:ascii="宋体" w:hAnsi="宋体"/>
          <w:color w:val="auto"/>
          <w:sz w:val="24"/>
        </w:rPr>
        <w:t>2.11.1如果任何一方遭遇法律规定的不可抗力，致使合同履行受阻时，履行合同的期限应予延长，延长的期限应相当于不可抗力所影响的时间</w:t>
      </w:r>
      <w:r>
        <w:rPr>
          <w:rFonts w:hint="eastAsia" w:ascii="宋体" w:hAnsi="宋体"/>
          <w:color w:val="auto"/>
          <w:sz w:val="24"/>
        </w:rPr>
        <w:t>；</w:t>
      </w:r>
    </w:p>
    <w:p w14:paraId="560FB183">
      <w:pPr>
        <w:spacing w:line="560" w:lineRule="exact"/>
        <w:ind w:firstLine="480" w:firstLineChars="200"/>
        <w:rPr>
          <w:rFonts w:ascii="宋体" w:hAnsi="宋体"/>
          <w:color w:val="auto"/>
          <w:sz w:val="24"/>
        </w:rPr>
      </w:pPr>
      <w:r>
        <w:rPr>
          <w:rFonts w:ascii="宋体" w:hAnsi="宋体"/>
          <w:color w:val="auto"/>
          <w:sz w:val="24"/>
        </w:rPr>
        <w:t xml:space="preserve">2.11.2 </w:t>
      </w:r>
      <w:r>
        <w:rPr>
          <w:rFonts w:hint="eastAsia" w:ascii="宋体" w:hAnsi="宋体"/>
          <w:color w:val="auto"/>
          <w:sz w:val="24"/>
        </w:rPr>
        <w:t>因不可抗力致使不能实现合同目的的，当事人可以解除合同；</w:t>
      </w:r>
    </w:p>
    <w:p w14:paraId="0A91BF06">
      <w:pPr>
        <w:spacing w:line="560" w:lineRule="exact"/>
        <w:ind w:firstLine="480" w:firstLineChars="200"/>
        <w:rPr>
          <w:rFonts w:ascii="宋体" w:hAnsi="宋体"/>
          <w:color w:val="auto"/>
          <w:sz w:val="24"/>
        </w:rPr>
      </w:pPr>
      <w:r>
        <w:rPr>
          <w:rFonts w:ascii="宋体" w:hAnsi="宋体"/>
          <w:color w:val="auto"/>
          <w:sz w:val="24"/>
        </w:rPr>
        <w:t xml:space="preserve">2.11.3 </w:t>
      </w:r>
      <w:r>
        <w:rPr>
          <w:rFonts w:hint="eastAsia" w:ascii="宋体" w:hAnsi="宋体"/>
          <w:color w:val="auto"/>
          <w:sz w:val="24"/>
        </w:rPr>
        <w:t>因</w:t>
      </w:r>
      <w:r>
        <w:rPr>
          <w:rFonts w:ascii="宋体" w:hAnsi="宋体"/>
          <w:color w:val="auto"/>
          <w:sz w:val="24"/>
        </w:rPr>
        <w:t>不可抗力致使合同有变更必要的，双方当事人应在</w:t>
      </w:r>
      <w:r>
        <w:rPr>
          <w:rFonts w:ascii="宋体" w:hAnsi="宋体"/>
          <w:b/>
          <w:i/>
          <w:color w:val="auto"/>
          <w:sz w:val="24"/>
          <w:u w:val="single"/>
        </w:rPr>
        <w:t>合同专用条款</w:t>
      </w:r>
      <w:r>
        <w:rPr>
          <w:rFonts w:ascii="宋体" w:hAnsi="宋体"/>
          <w:color w:val="auto"/>
          <w:sz w:val="24"/>
        </w:rPr>
        <w:t>约定时间内以书面形式变更合同</w:t>
      </w:r>
      <w:r>
        <w:rPr>
          <w:rFonts w:hint="eastAsia" w:ascii="宋体" w:hAnsi="宋体"/>
          <w:color w:val="auto"/>
          <w:sz w:val="24"/>
        </w:rPr>
        <w:t>；</w:t>
      </w:r>
    </w:p>
    <w:p w14:paraId="2726644A">
      <w:pPr>
        <w:spacing w:line="560" w:lineRule="exact"/>
        <w:ind w:firstLine="480" w:firstLineChars="200"/>
        <w:rPr>
          <w:rFonts w:ascii="宋体" w:hAnsi="宋体"/>
          <w:color w:val="auto"/>
          <w:sz w:val="24"/>
        </w:rPr>
      </w:pPr>
      <w:r>
        <w:rPr>
          <w:rFonts w:ascii="宋体" w:hAnsi="宋体"/>
          <w:color w:val="auto"/>
          <w:sz w:val="24"/>
        </w:rPr>
        <w:t>2.11.4受</w:t>
      </w:r>
      <w:r>
        <w:rPr>
          <w:rFonts w:hint="eastAsia" w:ascii="宋体" w:hAnsi="宋体"/>
          <w:color w:val="auto"/>
          <w:sz w:val="24"/>
        </w:rPr>
        <w:t>不可抗力</w:t>
      </w:r>
      <w:r>
        <w:rPr>
          <w:rFonts w:ascii="宋体" w:hAnsi="宋体"/>
          <w:color w:val="auto"/>
          <w:sz w:val="24"/>
        </w:rPr>
        <w:t>影响的一方在不可抗力发生后</w:t>
      </w:r>
      <w:r>
        <w:rPr>
          <w:rFonts w:hint="eastAsia" w:ascii="宋体" w:hAnsi="宋体"/>
          <w:color w:val="auto"/>
          <w:sz w:val="24"/>
        </w:rPr>
        <w:t>，</w:t>
      </w:r>
      <w:r>
        <w:rPr>
          <w:rFonts w:ascii="宋体" w:hAnsi="宋体"/>
          <w:color w:val="auto"/>
          <w:sz w:val="24"/>
        </w:rPr>
        <w:t>应在</w:t>
      </w:r>
      <w:r>
        <w:rPr>
          <w:rFonts w:ascii="宋体" w:hAnsi="宋体"/>
          <w:b/>
          <w:i/>
          <w:color w:val="auto"/>
          <w:sz w:val="24"/>
          <w:u w:val="single"/>
        </w:rPr>
        <w:t>合同专用条款</w:t>
      </w:r>
      <w:r>
        <w:rPr>
          <w:rFonts w:ascii="宋体" w:hAnsi="宋体"/>
          <w:color w:val="auto"/>
          <w:sz w:val="24"/>
        </w:rPr>
        <w:t>约定时间内以书面形式通知</w:t>
      </w:r>
      <w:r>
        <w:rPr>
          <w:rFonts w:hint="eastAsia" w:ascii="宋体" w:hAnsi="宋体"/>
          <w:color w:val="auto"/>
          <w:sz w:val="24"/>
        </w:rPr>
        <w:t>对</w:t>
      </w:r>
      <w:r>
        <w:rPr>
          <w:rFonts w:ascii="宋体" w:hAnsi="宋体"/>
          <w:color w:val="auto"/>
          <w:sz w:val="24"/>
        </w:rPr>
        <w:t>方当事人，并在</w:t>
      </w:r>
      <w:r>
        <w:rPr>
          <w:rFonts w:ascii="宋体" w:hAnsi="宋体"/>
          <w:b/>
          <w:i/>
          <w:color w:val="auto"/>
          <w:sz w:val="24"/>
          <w:u w:val="single"/>
        </w:rPr>
        <w:t>合同专用条款</w:t>
      </w:r>
      <w:r>
        <w:rPr>
          <w:rFonts w:ascii="宋体" w:hAnsi="宋体"/>
          <w:color w:val="auto"/>
          <w:sz w:val="24"/>
        </w:rPr>
        <w:t>约定时间内，将有关部门出具的证明文件送达</w:t>
      </w:r>
      <w:r>
        <w:rPr>
          <w:rFonts w:hint="eastAsia" w:ascii="宋体" w:hAnsi="宋体"/>
          <w:color w:val="auto"/>
          <w:sz w:val="24"/>
        </w:rPr>
        <w:t>对方当事人</w:t>
      </w:r>
      <w:r>
        <w:rPr>
          <w:rFonts w:ascii="宋体" w:hAnsi="宋体"/>
          <w:color w:val="auto"/>
          <w:sz w:val="24"/>
        </w:rPr>
        <w:t>。</w:t>
      </w:r>
    </w:p>
    <w:p w14:paraId="479D3CB3">
      <w:pPr>
        <w:spacing w:line="560" w:lineRule="exact"/>
        <w:ind w:firstLine="482" w:firstLineChars="200"/>
        <w:outlineLvl w:val="0"/>
        <w:rPr>
          <w:rFonts w:ascii="宋体" w:hAnsi="宋体"/>
          <w:b/>
          <w:color w:val="auto"/>
          <w:sz w:val="24"/>
        </w:rPr>
      </w:pPr>
      <w:bookmarkStart w:id="494" w:name="_Toc23854"/>
      <w:bookmarkStart w:id="495" w:name="_Toc24465"/>
      <w:bookmarkStart w:id="496" w:name="_Toc3638"/>
      <w:bookmarkStart w:id="497" w:name="_Toc25783"/>
      <w:bookmarkStart w:id="498" w:name="_Toc14115"/>
      <w:r>
        <w:rPr>
          <w:rFonts w:ascii="宋体" w:hAnsi="宋体"/>
          <w:b/>
          <w:color w:val="auto"/>
          <w:sz w:val="24"/>
        </w:rPr>
        <w:t>2.12 税费</w:t>
      </w:r>
      <w:bookmarkEnd w:id="494"/>
      <w:bookmarkEnd w:id="495"/>
      <w:bookmarkEnd w:id="496"/>
      <w:bookmarkEnd w:id="497"/>
      <w:bookmarkEnd w:id="498"/>
    </w:p>
    <w:p w14:paraId="196411FF">
      <w:pPr>
        <w:spacing w:line="560" w:lineRule="exact"/>
        <w:ind w:firstLine="480" w:firstLineChars="200"/>
        <w:rPr>
          <w:rFonts w:ascii="宋体" w:hAnsi="宋体"/>
          <w:color w:val="auto"/>
          <w:sz w:val="24"/>
        </w:rPr>
      </w:pPr>
      <w:r>
        <w:rPr>
          <w:rFonts w:ascii="宋体" w:hAnsi="宋体"/>
          <w:color w:val="auto"/>
          <w:sz w:val="24"/>
        </w:rPr>
        <w:t>与合同有关的一切税费</w:t>
      </w:r>
      <w:r>
        <w:rPr>
          <w:rFonts w:hint="eastAsia" w:ascii="宋体" w:hAnsi="宋体"/>
          <w:color w:val="auto"/>
          <w:sz w:val="24"/>
        </w:rPr>
        <w:t>，</w:t>
      </w:r>
      <w:r>
        <w:rPr>
          <w:rFonts w:ascii="宋体" w:hAnsi="宋体"/>
          <w:color w:val="auto"/>
          <w:sz w:val="24"/>
        </w:rPr>
        <w:t>均按照中华人民共和国法律的相关规定缴纳。</w:t>
      </w:r>
    </w:p>
    <w:p w14:paraId="41F1B03B">
      <w:pPr>
        <w:spacing w:line="560" w:lineRule="exact"/>
        <w:ind w:firstLine="482" w:firstLineChars="200"/>
        <w:outlineLvl w:val="0"/>
        <w:rPr>
          <w:rFonts w:ascii="宋体" w:hAnsi="宋体"/>
          <w:b/>
          <w:color w:val="auto"/>
          <w:sz w:val="24"/>
        </w:rPr>
      </w:pPr>
      <w:bookmarkStart w:id="499" w:name="_Toc7315"/>
      <w:bookmarkStart w:id="500" w:name="_Toc14814"/>
      <w:bookmarkStart w:id="501" w:name="_Toc26883"/>
      <w:bookmarkStart w:id="502" w:name="_Toc25525"/>
      <w:bookmarkStart w:id="503" w:name="_Toc30105"/>
      <w:r>
        <w:rPr>
          <w:rFonts w:ascii="宋体" w:hAnsi="宋体"/>
          <w:b/>
          <w:color w:val="auto"/>
          <w:sz w:val="24"/>
        </w:rPr>
        <w:t>2.13 乙方破产</w:t>
      </w:r>
      <w:bookmarkEnd w:id="499"/>
      <w:bookmarkEnd w:id="500"/>
      <w:bookmarkEnd w:id="501"/>
      <w:bookmarkEnd w:id="502"/>
      <w:bookmarkEnd w:id="503"/>
    </w:p>
    <w:p w14:paraId="3AE1766D">
      <w:pPr>
        <w:spacing w:line="560" w:lineRule="exact"/>
        <w:ind w:firstLine="480" w:firstLineChars="200"/>
        <w:rPr>
          <w:rFonts w:ascii="宋体" w:hAnsi="宋体"/>
          <w:color w:val="auto"/>
          <w:sz w:val="24"/>
        </w:rPr>
      </w:pPr>
      <w:r>
        <w:rPr>
          <w:rFonts w:ascii="宋体" w:hAnsi="宋体"/>
          <w:color w:val="auto"/>
          <w:sz w:val="24"/>
        </w:rPr>
        <w:t>如果乙方破产导致合同无法履行时，甲方可以书面形式通知乙方终止合同且不给予乙方任何补偿和赔偿</w:t>
      </w:r>
      <w:r>
        <w:rPr>
          <w:rFonts w:hint="eastAsia" w:ascii="宋体" w:hAnsi="宋体"/>
          <w:color w:val="auto"/>
          <w:sz w:val="24"/>
        </w:rPr>
        <w:t>，但合同的</w:t>
      </w:r>
      <w:r>
        <w:rPr>
          <w:rFonts w:ascii="宋体" w:hAnsi="宋体"/>
          <w:color w:val="auto"/>
          <w:sz w:val="24"/>
        </w:rPr>
        <w:t>终止不损害或不影响甲方已经采取或将要采取的任何要求乙方支付违约金</w:t>
      </w:r>
      <w:r>
        <w:rPr>
          <w:rFonts w:hint="eastAsia" w:ascii="宋体" w:hAnsi="宋体"/>
          <w:color w:val="auto"/>
          <w:sz w:val="24"/>
        </w:rPr>
        <w:t>、</w:t>
      </w:r>
      <w:r>
        <w:rPr>
          <w:rFonts w:ascii="宋体" w:hAnsi="宋体"/>
          <w:color w:val="auto"/>
          <w:sz w:val="24"/>
        </w:rPr>
        <w:t>赔偿损失等的行动或补救措施的权利</w:t>
      </w:r>
      <w:r>
        <w:rPr>
          <w:rFonts w:hint="eastAsia" w:ascii="宋体" w:hAnsi="宋体"/>
          <w:color w:val="auto"/>
          <w:sz w:val="24"/>
        </w:rPr>
        <w:t>。</w:t>
      </w:r>
    </w:p>
    <w:p w14:paraId="4282C8E0">
      <w:pPr>
        <w:spacing w:line="560" w:lineRule="exact"/>
        <w:ind w:firstLine="482" w:firstLineChars="200"/>
        <w:outlineLvl w:val="0"/>
        <w:rPr>
          <w:rFonts w:ascii="宋体" w:hAnsi="宋体"/>
          <w:b/>
          <w:color w:val="auto"/>
          <w:sz w:val="24"/>
        </w:rPr>
      </w:pPr>
      <w:bookmarkStart w:id="504" w:name="_Toc2016"/>
      <w:bookmarkStart w:id="505" w:name="_Toc1123"/>
      <w:bookmarkStart w:id="506" w:name="_Toc23323"/>
      <w:r>
        <w:rPr>
          <w:rFonts w:ascii="宋体" w:hAnsi="宋体"/>
          <w:b/>
          <w:color w:val="auto"/>
          <w:sz w:val="24"/>
        </w:rPr>
        <w:t>2.14 合同中止、终止</w:t>
      </w:r>
      <w:bookmarkEnd w:id="504"/>
      <w:bookmarkEnd w:id="505"/>
      <w:bookmarkEnd w:id="506"/>
    </w:p>
    <w:p w14:paraId="0FA4837C">
      <w:pPr>
        <w:spacing w:line="560" w:lineRule="exact"/>
        <w:ind w:firstLine="480" w:firstLineChars="200"/>
        <w:rPr>
          <w:rFonts w:ascii="宋体" w:hAnsi="宋体"/>
          <w:color w:val="auto"/>
          <w:sz w:val="24"/>
        </w:rPr>
      </w:pPr>
      <w:r>
        <w:rPr>
          <w:rFonts w:ascii="宋体" w:hAnsi="宋体"/>
          <w:color w:val="auto"/>
          <w:sz w:val="24"/>
        </w:rPr>
        <w:t xml:space="preserve">2.14.1 </w:t>
      </w:r>
      <w:r>
        <w:rPr>
          <w:rFonts w:hint="eastAsia" w:ascii="宋体" w:hAnsi="宋体"/>
          <w:color w:val="auto"/>
          <w:sz w:val="24"/>
        </w:rPr>
        <w:t>双方当事人不得擅自中止或者终止合同；</w:t>
      </w:r>
    </w:p>
    <w:p w14:paraId="716BCA97">
      <w:pPr>
        <w:spacing w:line="560" w:lineRule="exact"/>
        <w:ind w:firstLine="480" w:firstLineChars="200"/>
        <w:rPr>
          <w:rFonts w:ascii="宋体" w:hAnsi="宋体"/>
          <w:color w:val="auto"/>
          <w:sz w:val="24"/>
        </w:rPr>
      </w:pPr>
      <w:r>
        <w:rPr>
          <w:rFonts w:ascii="宋体" w:hAnsi="宋体"/>
          <w:color w:val="auto"/>
          <w:sz w:val="24"/>
        </w:rPr>
        <w:t>2.14.2合同继续履行将损害国家利益和社会公共利益的，双方当事人应当中止或者终止合同。有过错的一方应当承担赔偿责任，双方当事人都有过错的，各自承担相应的责任。</w:t>
      </w:r>
    </w:p>
    <w:p w14:paraId="46398362">
      <w:pPr>
        <w:spacing w:line="560" w:lineRule="exact"/>
        <w:ind w:firstLine="482" w:firstLineChars="200"/>
        <w:outlineLvl w:val="0"/>
        <w:rPr>
          <w:rFonts w:ascii="宋体" w:hAnsi="宋体"/>
          <w:b/>
          <w:color w:val="auto"/>
          <w:sz w:val="24"/>
        </w:rPr>
      </w:pPr>
      <w:bookmarkStart w:id="507" w:name="_Toc14525"/>
      <w:bookmarkStart w:id="508" w:name="_Toc17363"/>
      <w:bookmarkStart w:id="509" w:name="_Toc1969"/>
      <w:r>
        <w:rPr>
          <w:rFonts w:ascii="宋体" w:hAnsi="宋体"/>
          <w:b/>
          <w:color w:val="auto"/>
          <w:sz w:val="24"/>
        </w:rPr>
        <w:t>2.15 检验和验收</w:t>
      </w:r>
      <w:bookmarkEnd w:id="507"/>
      <w:bookmarkEnd w:id="508"/>
      <w:bookmarkEnd w:id="509"/>
    </w:p>
    <w:p w14:paraId="7E7064ED">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2.15.1 </w:t>
      </w:r>
      <w:r>
        <w:rPr>
          <w:rFonts w:hint="eastAsia" w:ascii="宋体" w:hAnsi="宋体"/>
          <w:color w:val="auto"/>
          <w:sz w:val="24"/>
        </w:rPr>
        <w:t>乙方按照</w:t>
      </w:r>
      <w:r>
        <w:rPr>
          <w:rFonts w:ascii="宋体" w:hAnsi="宋体"/>
          <w:b/>
          <w:i/>
          <w:color w:val="auto"/>
          <w:sz w:val="24"/>
          <w:u w:val="single"/>
        </w:rPr>
        <w:t>合同专用条款</w:t>
      </w:r>
      <w:r>
        <w:rPr>
          <w:rFonts w:ascii="宋体" w:hAnsi="宋体"/>
          <w:color w:val="auto"/>
          <w:sz w:val="24"/>
        </w:rPr>
        <w:t>的约定</w:t>
      </w:r>
      <w:r>
        <w:rPr>
          <w:rFonts w:hint="eastAsia" w:ascii="宋体" w:hAnsi="宋体"/>
          <w:color w:val="auto"/>
          <w:sz w:val="24"/>
        </w:rPr>
        <w:t>，</w:t>
      </w:r>
      <w:r>
        <w:rPr>
          <w:rFonts w:ascii="宋体" w:hAnsi="宋体"/>
          <w:color w:val="auto"/>
          <w:sz w:val="24"/>
        </w:rPr>
        <w:t>定期提交服务报告</w:t>
      </w:r>
      <w:r>
        <w:rPr>
          <w:rFonts w:hint="eastAsia" w:ascii="宋体" w:hAnsi="宋体"/>
          <w:color w:val="auto"/>
          <w:sz w:val="24"/>
        </w:rPr>
        <w:t>，甲方按照</w:t>
      </w:r>
      <w:r>
        <w:rPr>
          <w:rFonts w:ascii="宋体" w:hAnsi="宋体"/>
          <w:b/>
          <w:i/>
          <w:color w:val="auto"/>
          <w:sz w:val="24"/>
          <w:u w:val="single"/>
        </w:rPr>
        <w:t>合同专用条款</w:t>
      </w:r>
      <w:r>
        <w:rPr>
          <w:rFonts w:ascii="宋体" w:hAnsi="宋体"/>
          <w:color w:val="auto"/>
          <w:sz w:val="24"/>
        </w:rPr>
        <w:t>的约定进行定期验收</w:t>
      </w:r>
      <w:r>
        <w:rPr>
          <w:rFonts w:hint="eastAsia" w:ascii="宋体" w:hAnsi="宋体"/>
          <w:color w:val="auto"/>
          <w:sz w:val="24"/>
        </w:rPr>
        <w:t>；</w:t>
      </w:r>
    </w:p>
    <w:p w14:paraId="58C7CC30">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2.15.2 </w:t>
      </w:r>
      <w:r>
        <w:rPr>
          <w:rFonts w:hint="eastAsia" w:ascii="宋体" w:hAnsi="宋体"/>
          <w:color w:val="auto"/>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EFDF2A">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2.15.3 </w:t>
      </w:r>
      <w:r>
        <w:rPr>
          <w:rFonts w:hint="eastAsia" w:ascii="宋体" w:hAnsi="宋体"/>
          <w:color w:val="auto"/>
          <w:sz w:val="24"/>
        </w:rPr>
        <w:t>检验和验收标准、程序等具体内容以及前述验收书的效力详见</w:t>
      </w:r>
      <w:r>
        <w:rPr>
          <w:rFonts w:ascii="宋体" w:hAnsi="宋体"/>
          <w:b/>
          <w:i/>
          <w:color w:val="auto"/>
          <w:sz w:val="24"/>
          <w:u w:val="single"/>
        </w:rPr>
        <w:t>合同专用条款</w:t>
      </w:r>
      <w:r>
        <w:rPr>
          <w:rFonts w:hint="eastAsia" w:ascii="宋体" w:hAnsi="宋体"/>
          <w:i/>
          <w:color w:val="auto"/>
          <w:sz w:val="24"/>
        </w:rPr>
        <w:t>。</w:t>
      </w:r>
    </w:p>
    <w:p w14:paraId="3FB86F03">
      <w:pPr>
        <w:spacing w:line="560" w:lineRule="exact"/>
        <w:ind w:firstLine="482" w:firstLineChars="200"/>
        <w:outlineLvl w:val="0"/>
        <w:rPr>
          <w:rFonts w:ascii="宋体" w:hAnsi="宋体"/>
          <w:b/>
          <w:color w:val="auto"/>
          <w:sz w:val="24"/>
        </w:rPr>
      </w:pPr>
      <w:bookmarkStart w:id="510" w:name="_Toc2308"/>
      <w:bookmarkStart w:id="511" w:name="_Toc9808"/>
      <w:bookmarkStart w:id="512" w:name="_Toc12666"/>
      <w:bookmarkStart w:id="513" w:name="_Toc31892"/>
      <w:bookmarkStart w:id="514" w:name="_Toc25198"/>
      <w:r>
        <w:rPr>
          <w:rFonts w:ascii="宋体" w:hAnsi="宋体"/>
          <w:b/>
          <w:color w:val="auto"/>
          <w:sz w:val="24"/>
        </w:rPr>
        <w:t>2.16 通知和送达</w:t>
      </w:r>
      <w:bookmarkEnd w:id="510"/>
      <w:bookmarkEnd w:id="511"/>
      <w:bookmarkEnd w:id="512"/>
      <w:bookmarkEnd w:id="513"/>
      <w:bookmarkEnd w:id="514"/>
    </w:p>
    <w:p w14:paraId="4D6EF3F6">
      <w:pPr>
        <w:spacing w:line="560" w:lineRule="exact"/>
        <w:ind w:firstLine="480" w:firstLineChars="200"/>
        <w:rPr>
          <w:rFonts w:ascii="宋体" w:hAnsi="宋体"/>
          <w:color w:val="auto"/>
          <w:sz w:val="24"/>
        </w:rPr>
      </w:pPr>
      <w:bookmarkStart w:id="515" w:name="_Toc27674"/>
      <w:bookmarkStart w:id="516" w:name="_Toc18401"/>
      <w:r>
        <w:rPr>
          <w:rFonts w:ascii="宋体" w:hAnsi="宋体"/>
          <w:color w:val="auto"/>
          <w:sz w:val="24"/>
        </w:rPr>
        <w:t>2.17.1</w:t>
      </w:r>
      <w:r>
        <w:rPr>
          <w:rFonts w:hint="eastAsia" w:ascii="宋体" w:hAnsi="宋体"/>
          <w:color w:val="auto"/>
          <w:sz w:val="24"/>
        </w:rPr>
        <w:t>任何一方因履行合同而以合同第一部分尾部所列明的传真或电子邮件</w:t>
      </w:r>
      <w:r>
        <w:rPr>
          <w:rFonts w:ascii="宋体" w:hAnsi="宋体"/>
          <w:color w:val="auto"/>
          <w:sz w:val="24"/>
        </w:rPr>
        <w:t xml:space="preserve"> </w:t>
      </w:r>
      <w:r>
        <w:rPr>
          <w:rFonts w:ascii="宋体" w:hAnsi="宋体"/>
          <w:color w:val="auto"/>
          <w:sz w:val="24"/>
          <w:u w:val="single"/>
        </w:rPr>
        <w:t xml:space="preserve">       </w:t>
      </w:r>
      <w:r>
        <w:rPr>
          <w:rFonts w:hint="eastAsia" w:ascii="宋体" w:hAnsi="宋体"/>
          <w:color w:val="auto"/>
          <w:sz w:val="24"/>
        </w:rPr>
        <w:t>发出的所有通知、文件、材料，均视为已向对方当事人送达；任何一方变更上述送达方式或者地址的，应于</w:t>
      </w:r>
      <w:r>
        <w:rPr>
          <w:rFonts w:ascii="宋体" w:hAnsi="宋体"/>
          <w:color w:val="auto"/>
          <w:sz w:val="24"/>
          <w:u w:val="single"/>
        </w:rPr>
        <w:t>3</w:t>
      </w:r>
      <w:r>
        <w:rPr>
          <w:rFonts w:hint="eastAsia" w:ascii="宋体" w:hAnsi="宋体"/>
          <w:color w:val="auto"/>
          <w:sz w:val="24"/>
        </w:rPr>
        <w:t>个工作日内书面通知对方当事人，在对方当事人收到有关变更通知之前，变更前的约定送达方式或者地址仍视为有效。</w:t>
      </w:r>
    </w:p>
    <w:p w14:paraId="73A6E39A">
      <w:pPr>
        <w:spacing w:line="560" w:lineRule="exact"/>
        <w:ind w:firstLine="480" w:firstLineChars="200"/>
        <w:rPr>
          <w:rFonts w:ascii="宋体" w:hAnsi="宋体"/>
          <w:color w:val="auto"/>
          <w:sz w:val="24"/>
        </w:rPr>
      </w:pPr>
      <w:r>
        <w:rPr>
          <w:rFonts w:ascii="宋体" w:hAnsi="宋体"/>
          <w:color w:val="auto"/>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rPr>
        <w:t>的，邮件挂号寄出或者交邮之日之次日视为送达。</w:t>
      </w:r>
      <w:bookmarkEnd w:id="515"/>
      <w:bookmarkEnd w:id="516"/>
    </w:p>
    <w:p w14:paraId="63FC624F">
      <w:pPr>
        <w:spacing w:line="560" w:lineRule="exact"/>
        <w:ind w:firstLine="482" w:firstLineChars="200"/>
        <w:outlineLvl w:val="0"/>
        <w:rPr>
          <w:rFonts w:ascii="宋体" w:hAnsi="宋体"/>
          <w:b/>
          <w:color w:val="auto"/>
          <w:sz w:val="24"/>
        </w:rPr>
      </w:pPr>
      <w:bookmarkStart w:id="517" w:name="_Toc20808"/>
      <w:bookmarkStart w:id="518" w:name="_Toc27644"/>
      <w:bookmarkStart w:id="519" w:name="_Toc5063"/>
      <w:bookmarkStart w:id="520" w:name="_Toc12254"/>
      <w:bookmarkStart w:id="521" w:name="_Toc28906"/>
      <w:r>
        <w:rPr>
          <w:rFonts w:ascii="宋体" w:hAnsi="宋体"/>
          <w:b/>
          <w:color w:val="auto"/>
          <w:sz w:val="24"/>
        </w:rPr>
        <w:t xml:space="preserve">2.17 </w:t>
      </w:r>
      <w:r>
        <w:rPr>
          <w:rFonts w:hint="eastAsia" w:ascii="宋体" w:hAnsi="宋体"/>
          <w:b/>
          <w:color w:val="auto"/>
          <w:sz w:val="24"/>
        </w:rPr>
        <w:t>合同使用的文字和</w:t>
      </w:r>
      <w:r>
        <w:rPr>
          <w:rFonts w:ascii="宋体" w:hAnsi="宋体"/>
          <w:b/>
          <w:color w:val="auto"/>
          <w:sz w:val="24"/>
        </w:rPr>
        <w:t>适用的法律</w:t>
      </w:r>
      <w:bookmarkEnd w:id="517"/>
      <w:bookmarkEnd w:id="518"/>
      <w:bookmarkEnd w:id="519"/>
      <w:bookmarkEnd w:id="520"/>
      <w:bookmarkEnd w:id="521"/>
    </w:p>
    <w:p w14:paraId="32E4296A">
      <w:pPr>
        <w:spacing w:line="560" w:lineRule="exact"/>
        <w:ind w:firstLine="480" w:firstLineChars="200"/>
        <w:rPr>
          <w:rFonts w:ascii="宋体" w:hAnsi="宋体"/>
          <w:color w:val="auto"/>
          <w:sz w:val="24"/>
        </w:rPr>
      </w:pPr>
      <w:r>
        <w:rPr>
          <w:rFonts w:ascii="宋体" w:hAnsi="宋体"/>
          <w:color w:val="auto"/>
          <w:sz w:val="24"/>
        </w:rPr>
        <w:t>2.17.1 合同使用汉语书就</w:t>
      </w:r>
      <w:r>
        <w:rPr>
          <w:rFonts w:hint="eastAsia" w:ascii="宋体" w:hAnsi="宋体"/>
          <w:color w:val="auto"/>
          <w:sz w:val="24"/>
        </w:rPr>
        <w:t>、</w:t>
      </w:r>
      <w:r>
        <w:rPr>
          <w:rFonts w:ascii="宋体" w:hAnsi="宋体"/>
          <w:color w:val="auto"/>
          <w:sz w:val="24"/>
        </w:rPr>
        <w:t>变更和解释</w:t>
      </w:r>
      <w:r>
        <w:rPr>
          <w:rFonts w:hint="eastAsia" w:ascii="宋体" w:hAnsi="宋体"/>
          <w:color w:val="auto"/>
          <w:sz w:val="24"/>
        </w:rPr>
        <w:t>；</w:t>
      </w:r>
    </w:p>
    <w:p w14:paraId="7F614EC1">
      <w:pPr>
        <w:spacing w:line="560" w:lineRule="exact"/>
        <w:ind w:firstLine="480" w:firstLineChars="200"/>
        <w:rPr>
          <w:rFonts w:ascii="宋体" w:hAnsi="宋体"/>
          <w:color w:val="auto"/>
          <w:sz w:val="24"/>
        </w:rPr>
      </w:pPr>
      <w:r>
        <w:rPr>
          <w:rFonts w:ascii="宋体" w:hAnsi="宋体"/>
          <w:color w:val="auto"/>
          <w:sz w:val="24"/>
        </w:rPr>
        <w:t xml:space="preserve">2.17.2 </w:t>
      </w:r>
      <w:r>
        <w:rPr>
          <w:rFonts w:hint="eastAsia" w:ascii="宋体" w:hAnsi="宋体"/>
          <w:color w:val="auto"/>
          <w:sz w:val="24"/>
        </w:rPr>
        <w:t>合同适用</w:t>
      </w:r>
      <w:r>
        <w:rPr>
          <w:rFonts w:ascii="宋体" w:hAnsi="宋体"/>
          <w:color w:val="auto"/>
          <w:sz w:val="24"/>
        </w:rPr>
        <w:t>中华人民共和国法律。</w:t>
      </w:r>
    </w:p>
    <w:p w14:paraId="423A0BC3">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2.18 计量单位</w:t>
      </w:r>
    </w:p>
    <w:p w14:paraId="654CF608">
      <w:pPr>
        <w:spacing w:line="560" w:lineRule="exact"/>
        <w:ind w:firstLine="480" w:firstLineChars="200"/>
        <w:rPr>
          <w:rFonts w:ascii="宋体" w:hAnsi="宋体" w:cs="宋体"/>
          <w:color w:val="auto"/>
          <w:sz w:val="24"/>
        </w:rPr>
      </w:pPr>
      <w:r>
        <w:rPr>
          <w:rFonts w:hint="eastAsia" w:ascii="宋体" w:hAnsi="宋体" w:cs="宋体"/>
          <w:color w:val="auto"/>
          <w:sz w:val="24"/>
        </w:rPr>
        <w:t>除技术规范中另有规定外,合同的计量单位均使用国家法定计量单位。</w:t>
      </w:r>
    </w:p>
    <w:p w14:paraId="27D7A97C">
      <w:pPr>
        <w:spacing w:line="560" w:lineRule="exact"/>
        <w:ind w:firstLine="482" w:firstLineChars="200"/>
        <w:rPr>
          <w:rFonts w:ascii="宋体" w:hAnsi="宋体"/>
          <w:b/>
          <w:color w:val="auto"/>
          <w:sz w:val="24"/>
        </w:rPr>
      </w:pPr>
      <w:r>
        <w:rPr>
          <w:rFonts w:ascii="宋体" w:hAnsi="宋体"/>
          <w:b/>
          <w:color w:val="auto"/>
          <w:sz w:val="24"/>
        </w:rPr>
        <w:t>2.</w:t>
      </w:r>
      <w:r>
        <w:rPr>
          <w:rFonts w:hint="eastAsia" w:ascii="宋体" w:hAnsi="宋体"/>
          <w:b/>
          <w:color w:val="auto"/>
          <w:sz w:val="24"/>
        </w:rPr>
        <w:t>19</w:t>
      </w:r>
      <w:r>
        <w:rPr>
          <w:rFonts w:ascii="宋体" w:hAnsi="宋体"/>
          <w:b/>
          <w:color w:val="auto"/>
          <w:sz w:val="24"/>
        </w:rPr>
        <w:t>合同份数</w:t>
      </w:r>
    </w:p>
    <w:p w14:paraId="6B83C8D5">
      <w:pPr>
        <w:spacing w:line="560" w:lineRule="exact"/>
        <w:ind w:firstLine="480" w:firstLineChars="200"/>
        <w:rPr>
          <w:rFonts w:ascii="宋体" w:hAnsi="宋体"/>
          <w:color w:val="auto"/>
          <w:sz w:val="24"/>
        </w:rPr>
      </w:pPr>
      <w:r>
        <w:rPr>
          <w:rFonts w:ascii="宋体" w:hAnsi="宋体"/>
          <w:color w:val="auto"/>
          <w:sz w:val="24"/>
        </w:rPr>
        <w:t>合同份数按</w:t>
      </w:r>
      <w:r>
        <w:rPr>
          <w:rFonts w:ascii="宋体" w:hAnsi="宋体"/>
          <w:b/>
          <w:i/>
          <w:color w:val="auto"/>
          <w:sz w:val="24"/>
          <w:u w:val="single"/>
        </w:rPr>
        <w:t>合同专用条款</w:t>
      </w:r>
      <w:r>
        <w:rPr>
          <w:rFonts w:ascii="宋体" w:hAnsi="宋体"/>
          <w:color w:val="auto"/>
          <w:sz w:val="24"/>
        </w:rPr>
        <w:t>规定</w:t>
      </w:r>
      <w:r>
        <w:rPr>
          <w:rFonts w:hint="eastAsia" w:ascii="宋体" w:hAnsi="宋体"/>
          <w:color w:val="auto"/>
          <w:sz w:val="24"/>
        </w:rPr>
        <w:t>，</w:t>
      </w:r>
      <w:r>
        <w:rPr>
          <w:rFonts w:ascii="宋体" w:hAnsi="宋体"/>
          <w:color w:val="auto"/>
          <w:sz w:val="24"/>
        </w:rPr>
        <w:t>每份均具有同等法律效力</w:t>
      </w:r>
      <w:r>
        <w:rPr>
          <w:rFonts w:hint="eastAsia" w:ascii="宋体" w:hAnsi="宋体"/>
          <w:color w:val="auto"/>
          <w:sz w:val="24"/>
        </w:rPr>
        <w:t>。</w:t>
      </w:r>
    </w:p>
    <w:p w14:paraId="00CD4B53">
      <w:pPr>
        <w:spacing w:line="360" w:lineRule="auto"/>
        <w:jc w:val="center"/>
        <w:outlineLvl w:val="0"/>
        <w:rPr>
          <w:rFonts w:ascii="宋体" w:hAnsi="宋体" w:cs="宋体"/>
          <w:b/>
          <w:color w:val="auto"/>
          <w:sz w:val="24"/>
        </w:rPr>
      </w:pPr>
      <w:r>
        <w:rPr>
          <w:rFonts w:hint="eastAsia" w:ascii="宋体" w:hAnsi="宋体" w:cs="宋体"/>
          <w:b/>
          <w:color w:val="auto"/>
          <w:sz w:val="24"/>
        </w:rPr>
        <w:t>第三部分  合同专用条款</w:t>
      </w:r>
    </w:p>
    <w:p w14:paraId="150C21AB">
      <w:pPr>
        <w:spacing w:line="560" w:lineRule="exact"/>
        <w:ind w:left="-420" w:leftChars="-200" w:right="-420" w:rightChars="-200" w:firstLine="480" w:firstLineChars="200"/>
        <w:rPr>
          <w:rFonts w:ascii="宋体" w:hAnsi="宋体" w:cs="宋体"/>
          <w:color w:val="auto"/>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00C2D9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5E31999E">
            <w:pPr>
              <w:spacing w:line="360" w:lineRule="auto"/>
              <w:jc w:val="center"/>
              <w:rPr>
                <w:rFonts w:ascii="宋体" w:hAnsi="宋体" w:cs="宋体"/>
                <w:b/>
                <w:color w:val="auto"/>
                <w:sz w:val="24"/>
              </w:rPr>
            </w:pPr>
            <w:r>
              <w:rPr>
                <w:rFonts w:hint="eastAsia" w:ascii="宋体" w:hAnsi="宋体" w:cs="宋体"/>
                <w:b/>
                <w:color w:val="auto"/>
                <w:sz w:val="24"/>
              </w:rPr>
              <w:t>条款号</w:t>
            </w:r>
          </w:p>
        </w:tc>
        <w:tc>
          <w:tcPr>
            <w:tcW w:w="8149" w:type="dxa"/>
            <w:vAlign w:val="center"/>
          </w:tcPr>
          <w:p w14:paraId="7DE8811E">
            <w:pPr>
              <w:spacing w:line="360" w:lineRule="auto"/>
              <w:jc w:val="center"/>
              <w:rPr>
                <w:rFonts w:ascii="宋体" w:hAnsi="宋体" w:cs="宋体"/>
                <w:b/>
                <w:color w:val="auto"/>
                <w:sz w:val="24"/>
              </w:rPr>
            </w:pPr>
            <w:r>
              <w:rPr>
                <w:rFonts w:hint="eastAsia" w:ascii="宋体" w:hAnsi="宋体" w:cs="宋体"/>
                <w:b/>
                <w:color w:val="auto"/>
                <w:sz w:val="24"/>
              </w:rPr>
              <w:t>约定内容</w:t>
            </w:r>
          </w:p>
        </w:tc>
      </w:tr>
      <w:tr w14:paraId="339707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09CB752">
            <w:pPr>
              <w:spacing w:line="360" w:lineRule="auto"/>
              <w:rPr>
                <w:rFonts w:ascii="宋体" w:hAnsi="宋体" w:cs="宋体"/>
                <w:color w:val="auto"/>
                <w:sz w:val="24"/>
              </w:rPr>
            </w:pPr>
            <w:r>
              <w:rPr>
                <w:rFonts w:hint="eastAsia" w:ascii="宋体" w:hAnsi="宋体" w:cs="宋体"/>
                <w:color w:val="auto"/>
                <w:sz w:val="24"/>
              </w:rPr>
              <w:t>1.3.2</w:t>
            </w:r>
          </w:p>
        </w:tc>
        <w:tc>
          <w:tcPr>
            <w:tcW w:w="8149" w:type="dxa"/>
            <w:vAlign w:val="center"/>
          </w:tcPr>
          <w:p w14:paraId="27E9AF86">
            <w:pPr>
              <w:spacing w:line="360" w:lineRule="auto"/>
              <w:rPr>
                <w:rFonts w:ascii="宋体" w:hAnsi="宋体" w:cs="宋体"/>
                <w:color w:val="auto"/>
                <w:sz w:val="24"/>
              </w:rPr>
            </w:pPr>
          </w:p>
        </w:tc>
      </w:tr>
      <w:tr w14:paraId="6B6DD0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779C506">
            <w:pPr>
              <w:spacing w:line="360" w:lineRule="auto"/>
              <w:rPr>
                <w:rFonts w:ascii="宋体" w:hAnsi="宋体" w:cs="宋体"/>
                <w:color w:val="auto"/>
                <w:sz w:val="24"/>
              </w:rPr>
            </w:pPr>
            <w:r>
              <w:rPr>
                <w:rFonts w:hint="eastAsia" w:ascii="宋体" w:hAnsi="宋体" w:cs="宋体"/>
                <w:color w:val="auto"/>
                <w:sz w:val="24"/>
              </w:rPr>
              <w:t>1.4.2</w:t>
            </w:r>
          </w:p>
        </w:tc>
        <w:tc>
          <w:tcPr>
            <w:tcW w:w="8149" w:type="dxa"/>
            <w:vAlign w:val="center"/>
          </w:tcPr>
          <w:p w14:paraId="225F6403">
            <w:pPr>
              <w:spacing w:line="360" w:lineRule="auto"/>
              <w:rPr>
                <w:rFonts w:ascii="宋体" w:hAnsi="宋体" w:cs="宋体"/>
                <w:color w:val="auto"/>
                <w:sz w:val="24"/>
              </w:rPr>
            </w:pPr>
          </w:p>
        </w:tc>
      </w:tr>
      <w:tr w14:paraId="1971BE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C486960">
            <w:pPr>
              <w:spacing w:line="360" w:lineRule="auto"/>
              <w:rPr>
                <w:rFonts w:ascii="宋体" w:hAnsi="宋体" w:cs="宋体"/>
                <w:color w:val="auto"/>
                <w:sz w:val="24"/>
              </w:rPr>
            </w:pPr>
            <w:r>
              <w:rPr>
                <w:rFonts w:hint="eastAsia" w:ascii="宋体" w:hAnsi="宋体" w:cs="宋体"/>
                <w:color w:val="auto"/>
                <w:sz w:val="24"/>
              </w:rPr>
              <w:t xml:space="preserve">1.5.1 </w:t>
            </w:r>
          </w:p>
        </w:tc>
        <w:tc>
          <w:tcPr>
            <w:tcW w:w="8149" w:type="dxa"/>
            <w:vAlign w:val="center"/>
          </w:tcPr>
          <w:p w14:paraId="369860FB">
            <w:pPr>
              <w:spacing w:line="360" w:lineRule="auto"/>
              <w:rPr>
                <w:rFonts w:ascii="宋体" w:hAnsi="宋体" w:cs="宋体"/>
                <w:color w:val="auto"/>
                <w:sz w:val="24"/>
              </w:rPr>
            </w:pPr>
          </w:p>
        </w:tc>
      </w:tr>
      <w:tr w14:paraId="53055B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2DE76A6">
            <w:pPr>
              <w:spacing w:line="360" w:lineRule="auto"/>
              <w:rPr>
                <w:rFonts w:ascii="宋体" w:hAnsi="宋体" w:cs="宋体"/>
                <w:color w:val="auto"/>
                <w:sz w:val="24"/>
              </w:rPr>
            </w:pPr>
            <w:r>
              <w:rPr>
                <w:rFonts w:hint="eastAsia" w:ascii="宋体" w:hAnsi="宋体" w:cs="宋体"/>
                <w:color w:val="auto"/>
                <w:sz w:val="24"/>
              </w:rPr>
              <w:t>1.5.2</w:t>
            </w:r>
          </w:p>
        </w:tc>
        <w:tc>
          <w:tcPr>
            <w:tcW w:w="8149" w:type="dxa"/>
            <w:vAlign w:val="center"/>
          </w:tcPr>
          <w:p w14:paraId="33EDDD18">
            <w:pPr>
              <w:spacing w:line="360" w:lineRule="auto"/>
              <w:rPr>
                <w:rFonts w:ascii="宋体" w:hAnsi="宋体" w:cs="宋体"/>
                <w:color w:val="auto"/>
                <w:sz w:val="24"/>
              </w:rPr>
            </w:pPr>
          </w:p>
        </w:tc>
      </w:tr>
      <w:tr w14:paraId="5E9C79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DA5A96A">
            <w:pPr>
              <w:spacing w:line="360" w:lineRule="auto"/>
              <w:rPr>
                <w:rFonts w:ascii="宋体" w:hAnsi="宋体" w:cs="宋体"/>
                <w:color w:val="auto"/>
                <w:sz w:val="24"/>
              </w:rPr>
            </w:pPr>
            <w:r>
              <w:rPr>
                <w:rFonts w:hint="eastAsia" w:ascii="宋体" w:hAnsi="宋体" w:cs="宋体"/>
                <w:color w:val="auto"/>
                <w:sz w:val="24"/>
              </w:rPr>
              <w:t xml:space="preserve">1.5.3 </w:t>
            </w:r>
          </w:p>
        </w:tc>
        <w:tc>
          <w:tcPr>
            <w:tcW w:w="8149" w:type="dxa"/>
            <w:vAlign w:val="center"/>
          </w:tcPr>
          <w:p w14:paraId="315BC9BE">
            <w:pPr>
              <w:spacing w:line="360" w:lineRule="auto"/>
              <w:rPr>
                <w:rFonts w:ascii="宋体" w:hAnsi="宋体" w:cs="宋体"/>
                <w:color w:val="auto"/>
                <w:sz w:val="24"/>
              </w:rPr>
            </w:pPr>
          </w:p>
        </w:tc>
      </w:tr>
      <w:tr w14:paraId="7B6C58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4D92F95">
            <w:pPr>
              <w:spacing w:line="360" w:lineRule="auto"/>
              <w:rPr>
                <w:rFonts w:ascii="宋体" w:hAnsi="宋体" w:cs="宋体"/>
                <w:color w:val="auto"/>
                <w:sz w:val="24"/>
              </w:rPr>
            </w:pPr>
            <w:r>
              <w:rPr>
                <w:rFonts w:hint="eastAsia" w:ascii="宋体" w:hAnsi="宋体" w:cs="宋体"/>
                <w:color w:val="auto"/>
                <w:sz w:val="24"/>
              </w:rPr>
              <w:t>1.6.2</w:t>
            </w:r>
          </w:p>
        </w:tc>
        <w:tc>
          <w:tcPr>
            <w:tcW w:w="8149" w:type="dxa"/>
            <w:vAlign w:val="center"/>
          </w:tcPr>
          <w:p w14:paraId="6AEA2F81">
            <w:pPr>
              <w:spacing w:line="360" w:lineRule="auto"/>
              <w:rPr>
                <w:rFonts w:ascii="宋体" w:hAnsi="宋体" w:cs="宋体"/>
                <w:color w:val="auto"/>
                <w:sz w:val="24"/>
              </w:rPr>
            </w:pPr>
          </w:p>
        </w:tc>
      </w:tr>
      <w:tr w14:paraId="22C0E2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4F9642C">
            <w:pPr>
              <w:spacing w:line="360" w:lineRule="auto"/>
              <w:rPr>
                <w:rFonts w:ascii="宋体" w:hAnsi="宋体" w:cs="宋体"/>
                <w:color w:val="auto"/>
                <w:sz w:val="24"/>
              </w:rPr>
            </w:pPr>
            <w:r>
              <w:rPr>
                <w:rFonts w:hint="eastAsia" w:ascii="宋体" w:hAnsi="宋体" w:cs="宋体"/>
                <w:color w:val="auto"/>
                <w:sz w:val="24"/>
              </w:rPr>
              <w:t>1.7.1</w:t>
            </w:r>
          </w:p>
        </w:tc>
        <w:tc>
          <w:tcPr>
            <w:tcW w:w="8149" w:type="dxa"/>
            <w:vAlign w:val="center"/>
          </w:tcPr>
          <w:p w14:paraId="61130148">
            <w:pPr>
              <w:spacing w:line="360" w:lineRule="auto"/>
              <w:rPr>
                <w:rFonts w:ascii="宋体" w:hAnsi="宋体" w:cs="宋体"/>
                <w:color w:val="auto"/>
                <w:sz w:val="24"/>
              </w:rPr>
            </w:pPr>
          </w:p>
        </w:tc>
      </w:tr>
      <w:tr w14:paraId="34651D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5564583">
            <w:pPr>
              <w:spacing w:line="360" w:lineRule="auto"/>
              <w:rPr>
                <w:rFonts w:ascii="宋体" w:hAnsi="宋体" w:cs="宋体"/>
                <w:color w:val="auto"/>
                <w:sz w:val="24"/>
              </w:rPr>
            </w:pPr>
            <w:r>
              <w:rPr>
                <w:rFonts w:hint="eastAsia" w:ascii="宋体" w:hAnsi="宋体" w:cs="宋体"/>
                <w:color w:val="auto"/>
                <w:sz w:val="24"/>
              </w:rPr>
              <w:t>1.7.2</w:t>
            </w:r>
          </w:p>
        </w:tc>
        <w:tc>
          <w:tcPr>
            <w:tcW w:w="8149" w:type="dxa"/>
            <w:vAlign w:val="center"/>
          </w:tcPr>
          <w:p w14:paraId="370EDE4C">
            <w:pPr>
              <w:spacing w:line="360" w:lineRule="auto"/>
              <w:rPr>
                <w:rFonts w:ascii="宋体" w:hAnsi="宋体" w:cs="宋体"/>
                <w:color w:val="auto"/>
                <w:sz w:val="24"/>
              </w:rPr>
            </w:pPr>
          </w:p>
        </w:tc>
      </w:tr>
      <w:tr w14:paraId="2B2443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EE4BA96">
            <w:pPr>
              <w:spacing w:line="360" w:lineRule="auto"/>
              <w:rPr>
                <w:rFonts w:ascii="宋体" w:hAnsi="宋体" w:cs="宋体"/>
                <w:color w:val="auto"/>
                <w:sz w:val="24"/>
              </w:rPr>
            </w:pPr>
            <w:r>
              <w:rPr>
                <w:rFonts w:hint="eastAsia" w:ascii="宋体" w:hAnsi="宋体" w:cs="宋体"/>
                <w:color w:val="auto"/>
                <w:sz w:val="24"/>
              </w:rPr>
              <w:t>1.7.3</w:t>
            </w:r>
          </w:p>
        </w:tc>
        <w:tc>
          <w:tcPr>
            <w:tcW w:w="8149" w:type="dxa"/>
            <w:vAlign w:val="center"/>
          </w:tcPr>
          <w:p w14:paraId="0B0E686A">
            <w:pPr>
              <w:spacing w:line="360" w:lineRule="auto"/>
              <w:rPr>
                <w:rFonts w:ascii="宋体" w:hAnsi="宋体" w:cs="宋体"/>
                <w:color w:val="auto"/>
                <w:sz w:val="24"/>
              </w:rPr>
            </w:pPr>
          </w:p>
        </w:tc>
      </w:tr>
      <w:tr w14:paraId="3327CA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E4417F5">
            <w:pPr>
              <w:spacing w:line="360" w:lineRule="auto"/>
              <w:rPr>
                <w:rFonts w:ascii="宋体" w:hAnsi="宋体" w:cs="宋体"/>
                <w:color w:val="auto"/>
                <w:sz w:val="24"/>
              </w:rPr>
            </w:pPr>
            <w:r>
              <w:rPr>
                <w:rFonts w:hint="eastAsia" w:ascii="宋体" w:hAnsi="宋体" w:cs="宋体"/>
                <w:color w:val="auto"/>
                <w:sz w:val="24"/>
              </w:rPr>
              <w:t>1.7.4.1</w:t>
            </w:r>
          </w:p>
        </w:tc>
        <w:tc>
          <w:tcPr>
            <w:tcW w:w="8149" w:type="dxa"/>
            <w:vAlign w:val="center"/>
          </w:tcPr>
          <w:p w14:paraId="77C4B55A">
            <w:pPr>
              <w:spacing w:line="360" w:lineRule="auto"/>
              <w:rPr>
                <w:rFonts w:ascii="宋体" w:hAnsi="宋体" w:cs="宋体"/>
                <w:color w:val="auto"/>
                <w:sz w:val="24"/>
              </w:rPr>
            </w:pPr>
          </w:p>
        </w:tc>
      </w:tr>
      <w:tr w14:paraId="37FF33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CA675F3">
            <w:pPr>
              <w:spacing w:line="360" w:lineRule="auto"/>
              <w:rPr>
                <w:rFonts w:ascii="宋体" w:hAnsi="宋体" w:cs="宋体"/>
                <w:color w:val="auto"/>
                <w:sz w:val="24"/>
              </w:rPr>
            </w:pPr>
            <w:r>
              <w:rPr>
                <w:rFonts w:hint="eastAsia" w:ascii="宋体" w:hAnsi="宋体" w:cs="宋体"/>
                <w:color w:val="auto"/>
                <w:sz w:val="24"/>
              </w:rPr>
              <w:t>1.7.4.2</w:t>
            </w:r>
          </w:p>
        </w:tc>
        <w:tc>
          <w:tcPr>
            <w:tcW w:w="8149" w:type="dxa"/>
            <w:vAlign w:val="center"/>
          </w:tcPr>
          <w:p w14:paraId="798F9FC0">
            <w:pPr>
              <w:spacing w:line="360" w:lineRule="auto"/>
              <w:rPr>
                <w:rFonts w:ascii="宋体" w:hAnsi="宋体" w:cs="宋体"/>
                <w:color w:val="auto"/>
                <w:sz w:val="24"/>
              </w:rPr>
            </w:pPr>
          </w:p>
        </w:tc>
      </w:tr>
      <w:tr w14:paraId="05802D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2744507">
            <w:pPr>
              <w:spacing w:line="360" w:lineRule="auto"/>
              <w:rPr>
                <w:rFonts w:ascii="宋体" w:hAnsi="宋体" w:cs="宋体"/>
                <w:color w:val="auto"/>
                <w:sz w:val="24"/>
              </w:rPr>
            </w:pPr>
            <w:r>
              <w:rPr>
                <w:rFonts w:hint="eastAsia" w:ascii="宋体" w:hAnsi="宋体" w:cs="宋体"/>
                <w:color w:val="auto"/>
                <w:sz w:val="24"/>
              </w:rPr>
              <w:t>1.7.4.3</w:t>
            </w:r>
          </w:p>
        </w:tc>
        <w:tc>
          <w:tcPr>
            <w:tcW w:w="8149" w:type="dxa"/>
            <w:vAlign w:val="center"/>
          </w:tcPr>
          <w:p w14:paraId="63C8223E">
            <w:pPr>
              <w:spacing w:line="360" w:lineRule="auto"/>
              <w:rPr>
                <w:rFonts w:ascii="宋体" w:hAnsi="宋体" w:cs="宋体"/>
                <w:color w:val="auto"/>
                <w:sz w:val="24"/>
              </w:rPr>
            </w:pPr>
          </w:p>
        </w:tc>
      </w:tr>
      <w:tr w14:paraId="41D6EB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AE4F2DF">
            <w:pPr>
              <w:spacing w:line="360" w:lineRule="auto"/>
              <w:rPr>
                <w:rFonts w:ascii="宋体" w:hAnsi="宋体" w:cs="宋体"/>
                <w:color w:val="auto"/>
                <w:sz w:val="24"/>
              </w:rPr>
            </w:pPr>
            <w:r>
              <w:rPr>
                <w:rFonts w:hint="eastAsia" w:ascii="宋体" w:hAnsi="宋体" w:cs="宋体"/>
                <w:color w:val="auto"/>
                <w:sz w:val="24"/>
              </w:rPr>
              <w:t>1.8.7</w:t>
            </w:r>
          </w:p>
        </w:tc>
        <w:tc>
          <w:tcPr>
            <w:tcW w:w="8149" w:type="dxa"/>
            <w:vAlign w:val="center"/>
          </w:tcPr>
          <w:p w14:paraId="6394EA7E">
            <w:pPr>
              <w:spacing w:line="360" w:lineRule="auto"/>
              <w:rPr>
                <w:rFonts w:ascii="宋体" w:hAnsi="宋体" w:cs="宋体"/>
                <w:color w:val="auto"/>
                <w:sz w:val="24"/>
              </w:rPr>
            </w:pPr>
          </w:p>
        </w:tc>
      </w:tr>
      <w:tr w14:paraId="3136DB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8F38C35">
            <w:pPr>
              <w:spacing w:line="360" w:lineRule="auto"/>
              <w:rPr>
                <w:rFonts w:ascii="宋体" w:hAnsi="宋体" w:cs="宋体"/>
                <w:color w:val="auto"/>
                <w:sz w:val="24"/>
              </w:rPr>
            </w:pPr>
            <w:r>
              <w:rPr>
                <w:rFonts w:hint="eastAsia" w:ascii="宋体" w:hAnsi="宋体" w:cs="宋体"/>
                <w:color w:val="auto"/>
                <w:sz w:val="24"/>
              </w:rPr>
              <w:t>1.9.1</w:t>
            </w:r>
          </w:p>
        </w:tc>
        <w:tc>
          <w:tcPr>
            <w:tcW w:w="8149" w:type="dxa"/>
            <w:vAlign w:val="center"/>
          </w:tcPr>
          <w:p w14:paraId="58A08C35">
            <w:pPr>
              <w:spacing w:line="360" w:lineRule="auto"/>
              <w:rPr>
                <w:rFonts w:ascii="宋体" w:hAnsi="宋体" w:cs="宋体"/>
                <w:color w:val="auto"/>
                <w:sz w:val="24"/>
              </w:rPr>
            </w:pPr>
          </w:p>
        </w:tc>
      </w:tr>
      <w:tr w14:paraId="2DE153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4DD2345">
            <w:pPr>
              <w:spacing w:line="360" w:lineRule="auto"/>
              <w:rPr>
                <w:rFonts w:ascii="宋体" w:hAnsi="宋体" w:cs="宋体"/>
                <w:color w:val="auto"/>
                <w:sz w:val="24"/>
              </w:rPr>
            </w:pPr>
            <w:r>
              <w:rPr>
                <w:rFonts w:hint="eastAsia" w:ascii="宋体" w:hAnsi="宋体" w:cs="宋体"/>
                <w:color w:val="auto"/>
                <w:sz w:val="24"/>
              </w:rPr>
              <w:t>1.9.2</w:t>
            </w:r>
          </w:p>
        </w:tc>
        <w:tc>
          <w:tcPr>
            <w:tcW w:w="8149" w:type="dxa"/>
            <w:vAlign w:val="center"/>
          </w:tcPr>
          <w:p w14:paraId="7E7C5967">
            <w:pPr>
              <w:spacing w:line="360" w:lineRule="auto"/>
              <w:rPr>
                <w:rFonts w:ascii="宋体" w:hAnsi="宋体" w:cs="宋体"/>
                <w:color w:val="auto"/>
                <w:sz w:val="24"/>
              </w:rPr>
            </w:pPr>
          </w:p>
        </w:tc>
      </w:tr>
      <w:tr w14:paraId="658190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00EC47A">
            <w:pPr>
              <w:spacing w:line="360" w:lineRule="auto"/>
              <w:rPr>
                <w:rFonts w:ascii="宋体" w:hAnsi="宋体" w:cs="宋体"/>
                <w:color w:val="auto"/>
                <w:sz w:val="24"/>
              </w:rPr>
            </w:pPr>
            <w:r>
              <w:rPr>
                <w:rFonts w:hint="eastAsia" w:ascii="宋体" w:hAnsi="宋体" w:cs="宋体"/>
                <w:color w:val="auto"/>
                <w:sz w:val="24"/>
              </w:rPr>
              <w:t>2.3.2</w:t>
            </w:r>
          </w:p>
        </w:tc>
        <w:tc>
          <w:tcPr>
            <w:tcW w:w="8149" w:type="dxa"/>
            <w:vAlign w:val="center"/>
          </w:tcPr>
          <w:p w14:paraId="31168C4D">
            <w:pPr>
              <w:spacing w:line="360" w:lineRule="auto"/>
              <w:ind w:left="-420" w:leftChars="-200" w:right="-420" w:rightChars="-200" w:firstLine="480" w:firstLineChars="200"/>
              <w:rPr>
                <w:rFonts w:ascii="宋体" w:hAnsi="宋体" w:cs="宋体"/>
                <w:color w:val="auto"/>
                <w:sz w:val="24"/>
              </w:rPr>
            </w:pPr>
          </w:p>
        </w:tc>
      </w:tr>
      <w:tr w14:paraId="66E16C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6086665">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5</w:t>
            </w:r>
          </w:p>
        </w:tc>
        <w:tc>
          <w:tcPr>
            <w:tcW w:w="8149" w:type="dxa"/>
            <w:vAlign w:val="center"/>
          </w:tcPr>
          <w:p w14:paraId="0B82FB86">
            <w:pPr>
              <w:spacing w:line="360" w:lineRule="auto"/>
              <w:ind w:left="-420" w:leftChars="-200" w:right="-420" w:rightChars="-200" w:firstLine="480" w:firstLineChars="200"/>
              <w:rPr>
                <w:rFonts w:ascii="宋体" w:hAnsi="宋体" w:cs="宋体"/>
                <w:color w:val="auto"/>
                <w:sz w:val="24"/>
              </w:rPr>
            </w:pPr>
          </w:p>
        </w:tc>
      </w:tr>
      <w:tr w14:paraId="6BDFAA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CC3F992">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w:t>
            </w:r>
            <w:r>
              <w:rPr>
                <w:rFonts w:hint="eastAsia" w:ascii="宋体" w:hAnsi="宋体" w:cs="宋体"/>
                <w:color w:val="auto"/>
                <w:sz w:val="24"/>
              </w:rPr>
              <w:t>.</w:t>
            </w:r>
            <w:r>
              <w:rPr>
                <w:rFonts w:ascii="宋体" w:hAnsi="宋体" w:cs="宋体"/>
                <w:color w:val="auto"/>
                <w:sz w:val="24"/>
              </w:rPr>
              <w:t>3</w:t>
            </w:r>
          </w:p>
        </w:tc>
        <w:tc>
          <w:tcPr>
            <w:tcW w:w="8149" w:type="dxa"/>
            <w:vAlign w:val="center"/>
          </w:tcPr>
          <w:p w14:paraId="2C2A4454">
            <w:pPr>
              <w:spacing w:line="360" w:lineRule="auto"/>
              <w:rPr>
                <w:rFonts w:ascii="宋体" w:hAnsi="宋体" w:cs="宋体"/>
                <w:color w:val="auto"/>
                <w:sz w:val="24"/>
              </w:rPr>
            </w:pPr>
          </w:p>
        </w:tc>
      </w:tr>
      <w:tr w14:paraId="4422A3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43374C04">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11.4</w:t>
            </w:r>
            <w:r>
              <w:rPr>
                <w:rFonts w:hint="eastAsia" w:ascii="宋体" w:hAnsi="宋体" w:cs="宋体"/>
                <w:color w:val="auto"/>
                <w:sz w:val="24"/>
              </w:rPr>
              <w:t xml:space="preserve"> </w:t>
            </w:r>
          </w:p>
        </w:tc>
        <w:tc>
          <w:tcPr>
            <w:tcW w:w="8149" w:type="dxa"/>
          </w:tcPr>
          <w:p w14:paraId="3D1804DB">
            <w:pPr>
              <w:spacing w:line="360" w:lineRule="auto"/>
              <w:rPr>
                <w:rFonts w:ascii="宋体" w:hAnsi="宋体" w:cs="宋体"/>
                <w:color w:val="auto"/>
                <w:sz w:val="24"/>
              </w:rPr>
            </w:pPr>
          </w:p>
        </w:tc>
      </w:tr>
      <w:tr w14:paraId="2A7343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2837F65">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1</w:t>
            </w:r>
          </w:p>
        </w:tc>
        <w:tc>
          <w:tcPr>
            <w:tcW w:w="8149" w:type="dxa"/>
            <w:vAlign w:val="center"/>
          </w:tcPr>
          <w:p w14:paraId="36C4BFE2">
            <w:pPr>
              <w:spacing w:line="360" w:lineRule="auto"/>
              <w:rPr>
                <w:rFonts w:ascii="宋体" w:hAnsi="宋体" w:cs="宋体"/>
                <w:color w:val="auto"/>
                <w:sz w:val="24"/>
              </w:rPr>
            </w:pPr>
          </w:p>
        </w:tc>
      </w:tr>
      <w:tr w14:paraId="2FB8D5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EBF9FAE">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3</w:t>
            </w:r>
          </w:p>
        </w:tc>
        <w:tc>
          <w:tcPr>
            <w:tcW w:w="8149" w:type="dxa"/>
            <w:vAlign w:val="center"/>
          </w:tcPr>
          <w:p w14:paraId="424B4063">
            <w:pPr>
              <w:spacing w:line="360" w:lineRule="auto"/>
              <w:rPr>
                <w:rFonts w:ascii="宋体" w:hAnsi="宋体" w:cs="宋体"/>
                <w:color w:val="auto"/>
                <w:sz w:val="24"/>
              </w:rPr>
            </w:pPr>
          </w:p>
        </w:tc>
      </w:tr>
      <w:tr w14:paraId="1BF0BF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137A262D">
            <w:pPr>
              <w:spacing w:line="360" w:lineRule="auto"/>
              <w:rPr>
                <w:rFonts w:ascii="宋体" w:hAnsi="宋体" w:cs="宋体"/>
                <w:color w:val="auto"/>
                <w:sz w:val="24"/>
              </w:rPr>
            </w:pPr>
            <w:r>
              <w:rPr>
                <w:rFonts w:hint="eastAsia" w:ascii="宋体" w:hAnsi="宋体" w:cs="宋体"/>
                <w:color w:val="auto"/>
                <w:sz w:val="24"/>
              </w:rPr>
              <w:t>2.19</w:t>
            </w:r>
          </w:p>
        </w:tc>
        <w:tc>
          <w:tcPr>
            <w:tcW w:w="8149" w:type="dxa"/>
          </w:tcPr>
          <w:p w14:paraId="09B695E9">
            <w:pPr>
              <w:spacing w:line="360" w:lineRule="auto"/>
              <w:rPr>
                <w:rFonts w:ascii="宋体" w:hAnsi="宋体" w:cs="宋体"/>
                <w:color w:val="auto"/>
                <w:sz w:val="24"/>
              </w:rPr>
            </w:pPr>
          </w:p>
        </w:tc>
      </w:tr>
    </w:tbl>
    <w:p w14:paraId="1F886636">
      <w:pPr>
        <w:rPr>
          <w:rFonts w:ascii="宋体" w:hAnsi="宋体" w:cs="宋体"/>
          <w:b/>
          <w:color w:val="auto"/>
          <w:sz w:val="36"/>
          <w:szCs w:val="20"/>
        </w:rPr>
      </w:pPr>
      <w:r>
        <w:rPr>
          <w:rFonts w:hint="eastAsia" w:ascii="宋体" w:hAnsi="宋体" w:cs="宋体"/>
          <w:b/>
          <w:color w:val="auto"/>
          <w:sz w:val="36"/>
          <w:szCs w:val="20"/>
        </w:rPr>
        <w:br w:type="page"/>
      </w:r>
    </w:p>
    <w:p w14:paraId="299744F7">
      <w:pPr>
        <w:pStyle w:val="2"/>
        <w:rPr>
          <w:rFonts w:hint="eastAsia" w:ascii="宋体" w:hAnsi="宋体" w:eastAsia="宋体" w:cs="宋体"/>
          <w:color w:val="auto"/>
          <w:highlight w:val="none"/>
        </w:rPr>
      </w:pPr>
      <w:r>
        <w:rPr>
          <w:rFonts w:hint="eastAsia" w:ascii="宋体" w:hAnsi="宋体" w:eastAsia="宋体" w:cs="宋体"/>
          <w:color w:val="auto"/>
          <w:highlight w:val="none"/>
        </w:rPr>
        <w:t>第六部分</w:t>
      </w:r>
      <w:bookmarkEnd w:id="419"/>
      <w:r>
        <w:rPr>
          <w:rFonts w:hint="eastAsia" w:ascii="宋体" w:hAnsi="宋体" w:eastAsia="宋体" w:cs="宋体"/>
          <w:color w:val="auto"/>
          <w:highlight w:val="none"/>
        </w:rPr>
        <w:t xml:space="preserve"> </w:t>
      </w:r>
      <w:bookmarkEnd w:id="420"/>
      <w:r>
        <w:rPr>
          <w:rFonts w:hint="eastAsia" w:ascii="宋体" w:hAnsi="宋体" w:eastAsia="宋体" w:cs="宋体"/>
          <w:color w:val="auto"/>
          <w:highlight w:val="none"/>
        </w:rPr>
        <w:t>应提交的有关格式范例</w:t>
      </w:r>
    </w:p>
    <w:p w14:paraId="0B11525D">
      <w:pPr>
        <w:spacing w:line="360" w:lineRule="auto"/>
        <w:ind w:firstLine="480" w:firstLineChars="200"/>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投标人按照以下格式编制投标文件，并将资格文件、报价文件、商务技术文件分别装订成册。</w:t>
      </w:r>
    </w:p>
    <w:p w14:paraId="645AD377">
      <w:pPr>
        <w:spacing w:line="360" w:lineRule="auto"/>
        <w:jc w:val="center"/>
        <w:outlineLvl w:val="0"/>
        <w:rPr>
          <w:rFonts w:hint="eastAsia" w:ascii="宋体" w:hAnsi="宋体" w:eastAsia="宋体" w:cs="宋体"/>
          <w:b/>
          <w:color w:val="auto"/>
          <w:kern w:val="0"/>
          <w:sz w:val="36"/>
          <w:szCs w:val="36"/>
          <w:highlight w:val="none"/>
        </w:rPr>
      </w:pPr>
    </w:p>
    <w:p w14:paraId="2FFFF36F">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701DF134">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207AB67B">
      <w:pPr>
        <w:rPr>
          <w:rFonts w:hint="eastAsia" w:ascii="宋体" w:hAnsi="宋体" w:eastAsia="宋体" w:cs="宋体"/>
          <w:b/>
          <w:color w:val="auto"/>
          <w:kern w:val="0"/>
          <w:sz w:val="36"/>
          <w:szCs w:val="36"/>
          <w:highlight w:val="none"/>
        </w:rPr>
      </w:pPr>
    </w:p>
    <w:p w14:paraId="2A2474F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（1）符合参加采购活动应当具备的一般条件的承诺函……………（页码）</w:t>
      </w:r>
    </w:p>
    <w:p w14:paraId="1419D5A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（2）本项目的特定资格要求………………………………………………（页码）</w:t>
      </w:r>
    </w:p>
    <w:p w14:paraId="199977D3">
      <w:pPr>
        <w:snapToGrid w:val="0"/>
        <w:spacing w:line="360" w:lineRule="auto"/>
        <w:rPr>
          <w:rFonts w:hint="eastAsia" w:ascii="宋体" w:hAnsi="宋体" w:eastAsia="宋体" w:cs="宋体"/>
          <w:color w:val="auto"/>
          <w:sz w:val="36"/>
          <w:szCs w:val="36"/>
          <w:highlight w:val="none"/>
        </w:rPr>
      </w:pPr>
    </w:p>
    <w:p w14:paraId="010A7032">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br w:type="page"/>
      </w:r>
      <w:r>
        <w:rPr>
          <w:rFonts w:hint="eastAsia" w:ascii="宋体" w:hAnsi="宋体" w:eastAsia="宋体" w:cs="宋体"/>
          <w:b/>
          <w:color w:val="auto"/>
          <w:kern w:val="0"/>
          <w:sz w:val="32"/>
          <w:szCs w:val="32"/>
          <w:highlight w:val="none"/>
        </w:rPr>
        <w:t>一、 符合参加采购活动应当具备的一般条件的承诺函</w:t>
      </w:r>
    </w:p>
    <w:p w14:paraId="6A0F096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58D9123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我方参与XXX采购项目【招标编号：XXX】采购活动，郑重承诺：</w:t>
      </w:r>
    </w:p>
    <w:p w14:paraId="0792293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2E0B28D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781B257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3164CD3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7127D47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26CB0CC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（5）参加采购活动前三年内，在经营活动中没有重大违法记录；</w:t>
      </w:r>
    </w:p>
    <w:p w14:paraId="6C22EB8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7CF264F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28A27E7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（三）我方不存在以下情况：</w:t>
      </w:r>
    </w:p>
    <w:p w14:paraId="0BC25A0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（1）单位负责人为同一人或者存在直接控股、管理关系的不同供应商参加同一合同项下的采购活动的；</w:t>
      </w:r>
    </w:p>
    <w:p w14:paraId="485920E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68634586">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投标人名称(电子签章)：</w:t>
      </w:r>
    </w:p>
    <w:p w14:paraId="3CCFC85C">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32DDAB27">
      <w:pPr>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 xml:space="preserve"> </w:t>
      </w:r>
    </w:p>
    <w:p w14:paraId="63861FFE">
      <w:pPr>
        <w:spacing w:line="360" w:lineRule="auto"/>
        <w:jc w:val="center"/>
        <w:rPr>
          <w:rFonts w:hint="eastAsia" w:ascii="宋体" w:hAnsi="宋体" w:eastAsia="宋体" w:cs="宋体"/>
          <w:b/>
          <w:color w:val="auto"/>
          <w:sz w:val="30"/>
          <w:szCs w:val="30"/>
          <w:highlight w:val="none"/>
        </w:rPr>
      </w:pPr>
    </w:p>
    <w:p w14:paraId="6ADAE3E8">
      <w:pPr>
        <w:spacing w:line="360" w:lineRule="auto"/>
        <w:jc w:val="center"/>
        <w:rPr>
          <w:rFonts w:hint="eastAsia" w:ascii="宋体" w:hAnsi="宋体" w:eastAsia="宋体" w:cs="宋体"/>
          <w:b/>
          <w:color w:val="auto"/>
          <w:sz w:val="30"/>
          <w:szCs w:val="30"/>
          <w:highlight w:val="none"/>
        </w:rPr>
      </w:pPr>
    </w:p>
    <w:p w14:paraId="7EFA2A48">
      <w:pPr>
        <w:spacing w:line="360" w:lineRule="auto"/>
        <w:jc w:val="center"/>
        <w:rPr>
          <w:rFonts w:hint="eastAsia" w:ascii="宋体" w:hAnsi="宋体" w:eastAsia="宋体" w:cs="宋体"/>
          <w:b/>
          <w:color w:val="auto"/>
          <w:sz w:val="30"/>
          <w:szCs w:val="30"/>
          <w:highlight w:val="none"/>
        </w:rPr>
      </w:pPr>
    </w:p>
    <w:p w14:paraId="70830478">
      <w:pPr>
        <w:spacing w:line="360" w:lineRule="auto"/>
        <w:jc w:val="center"/>
        <w:rPr>
          <w:rFonts w:hint="eastAsia" w:ascii="宋体" w:hAnsi="宋体" w:eastAsia="宋体" w:cs="宋体"/>
          <w:b/>
          <w:color w:val="auto"/>
          <w:sz w:val="30"/>
          <w:szCs w:val="30"/>
          <w:highlight w:val="none"/>
        </w:rPr>
      </w:pPr>
    </w:p>
    <w:p w14:paraId="4C8DCB94">
      <w:pPr>
        <w:spacing w:line="360" w:lineRule="auto"/>
        <w:jc w:val="center"/>
        <w:rPr>
          <w:rFonts w:hint="eastAsia" w:ascii="宋体" w:hAnsi="宋体" w:eastAsia="宋体" w:cs="宋体"/>
          <w:b/>
          <w:color w:val="auto"/>
          <w:sz w:val="30"/>
          <w:szCs w:val="30"/>
          <w:highlight w:val="none"/>
        </w:rPr>
      </w:pPr>
    </w:p>
    <w:p w14:paraId="29C51EF1">
      <w:pPr>
        <w:spacing w:line="360" w:lineRule="auto"/>
        <w:jc w:val="center"/>
        <w:rPr>
          <w:rFonts w:hint="eastAsia" w:ascii="宋体" w:hAnsi="宋体" w:eastAsia="宋体" w:cs="宋体"/>
          <w:b/>
          <w:color w:val="auto"/>
          <w:sz w:val="30"/>
          <w:szCs w:val="30"/>
          <w:highlight w:val="none"/>
        </w:rPr>
      </w:pPr>
    </w:p>
    <w:p w14:paraId="2748269D">
      <w:pPr>
        <w:rPr>
          <w:rFonts w:hint="eastAsia" w:ascii="宋体" w:hAnsi="宋体" w:eastAsia="宋体" w:cs="宋体"/>
          <w:color w:val="auto"/>
          <w:highlight w:val="none"/>
        </w:rPr>
      </w:pPr>
    </w:p>
    <w:p w14:paraId="2015848C">
      <w:pPr>
        <w:rPr>
          <w:rFonts w:hint="eastAsia" w:ascii="宋体" w:hAnsi="宋体" w:eastAsia="宋体" w:cs="宋体"/>
          <w:bCs/>
          <w:color w:val="auto"/>
          <w:highlight w:val="none"/>
        </w:rPr>
      </w:pPr>
    </w:p>
    <w:p w14:paraId="44C8B058">
      <w:pPr>
        <w:rPr>
          <w:rFonts w:hint="eastAsia" w:ascii="宋体" w:hAnsi="宋体" w:eastAsia="宋体" w:cs="宋体"/>
          <w:color w:val="auto"/>
          <w:highlight w:val="none"/>
        </w:rPr>
      </w:pPr>
    </w:p>
    <w:p w14:paraId="456B0280">
      <w:pPr>
        <w:widowControl/>
        <w:spacing w:line="360" w:lineRule="auto"/>
        <w:ind w:left="150"/>
        <w:jc w:val="center"/>
        <w:rPr>
          <w:rFonts w:hint="eastAsia" w:ascii="宋体" w:hAnsi="宋体" w:eastAsia="宋体" w:cs="宋体"/>
          <w:b/>
          <w:color w:val="auto"/>
          <w:kern w:val="0"/>
          <w:sz w:val="32"/>
          <w:szCs w:val="32"/>
          <w:highlight w:val="none"/>
        </w:rPr>
      </w:pPr>
    </w:p>
    <w:p w14:paraId="04C3305D">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二、本项目的特定资格要求</w:t>
      </w:r>
    </w:p>
    <w:p w14:paraId="4967BE7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32C2A92D">
      <w:pPr>
        <w:pStyle w:val="502"/>
        <w:snapToGrid w:val="0"/>
        <w:spacing w:before="50" w:after="50"/>
        <w:ind w:left="360" w:firstLine="0" w:firstLineChars="0"/>
        <w:rPr>
          <w:rFonts w:hint="eastAsia" w:ascii="宋体" w:hAnsi="宋体" w:eastAsia="宋体" w:cs="宋体"/>
          <w:b/>
          <w:color w:val="auto"/>
          <w:highlight w:val="none"/>
        </w:rPr>
      </w:pPr>
      <w:r>
        <w:rPr>
          <w:rFonts w:hint="eastAsia" w:ascii="宋体" w:hAnsi="宋体" w:eastAsia="宋体" w:cs="宋体"/>
          <w:color w:val="auto"/>
          <w:highlight w:val="none"/>
        </w:rPr>
        <w:t xml:space="preserve"> </w:t>
      </w:r>
    </w:p>
    <w:p w14:paraId="52E60C35">
      <w:pPr>
        <w:spacing w:line="360" w:lineRule="auto"/>
        <w:jc w:val="center"/>
        <w:rPr>
          <w:rFonts w:hint="eastAsia" w:ascii="宋体" w:hAnsi="宋体" w:eastAsia="宋体" w:cs="宋体"/>
          <w:b/>
          <w:color w:val="auto"/>
          <w:sz w:val="28"/>
          <w:szCs w:val="32"/>
          <w:highlight w:val="none"/>
        </w:rPr>
      </w:pPr>
    </w:p>
    <w:p w14:paraId="02FA5F78">
      <w:pPr>
        <w:snapToGrid w:val="0"/>
        <w:spacing w:line="360" w:lineRule="auto"/>
        <w:ind w:firstLine="2891" w:firstLineChars="900"/>
        <w:rPr>
          <w:rFonts w:hint="eastAsia" w:ascii="宋体" w:hAnsi="宋体" w:eastAsia="宋体" w:cs="宋体"/>
          <w:b/>
          <w:color w:val="auto"/>
          <w:kern w:val="0"/>
          <w:sz w:val="36"/>
          <w:szCs w:val="36"/>
          <w:highlight w:val="none"/>
        </w:rPr>
      </w:pPr>
      <w:r>
        <w:rPr>
          <w:rFonts w:hint="eastAsia" w:ascii="宋体" w:hAnsi="宋体" w:eastAsia="宋体" w:cs="宋体"/>
          <w:b/>
          <w:bCs/>
          <w:color w:val="auto"/>
          <w:sz w:val="32"/>
          <w:szCs w:val="32"/>
          <w:highlight w:val="none"/>
        </w:rPr>
        <w:br w:type="page"/>
      </w:r>
      <w:r>
        <w:rPr>
          <w:rFonts w:hint="eastAsia" w:ascii="宋体" w:hAnsi="宋体" w:eastAsia="宋体" w:cs="宋体"/>
          <w:color w:val="auto"/>
          <w:sz w:val="36"/>
          <w:szCs w:val="36"/>
          <w:highlight w:val="none"/>
          <w:lang w:val="zh-CN"/>
        </w:rPr>
        <w:t>▲</w:t>
      </w:r>
      <w:r>
        <w:rPr>
          <w:rFonts w:hint="eastAsia" w:ascii="宋体" w:hAnsi="宋体" w:eastAsia="宋体" w:cs="宋体"/>
          <w:b/>
          <w:color w:val="auto"/>
          <w:kern w:val="0"/>
          <w:sz w:val="36"/>
          <w:szCs w:val="36"/>
          <w:highlight w:val="none"/>
        </w:rPr>
        <w:t>报价文件部分</w:t>
      </w:r>
    </w:p>
    <w:p w14:paraId="4CFF24C8">
      <w:pPr>
        <w:spacing w:line="360" w:lineRule="auto"/>
        <w:jc w:val="center"/>
        <w:outlineLvl w:val="0"/>
        <w:rPr>
          <w:rFonts w:hint="eastAsia" w:ascii="宋体" w:hAnsi="宋体" w:eastAsia="宋体" w:cs="宋体"/>
          <w:b/>
          <w:color w:val="auto"/>
          <w:kern w:val="0"/>
          <w:sz w:val="24"/>
          <w:highlight w:val="none"/>
        </w:rPr>
      </w:pPr>
    </w:p>
    <w:p w14:paraId="470FD50C">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062B58E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14:paraId="4324D582">
      <w:pPr>
        <w:spacing w:line="360" w:lineRule="auto"/>
        <w:ind w:left="2" w:firstLine="480" w:firstLineChars="200"/>
        <w:rPr>
          <w:rFonts w:hint="eastAsia" w:ascii="宋体" w:hAnsi="宋体" w:eastAsia="宋体" w:cs="宋体"/>
          <w:color w:val="auto"/>
          <w:sz w:val="24"/>
          <w:highlight w:val="none"/>
        </w:rPr>
      </w:pPr>
    </w:p>
    <w:p w14:paraId="049A6EDB">
      <w:pPr>
        <w:spacing w:line="360" w:lineRule="auto"/>
        <w:ind w:left="2" w:firstLine="480" w:firstLineChars="200"/>
        <w:rPr>
          <w:rFonts w:hint="eastAsia" w:ascii="宋体" w:hAnsi="宋体" w:eastAsia="宋体" w:cs="宋体"/>
          <w:color w:val="auto"/>
          <w:sz w:val="24"/>
          <w:highlight w:val="none"/>
        </w:rPr>
      </w:pPr>
    </w:p>
    <w:p w14:paraId="4B5A4079">
      <w:pPr>
        <w:spacing w:line="360" w:lineRule="auto"/>
        <w:ind w:left="2" w:firstLine="480" w:firstLineChars="200"/>
        <w:rPr>
          <w:rFonts w:hint="eastAsia" w:ascii="宋体" w:hAnsi="宋体" w:eastAsia="宋体" w:cs="宋体"/>
          <w:color w:val="auto"/>
          <w:sz w:val="24"/>
          <w:highlight w:val="none"/>
        </w:rPr>
      </w:pPr>
    </w:p>
    <w:p w14:paraId="1E857521">
      <w:pPr>
        <w:spacing w:line="360" w:lineRule="auto"/>
        <w:ind w:left="2" w:firstLine="480" w:firstLineChars="200"/>
        <w:rPr>
          <w:rFonts w:hint="eastAsia" w:ascii="宋体" w:hAnsi="宋体" w:eastAsia="宋体" w:cs="宋体"/>
          <w:color w:val="auto"/>
          <w:sz w:val="24"/>
          <w:highlight w:val="none"/>
        </w:rPr>
      </w:pPr>
    </w:p>
    <w:p w14:paraId="49C5C209">
      <w:pPr>
        <w:spacing w:line="360" w:lineRule="auto"/>
        <w:ind w:left="2" w:firstLine="480" w:firstLineChars="200"/>
        <w:rPr>
          <w:rFonts w:hint="eastAsia" w:ascii="宋体" w:hAnsi="宋体" w:eastAsia="宋体" w:cs="宋体"/>
          <w:color w:val="auto"/>
          <w:sz w:val="24"/>
          <w:highlight w:val="none"/>
        </w:rPr>
      </w:pPr>
    </w:p>
    <w:p w14:paraId="79C100CB">
      <w:pPr>
        <w:snapToGrid w:val="0"/>
        <w:spacing w:line="360" w:lineRule="auto"/>
        <w:jc w:val="center"/>
        <w:outlineLvl w:val="0"/>
        <w:rPr>
          <w:rFonts w:hint="eastAsia" w:ascii="宋体" w:hAnsi="宋体" w:eastAsia="宋体" w:cs="宋体"/>
          <w:b/>
          <w:color w:val="auto"/>
          <w:kern w:val="0"/>
          <w:sz w:val="32"/>
          <w:szCs w:val="32"/>
          <w:highlight w:val="none"/>
        </w:rPr>
      </w:pPr>
    </w:p>
    <w:p w14:paraId="19F5F5F8">
      <w:pPr>
        <w:snapToGrid w:val="0"/>
        <w:spacing w:line="360" w:lineRule="auto"/>
        <w:jc w:val="center"/>
        <w:outlineLvl w:val="0"/>
        <w:rPr>
          <w:rFonts w:hint="eastAsia" w:ascii="宋体" w:hAnsi="宋体" w:eastAsia="宋体" w:cs="宋体"/>
          <w:b/>
          <w:color w:val="auto"/>
          <w:kern w:val="0"/>
          <w:sz w:val="32"/>
          <w:szCs w:val="32"/>
          <w:highlight w:val="none"/>
        </w:rPr>
      </w:pPr>
    </w:p>
    <w:p w14:paraId="43ACCB7E">
      <w:pPr>
        <w:snapToGrid w:val="0"/>
        <w:spacing w:line="360" w:lineRule="auto"/>
        <w:jc w:val="center"/>
        <w:outlineLvl w:val="0"/>
        <w:rPr>
          <w:rFonts w:hint="eastAsia" w:ascii="宋体" w:hAnsi="宋体" w:eastAsia="宋体" w:cs="宋体"/>
          <w:b/>
          <w:color w:val="auto"/>
          <w:kern w:val="0"/>
          <w:sz w:val="32"/>
          <w:szCs w:val="32"/>
          <w:highlight w:val="none"/>
        </w:rPr>
      </w:pPr>
    </w:p>
    <w:p w14:paraId="76966B71">
      <w:pPr>
        <w:snapToGrid w:val="0"/>
        <w:spacing w:line="360" w:lineRule="auto"/>
        <w:jc w:val="center"/>
        <w:outlineLvl w:val="0"/>
        <w:rPr>
          <w:rFonts w:hint="eastAsia" w:ascii="宋体" w:hAnsi="宋体" w:eastAsia="宋体" w:cs="宋体"/>
          <w:b/>
          <w:color w:val="auto"/>
          <w:kern w:val="0"/>
          <w:sz w:val="32"/>
          <w:szCs w:val="32"/>
          <w:highlight w:val="none"/>
        </w:rPr>
      </w:pPr>
    </w:p>
    <w:p w14:paraId="520E95C2">
      <w:pPr>
        <w:snapToGrid w:val="0"/>
        <w:spacing w:line="360" w:lineRule="auto"/>
        <w:jc w:val="center"/>
        <w:outlineLvl w:val="0"/>
        <w:rPr>
          <w:rFonts w:hint="eastAsia" w:ascii="宋体" w:hAnsi="宋体" w:eastAsia="宋体" w:cs="宋体"/>
          <w:b/>
          <w:color w:val="auto"/>
          <w:kern w:val="0"/>
          <w:sz w:val="32"/>
          <w:szCs w:val="32"/>
          <w:highlight w:val="none"/>
        </w:rPr>
      </w:pPr>
    </w:p>
    <w:p w14:paraId="332096F1">
      <w:pPr>
        <w:snapToGrid w:val="0"/>
        <w:spacing w:line="360" w:lineRule="auto"/>
        <w:jc w:val="center"/>
        <w:outlineLvl w:val="0"/>
        <w:rPr>
          <w:rFonts w:hint="eastAsia" w:ascii="宋体" w:hAnsi="宋体" w:eastAsia="宋体" w:cs="宋体"/>
          <w:b/>
          <w:color w:val="auto"/>
          <w:kern w:val="0"/>
          <w:sz w:val="32"/>
          <w:szCs w:val="32"/>
          <w:highlight w:val="none"/>
        </w:rPr>
      </w:pPr>
    </w:p>
    <w:p w14:paraId="720EE0A4">
      <w:pPr>
        <w:snapToGrid w:val="0"/>
        <w:spacing w:line="360" w:lineRule="auto"/>
        <w:jc w:val="center"/>
        <w:outlineLvl w:val="0"/>
        <w:rPr>
          <w:rFonts w:hint="eastAsia" w:ascii="宋体" w:hAnsi="宋体" w:eastAsia="宋体" w:cs="宋体"/>
          <w:b/>
          <w:color w:val="auto"/>
          <w:kern w:val="0"/>
          <w:sz w:val="32"/>
          <w:szCs w:val="32"/>
          <w:highlight w:val="none"/>
        </w:rPr>
      </w:pPr>
    </w:p>
    <w:p w14:paraId="471ACCDC">
      <w:pPr>
        <w:snapToGrid w:val="0"/>
        <w:spacing w:line="360" w:lineRule="auto"/>
        <w:jc w:val="center"/>
        <w:outlineLvl w:val="0"/>
        <w:rPr>
          <w:rFonts w:hint="eastAsia" w:ascii="宋体" w:hAnsi="宋体" w:eastAsia="宋体" w:cs="宋体"/>
          <w:b/>
          <w:color w:val="auto"/>
          <w:kern w:val="0"/>
          <w:sz w:val="32"/>
          <w:szCs w:val="32"/>
          <w:highlight w:val="none"/>
        </w:rPr>
      </w:pPr>
    </w:p>
    <w:p w14:paraId="07311EF0">
      <w:pPr>
        <w:snapToGrid w:val="0"/>
        <w:spacing w:line="360" w:lineRule="auto"/>
        <w:jc w:val="center"/>
        <w:outlineLvl w:val="0"/>
        <w:rPr>
          <w:rFonts w:hint="eastAsia" w:ascii="宋体" w:hAnsi="宋体" w:eastAsia="宋体" w:cs="宋体"/>
          <w:b/>
          <w:color w:val="auto"/>
          <w:kern w:val="0"/>
          <w:sz w:val="32"/>
          <w:szCs w:val="32"/>
          <w:highlight w:val="none"/>
        </w:rPr>
      </w:pPr>
    </w:p>
    <w:p w14:paraId="72194BEA">
      <w:pPr>
        <w:snapToGrid w:val="0"/>
        <w:spacing w:line="360" w:lineRule="auto"/>
        <w:jc w:val="center"/>
        <w:outlineLvl w:val="0"/>
        <w:rPr>
          <w:rFonts w:hint="eastAsia" w:ascii="宋体" w:hAnsi="宋体" w:eastAsia="宋体" w:cs="宋体"/>
          <w:b/>
          <w:color w:val="auto"/>
          <w:kern w:val="0"/>
          <w:sz w:val="32"/>
          <w:szCs w:val="32"/>
          <w:highlight w:val="none"/>
        </w:rPr>
      </w:pPr>
    </w:p>
    <w:p w14:paraId="62D9C0C2">
      <w:pPr>
        <w:snapToGrid w:val="0"/>
        <w:spacing w:line="360" w:lineRule="auto"/>
        <w:jc w:val="center"/>
        <w:outlineLvl w:val="0"/>
        <w:rPr>
          <w:rFonts w:hint="eastAsia" w:ascii="宋体" w:hAnsi="宋体" w:eastAsia="宋体" w:cs="宋体"/>
          <w:b/>
          <w:color w:val="auto"/>
          <w:kern w:val="0"/>
          <w:sz w:val="32"/>
          <w:szCs w:val="32"/>
          <w:highlight w:val="none"/>
        </w:rPr>
      </w:pPr>
    </w:p>
    <w:p w14:paraId="07004338">
      <w:pPr>
        <w:snapToGrid w:val="0"/>
        <w:spacing w:line="360" w:lineRule="auto"/>
        <w:jc w:val="center"/>
        <w:outlineLvl w:val="0"/>
        <w:rPr>
          <w:rFonts w:hint="eastAsia" w:ascii="宋体" w:hAnsi="宋体" w:eastAsia="宋体" w:cs="宋体"/>
          <w:b/>
          <w:color w:val="auto"/>
          <w:kern w:val="0"/>
          <w:sz w:val="32"/>
          <w:szCs w:val="32"/>
          <w:highlight w:val="none"/>
        </w:rPr>
      </w:pPr>
    </w:p>
    <w:p w14:paraId="7BFB8348">
      <w:pPr>
        <w:snapToGrid w:val="0"/>
        <w:spacing w:line="360" w:lineRule="auto"/>
        <w:jc w:val="center"/>
        <w:outlineLvl w:val="0"/>
        <w:rPr>
          <w:rFonts w:hint="eastAsia" w:ascii="宋体" w:hAnsi="宋体" w:eastAsia="宋体" w:cs="宋体"/>
          <w:b/>
          <w:color w:val="auto"/>
          <w:kern w:val="0"/>
          <w:sz w:val="32"/>
          <w:szCs w:val="32"/>
          <w:highlight w:val="none"/>
        </w:rPr>
      </w:pPr>
    </w:p>
    <w:p w14:paraId="4704130F">
      <w:pPr>
        <w:pStyle w:val="596"/>
        <w:keepNext w:val="0"/>
        <w:pageBreakBefore w:val="0"/>
        <w:tabs>
          <w:tab w:val="clear" w:pos="720"/>
        </w:tabs>
        <w:snapToGrid w:val="0"/>
        <w:ind w:firstLine="640"/>
        <w:outlineLvl w:val="9"/>
        <w:rPr>
          <w:rFonts w:hint="eastAsia" w:ascii="宋体" w:hAnsi="宋体" w:eastAsia="宋体" w:cs="宋体"/>
          <w:color w:val="auto"/>
          <w:kern w:val="2"/>
          <w:sz w:val="32"/>
          <w:szCs w:val="32"/>
          <w:highlight w:val="none"/>
        </w:rPr>
        <w:sectPr>
          <w:headerReference r:id="rId9" w:type="first"/>
          <w:footerReference r:id="rId12" w:type="first"/>
          <w:headerReference r:id="rId7" w:type="default"/>
          <w:footerReference r:id="rId10" w:type="default"/>
          <w:headerReference r:id="rId8" w:type="even"/>
          <w:footerReference r:id="rId11" w:type="even"/>
          <w:pgSz w:w="11906" w:h="16838"/>
          <w:pgMar w:top="1247" w:right="1418" w:bottom="1276" w:left="1418" w:header="851" w:footer="992" w:gutter="0"/>
          <w:cols w:space="720" w:num="1"/>
          <w:titlePg/>
          <w:docGrid w:linePitch="312" w:charSpace="0"/>
        </w:sectPr>
      </w:pPr>
    </w:p>
    <w:p w14:paraId="1A78E619">
      <w:pPr>
        <w:pStyle w:val="596"/>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2F002DFD">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2392A5D0">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sz w:val="24"/>
        </w:rPr>
        <w:t>（项目名称）</w:t>
      </w:r>
      <w:r>
        <w:rPr>
          <w:rFonts w:hint="eastAsia" w:ascii="宋体" w:hAnsi="宋体" w:eastAsia="宋体" w:cs="宋体"/>
          <w:kern w:val="0"/>
          <w:sz w:val="24"/>
          <w:lang w:val="zh-CN"/>
        </w:rPr>
        <w:t>【招标编号：</w:t>
      </w:r>
      <w:r>
        <w:rPr>
          <w:rFonts w:hint="eastAsia" w:ascii="宋体" w:hAnsi="宋体" w:eastAsia="宋体" w:cs="宋体"/>
          <w:sz w:val="24"/>
        </w:rPr>
        <w:t>（采购编号）】的实施</w:t>
      </w:r>
      <w:r>
        <w:rPr>
          <w:rFonts w:hint="eastAsia" w:ascii="宋体" w:hAnsi="宋体" w:eastAsia="宋体" w:cs="宋体"/>
          <w:kern w:val="0"/>
          <w:sz w:val="24"/>
          <w:lang w:val="zh-CN"/>
        </w:rPr>
        <w:t>。</w:t>
      </w:r>
    </w:p>
    <w:p w14:paraId="239FDF9E">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开标一览表（报价表）(单位均为人民币元)</w:t>
      </w:r>
    </w:p>
    <w:tbl>
      <w:tblPr>
        <w:tblStyle w:val="60"/>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4"/>
        <w:gridCol w:w="3873"/>
        <w:gridCol w:w="2227"/>
        <w:gridCol w:w="2350"/>
        <w:gridCol w:w="1984"/>
        <w:gridCol w:w="3119"/>
      </w:tblGrid>
      <w:tr w14:paraId="4499F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1014" w:type="dxa"/>
            <w:vAlign w:val="center"/>
          </w:tcPr>
          <w:p w14:paraId="0D159E1B">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序号</w:t>
            </w:r>
          </w:p>
        </w:tc>
        <w:tc>
          <w:tcPr>
            <w:tcW w:w="3873" w:type="dxa"/>
            <w:vAlign w:val="center"/>
          </w:tcPr>
          <w:p w14:paraId="39338395">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名称</w:t>
            </w:r>
          </w:p>
        </w:tc>
        <w:tc>
          <w:tcPr>
            <w:tcW w:w="2227" w:type="dxa"/>
            <w:vAlign w:val="center"/>
          </w:tcPr>
          <w:p w14:paraId="04BF6967">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r>
              <w:rPr>
                <w:rFonts w:hint="eastAsia" w:ascii="宋体" w:hAnsi="宋体" w:cs="宋体"/>
                <w:b/>
                <w:sz w:val="24"/>
                <w:lang w:val="en-US" w:eastAsia="zh-CN"/>
              </w:rPr>
              <w:t>暂定</w:t>
            </w:r>
            <w:r>
              <w:rPr>
                <w:rFonts w:hint="eastAsia" w:ascii="宋体" w:hAnsi="宋体" w:eastAsia="宋体" w:cs="宋体"/>
                <w:b/>
                <w:sz w:val="24"/>
              </w:rPr>
              <w:t>数量</w:t>
            </w:r>
          </w:p>
          <w:p w14:paraId="247BBD14">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lang w:val="en-US" w:eastAsia="zh-CN"/>
              </w:rPr>
            </w:pPr>
            <w:r>
              <w:rPr>
                <w:rFonts w:hint="eastAsia" w:ascii="宋体" w:hAnsi="宋体" w:cs="宋体"/>
                <w:b/>
                <w:sz w:val="24"/>
                <w:lang w:eastAsia="zh-CN"/>
              </w:rPr>
              <w:t>（</w:t>
            </w:r>
            <w:r>
              <w:rPr>
                <w:rFonts w:hint="eastAsia" w:ascii="宋体" w:hAnsi="宋体" w:eastAsia="宋体" w:cs="宋体"/>
                <w:b w:val="0"/>
                <w:bCs/>
                <w:color w:val="auto"/>
                <w:sz w:val="24"/>
                <w:szCs w:val="24"/>
                <w:highlight w:val="none"/>
                <w:lang w:val="en-US" w:eastAsia="zh-CN"/>
              </w:rPr>
              <w:t>m³</w:t>
            </w:r>
            <w:r>
              <w:rPr>
                <w:rFonts w:hint="eastAsia" w:ascii="宋体" w:hAnsi="宋体" w:cs="宋体"/>
                <w:b/>
                <w:sz w:val="24"/>
                <w:lang w:eastAsia="zh-CN"/>
              </w:rPr>
              <w:t>）</w:t>
            </w:r>
          </w:p>
        </w:tc>
        <w:tc>
          <w:tcPr>
            <w:tcW w:w="2350" w:type="dxa"/>
            <w:vAlign w:val="center"/>
          </w:tcPr>
          <w:p w14:paraId="16242F44">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单价</w:t>
            </w:r>
          </w:p>
          <w:p w14:paraId="1DF6DAE8">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r>
              <w:rPr>
                <w:rFonts w:hint="eastAsia" w:ascii="宋体" w:hAnsi="宋体" w:cs="宋体"/>
                <w:b/>
                <w:sz w:val="24"/>
                <w:lang w:eastAsia="zh-CN"/>
              </w:rPr>
              <w:t>（</w:t>
            </w:r>
            <w:r>
              <w:rPr>
                <w:rFonts w:hint="eastAsia" w:ascii="宋体" w:hAnsi="宋体" w:cs="宋体"/>
                <w:b/>
                <w:sz w:val="24"/>
                <w:lang w:val="en-US" w:eastAsia="zh-CN"/>
              </w:rPr>
              <w:t>元/</w:t>
            </w:r>
            <w:r>
              <w:rPr>
                <w:rFonts w:hint="eastAsia" w:ascii="宋体" w:hAnsi="宋体" w:eastAsia="宋体" w:cs="宋体"/>
                <w:b w:val="0"/>
                <w:bCs/>
                <w:color w:val="auto"/>
                <w:sz w:val="24"/>
                <w:szCs w:val="24"/>
                <w:highlight w:val="none"/>
                <w:lang w:val="en-US" w:eastAsia="zh-CN"/>
              </w:rPr>
              <w:t>m³</w:t>
            </w:r>
            <w:r>
              <w:rPr>
                <w:rFonts w:hint="eastAsia" w:ascii="宋体" w:hAnsi="宋体" w:cs="宋体"/>
                <w:b/>
                <w:sz w:val="24"/>
                <w:lang w:eastAsia="zh-CN"/>
              </w:rPr>
              <w:t>）</w:t>
            </w:r>
          </w:p>
        </w:tc>
        <w:tc>
          <w:tcPr>
            <w:tcW w:w="1984" w:type="dxa"/>
            <w:vAlign w:val="center"/>
          </w:tcPr>
          <w:p w14:paraId="3FFDE0AD">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合计</w:t>
            </w:r>
          </w:p>
          <w:p w14:paraId="6BCCA440">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lang w:eastAsia="zh-CN"/>
              </w:rPr>
            </w:pPr>
            <w:r>
              <w:rPr>
                <w:rFonts w:hint="eastAsia" w:ascii="宋体" w:hAnsi="宋体" w:cs="宋体"/>
                <w:b/>
                <w:sz w:val="24"/>
                <w:lang w:eastAsia="zh-CN"/>
              </w:rPr>
              <w:t>（</w:t>
            </w:r>
            <w:r>
              <w:rPr>
                <w:rFonts w:hint="eastAsia" w:ascii="宋体" w:hAnsi="宋体" w:cs="宋体"/>
                <w:b/>
                <w:sz w:val="24"/>
                <w:lang w:val="en-US" w:eastAsia="zh-CN"/>
              </w:rPr>
              <w:t>元</w:t>
            </w:r>
            <w:r>
              <w:rPr>
                <w:rFonts w:hint="eastAsia" w:ascii="宋体" w:hAnsi="宋体" w:cs="宋体"/>
                <w:b/>
                <w:sz w:val="24"/>
                <w:lang w:eastAsia="zh-CN"/>
              </w:rPr>
              <w:t>）</w:t>
            </w:r>
          </w:p>
        </w:tc>
        <w:tc>
          <w:tcPr>
            <w:tcW w:w="3119" w:type="dxa"/>
            <w:vAlign w:val="center"/>
          </w:tcPr>
          <w:p w14:paraId="60A80E1A">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p>
          <w:p w14:paraId="5C2CB5F0">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备注（如果有）</w:t>
            </w:r>
          </w:p>
          <w:p w14:paraId="6C6463DA">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p>
        </w:tc>
      </w:tr>
      <w:tr w14:paraId="021C3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4" w:type="dxa"/>
            <w:vAlign w:val="center"/>
          </w:tcPr>
          <w:p w14:paraId="7D1C649C">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873" w:type="dxa"/>
            <w:vAlign w:val="center"/>
          </w:tcPr>
          <w:p w14:paraId="05D86438">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sz w:val="24"/>
              </w:rPr>
            </w:pPr>
          </w:p>
        </w:tc>
        <w:tc>
          <w:tcPr>
            <w:tcW w:w="2227" w:type="dxa"/>
            <w:vAlign w:val="center"/>
          </w:tcPr>
          <w:p w14:paraId="26904664">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default" w:ascii="宋体" w:hAnsi="宋体" w:eastAsia="宋体" w:cs="宋体"/>
                <w:sz w:val="24"/>
                <w:lang w:val="en-US" w:eastAsia="zh-CN"/>
              </w:rPr>
            </w:pPr>
            <w:r>
              <w:rPr>
                <w:rFonts w:hint="eastAsia" w:ascii="宋体" w:hAnsi="宋体" w:eastAsia="宋体" w:cs="宋体"/>
                <w:b w:val="0"/>
                <w:bCs/>
                <w:color w:val="auto"/>
                <w:sz w:val="24"/>
                <w:szCs w:val="24"/>
                <w:highlight w:val="none"/>
                <w:lang w:eastAsia="zh-CN"/>
              </w:rPr>
              <w:t>11000万</w:t>
            </w:r>
          </w:p>
        </w:tc>
        <w:tc>
          <w:tcPr>
            <w:tcW w:w="2350" w:type="dxa"/>
            <w:vAlign w:val="center"/>
          </w:tcPr>
          <w:p w14:paraId="32ABB98D">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1984" w:type="dxa"/>
            <w:vAlign w:val="center"/>
          </w:tcPr>
          <w:p w14:paraId="2ED15E12">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119" w:type="dxa"/>
            <w:vAlign w:val="center"/>
          </w:tcPr>
          <w:p w14:paraId="630F15DD">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r>
      <w:tr w14:paraId="6B593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4" w:type="dxa"/>
            <w:vAlign w:val="center"/>
          </w:tcPr>
          <w:p w14:paraId="41C5DD37">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873" w:type="dxa"/>
            <w:vAlign w:val="center"/>
          </w:tcPr>
          <w:p w14:paraId="264ADF1D">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sz w:val="24"/>
              </w:rPr>
            </w:pPr>
          </w:p>
        </w:tc>
        <w:tc>
          <w:tcPr>
            <w:tcW w:w="2227" w:type="dxa"/>
            <w:vAlign w:val="center"/>
          </w:tcPr>
          <w:p w14:paraId="5B211F57">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sz w:val="24"/>
              </w:rPr>
            </w:pPr>
          </w:p>
        </w:tc>
        <w:tc>
          <w:tcPr>
            <w:tcW w:w="2350" w:type="dxa"/>
            <w:vAlign w:val="center"/>
          </w:tcPr>
          <w:p w14:paraId="3F2DA1A4">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1984" w:type="dxa"/>
            <w:vAlign w:val="center"/>
          </w:tcPr>
          <w:p w14:paraId="36E510F3">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119" w:type="dxa"/>
            <w:vAlign w:val="center"/>
          </w:tcPr>
          <w:p w14:paraId="5A2DE829">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r>
      <w:tr w14:paraId="2C196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4" w:type="dxa"/>
            <w:vAlign w:val="center"/>
          </w:tcPr>
          <w:p w14:paraId="47F066F9">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873" w:type="dxa"/>
            <w:vAlign w:val="center"/>
          </w:tcPr>
          <w:p w14:paraId="23311185">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sz w:val="24"/>
              </w:rPr>
            </w:pPr>
          </w:p>
        </w:tc>
        <w:tc>
          <w:tcPr>
            <w:tcW w:w="2227" w:type="dxa"/>
            <w:vAlign w:val="center"/>
          </w:tcPr>
          <w:p w14:paraId="2F1881B2">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sz w:val="24"/>
              </w:rPr>
            </w:pPr>
          </w:p>
        </w:tc>
        <w:tc>
          <w:tcPr>
            <w:tcW w:w="2350" w:type="dxa"/>
            <w:vAlign w:val="center"/>
          </w:tcPr>
          <w:p w14:paraId="0B5AECAF">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1984" w:type="dxa"/>
            <w:vAlign w:val="center"/>
          </w:tcPr>
          <w:p w14:paraId="688EB4E0">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119" w:type="dxa"/>
            <w:vAlign w:val="center"/>
          </w:tcPr>
          <w:p w14:paraId="054D4DEE">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r>
      <w:tr w14:paraId="26A69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4" w:type="dxa"/>
            <w:vAlign w:val="center"/>
          </w:tcPr>
          <w:p w14:paraId="76DB72A8">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873" w:type="dxa"/>
            <w:vAlign w:val="center"/>
          </w:tcPr>
          <w:p w14:paraId="1B43F842">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sz w:val="24"/>
              </w:rPr>
            </w:pPr>
          </w:p>
        </w:tc>
        <w:tc>
          <w:tcPr>
            <w:tcW w:w="2227" w:type="dxa"/>
            <w:vAlign w:val="center"/>
          </w:tcPr>
          <w:p w14:paraId="35149BD5">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sz w:val="24"/>
              </w:rPr>
            </w:pPr>
          </w:p>
        </w:tc>
        <w:tc>
          <w:tcPr>
            <w:tcW w:w="2350" w:type="dxa"/>
            <w:vAlign w:val="center"/>
          </w:tcPr>
          <w:p w14:paraId="7CFDCD6A">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1984" w:type="dxa"/>
            <w:vAlign w:val="center"/>
          </w:tcPr>
          <w:p w14:paraId="76E28FEC">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119" w:type="dxa"/>
            <w:vAlign w:val="center"/>
          </w:tcPr>
          <w:p w14:paraId="103CB4D5">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r>
      <w:tr w14:paraId="78B76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4" w:type="dxa"/>
            <w:vAlign w:val="center"/>
          </w:tcPr>
          <w:p w14:paraId="0188B102">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873" w:type="dxa"/>
            <w:vAlign w:val="center"/>
          </w:tcPr>
          <w:p w14:paraId="01386912">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sz w:val="24"/>
              </w:rPr>
            </w:pPr>
          </w:p>
        </w:tc>
        <w:tc>
          <w:tcPr>
            <w:tcW w:w="2227" w:type="dxa"/>
            <w:vAlign w:val="center"/>
          </w:tcPr>
          <w:p w14:paraId="3A5A7AA2">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rPr>
                <w:rFonts w:hint="eastAsia" w:ascii="宋体" w:hAnsi="宋体" w:eastAsia="宋体" w:cs="宋体"/>
                <w:sz w:val="24"/>
              </w:rPr>
            </w:pPr>
          </w:p>
        </w:tc>
        <w:tc>
          <w:tcPr>
            <w:tcW w:w="2350" w:type="dxa"/>
            <w:vAlign w:val="center"/>
          </w:tcPr>
          <w:p w14:paraId="1ADAF684">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1984" w:type="dxa"/>
            <w:vAlign w:val="center"/>
          </w:tcPr>
          <w:p w14:paraId="2731F625">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c>
          <w:tcPr>
            <w:tcW w:w="3119" w:type="dxa"/>
            <w:vAlign w:val="center"/>
          </w:tcPr>
          <w:p w14:paraId="2F73D5F3">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r>
      <w:tr w14:paraId="4D638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887" w:type="dxa"/>
            <w:gridSpan w:val="2"/>
            <w:vAlign w:val="center"/>
          </w:tcPr>
          <w:p w14:paraId="4A2E8D0B">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投标报价（小写）</w:t>
            </w:r>
          </w:p>
        </w:tc>
        <w:tc>
          <w:tcPr>
            <w:tcW w:w="9680" w:type="dxa"/>
            <w:gridSpan w:val="4"/>
            <w:vAlign w:val="center"/>
          </w:tcPr>
          <w:p w14:paraId="20E98740">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r>
      <w:tr w14:paraId="627EC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887" w:type="dxa"/>
            <w:gridSpan w:val="2"/>
            <w:vAlign w:val="center"/>
          </w:tcPr>
          <w:p w14:paraId="629B3C95">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b/>
                <w:sz w:val="24"/>
              </w:rPr>
            </w:pPr>
            <w:r>
              <w:rPr>
                <w:rFonts w:hint="eastAsia" w:ascii="宋体" w:hAnsi="宋体" w:eastAsia="宋体" w:cs="宋体"/>
                <w:b/>
                <w:sz w:val="24"/>
              </w:rPr>
              <w:t>投标报价（大写）</w:t>
            </w:r>
          </w:p>
        </w:tc>
        <w:tc>
          <w:tcPr>
            <w:tcW w:w="9680" w:type="dxa"/>
            <w:gridSpan w:val="4"/>
            <w:vAlign w:val="center"/>
          </w:tcPr>
          <w:p w14:paraId="0DDCDC62">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p>
        </w:tc>
      </w:tr>
    </w:tbl>
    <w:p w14:paraId="3B979443">
      <w:pPr>
        <w:snapToGrid w:val="0"/>
        <w:spacing w:line="360" w:lineRule="auto"/>
        <w:ind w:left="480"/>
        <w:rPr>
          <w:rFonts w:hint="eastAsia" w:ascii="宋体" w:hAnsi="宋体" w:eastAsia="宋体" w:cs="宋体"/>
          <w:b/>
          <w:kern w:val="0"/>
          <w:sz w:val="24"/>
          <w:lang w:val="zh-CN"/>
        </w:rPr>
      </w:pPr>
      <w:r>
        <w:rPr>
          <w:rFonts w:hint="eastAsia" w:ascii="宋体" w:hAnsi="宋体" w:eastAsia="宋体" w:cs="宋体"/>
          <w:b/>
          <w:kern w:val="0"/>
          <w:sz w:val="24"/>
          <w:lang w:val="zh-CN"/>
        </w:rPr>
        <w:t>注：</w:t>
      </w:r>
    </w:p>
    <w:p w14:paraId="639CD857">
      <w:pPr>
        <w:spacing w:line="360" w:lineRule="auto"/>
        <w:ind w:left="-2"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1、投标人需按本表格式填写</w:t>
      </w:r>
      <w:r>
        <w:rPr>
          <w:rFonts w:hint="eastAsia" w:ascii="宋体" w:hAnsi="宋体" w:eastAsia="宋体" w:cs="宋体"/>
          <w:b/>
          <w:kern w:val="0"/>
          <w:sz w:val="24"/>
          <w:lang w:val="zh-CN"/>
        </w:rPr>
        <w:t>，</w:t>
      </w:r>
      <w:r>
        <w:rPr>
          <w:rFonts w:hint="eastAsia" w:ascii="宋体" w:hAnsi="宋体" w:eastAsia="宋体" w:cs="宋体"/>
          <w:b/>
          <w:kern w:val="0"/>
          <w:sz w:val="24"/>
        </w:rPr>
        <w:t>否则视为</w:t>
      </w:r>
      <w:r>
        <w:rPr>
          <w:rFonts w:hint="eastAsia" w:ascii="宋体" w:hAnsi="宋体" w:eastAsia="宋体" w:cs="宋体"/>
          <w:b/>
          <w:sz w:val="24"/>
        </w:rPr>
        <w:t>投标文件含有采购人不能接受的附加条件，投标无效</w:t>
      </w:r>
      <w:r>
        <w:rPr>
          <w:rFonts w:hint="eastAsia" w:ascii="宋体" w:hAnsi="宋体" w:eastAsia="宋体" w:cs="宋体"/>
          <w:kern w:val="0"/>
          <w:sz w:val="24"/>
          <w:lang w:val="zh-CN"/>
        </w:rPr>
        <w:t>。</w:t>
      </w:r>
    </w:p>
    <w:p w14:paraId="6BA79973">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lang w:val="zh-CN"/>
        </w:rPr>
        <w:t>2、有关本项目实施所涉及的一切费用均计入报价。有关本项目实施所涉及的一切费用均计入报价。</w:t>
      </w:r>
      <w:r>
        <w:rPr>
          <w:rFonts w:hint="eastAsia" w:ascii="宋体" w:hAnsi="宋体" w:eastAsia="宋体" w:cs="宋体"/>
          <w:b/>
          <w:kern w:val="0"/>
          <w:sz w:val="24"/>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eastAsia="宋体" w:cs="宋体"/>
          <w:b/>
          <w:kern w:val="0"/>
          <w:sz w:val="24"/>
        </w:rPr>
        <w:t>视为</w:t>
      </w:r>
      <w:r>
        <w:rPr>
          <w:rFonts w:hint="eastAsia" w:ascii="宋体" w:hAnsi="宋体" w:eastAsia="宋体" w:cs="宋体"/>
          <w:b/>
          <w:sz w:val="24"/>
        </w:rPr>
        <w:t>投标文件含有采购人不能接受的附加条件的，投标无效。</w:t>
      </w:r>
    </w:p>
    <w:p w14:paraId="621E4540">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3、特别提示：采购代理机构将对项目名称和项目编号，中标供应商名称、地址和中标金额，主要中标标的名称、品牌（如果有）、规格型号、数量、单价等予以公示。</w:t>
      </w:r>
    </w:p>
    <w:p w14:paraId="1F49C3DE">
      <w:pPr>
        <w:snapToGrid w:val="0"/>
        <w:spacing w:line="360" w:lineRule="auto"/>
        <w:ind w:firstLine="482" w:firstLineChars="200"/>
        <w:jc w:val="left"/>
        <w:rPr>
          <w:rFonts w:hint="eastAsia" w:ascii="宋体" w:hAnsi="宋体" w:eastAsia="宋体" w:cs="宋体"/>
          <w:b/>
          <w:kern w:val="0"/>
          <w:sz w:val="24"/>
        </w:rPr>
      </w:pPr>
      <w:r>
        <w:rPr>
          <w:rFonts w:hint="eastAsia" w:ascii="宋体" w:hAnsi="宋体" w:eastAsia="宋体" w:cs="宋体"/>
          <w:b/>
          <w:bCs/>
          <w:kern w:val="0"/>
          <w:sz w:val="24"/>
          <w:szCs w:val="22"/>
          <w:lang w:val="zh-CN"/>
        </w:rPr>
        <w:t>4、</w:t>
      </w:r>
      <w:r>
        <w:rPr>
          <w:rFonts w:hint="eastAsia" w:ascii="宋体" w:hAnsi="宋体" w:eastAsia="宋体" w:cs="宋体"/>
          <w:b/>
          <w:sz w:val="24"/>
        </w:rPr>
        <w:t>特别说明：▲供应商报价低于项目预算50%的，应当在报价文件中详细阐述不影响产品质量或者诚信履约的具体原因，未做阐述说明的，投标无效。</w:t>
      </w:r>
    </w:p>
    <w:p w14:paraId="1F61C21D">
      <w:pPr>
        <w:spacing w:line="360" w:lineRule="auto"/>
        <w:ind w:firstLine="482" w:firstLineChars="200"/>
        <w:rPr>
          <w:rFonts w:hint="eastAsia" w:ascii="宋体" w:hAnsi="宋体" w:eastAsia="宋体" w:cs="宋体"/>
          <w:b/>
          <w:color w:val="auto"/>
          <w:kern w:val="0"/>
          <w:sz w:val="24"/>
          <w:highlight w:val="none"/>
        </w:rPr>
      </w:pPr>
    </w:p>
    <w:p w14:paraId="025A2D2E">
      <w:pPr>
        <w:snapToGrid w:val="0"/>
        <w:spacing w:line="360" w:lineRule="auto"/>
        <w:ind w:firstLine="482" w:firstLineChars="200"/>
        <w:jc w:val="right"/>
        <w:rPr>
          <w:rFonts w:hint="eastAsia" w:ascii="宋体" w:hAnsi="宋体" w:eastAsia="宋体" w:cs="宋体"/>
          <w:b/>
          <w:color w:val="auto"/>
          <w:kern w:val="0"/>
          <w:sz w:val="24"/>
          <w:highlight w:val="none"/>
        </w:rPr>
      </w:pPr>
    </w:p>
    <w:p w14:paraId="66981555">
      <w:pPr>
        <w:spacing w:line="360" w:lineRule="auto"/>
        <w:ind w:right="960" w:firstLine="10440" w:firstLineChars="435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投标人名称（电子签章）：</w:t>
      </w:r>
    </w:p>
    <w:p w14:paraId="7F54EFB8">
      <w:pPr>
        <w:spacing w:line="360" w:lineRule="auto"/>
        <w:ind w:right="48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2C4077A0">
      <w:pPr>
        <w:widowControl/>
        <w:adjustRightInd/>
        <w:spacing w:line="360" w:lineRule="auto"/>
        <w:jc w:val="left"/>
        <w:rPr>
          <w:rFonts w:hint="eastAsia" w:ascii="宋体" w:hAnsi="宋体" w:eastAsia="宋体" w:cs="宋体"/>
          <w:color w:val="auto"/>
          <w:kern w:val="0"/>
          <w:sz w:val="36"/>
          <w:szCs w:val="36"/>
          <w:highlight w:val="none"/>
          <w:lang w:val="zh-CN"/>
        </w:rPr>
        <w:sectPr>
          <w:pgSz w:w="16838" w:h="11906" w:orient="landscape"/>
          <w:pgMar w:top="1418" w:right="1276" w:bottom="1418" w:left="1247" w:header="851" w:footer="992" w:gutter="0"/>
          <w:cols w:space="720" w:num="1"/>
        </w:sectPr>
      </w:pPr>
    </w:p>
    <w:p w14:paraId="4EEB5992">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4306CED0">
      <w:pPr>
        <w:spacing w:line="360" w:lineRule="auto"/>
        <w:jc w:val="center"/>
        <w:outlineLvl w:val="0"/>
        <w:rPr>
          <w:rFonts w:hint="eastAsia" w:ascii="宋体" w:hAnsi="宋体" w:eastAsia="宋体" w:cs="宋体"/>
          <w:b/>
          <w:color w:val="auto"/>
          <w:kern w:val="0"/>
          <w:sz w:val="24"/>
          <w:highlight w:val="none"/>
        </w:rPr>
      </w:pPr>
    </w:p>
    <w:p w14:paraId="1E759F63">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7AEB86E3">
      <w:pPr>
        <w:numPr>
          <w:ilvl w:val="0"/>
          <w:numId w:val="12"/>
        </w:numPr>
        <w:snapToGrid w:val="0"/>
        <w:spacing w:line="360" w:lineRule="auto"/>
        <w:ind w:left="479" w:leftChars="2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投标函</w:t>
      </w:r>
    </w:p>
    <w:p w14:paraId="008B235A">
      <w:pPr>
        <w:numPr>
          <w:ilvl w:val="0"/>
          <w:numId w:val="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（2）授权委托书或法定代表人（单位负责人、自然人本人）身份证明</w:t>
      </w:r>
    </w:p>
    <w:p w14:paraId="0ABA0FCE">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（3）符合性审查资料</w:t>
      </w:r>
    </w:p>
    <w:p w14:paraId="043A88E9">
      <w:pPr>
        <w:snapToGrid w:val="0"/>
        <w:spacing w:line="360" w:lineRule="auto"/>
        <w:ind w:left="479" w:leftChars="2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（4）评标标准相应的商务技术资料</w:t>
      </w:r>
    </w:p>
    <w:p w14:paraId="06A4B961">
      <w:pPr>
        <w:snapToGrid w:val="0"/>
        <w:spacing w:line="360" w:lineRule="auto"/>
        <w:ind w:left="479" w:leftChars="2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（5）商务技术偏离表</w:t>
      </w:r>
    </w:p>
    <w:p w14:paraId="03295447">
      <w:pPr>
        <w:snapToGrid w:val="0"/>
        <w:spacing w:line="360" w:lineRule="auto"/>
        <w:ind w:left="479" w:leftChars="2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zh-CN"/>
        </w:rPr>
        <w:t>）采购供应商廉洁自律承诺书</w:t>
      </w:r>
    </w:p>
    <w:p w14:paraId="5F7A9234">
      <w:pPr>
        <w:snapToGrid w:val="0"/>
        <w:spacing w:line="360" w:lineRule="auto"/>
        <w:ind w:left="479" w:leftChars="2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联合体协议书</w:t>
      </w:r>
    </w:p>
    <w:p w14:paraId="71ACF44A">
      <w:pPr>
        <w:spacing w:line="360" w:lineRule="auto"/>
        <w:rPr>
          <w:rFonts w:hint="eastAsia" w:ascii="宋体" w:hAnsi="宋体" w:eastAsia="宋体" w:cs="宋体"/>
          <w:b/>
          <w:bCs/>
          <w:color w:val="auto"/>
          <w:sz w:val="24"/>
          <w:highlight w:val="none"/>
        </w:rPr>
      </w:pPr>
    </w:p>
    <w:p w14:paraId="38A3D1B8">
      <w:pPr>
        <w:snapToGrid w:val="0"/>
        <w:spacing w:line="360" w:lineRule="auto"/>
        <w:jc w:val="center"/>
        <w:rPr>
          <w:rFonts w:hint="eastAsia" w:ascii="宋体" w:hAnsi="宋体" w:eastAsia="宋体" w:cs="宋体"/>
          <w:b/>
          <w:color w:val="auto"/>
          <w:kern w:val="0"/>
          <w:sz w:val="32"/>
          <w:szCs w:val="32"/>
          <w:highlight w:val="none"/>
          <w:lang w:val="zh-CN"/>
        </w:rPr>
      </w:pPr>
    </w:p>
    <w:p w14:paraId="7447DBD0">
      <w:pPr>
        <w:snapToGrid w:val="0"/>
        <w:spacing w:line="360" w:lineRule="auto"/>
        <w:jc w:val="center"/>
        <w:rPr>
          <w:rFonts w:hint="eastAsia" w:ascii="宋体" w:hAnsi="宋体" w:eastAsia="宋体" w:cs="宋体"/>
          <w:b/>
          <w:color w:val="auto"/>
          <w:kern w:val="0"/>
          <w:sz w:val="32"/>
          <w:szCs w:val="32"/>
          <w:highlight w:val="none"/>
          <w:lang w:val="zh-CN"/>
        </w:rPr>
      </w:pPr>
    </w:p>
    <w:p w14:paraId="3ADDE442">
      <w:pPr>
        <w:snapToGrid w:val="0"/>
        <w:spacing w:line="360" w:lineRule="auto"/>
        <w:jc w:val="center"/>
        <w:rPr>
          <w:rFonts w:hint="eastAsia" w:ascii="宋体" w:hAnsi="宋体" w:eastAsia="宋体" w:cs="宋体"/>
          <w:b/>
          <w:color w:val="auto"/>
          <w:kern w:val="0"/>
          <w:sz w:val="32"/>
          <w:szCs w:val="32"/>
          <w:highlight w:val="none"/>
          <w:lang w:val="zh-CN"/>
        </w:rPr>
      </w:pPr>
    </w:p>
    <w:p w14:paraId="157237AD">
      <w:pPr>
        <w:snapToGrid w:val="0"/>
        <w:spacing w:line="360" w:lineRule="auto"/>
        <w:jc w:val="center"/>
        <w:rPr>
          <w:rFonts w:hint="eastAsia" w:ascii="宋体" w:hAnsi="宋体" w:eastAsia="宋体" w:cs="宋体"/>
          <w:b/>
          <w:color w:val="auto"/>
          <w:kern w:val="0"/>
          <w:sz w:val="32"/>
          <w:szCs w:val="32"/>
          <w:highlight w:val="none"/>
          <w:lang w:val="zh-CN"/>
        </w:rPr>
      </w:pPr>
    </w:p>
    <w:p w14:paraId="125BC1DE">
      <w:pPr>
        <w:snapToGrid w:val="0"/>
        <w:spacing w:line="360" w:lineRule="auto"/>
        <w:jc w:val="center"/>
        <w:rPr>
          <w:rFonts w:hint="eastAsia" w:ascii="宋体" w:hAnsi="宋体" w:eastAsia="宋体" w:cs="宋体"/>
          <w:b/>
          <w:color w:val="auto"/>
          <w:kern w:val="0"/>
          <w:sz w:val="32"/>
          <w:szCs w:val="32"/>
          <w:highlight w:val="none"/>
          <w:lang w:val="zh-CN"/>
        </w:rPr>
      </w:pPr>
    </w:p>
    <w:p w14:paraId="6F799D29">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lang w:val="zh-CN"/>
        </w:rPr>
        <w:br w:type="page"/>
      </w: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4A975536">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（采购人名称）、（采购代理机构名称）：</w:t>
      </w:r>
    </w:p>
    <w:p w14:paraId="7DEAAC48">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我方参加你方组织的XXX采购项目【招标编号：XXXXXX】招标的有关活动，并对此项目进行投标。为此：</w:t>
      </w:r>
    </w:p>
    <w:p w14:paraId="0BD946C8">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5E16C5AF">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733B5EC0">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7F9BF7BF">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403F0D8A">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2.1.2本项目的特定资格要求。</w:t>
      </w:r>
    </w:p>
    <w:p w14:paraId="2B53014E">
      <w:pPr>
        <w:snapToGrid w:val="0"/>
        <w:spacing w:line="400" w:lineRule="exact"/>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752ED552">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14:paraId="70E093FD">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247FCF08">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2.2.3符合性审查资料；</w:t>
      </w:r>
    </w:p>
    <w:p w14:paraId="77B36DB5">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2.2.4评标标准相应的商务技术资料；</w:t>
      </w:r>
    </w:p>
    <w:p w14:paraId="561F2536">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2.2.5商务技术偏离表；</w:t>
      </w:r>
    </w:p>
    <w:p w14:paraId="405A8A7D">
      <w:pPr>
        <w:snapToGrid w:val="0"/>
        <w:spacing w:line="400" w:lineRule="exact"/>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6</w:t>
      </w:r>
      <w:r>
        <w:rPr>
          <w:rFonts w:hint="eastAsia" w:ascii="宋体" w:hAnsi="宋体" w:eastAsia="宋体" w:cs="宋体"/>
          <w:color w:val="auto"/>
          <w:sz w:val="24"/>
          <w:highlight w:val="none"/>
          <w:lang w:val="zh-CN"/>
        </w:rPr>
        <w:t>采购供应商廉洁自律承诺书；</w:t>
      </w:r>
    </w:p>
    <w:p w14:paraId="3C9E92FB">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7957EF12">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14:paraId="52D92273">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14:paraId="498C3BA8">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53AD62D0">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46AB208F">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1ECBAF86">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492E79AF">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57E35C2D">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4C9978A">
      <w:pPr>
        <w:spacing w:line="400" w:lineRule="exact"/>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投标人名称（电子签章）：                          </w:t>
      </w:r>
    </w:p>
    <w:p w14:paraId="24BBB46A">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65DBE95E">
      <w:pPr>
        <w:pStyle w:val="4"/>
        <w:numPr>
          <w:ilvl w:val="2"/>
          <w:numId w:val="0"/>
        </w:numPr>
        <w:rPr>
          <w:rFonts w:hint="eastAsia" w:ascii="宋体" w:hAnsi="宋体" w:eastAsia="宋体" w:cs="宋体"/>
          <w:color w:val="auto"/>
          <w:highlight w:val="none"/>
        </w:rPr>
      </w:pPr>
    </w:p>
    <w:p w14:paraId="287E55B6">
      <w:pPr>
        <w:rPr>
          <w:rFonts w:hint="eastAsia" w:ascii="宋体" w:hAnsi="宋体" w:eastAsia="宋体" w:cs="宋体"/>
          <w:color w:val="auto"/>
          <w:highlight w:val="none"/>
        </w:rPr>
      </w:pPr>
    </w:p>
    <w:p w14:paraId="589D512A">
      <w:pPr>
        <w:rPr>
          <w:rFonts w:hint="eastAsia" w:ascii="宋体" w:hAnsi="宋体" w:eastAsia="宋体" w:cs="宋体"/>
          <w:color w:val="auto"/>
          <w:highlight w:val="none"/>
        </w:rPr>
      </w:pPr>
    </w:p>
    <w:p w14:paraId="0EAAA9B1">
      <w:pPr>
        <w:snapToGrid w:val="0"/>
        <w:spacing w:line="360" w:lineRule="auto"/>
        <w:ind w:left="420" w:leftChars="200" w:firstLine="4200" w:firstLineChars="1750"/>
        <w:rPr>
          <w:rFonts w:hint="eastAsia" w:ascii="宋体" w:hAnsi="宋体" w:eastAsia="宋体" w:cs="宋体"/>
          <w:color w:val="auto"/>
          <w:kern w:val="0"/>
          <w:sz w:val="24"/>
          <w:highlight w:val="none"/>
          <w:u w:val="single"/>
          <w:lang w:val="zh-CN"/>
        </w:rPr>
      </w:pPr>
    </w:p>
    <w:p w14:paraId="4BAE979A">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1ECF5BD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344EF95C">
      <w:pPr>
        <w:snapToGrid w:val="0"/>
        <w:spacing w:line="360" w:lineRule="auto"/>
        <w:rPr>
          <w:rFonts w:hint="eastAsia" w:ascii="宋体" w:hAnsi="宋体" w:eastAsia="宋体" w:cs="宋体"/>
          <w:color w:val="auto"/>
          <w:sz w:val="24"/>
          <w:highlight w:val="none"/>
        </w:rPr>
      </w:pPr>
    </w:p>
    <w:p w14:paraId="05A8A94E">
      <w:pPr>
        <w:snapToGrid w:val="0"/>
        <w:spacing w:line="360" w:lineRule="auto"/>
        <w:rPr>
          <w:rFonts w:hint="eastAsia" w:ascii="宋体" w:hAnsi="宋体" w:eastAsia="宋体" w:cs="宋体"/>
          <w:color w:val="auto"/>
          <w:sz w:val="24"/>
          <w:highlight w:val="none"/>
        </w:rPr>
      </w:pPr>
    </w:p>
    <w:p w14:paraId="3367BF81">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授权委托书（适用于非联合体投标）</w:t>
      </w:r>
      <w:r>
        <w:rPr>
          <w:rFonts w:hint="eastAsia" w:ascii="宋体" w:hAnsi="宋体" w:eastAsia="宋体" w:cs="宋体"/>
        </w:rPr>
        <w:t xml:space="preserve">                               </w:t>
      </w:r>
    </w:p>
    <w:p w14:paraId="45631B95">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29C83BF2">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（项目名称）【招标编号：（采购编号）】</w:t>
      </w:r>
      <w:r>
        <w:rPr>
          <w:rFonts w:hint="eastAsia" w:ascii="宋体" w:hAnsi="宋体" w:eastAsia="宋体" w:cs="宋体"/>
          <w:kern w:val="0"/>
          <w:sz w:val="24"/>
          <w:lang w:val="zh-CN"/>
        </w:rPr>
        <w:t>采购投标的一切事项，其法律后果由我方承担。</w:t>
      </w:r>
    </w:p>
    <w:p w14:paraId="1CF6FD64">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5919A7B2">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4EC79164">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投标人名称(电子签名)：</w:t>
      </w:r>
    </w:p>
    <w:p w14:paraId="572737CC">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签发日期：  年  月   日</w:t>
      </w:r>
    </w:p>
    <w:p w14:paraId="0642CAB0">
      <w:pPr>
        <w:snapToGrid w:val="0"/>
        <w:spacing w:line="360" w:lineRule="auto"/>
        <w:rPr>
          <w:rFonts w:hint="eastAsia" w:ascii="宋体" w:hAnsi="宋体" w:eastAsia="宋体" w:cs="宋体"/>
          <w:sz w:val="24"/>
        </w:rPr>
      </w:pPr>
    </w:p>
    <w:p w14:paraId="2A01C719">
      <w:pPr>
        <w:jc w:val="center"/>
        <w:rPr>
          <w:rFonts w:hint="eastAsia" w:ascii="宋体" w:hAnsi="宋体" w:eastAsia="宋体" w:cs="宋体"/>
          <w:b/>
          <w:kern w:val="0"/>
          <w:sz w:val="32"/>
          <w:szCs w:val="32"/>
        </w:rPr>
      </w:pPr>
      <w:r>
        <w:rPr>
          <w:rFonts w:hint="eastAsia" w:ascii="宋体" w:hAnsi="宋体" w:eastAsia="宋体" w:cs="宋体"/>
          <w:b/>
          <w:kern w:val="0"/>
          <w:sz w:val="32"/>
          <w:szCs w:val="32"/>
          <w:lang w:val="zh-CN"/>
        </w:rPr>
        <w:t xml:space="preserve">      </w:t>
      </w:r>
      <w:r>
        <w:rPr>
          <w:rFonts w:hint="eastAsia" w:ascii="宋体" w:hAnsi="宋体" w:eastAsia="宋体" w:cs="宋体"/>
          <w:b/>
          <w:kern w:val="0"/>
          <w:sz w:val="32"/>
          <w:szCs w:val="32"/>
        </w:rPr>
        <w:t xml:space="preserve"> </w:t>
      </w:r>
      <w:r>
        <w:rPr>
          <w:rFonts w:hint="eastAsia" w:ascii="宋体" w:hAnsi="宋体" w:eastAsia="宋体" w:cs="宋体"/>
          <w:b/>
          <w:kern w:val="0"/>
          <w:sz w:val="32"/>
          <w:szCs w:val="32"/>
          <w:lang w:val="zh-CN"/>
        </w:rPr>
        <w:t>授权委托书（适用于联合体投标）</w:t>
      </w:r>
    </w:p>
    <w:p w14:paraId="3EC95E18">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71C12839">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（项目名称）【招标编号：（采购编号）】</w:t>
      </w:r>
      <w:r>
        <w:rPr>
          <w:rFonts w:hint="eastAsia" w:ascii="宋体" w:hAnsi="宋体" w:eastAsia="宋体" w:cs="宋体"/>
          <w:kern w:val="0"/>
          <w:sz w:val="24"/>
          <w:lang w:val="zh-CN"/>
        </w:rPr>
        <w:t>采购投标的一切事项，其法律后果由我方承担。</w:t>
      </w:r>
    </w:p>
    <w:p w14:paraId="6A25BDAF">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16D373D8">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2243D3F6">
      <w:pPr>
        <w:jc w:val="center"/>
        <w:rPr>
          <w:rFonts w:hint="eastAsia" w:ascii="宋体" w:hAnsi="宋体" w:eastAsia="宋体" w:cs="宋体"/>
          <w:b/>
          <w:kern w:val="0"/>
          <w:sz w:val="32"/>
          <w:szCs w:val="32"/>
        </w:rPr>
      </w:pPr>
    </w:p>
    <w:p w14:paraId="640D5A08">
      <w:pPr>
        <w:rPr>
          <w:rFonts w:hint="eastAsia" w:ascii="宋体" w:hAnsi="宋体" w:eastAsia="宋体" w:cs="宋体"/>
        </w:rPr>
      </w:pPr>
    </w:p>
    <w:p w14:paraId="7F9976D2">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5FC01396">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2AA693A2">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14:paraId="30303B27">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77A6C360">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56359424">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 份证明（适用于法定代表人、单位负责人或者自然人本人代表投标人参加投标）</w:t>
      </w:r>
    </w:p>
    <w:p w14:paraId="323F3D7C">
      <w:pPr>
        <w:pStyle w:val="617"/>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F66D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1E6CE36">
            <w:pPr>
              <w:pStyle w:val="617"/>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71F29D33">
            <w:pPr>
              <w:pStyle w:val="617"/>
              <w:spacing w:line="360" w:lineRule="auto"/>
              <w:rPr>
                <w:rFonts w:hint="eastAsia" w:ascii="宋体" w:hAnsi="宋体" w:eastAsia="宋体" w:cs="宋体"/>
                <w:bCs/>
                <w:color w:val="auto"/>
                <w:sz w:val="24"/>
                <w:highlight w:val="none"/>
              </w:rPr>
            </w:pPr>
          </w:p>
        </w:tc>
      </w:tr>
    </w:tbl>
    <w:p w14:paraId="71C80518">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62A01C86">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营业执照复印件：</w:t>
      </w:r>
    </w:p>
    <w:p w14:paraId="056397DC">
      <w:pPr>
        <w:snapToGrid w:val="0"/>
        <w:spacing w:line="360" w:lineRule="auto"/>
        <w:rPr>
          <w:rFonts w:hint="eastAsia" w:ascii="宋体" w:hAnsi="宋体" w:eastAsia="宋体" w:cs="宋体"/>
          <w:color w:val="auto"/>
          <w:kern w:val="0"/>
          <w:sz w:val="24"/>
          <w:highlight w:val="none"/>
          <w:lang w:val="zh-CN"/>
        </w:rPr>
      </w:pPr>
    </w:p>
    <w:p w14:paraId="62FC7FC0">
      <w:pPr>
        <w:snapToGrid w:val="0"/>
        <w:spacing w:line="360" w:lineRule="auto"/>
        <w:rPr>
          <w:rFonts w:hint="eastAsia" w:ascii="宋体" w:hAnsi="宋体" w:eastAsia="宋体" w:cs="宋体"/>
          <w:color w:val="auto"/>
          <w:kern w:val="0"/>
          <w:sz w:val="24"/>
          <w:highlight w:val="none"/>
          <w:lang w:val="zh-CN"/>
        </w:rPr>
      </w:pPr>
    </w:p>
    <w:p w14:paraId="1E3A4D26">
      <w:pPr>
        <w:snapToGrid w:val="0"/>
        <w:spacing w:line="360" w:lineRule="auto"/>
        <w:rPr>
          <w:rFonts w:hint="eastAsia" w:ascii="宋体" w:hAnsi="宋体" w:eastAsia="宋体" w:cs="宋体"/>
          <w:color w:val="auto"/>
          <w:kern w:val="0"/>
          <w:sz w:val="24"/>
          <w:highlight w:val="none"/>
          <w:lang w:val="zh-CN"/>
        </w:rPr>
      </w:pPr>
    </w:p>
    <w:p w14:paraId="1168129D">
      <w:pPr>
        <w:snapToGrid w:val="0"/>
        <w:spacing w:line="360" w:lineRule="auto"/>
        <w:rPr>
          <w:rFonts w:hint="eastAsia" w:ascii="宋体" w:hAnsi="宋体" w:eastAsia="宋体" w:cs="宋体"/>
          <w:color w:val="auto"/>
          <w:kern w:val="0"/>
          <w:sz w:val="24"/>
          <w:highlight w:val="none"/>
          <w:lang w:val="zh-CN"/>
        </w:rPr>
      </w:pPr>
    </w:p>
    <w:p w14:paraId="099CE36A">
      <w:pPr>
        <w:snapToGrid w:val="0"/>
        <w:spacing w:line="360" w:lineRule="auto"/>
        <w:rPr>
          <w:rFonts w:hint="eastAsia" w:ascii="宋体" w:hAnsi="宋体" w:eastAsia="宋体" w:cs="宋体"/>
          <w:color w:val="auto"/>
          <w:kern w:val="0"/>
          <w:sz w:val="24"/>
          <w:highlight w:val="none"/>
          <w:lang w:val="zh-CN"/>
        </w:rPr>
      </w:pPr>
    </w:p>
    <w:p w14:paraId="4D416B27">
      <w:pPr>
        <w:snapToGrid w:val="0"/>
        <w:spacing w:line="360" w:lineRule="auto"/>
        <w:rPr>
          <w:rFonts w:hint="eastAsia" w:ascii="宋体" w:hAnsi="宋体" w:eastAsia="宋体" w:cs="宋体"/>
          <w:color w:val="auto"/>
          <w:kern w:val="0"/>
          <w:sz w:val="24"/>
          <w:highlight w:val="none"/>
          <w:lang w:val="zh-CN"/>
        </w:rPr>
      </w:pPr>
    </w:p>
    <w:p w14:paraId="02355C8F">
      <w:pPr>
        <w:snapToGrid w:val="0"/>
        <w:spacing w:line="360" w:lineRule="auto"/>
        <w:rPr>
          <w:rFonts w:hint="eastAsia" w:ascii="宋体" w:hAnsi="宋体" w:eastAsia="宋体" w:cs="宋体"/>
          <w:color w:val="auto"/>
          <w:kern w:val="0"/>
          <w:sz w:val="24"/>
          <w:highlight w:val="none"/>
          <w:lang w:val="zh-CN"/>
        </w:rPr>
      </w:pPr>
    </w:p>
    <w:p w14:paraId="1DC8FDE5">
      <w:pPr>
        <w:snapToGrid w:val="0"/>
        <w:spacing w:line="360" w:lineRule="auto"/>
        <w:rPr>
          <w:rFonts w:hint="eastAsia" w:ascii="宋体" w:hAnsi="宋体" w:eastAsia="宋体" w:cs="宋体"/>
          <w:color w:val="auto"/>
          <w:kern w:val="0"/>
          <w:sz w:val="24"/>
          <w:highlight w:val="none"/>
          <w:lang w:val="zh-CN"/>
        </w:rPr>
      </w:pPr>
    </w:p>
    <w:p w14:paraId="4287A3AA">
      <w:pPr>
        <w:snapToGrid w:val="0"/>
        <w:spacing w:line="360" w:lineRule="auto"/>
        <w:rPr>
          <w:rFonts w:hint="eastAsia" w:ascii="宋体" w:hAnsi="宋体" w:eastAsia="宋体" w:cs="宋体"/>
          <w:color w:val="auto"/>
          <w:kern w:val="0"/>
          <w:sz w:val="24"/>
          <w:highlight w:val="none"/>
          <w:lang w:val="zh-CN"/>
        </w:rPr>
      </w:pPr>
    </w:p>
    <w:p w14:paraId="485DE50B">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投标人名称(电子签章)：                              </w:t>
      </w:r>
    </w:p>
    <w:p w14:paraId="097C7C9F">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w:t>
      </w:r>
    </w:p>
    <w:p w14:paraId="771E4516">
      <w:pPr>
        <w:jc w:val="center"/>
        <w:rPr>
          <w:rFonts w:hint="eastAsia" w:ascii="宋体" w:hAnsi="宋体" w:eastAsia="宋体" w:cs="宋体"/>
          <w:b/>
          <w:color w:val="auto"/>
          <w:kern w:val="0"/>
          <w:sz w:val="32"/>
          <w:szCs w:val="32"/>
          <w:highlight w:val="none"/>
        </w:rPr>
      </w:pPr>
    </w:p>
    <w:p w14:paraId="4559904C">
      <w:pPr>
        <w:jc w:val="center"/>
        <w:rPr>
          <w:rFonts w:hint="eastAsia" w:ascii="宋体" w:hAnsi="宋体" w:eastAsia="宋体" w:cs="宋体"/>
          <w:b/>
          <w:color w:val="auto"/>
          <w:kern w:val="0"/>
          <w:sz w:val="32"/>
          <w:szCs w:val="32"/>
          <w:highlight w:val="none"/>
        </w:rPr>
      </w:pPr>
    </w:p>
    <w:p w14:paraId="63AC1258">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7BA9CF56">
      <w:pPr>
        <w:jc w:val="center"/>
        <w:rPr>
          <w:rFonts w:hint="eastAsia" w:ascii="宋体" w:hAnsi="宋体" w:eastAsia="宋体" w:cs="宋体"/>
          <w:b/>
          <w:color w:val="auto"/>
          <w:kern w:val="0"/>
          <w:sz w:val="32"/>
          <w:szCs w:val="32"/>
          <w:highlight w:val="none"/>
        </w:rPr>
      </w:pPr>
    </w:p>
    <w:p w14:paraId="52E7F6DC">
      <w:pPr>
        <w:numPr>
          <w:ilvl w:val="0"/>
          <w:numId w:val="0"/>
        </w:num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符合性审查资料</w:t>
      </w:r>
    </w:p>
    <w:p w14:paraId="1C9D6419">
      <w:pPr>
        <w:pStyle w:val="4"/>
        <w:numPr>
          <w:ilvl w:val="2"/>
          <w:numId w:val="0"/>
        </w:numPr>
        <w:ind w:left="180" w:firstLine="482" w:firstLineChars="20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rPr>
        <w:t>招标文件其他实质性要求响应的材料（招标文件未要求的，无需提供）</w:t>
      </w:r>
    </w:p>
    <w:p w14:paraId="564D2203">
      <w:pPr>
        <w:jc w:val="center"/>
        <w:rPr>
          <w:rFonts w:hint="eastAsia" w:ascii="宋体" w:hAnsi="宋体" w:eastAsia="宋体" w:cs="宋体"/>
          <w:b/>
          <w:color w:val="auto"/>
          <w:kern w:val="0"/>
          <w:sz w:val="32"/>
          <w:szCs w:val="32"/>
          <w:highlight w:val="none"/>
        </w:rPr>
      </w:pPr>
    </w:p>
    <w:p w14:paraId="7466EB6F">
      <w:pPr>
        <w:jc w:val="center"/>
        <w:rPr>
          <w:rFonts w:hint="eastAsia" w:ascii="宋体" w:hAnsi="宋体" w:eastAsia="宋体" w:cs="宋体"/>
          <w:b/>
          <w:color w:val="auto"/>
          <w:kern w:val="0"/>
          <w:sz w:val="32"/>
          <w:szCs w:val="32"/>
          <w:highlight w:val="none"/>
        </w:rPr>
      </w:pPr>
    </w:p>
    <w:p w14:paraId="1726C5C9">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en-US" w:eastAsia="zh-CN"/>
        </w:rPr>
        <w:t>四</w:t>
      </w:r>
      <w:r>
        <w:rPr>
          <w:rFonts w:hint="eastAsia" w:ascii="宋体" w:hAnsi="宋体" w:eastAsia="宋体" w:cs="宋体"/>
          <w:b/>
          <w:color w:val="auto"/>
          <w:kern w:val="0"/>
          <w:sz w:val="32"/>
          <w:szCs w:val="32"/>
          <w:highlight w:val="none"/>
        </w:rPr>
        <w:t>、评标标准相应的商务技术资料</w:t>
      </w:r>
    </w:p>
    <w:p w14:paraId="23833A2C">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14:paraId="67FB84A3">
      <w:pPr>
        <w:jc w:val="center"/>
        <w:rPr>
          <w:rFonts w:hint="eastAsia" w:ascii="宋体" w:hAnsi="宋体" w:eastAsia="宋体" w:cs="宋体"/>
          <w:b/>
          <w:color w:val="auto"/>
          <w:kern w:val="0"/>
          <w:sz w:val="32"/>
          <w:szCs w:val="32"/>
          <w:highlight w:val="none"/>
        </w:rPr>
      </w:pPr>
    </w:p>
    <w:p w14:paraId="16E4D6DC">
      <w:pPr>
        <w:jc w:val="center"/>
        <w:rPr>
          <w:rFonts w:hint="eastAsia" w:ascii="宋体" w:hAnsi="宋体" w:eastAsia="宋体" w:cs="宋体"/>
          <w:b/>
          <w:color w:val="auto"/>
          <w:kern w:val="0"/>
          <w:sz w:val="32"/>
          <w:szCs w:val="32"/>
          <w:highlight w:val="none"/>
        </w:rPr>
      </w:pPr>
    </w:p>
    <w:p w14:paraId="5EC0E53B">
      <w:pPr>
        <w:jc w:val="center"/>
        <w:rPr>
          <w:rFonts w:hint="eastAsia" w:ascii="宋体" w:hAnsi="宋体" w:eastAsia="宋体" w:cs="宋体"/>
          <w:b/>
          <w:color w:val="auto"/>
          <w:kern w:val="0"/>
          <w:sz w:val="32"/>
          <w:szCs w:val="32"/>
          <w:highlight w:val="none"/>
        </w:rPr>
      </w:pPr>
    </w:p>
    <w:p w14:paraId="326F0529">
      <w:pPr>
        <w:jc w:val="center"/>
        <w:rPr>
          <w:rFonts w:hint="eastAsia" w:ascii="宋体" w:hAnsi="宋体" w:eastAsia="宋体" w:cs="宋体"/>
          <w:b/>
          <w:color w:val="auto"/>
          <w:kern w:val="0"/>
          <w:sz w:val="32"/>
          <w:szCs w:val="32"/>
          <w:highlight w:val="none"/>
        </w:rPr>
      </w:pPr>
    </w:p>
    <w:p w14:paraId="57688EA5">
      <w:pPr>
        <w:jc w:val="center"/>
        <w:rPr>
          <w:rFonts w:hint="eastAsia" w:ascii="宋体" w:hAnsi="宋体" w:eastAsia="宋体" w:cs="宋体"/>
          <w:b/>
          <w:color w:val="auto"/>
          <w:kern w:val="0"/>
          <w:sz w:val="32"/>
          <w:szCs w:val="32"/>
          <w:highlight w:val="none"/>
        </w:rPr>
      </w:pPr>
    </w:p>
    <w:p w14:paraId="75BA5DE7">
      <w:pPr>
        <w:jc w:val="center"/>
        <w:rPr>
          <w:rFonts w:hint="eastAsia" w:ascii="宋体" w:hAnsi="宋体" w:eastAsia="宋体" w:cs="宋体"/>
          <w:b/>
          <w:color w:val="auto"/>
          <w:kern w:val="0"/>
          <w:sz w:val="32"/>
          <w:szCs w:val="32"/>
          <w:highlight w:val="none"/>
        </w:rPr>
      </w:pPr>
    </w:p>
    <w:p w14:paraId="19EA5C1A">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五</w:t>
      </w:r>
      <w:r>
        <w:rPr>
          <w:rFonts w:hint="eastAsia" w:ascii="宋体" w:hAnsi="宋体" w:eastAsia="宋体" w:cs="宋体"/>
          <w:b/>
          <w:color w:val="auto"/>
          <w:kern w:val="0"/>
          <w:sz w:val="32"/>
          <w:szCs w:val="32"/>
          <w:highlight w:val="none"/>
        </w:rPr>
        <w:t>、商务技术偏离表</w:t>
      </w:r>
    </w:p>
    <w:tbl>
      <w:tblPr>
        <w:tblStyle w:val="6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1F71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AA7EE9D">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14:paraId="0448ABC5">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tcPr>
          <w:p w14:paraId="7141B634">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tcPr>
          <w:p w14:paraId="781D0C0B">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偏差说明</w:t>
            </w:r>
          </w:p>
        </w:tc>
      </w:tr>
      <w:tr w14:paraId="2373D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9CBEE6">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1</w:t>
            </w:r>
          </w:p>
        </w:tc>
        <w:tc>
          <w:tcPr>
            <w:tcW w:w="3683" w:type="dxa"/>
          </w:tcPr>
          <w:p w14:paraId="3DC6F4A8">
            <w:pPr>
              <w:jc w:val="center"/>
              <w:rPr>
                <w:rFonts w:hint="eastAsia" w:ascii="宋体" w:hAnsi="宋体" w:eastAsia="宋体" w:cs="宋体"/>
                <w:b/>
                <w:color w:val="auto"/>
                <w:kern w:val="0"/>
                <w:sz w:val="32"/>
                <w:szCs w:val="32"/>
                <w:highlight w:val="none"/>
              </w:rPr>
            </w:pPr>
          </w:p>
        </w:tc>
        <w:tc>
          <w:tcPr>
            <w:tcW w:w="3546" w:type="dxa"/>
          </w:tcPr>
          <w:p w14:paraId="377D4667">
            <w:pPr>
              <w:jc w:val="center"/>
              <w:rPr>
                <w:rFonts w:hint="eastAsia" w:ascii="宋体" w:hAnsi="宋体" w:eastAsia="宋体" w:cs="宋体"/>
                <w:b/>
                <w:color w:val="auto"/>
                <w:kern w:val="0"/>
                <w:sz w:val="32"/>
                <w:szCs w:val="32"/>
                <w:highlight w:val="none"/>
              </w:rPr>
            </w:pPr>
          </w:p>
        </w:tc>
        <w:tc>
          <w:tcPr>
            <w:tcW w:w="1276" w:type="dxa"/>
          </w:tcPr>
          <w:p w14:paraId="379ADB5F">
            <w:pPr>
              <w:jc w:val="center"/>
              <w:rPr>
                <w:rFonts w:hint="eastAsia" w:ascii="宋体" w:hAnsi="宋体" w:eastAsia="宋体" w:cs="宋体"/>
                <w:b/>
                <w:color w:val="auto"/>
                <w:kern w:val="0"/>
                <w:sz w:val="32"/>
                <w:szCs w:val="32"/>
                <w:highlight w:val="none"/>
              </w:rPr>
            </w:pPr>
          </w:p>
        </w:tc>
      </w:tr>
      <w:tr w14:paraId="2EB52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781A4E">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2</w:t>
            </w:r>
          </w:p>
        </w:tc>
        <w:tc>
          <w:tcPr>
            <w:tcW w:w="3683" w:type="dxa"/>
          </w:tcPr>
          <w:p w14:paraId="4170788A">
            <w:pPr>
              <w:jc w:val="center"/>
              <w:rPr>
                <w:rFonts w:hint="eastAsia" w:ascii="宋体" w:hAnsi="宋体" w:eastAsia="宋体" w:cs="宋体"/>
                <w:b/>
                <w:color w:val="auto"/>
                <w:kern w:val="0"/>
                <w:sz w:val="32"/>
                <w:szCs w:val="32"/>
                <w:highlight w:val="none"/>
              </w:rPr>
            </w:pPr>
          </w:p>
        </w:tc>
        <w:tc>
          <w:tcPr>
            <w:tcW w:w="3546" w:type="dxa"/>
          </w:tcPr>
          <w:p w14:paraId="31F4CE9A">
            <w:pPr>
              <w:jc w:val="center"/>
              <w:rPr>
                <w:rFonts w:hint="eastAsia" w:ascii="宋体" w:hAnsi="宋体" w:eastAsia="宋体" w:cs="宋体"/>
                <w:b/>
                <w:color w:val="auto"/>
                <w:kern w:val="0"/>
                <w:sz w:val="32"/>
                <w:szCs w:val="32"/>
                <w:highlight w:val="none"/>
              </w:rPr>
            </w:pPr>
          </w:p>
        </w:tc>
        <w:tc>
          <w:tcPr>
            <w:tcW w:w="1276" w:type="dxa"/>
          </w:tcPr>
          <w:p w14:paraId="52227FD3">
            <w:pPr>
              <w:jc w:val="center"/>
              <w:rPr>
                <w:rFonts w:hint="eastAsia" w:ascii="宋体" w:hAnsi="宋体" w:eastAsia="宋体" w:cs="宋体"/>
                <w:b/>
                <w:color w:val="auto"/>
                <w:kern w:val="0"/>
                <w:sz w:val="32"/>
                <w:szCs w:val="32"/>
                <w:highlight w:val="none"/>
              </w:rPr>
            </w:pPr>
          </w:p>
        </w:tc>
      </w:tr>
      <w:tr w14:paraId="6D437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9F629DC">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w:t>
            </w:r>
          </w:p>
        </w:tc>
        <w:tc>
          <w:tcPr>
            <w:tcW w:w="3683" w:type="dxa"/>
          </w:tcPr>
          <w:p w14:paraId="30F179CB">
            <w:pPr>
              <w:jc w:val="center"/>
              <w:rPr>
                <w:rFonts w:hint="eastAsia" w:ascii="宋体" w:hAnsi="宋体" w:eastAsia="宋体" w:cs="宋体"/>
                <w:b/>
                <w:color w:val="auto"/>
                <w:kern w:val="0"/>
                <w:sz w:val="32"/>
                <w:szCs w:val="32"/>
                <w:highlight w:val="none"/>
              </w:rPr>
            </w:pPr>
          </w:p>
        </w:tc>
        <w:tc>
          <w:tcPr>
            <w:tcW w:w="3546" w:type="dxa"/>
          </w:tcPr>
          <w:p w14:paraId="6654CDA2">
            <w:pPr>
              <w:jc w:val="center"/>
              <w:rPr>
                <w:rFonts w:hint="eastAsia" w:ascii="宋体" w:hAnsi="宋体" w:eastAsia="宋体" w:cs="宋体"/>
                <w:b/>
                <w:color w:val="auto"/>
                <w:kern w:val="0"/>
                <w:sz w:val="32"/>
                <w:szCs w:val="32"/>
                <w:highlight w:val="none"/>
              </w:rPr>
            </w:pPr>
          </w:p>
        </w:tc>
        <w:tc>
          <w:tcPr>
            <w:tcW w:w="1276" w:type="dxa"/>
          </w:tcPr>
          <w:p w14:paraId="2E28E86F">
            <w:pPr>
              <w:jc w:val="center"/>
              <w:rPr>
                <w:rFonts w:hint="eastAsia" w:ascii="宋体" w:hAnsi="宋体" w:eastAsia="宋体" w:cs="宋体"/>
                <w:b/>
                <w:color w:val="auto"/>
                <w:kern w:val="0"/>
                <w:sz w:val="32"/>
                <w:szCs w:val="32"/>
                <w:highlight w:val="none"/>
              </w:rPr>
            </w:pPr>
          </w:p>
        </w:tc>
      </w:tr>
    </w:tbl>
    <w:p w14:paraId="10A8D2A4">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14:paraId="73860833">
      <w:pPr>
        <w:jc w:val="center"/>
        <w:rPr>
          <w:rFonts w:hint="eastAsia" w:ascii="宋体" w:hAnsi="宋体" w:eastAsia="宋体" w:cs="宋体"/>
          <w:b/>
          <w:color w:val="auto"/>
          <w:kern w:val="0"/>
          <w:sz w:val="32"/>
          <w:szCs w:val="32"/>
          <w:highlight w:val="none"/>
        </w:rPr>
      </w:pPr>
    </w:p>
    <w:p w14:paraId="5724D476">
      <w:pPr>
        <w:jc w:val="center"/>
        <w:rPr>
          <w:rFonts w:hint="eastAsia" w:ascii="宋体" w:hAnsi="宋体" w:eastAsia="宋体" w:cs="宋体"/>
          <w:b/>
          <w:color w:val="auto"/>
          <w:kern w:val="0"/>
          <w:sz w:val="32"/>
          <w:szCs w:val="32"/>
          <w:highlight w:val="none"/>
        </w:rPr>
      </w:pPr>
    </w:p>
    <w:p w14:paraId="6B489ED2">
      <w:pPr>
        <w:jc w:val="center"/>
        <w:rPr>
          <w:rFonts w:hint="eastAsia" w:ascii="宋体" w:hAnsi="宋体" w:eastAsia="宋体" w:cs="宋体"/>
          <w:b/>
          <w:color w:val="auto"/>
          <w:kern w:val="0"/>
          <w:sz w:val="32"/>
          <w:szCs w:val="32"/>
          <w:highlight w:val="none"/>
        </w:rPr>
      </w:pPr>
    </w:p>
    <w:p w14:paraId="471E54B5">
      <w:pPr>
        <w:jc w:val="center"/>
        <w:rPr>
          <w:rFonts w:hint="eastAsia" w:ascii="宋体" w:hAnsi="宋体" w:eastAsia="宋体" w:cs="宋体"/>
          <w:b/>
          <w:color w:val="auto"/>
          <w:kern w:val="0"/>
          <w:sz w:val="32"/>
          <w:szCs w:val="32"/>
          <w:highlight w:val="none"/>
        </w:rPr>
      </w:pPr>
    </w:p>
    <w:p w14:paraId="4361ED4F">
      <w:pPr>
        <w:jc w:val="center"/>
        <w:rPr>
          <w:rFonts w:hint="eastAsia" w:ascii="宋体" w:hAnsi="宋体" w:eastAsia="宋体" w:cs="宋体"/>
          <w:b/>
          <w:color w:val="auto"/>
          <w:kern w:val="0"/>
          <w:sz w:val="32"/>
          <w:szCs w:val="32"/>
          <w:highlight w:val="none"/>
        </w:rPr>
      </w:pPr>
    </w:p>
    <w:p w14:paraId="327BBF83">
      <w:pPr>
        <w:jc w:val="center"/>
        <w:rPr>
          <w:rFonts w:hint="eastAsia" w:ascii="宋体" w:hAnsi="宋体" w:eastAsia="宋体" w:cs="宋体"/>
          <w:b/>
          <w:color w:val="auto"/>
          <w:kern w:val="0"/>
          <w:sz w:val="32"/>
          <w:szCs w:val="32"/>
          <w:highlight w:val="none"/>
        </w:rPr>
      </w:pPr>
    </w:p>
    <w:p w14:paraId="57626BB0">
      <w:pPr>
        <w:jc w:val="center"/>
        <w:rPr>
          <w:rFonts w:hint="eastAsia" w:ascii="宋体" w:hAnsi="宋体" w:eastAsia="宋体" w:cs="宋体"/>
          <w:b/>
          <w:color w:val="auto"/>
          <w:kern w:val="0"/>
          <w:sz w:val="32"/>
          <w:szCs w:val="32"/>
          <w:highlight w:val="none"/>
        </w:rPr>
      </w:pPr>
    </w:p>
    <w:p w14:paraId="690C20B7">
      <w:pPr>
        <w:jc w:val="center"/>
        <w:rPr>
          <w:rFonts w:hint="eastAsia" w:ascii="宋体" w:hAnsi="宋体" w:eastAsia="宋体" w:cs="宋体"/>
          <w:b/>
          <w:color w:val="auto"/>
          <w:kern w:val="0"/>
          <w:sz w:val="32"/>
          <w:szCs w:val="32"/>
          <w:highlight w:val="none"/>
        </w:rPr>
      </w:pPr>
    </w:p>
    <w:p w14:paraId="3E80424F">
      <w:pPr>
        <w:jc w:val="center"/>
        <w:rPr>
          <w:rFonts w:hint="eastAsia" w:ascii="宋体" w:hAnsi="宋体" w:eastAsia="宋体" w:cs="宋体"/>
          <w:b/>
          <w:color w:val="auto"/>
          <w:kern w:val="0"/>
          <w:sz w:val="32"/>
          <w:szCs w:val="32"/>
          <w:highlight w:val="none"/>
        </w:rPr>
      </w:pPr>
    </w:p>
    <w:p w14:paraId="554AB5B0">
      <w:pPr>
        <w:jc w:val="center"/>
        <w:rPr>
          <w:rFonts w:hint="eastAsia" w:ascii="宋体" w:hAnsi="宋体" w:eastAsia="宋体" w:cs="宋体"/>
          <w:b/>
          <w:color w:val="auto"/>
          <w:kern w:val="0"/>
          <w:sz w:val="32"/>
          <w:szCs w:val="32"/>
          <w:highlight w:val="none"/>
        </w:rPr>
      </w:pPr>
    </w:p>
    <w:p w14:paraId="0BC2B790">
      <w:pPr>
        <w:jc w:val="center"/>
        <w:rPr>
          <w:rFonts w:hint="eastAsia" w:ascii="宋体" w:hAnsi="宋体" w:eastAsia="宋体" w:cs="宋体"/>
          <w:b/>
          <w:color w:val="auto"/>
          <w:kern w:val="0"/>
          <w:sz w:val="32"/>
          <w:szCs w:val="32"/>
          <w:highlight w:val="none"/>
        </w:rPr>
      </w:pPr>
    </w:p>
    <w:p w14:paraId="276E933E">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六</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采购供应商廉洁自律承诺书</w:t>
      </w:r>
    </w:p>
    <w:p w14:paraId="738E28FE">
      <w:pPr>
        <w:snapToGrid w:val="0"/>
        <w:spacing w:line="360" w:lineRule="auto"/>
        <w:rPr>
          <w:rFonts w:hint="eastAsia" w:ascii="宋体" w:hAnsi="宋体" w:eastAsia="宋体" w:cs="宋体"/>
          <w:color w:val="auto"/>
          <w:sz w:val="24"/>
          <w:highlight w:val="none"/>
        </w:rPr>
      </w:pPr>
    </w:p>
    <w:p w14:paraId="27A7E31C">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（采购人名称）、（采购代理机构名称）</w:t>
      </w:r>
      <w:r>
        <w:rPr>
          <w:rFonts w:hint="eastAsia" w:ascii="宋体" w:hAnsi="宋体" w:eastAsia="宋体" w:cs="宋体"/>
          <w:color w:val="auto"/>
          <w:kern w:val="0"/>
          <w:sz w:val="24"/>
          <w:highlight w:val="none"/>
          <w:lang w:val="zh-CN"/>
        </w:rPr>
        <w:t>：</w:t>
      </w:r>
    </w:p>
    <w:p w14:paraId="036CBE0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79EE41E1">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32AA24F2">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4D95C550">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00FEFC83">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002725CC">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147A9C36">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0279102E">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77618DB1">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6FD7BCC6">
      <w:pPr>
        <w:autoSpaceDE w:val="0"/>
        <w:autoSpaceDN w:val="0"/>
        <w:spacing w:line="360" w:lineRule="auto"/>
        <w:ind w:left="2"/>
        <w:jc w:val="left"/>
        <w:rPr>
          <w:rFonts w:hint="eastAsia" w:ascii="宋体" w:hAnsi="宋体" w:eastAsia="宋体" w:cs="宋体"/>
          <w:color w:val="auto"/>
          <w:kern w:val="0"/>
          <w:sz w:val="24"/>
          <w:highlight w:val="none"/>
          <w:lang w:val="zh-CN"/>
        </w:rPr>
      </w:pPr>
    </w:p>
    <w:p w14:paraId="3665CAD1">
      <w:pPr>
        <w:autoSpaceDE w:val="0"/>
        <w:autoSpaceDN w:val="0"/>
        <w:spacing w:line="360" w:lineRule="auto"/>
        <w:ind w:left="2"/>
        <w:jc w:val="left"/>
        <w:rPr>
          <w:rFonts w:hint="eastAsia" w:ascii="宋体" w:hAnsi="宋体" w:eastAsia="宋体" w:cs="宋体"/>
          <w:color w:val="auto"/>
          <w:kern w:val="0"/>
          <w:sz w:val="24"/>
          <w:highlight w:val="none"/>
          <w:lang w:val="zh-CN"/>
        </w:rPr>
      </w:pPr>
    </w:p>
    <w:p w14:paraId="23F27B70">
      <w:pPr>
        <w:autoSpaceDE w:val="0"/>
        <w:autoSpaceDN w:val="0"/>
        <w:spacing w:line="360" w:lineRule="auto"/>
        <w:ind w:left="2"/>
        <w:jc w:val="left"/>
        <w:rPr>
          <w:rFonts w:hint="eastAsia" w:ascii="宋体" w:hAnsi="宋体" w:eastAsia="宋体" w:cs="宋体"/>
          <w:color w:val="auto"/>
          <w:kern w:val="0"/>
          <w:sz w:val="24"/>
          <w:highlight w:val="none"/>
          <w:lang w:val="zh-CN"/>
        </w:rPr>
      </w:pPr>
    </w:p>
    <w:p w14:paraId="43FE0136">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电子签章</w:t>
      </w:r>
      <w:r>
        <w:rPr>
          <w:rFonts w:hint="eastAsia" w:ascii="宋体" w:hAnsi="宋体" w:eastAsia="宋体" w:cs="宋体"/>
          <w:color w:val="auto"/>
          <w:kern w:val="0"/>
          <w:sz w:val="24"/>
          <w:highlight w:val="none"/>
          <w:lang w:val="zh-CN"/>
        </w:rPr>
        <w:t xml:space="preserve">）：                                                                                                                                                                                                               </w:t>
      </w:r>
    </w:p>
    <w:p w14:paraId="23A9ECDD">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4E3ECA7B">
      <w:pPr>
        <w:numPr>
          <w:ilvl w:val="0"/>
          <w:numId w:val="13"/>
        </w:numPr>
        <w:spacing w:line="360" w:lineRule="auto"/>
        <w:jc w:val="center"/>
        <w:rPr>
          <w:rFonts w:hint="eastAsia" w:ascii="宋体" w:hAnsi="宋体" w:eastAsia="宋体" w:cs="宋体"/>
          <w:b/>
          <w:bCs/>
          <w:color w:val="auto"/>
          <w:kern w:val="0"/>
          <w:sz w:val="24"/>
          <w:highlight w:val="none"/>
        </w:rPr>
        <w:sectPr>
          <w:headerReference r:id="rId13" w:type="default"/>
          <w:footerReference r:id="rId14" w:type="default"/>
          <w:pgSz w:w="11906" w:h="16838"/>
          <w:pgMar w:top="1247" w:right="1418" w:bottom="1276" w:left="1418" w:header="851" w:footer="992" w:gutter="0"/>
          <w:cols w:space="720" w:num="1"/>
        </w:sectPr>
      </w:pPr>
    </w:p>
    <w:p w14:paraId="3B6A7B55">
      <w:pPr>
        <w:autoSpaceDE w:val="0"/>
        <w:autoSpaceDN w:val="0"/>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七、</w:t>
      </w:r>
      <w:r>
        <w:rPr>
          <w:rFonts w:hint="eastAsia" w:ascii="宋体" w:hAnsi="宋体" w:eastAsia="宋体" w:cs="宋体"/>
          <w:b/>
          <w:color w:val="auto"/>
          <w:kern w:val="0"/>
          <w:sz w:val="32"/>
          <w:szCs w:val="32"/>
          <w:highlight w:val="none"/>
          <w:lang w:val="zh-CN"/>
        </w:rPr>
        <w:t>联合协议</w:t>
      </w:r>
      <w:r>
        <w:rPr>
          <w:rFonts w:hint="eastAsia" w:ascii="宋体" w:hAnsi="宋体" w:eastAsia="宋体" w:cs="宋体"/>
          <w:b/>
          <w:color w:val="auto"/>
          <w:kern w:val="0"/>
          <w:sz w:val="32"/>
          <w:szCs w:val="32"/>
          <w:highlight w:val="none"/>
          <w:lang w:val="en-US" w:eastAsia="zh-CN"/>
        </w:rPr>
        <w:t>书</w:t>
      </w:r>
    </w:p>
    <w:p w14:paraId="155D866F">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14:paraId="0AB1D25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14:paraId="3EB4509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7483B82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61BDBBB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14:paraId="4DECF7C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0E3E505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0347737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53B21E6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4667DB6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五</w:t>
      </w:r>
      <w:r>
        <w:rPr>
          <w:rFonts w:hint="eastAsia" w:ascii="宋体" w:hAnsi="宋体" w:eastAsia="宋体" w:cs="宋体"/>
          <w:color w:val="auto"/>
          <w:kern w:val="0"/>
          <w:sz w:val="24"/>
          <w:highlight w:val="none"/>
          <w:lang w:val="zh-CN"/>
        </w:rPr>
        <w:t>、有关本次联合投标的其他事宜：</w:t>
      </w:r>
    </w:p>
    <w:p w14:paraId="5BABB93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1、联合体各方不再单独参加或者与其他供应商另外组成联合体参加同一合同项下的采购活动。</w:t>
      </w:r>
    </w:p>
    <w:p w14:paraId="6A6074F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46A38D6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5A12ADCA">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0B90414F">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3F4285B6">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6E0CBA31">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1027D805">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4B7A1388">
      <w:pPr>
        <w:spacing w:line="360" w:lineRule="auto"/>
        <w:jc w:val="left"/>
        <w:rPr>
          <w:rFonts w:hint="eastAsia" w:ascii="宋体" w:hAnsi="宋体" w:eastAsia="宋体" w:cs="宋体"/>
          <w:b/>
          <w:color w:val="auto"/>
          <w:spacing w:val="6"/>
          <w:sz w:val="32"/>
          <w:szCs w:val="32"/>
          <w:highlight w:val="none"/>
        </w:rPr>
      </w:pPr>
    </w:p>
    <w:p w14:paraId="6F07C526">
      <w:pPr>
        <w:pStyle w:val="3"/>
        <w:numPr>
          <w:ilvl w:val="0"/>
          <w:numId w:val="0"/>
        </w:numPr>
        <w:ind w:leftChars="0"/>
        <w:rPr>
          <w:rFonts w:hint="eastAsia" w:ascii="宋体" w:hAnsi="宋体" w:eastAsia="宋体" w:cs="宋体"/>
          <w:sz w:val="24"/>
        </w:rPr>
      </w:pPr>
      <w:r>
        <w:rPr>
          <w:rFonts w:hint="eastAsia" w:ascii="宋体" w:hAnsi="宋体" w:eastAsia="宋体" w:cs="宋体"/>
        </w:rPr>
        <w:t>附件</w:t>
      </w:r>
      <w:r>
        <w:rPr>
          <w:rFonts w:hint="eastAsia" w:ascii="宋体" w:hAnsi="宋体" w:eastAsia="宋体" w:cs="宋体"/>
          <w:lang w:val="en-US" w:eastAsia="zh-CN"/>
        </w:rPr>
        <w:t xml:space="preserve">  </w:t>
      </w:r>
      <w:r>
        <w:rPr>
          <w:rFonts w:hint="eastAsia" w:ascii="宋体" w:hAnsi="宋体" w:eastAsia="宋体" w:cs="宋体"/>
        </w:rPr>
        <w:t>样品（演示）授权委托书</w:t>
      </w:r>
    </w:p>
    <w:p w14:paraId="10276C70">
      <w:pPr>
        <w:jc w:val="center"/>
        <w:rPr>
          <w:rFonts w:hint="eastAsia" w:ascii="宋体" w:hAnsi="宋体" w:eastAsia="宋体" w:cs="宋体"/>
          <w:sz w:val="40"/>
        </w:rPr>
      </w:pPr>
      <w:r>
        <w:rPr>
          <w:rFonts w:hint="eastAsia" w:ascii="宋体" w:hAnsi="宋体" w:eastAsia="宋体" w:cs="宋体"/>
          <w:sz w:val="40"/>
        </w:rPr>
        <w:t>样品（演示）授权委托书</w:t>
      </w:r>
    </w:p>
    <w:p w14:paraId="2B856B02">
      <w:pPr>
        <w:jc w:val="center"/>
        <w:rPr>
          <w:rFonts w:hint="eastAsia" w:ascii="宋体" w:hAnsi="宋体" w:eastAsia="宋体" w:cs="宋体"/>
          <w:sz w:val="40"/>
        </w:rPr>
      </w:pPr>
    </w:p>
    <w:p w14:paraId="013EEBB1">
      <w:pPr>
        <w:snapToGrid w:val="0"/>
        <w:spacing w:line="360" w:lineRule="auto"/>
        <w:rPr>
          <w:rFonts w:hint="eastAsia" w:ascii="宋体" w:hAnsi="宋体" w:eastAsia="宋体" w:cs="宋体"/>
        </w:rPr>
      </w:pPr>
      <w:r>
        <w:rPr>
          <w:rFonts w:hint="eastAsia" w:ascii="宋体" w:hAnsi="宋体" w:eastAsia="宋体" w:cs="宋体"/>
        </w:rPr>
        <w:t>XXX（单位名称或采购机构名称）</w:t>
      </w:r>
      <w:r>
        <w:rPr>
          <w:rFonts w:hint="eastAsia" w:ascii="宋体" w:hAnsi="宋体" w:eastAsia="宋体" w:cs="宋体"/>
          <w:lang w:val="zh-CN"/>
        </w:rPr>
        <w:t>：</w:t>
      </w:r>
    </w:p>
    <w:p w14:paraId="7435550D">
      <w:pPr>
        <w:snapToGrid w:val="0"/>
        <w:spacing w:line="360" w:lineRule="auto"/>
        <w:ind w:left="254" w:leftChars="121" w:firstLine="420" w:firstLineChars="200"/>
        <w:rPr>
          <w:rFonts w:hint="eastAsia" w:ascii="宋体" w:hAnsi="宋体" w:eastAsia="宋体" w:cs="宋体"/>
          <w:u w:val="single"/>
          <w:lang w:val="zh-CN"/>
        </w:rPr>
      </w:pPr>
      <w:r>
        <w:rPr>
          <w:rFonts w:hint="eastAsia" w:ascii="宋体" w:hAnsi="宋体" w:eastAsia="宋体" w:cs="宋体"/>
          <w:lang w:val="zh-CN"/>
        </w:rPr>
        <w:t>兹委派</w:t>
      </w:r>
      <w:r>
        <w:rPr>
          <w:rFonts w:hint="eastAsia" w:ascii="宋体" w:hAnsi="宋体" w:eastAsia="宋体" w:cs="宋体"/>
          <w:u w:val="single"/>
          <w:lang w:val="zh-CN"/>
        </w:rPr>
        <w:t xml:space="preserve">                </w:t>
      </w:r>
      <w:r>
        <w:rPr>
          <w:rFonts w:hint="eastAsia" w:ascii="宋体" w:hAnsi="宋体" w:eastAsia="宋体" w:cs="宋体"/>
          <w:lang w:val="zh-CN"/>
        </w:rPr>
        <w:t>先生/女士，身份证号：</w:t>
      </w:r>
      <w:r>
        <w:rPr>
          <w:rFonts w:hint="eastAsia" w:ascii="宋体" w:hAnsi="宋体" w:eastAsia="宋体" w:cs="宋体"/>
          <w:u w:val="single"/>
          <w:lang w:val="zh-CN"/>
        </w:rPr>
        <w:t xml:space="preserve">                   </w:t>
      </w:r>
    </w:p>
    <w:p w14:paraId="6885737A">
      <w:pPr>
        <w:snapToGrid w:val="0"/>
        <w:spacing w:line="360" w:lineRule="auto"/>
        <w:ind w:left="254" w:leftChars="121" w:firstLine="420" w:firstLineChars="200"/>
        <w:rPr>
          <w:rFonts w:hint="eastAsia" w:ascii="宋体" w:hAnsi="宋体" w:eastAsia="宋体" w:cs="宋体"/>
        </w:rPr>
      </w:pPr>
      <w:r>
        <w:rPr>
          <w:rFonts w:hint="eastAsia" w:ascii="宋体" w:hAnsi="宋体" w:eastAsia="宋体" w:cs="宋体"/>
          <w:lang w:val="zh-CN"/>
        </w:rPr>
        <w:t>手机：</w:t>
      </w:r>
      <w:r>
        <w:rPr>
          <w:rFonts w:hint="eastAsia" w:ascii="宋体" w:hAnsi="宋体" w:eastAsia="宋体" w:cs="宋体"/>
          <w:u w:val="single"/>
          <w:lang w:val="zh-CN"/>
        </w:rPr>
        <w:t xml:space="preserve">             </w:t>
      </w:r>
      <w:r>
        <w:rPr>
          <w:rFonts w:hint="eastAsia" w:ascii="宋体" w:hAnsi="宋体" w:eastAsia="宋体" w:cs="宋体"/>
          <w:lang w:val="zh-CN"/>
        </w:rPr>
        <w:t>，代表我公司前来递交</w:t>
      </w:r>
      <w:r>
        <w:rPr>
          <w:rFonts w:hint="eastAsia" w:ascii="宋体" w:hAnsi="宋体" w:eastAsia="宋体" w:cs="宋体"/>
          <w:u w:val="single"/>
          <w:lang w:val="zh-CN"/>
        </w:rPr>
        <w:t xml:space="preserve">                           采购项目</w:t>
      </w:r>
      <w:r>
        <w:rPr>
          <w:rFonts w:hint="eastAsia" w:ascii="宋体" w:hAnsi="宋体" w:eastAsia="宋体" w:cs="宋体"/>
          <w:lang w:val="zh-CN"/>
        </w:rPr>
        <w:t>【项目编号：              】（标项号：  ）投标样品或参加演示，并全权负责标后取回样品等其他处理事宜。</w:t>
      </w:r>
    </w:p>
    <w:p w14:paraId="69D7670C">
      <w:pPr>
        <w:snapToGrid w:val="0"/>
        <w:spacing w:line="360" w:lineRule="auto"/>
        <w:rPr>
          <w:rFonts w:hint="eastAsia" w:ascii="宋体" w:hAnsi="宋体" w:eastAsia="宋体" w:cs="宋体"/>
          <w:lang w:val="zh-CN"/>
        </w:rPr>
      </w:pPr>
      <w:r>
        <w:rPr>
          <w:rFonts w:hint="eastAsia" w:ascii="宋体" w:hAnsi="宋体" w:eastAsia="宋体" w:cs="宋体"/>
          <w:lang w:val="zh-CN"/>
        </w:rPr>
        <w:t xml:space="preserve">  </w:t>
      </w:r>
    </w:p>
    <w:p w14:paraId="508A6FD1">
      <w:pPr>
        <w:snapToGrid w:val="0"/>
        <w:spacing w:line="360" w:lineRule="auto"/>
        <w:rPr>
          <w:rFonts w:hint="eastAsia" w:ascii="宋体" w:hAnsi="宋体" w:eastAsia="宋体" w:cs="宋体"/>
        </w:rPr>
      </w:pPr>
      <w:r>
        <w:rPr>
          <w:rFonts w:hint="eastAsia" w:ascii="宋体" w:hAnsi="宋体" w:eastAsia="宋体" w:cs="宋体"/>
          <w:lang w:val="zh-CN"/>
        </w:rPr>
        <w:t xml:space="preserve">    特此告知。</w:t>
      </w:r>
    </w:p>
    <w:p w14:paraId="4B35F371">
      <w:pPr>
        <w:snapToGrid w:val="0"/>
        <w:spacing w:line="360" w:lineRule="auto"/>
        <w:rPr>
          <w:rFonts w:hint="eastAsia" w:ascii="宋体" w:hAnsi="宋体" w:eastAsia="宋体" w:cs="宋体"/>
        </w:rPr>
      </w:pPr>
      <w:r>
        <w:rPr>
          <w:rFonts w:hint="eastAsia" w:ascii="宋体" w:hAnsi="宋体" w:eastAsia="宋体" w:cs="宋体"/>
          <w:lang w:val="zh-CN"/>
        </w:rPr>
        <w:t xml:space="preserve">                                                  投标人名称(公章)：</w:t>
      </w:r>
    </w:p>
    <w:p w14:paraId="5B6B7D59">
      <w:pPr>
        <w:snapToGrid w:val="0"/>
        <w:spacing w:line="360" w:lineRule="auto"/>
        <w:rPr>
          <w:rFonts w:hint="eastAsia" w:ascii="宋体" w:hAnsi="宋体" w:eastAsia="宋体" w:cs="宋体"/>
        </w:rPr>
      </w:pPr>
      <w:r>
        <w:rPr>
          <w:rFonts w:hint="eastAsia" w:ascii="宋体" w:hAnsi="宋体" w:eastAsia="宋体" w:cs="宋体"/>
          <w:lang w:val="zh-CN"/>
        </w:rPr>
        <w:t xml:space="preserve">                                                  </w:t>
      </w:r>
    </w:p>
    <w:p w14:paraId="256A2F6B">
      <w:pPr>
        <w:snapToGrid w:val="0"/>
        <w:spacing w:line="360" w:lineRule="auto"/>
        <w:ind w:right="240"/>
        <w:jc w:val="right"/>
        <w:rPr>
          <w:rFonts w:hint="eastAsia" w:ascii="宋体" w:hAnsi="宋体" w:eastAsia="宋体" w:cs="宋体"/>
          <w:lang w:val="zh-CN"/>
        </w:rPr>
      </w:pPr>
      <w:r>
        <w:rPr>
          <w:rFonts w:hint="eastAsia" w:ascii="宋体" w:hAnsi="宋体" w:eastAsia="宋体" w:cs="宋体"/>
          <w:lang w:val="zh-CN"/>
        </w:rPr>
        <w:t>签发日期：  年  月   日</w:t>
      </w:r>
    </w:p>
    <w:p w14:paraId="4ED48E0A">
      <w:pPr>
        <w:snapToGrid w:val="0"/>
        <w:spacing w:line="360" w:lineRule="auto"/>
        <w:ind w:right="240"/>
        <w:jc w:val="right"/>
        <w:rPr>
          <w:rFonts w:hint="eastAsia" w:ascii="宋体" w:hAnsi="宋体" w:eastAsia="宋体" w:cs="宋体"/>
          <w:lang w:val="zh-CN"/>
        </w:rPr>
      </w:pPr>
    </w:p>
    <w:p w14:paraId="735C7C1A">
      <w:pPr>
        <w:snapToGrid w:val="0"/>
        <w:spacing w:line="360" w:lineRule="auto"/>
        <w:ind w:right="1920"/>
        <w:rPr>
          <w:rFonts w:hint="eastAsia" w:ascii="宋体" w:hAnsi="宋体" w:eastAsia="宋体" w:cs="宋体"/>
          <w:lang w:val="zh-CN"/>
        </w:rPr>
      </w:pPr>
    </w:p>
    <w:p w14:paraId="0BE0F27D">
      <w:pPr>
        <w:snapToGrid w:val="0"/>
        <w:spacing w:line="360" w:lineRule="auto"/>
        <w:ind w:right="240"/>
        <w:jc w:val="right"/>
        <w:rPr>
          <w:rFonts w:hint="eastAsia" w:ascii="宋体" w:hAnsi="宋体" w:eastAsia="宋体" w:cs="宋体"/>
          <w:lang w:val="zh-CN"/>
        </w:rPr>
      </w:pPr>
    </w:p>
    <w:p w14:paraId="1935791F">
      <w:pPr>
        <w:snapToGrid w:val="0"/>
        <w:spacing w:line="360" w:lineRule="auto"/>
        <w:ind w:right="240"/>
        <w:rPr>
          <w:rFonts w:hint="eastAsia" w:ascii="宋体" w:hAnsi="宋体" w:eastAsia="宋体" w:cs="宋体"/>
          <w:lang w:val="zh-CN"/>
        </w:rPr>
      </w:pPr>
      <w:r>
        <w:rPr>
          <w:rFonts w:hint="eastAsia" w:ascii="宋体" w:hAnsi="宋体" w:eastAsia="宋体" w:cs="宋体"/>
        </w:rPr>
        <w:t>受委托人</w:t>
      </w:r>
      <w:r>
        <w:rPr>
          <w:rFonts w:hint="eastAsia" w:ascii="宋体" w:hAnsi="宋体" w:eastAsia="宋体" w:cs="宋体"/>
          <w:lang w:val="zh-CN"/>
        </w:rPr>
        <w:t>身份证复印件：</w:t>
      </w:r>
    </w:p>
    <w:p w14:paraId="74528072">
      <w:pPr>
        <w:snapToGrid w:val="0"/>
        <w:spacing w:line="360" w:lineRule="auto"/>
        <w:ind w:right="240"/>
        <w:rPr>
          <w:rFonts w:hint="eastAsia" w:ascii="宋体" w:hAnsi="宋体" w:eastAsia="宋体" w:cs="宋体"/>
          <w:lang w:val="zh-CN"/>
        </w:rPr>
      </w:pPr>
    </w:p>
    <w:p w14:paraId="0CB8A41D">
      <w:pPr>
        <w:snapToGrid w:val="0"/>
        <w:spacing w:line="360" w:lineRule="auto"/>
        <w:ind w:right="240"/>
        <w:rPr>
          <w:rFonts w:hint="eastAsia" w:ascii="宋体" w:hAnsi="宋体" w:eastAsia="宋体" w:cs="宋体"/>
          <w:lang w:val="zh-CN"/>
        </w:rPr>
      </w:pPr>
      <w:r>
        <w:rPr>
          <w:rFonts w:hint="eastAsia" w:ascii="宋体" w:hAnsi="宋体" w:eastAsia="宋体" w:cs="宋体"/>
          <w:lang w:val="zh-CN"/>
        </w:rPr>
        <w:t>说明：本委托书在有样品或演示时由受委托人携带至指定地点。</w:t>
      </w:r>
    </w:p>
    <w:p w14:paraId="57254C36">
      <w:pPr>
        <w:spacing w:line="360" w:lineRule="auto"/>
        <w:rPr>
          <w:rFonts w:hint="eastAsia" w:ascii="宋体" w:hAnsi="宋体" w:eastAsia="宋体" w:cs="宋体"/>
          <w:b/>
        </w:rPr>
      </w:pPr>
      <w:r>
        <w:rPr>
          <w:rFonts w:hint="eastAsia" w:ascii="宋体" w:hAnsi="宋体" w:eastAsia="宋体" w:cs="宋体"/>
          <w:b/>
        </w:rPr>
        <w:t>同时有样品和演示的，可委托不同人员。</w:t>
      </w:r>
    </w:p>
    <w:p w14:paraId="69C2CA72">
      <w:pPr>
        <w:spacing w:line="360" w:lineRule="auto"/>
        <w:rPr>
          <w:rFonts w:hint="eastAsia" w:ascii="宋体" w:hAnsi="宋体" w:eastAsia="宋体" w:cs="宋体"/>
          <w:bCs/>
          <w:sz w:val="24"/>
        </w:rPr>
      </w:pPr>
    </w:p>
    <w:p w14:paraId="4F83A773">
      <w:pPr>
        <w:rPr>
          <w:rFonts w:hint="eastAsia" w:ascii="宋体" w:hAnsi="宋体" w:eastAsia="宋体" w:cs="宋体"/>
        </w:rPr>
      </w:pPr>
    </w:p>
    <w:sectPr>
      <w:headerReference r:id="rId16" w:type="first"/>
      <w:footerReference r:id="rId19" w:type="first"/>
      <w:headerReference r:id="rId15" w:type="default"/>
      <w:footerReference r:id="rId17" w:type="default"/>
      <w:footerReference r:id="rId18" w:type="even"/>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Helvetica">
    <w:panose1 w:val="020B0504020202030204"/>
    <w:charset w:val="00"/>
    <w:family w:val="swiss"/>
    <w:pitch w:val="default"/>
    <w:sig w:usb0="00000007"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0000000000000000000"/>
    <w:charset w:val="00"/>
    <w:family w:val="swiss"/>
    <w:pitch w:val="default"/>
    <w:sig w:usb0="00000000" w:usb1="00000000" w:usb2="00000000" w:usb3="00000000" w:csb0="00000001" w:csb1="00000000"/>
  </w:font>
  <w:font w:name="ˎ̥">
    <w:altName w:val="Times New Roman"/>
    <w:panose1 w:val="00000000000000000000"/>
    <w:charset w:val="00"/>
    <w:family w:val="roman"/>
    <w:pitch w:val="default"/>
    <w:sig w:usb0="00000000" w:usb1="00000000" w:usb2="00000000"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Trebuchet MS"/>
    <w:panose1 w:val="00000000000000000000"/>
    <w:charset w:val="00"/>
    <w:family w:val="swiss"/>
    <w:pitch w:val="default"/>
    <w:sig w:usb0="00000000" w:usb1="00000000" w:usb2="00000000" w:usb3="00000000" w:csb0="00000001" w:csb1="00000000"/>
  </w:font>
  <w:font w:name="Trebuchet MS">
    <w:panose1 w:val="020B0603020202020204"/>
    <w:charset w:val="00"/>
    <w:family w:val="auto"/>
    <w:pitch w:val="default"/>
    <w:sig w:usb0="00000687" w:usb1="00000000" w:usb2="00000000" w:usb3="00000000" w:csb0="2000009F" w:csb1="00000000"/>
  </w:font>
  <w:font w:name="Cumberland">
    <w:altName w:val="Courier New"/>
    <w:panose1 w:val="00000000000000000000"/>
    <w:charset w:val="00"/>
    <w:family w:val="modern"/>
    <w:pitch w:val="default"/>
    <w:sig w:usb0="00000000" w:usb1="00000000" w:usb2="00000000" w:usb3="00000000" w:csb0="00000001" w:csb1="00000000"/>
  </w:font>
  <w:font w:name="方正宋体">
    <w:altName w:val="Times New Roman"/>
    <w:panose1 w:val="00000000000000000000"/>
    <w:charset w:val="00"/>
    <w:family w:val="auto"/>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新宋体">
    <w:panose1 w:val="02010609030101010101"/>
    <w:charset w:val="86"/>
    <w:family w:val="modern"/>
    <w:pitch w:val="default"/>
    <w:sig w:usb0="0000028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Hv">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Arial (W1)">
    <w:altName w:val="Arial"/>
    <w:panose1 w:val="00000000000000000000"/>
    <w:charset w:val="00"/>
    <w:family w:val="swiss"/>
    <w:pitch w:val="default"/>
    <w:sig w:usb0="00000000" w:usb1="00000000" w:usb2="00000000" w:usb3="00000000" w:csb0="00000001" w:csb1="00000000"/>
  </w:font>
  <w:font w:name="Aldine401 BT">
    <w:altName w:val="Courier New"/>
    <w:panose1 w:val="00000000000000000000"/>
    <w:charset w:val="00"/>
    <w:family w:val="roman"/>
    <w:pitch w:val="default"/>
    <w:sig w:usb0="00000000" w:usb1="00000000" w:usb2="00000000" w:usb3="00000000" w:csb0="00000001" w:csb1="00000000"/>
  </w:font>
  <w:font w:name="幼圆">
    <w:panose1 w:val="02010509060101010101"/>
    <w:charset w:val="86"/>
    <w:family w:val="modern"/>
    <w:pitch w:val="default"/>
    <w:sig w:usb0="00000001" w:usb1="080E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微软雅黑 Light">
    <w:panose1 w:val="020B0502040204020203"/>
    <w:charset w:val="86"/>
    <w:family w:val="swiss"/>
    <w:pitch w:val="default"/>
    <w:sig w:usb0="80000287" w:usb1="2ACF0010" w:usb2="00000016" w:usb3="00000000" w:csb0="0004001F" w:csb1="00000000"/>
  </w:font>
  <w:font w:name="Songti SC">
    <w:altName w:val="宋体"/>
    <w:panose1 w:val="0201080004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899B31">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3F482">
    <w:pPr>
      <w:pStyle w:val="38"/>
      <w:framePr w:wrap="around" w:vAnchor="text" w:hAnchor="margin" w:xAlign="right" w:y="1"/>
      <w:rPr>
        <w:rStyle w:val="64"/>
      </w:rPr>
    </w:pPr>
    <w:r>
      <w:fldChar w:fldCharType="begin"/>
    </w:r>
    <w:r>
      <w:rPr>
        <w:rStyle w:val="64"/>
      </w:rPr>
      <w:instrText xml:space="preserve">PAGE  </w:instrText>
    </w:r>
    <w:r>
      <w:fldChar w:fldCharType="end"/>
    </w:r>
  </w:p>
  <w:p w14:paraId="6035B842">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FA8B0">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802A8">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p w14:paraId="2676855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F863A">
    <w:pPr>
      <w:pStyle w:val="38"/>
      <w:framePr w:wrap="around" w:vAnchor="text" w:hAnchor="margin" w:xAlign="right" w:y="1"/>
      <w:rPr>
        <w:rStyle w:val="64"/>
      </w:rPr>
    </w:pPr>
    <w:r>
      <w:fldChar w:fldCharType="begin"/>
    </w:r>
    <w:r>
      <w:rPr>
        <w:rStyle w:val="64"/>
      </w:rPr>
      <w:instrText xml:space="preserve">PAGE  </w:instrText>
    </w:r>
    <w:r>
      <w:fldChar w:fldCharType="end"/>
    </w:r>
  </w:p>
  <w:p w14:paraId="1B73DC51">
    <w:pPr>
      <w:pStyle w:val="38"/>
      <w:ind w:right="360"/>
    </w:pPr>
  </w:p>
  <w:p w14:paraId="64E6D05C"/>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EDAE73">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27FD5B2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C750F">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388E9C8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D5B63">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3B3B01">
    <w:pPr>
      <w:pStyle w:val="38"/>
      <w:framePr w:wrap="around" w:vAnchor="text" w:hAnchor="margin" w:xAlign="right" w:y="1"/>
      <w:rPr>
        <w:rStyle w:val="64"/>
      </w:rPr>
    </w:pPr>
    <w:r>
      <w:fldChar w:fldCharType="begin"/>
    </w:r>
    <w:r>
      <w:rPr>
        <w:rStyle w:val="64"/>
      </w:rPr>
      <w:instrText xml:space="preserve">PAGE  </w:instrText>
    </w:r>
    <w:r>
      <w:fldChar w:fldCharType="end"/>
    </w:r>
  </w:p>
  <w:p w14:paraId="11E8A40F">
    <w:pPr>
      <w:pStyle w:val="38"/>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CF509">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22" w:name="_Toc91899912"/>
    <w:bookmarkStart w:id="523" w:name="_Toc36110187"/>
    <w:bookmarkStart w:id="524" w:name="_Toc131845147"/>
    <w:bookmarkStart w:id="525" w:name="_Toc164085800"/>
    <w:r>
      <w:rPr>
        <w:rFonts w:hint="eastAsia" w:ascii="仿宋_GB2312" w:eastAsia="仿宋_GB2312"/>
        <w:kern w:val="0"/>
        <w:szCs w:val="21"/>
      </w:rPr>
      <w:t xml:space="preserve"> 页</w:t>
    </w:r>
    <w:bookmarkEnd w:id="522"/>
    <w:bookmarkEnd w:id="523"/>
    <w:bookmarkEnd w:id="524"/>
    <w:bookmarkEnd w:id="52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3AA8C">
    <w:pPr>
      <w:pStyle w:val="57"/>
      <w:tabs>
        <w:tab w:val="center" w:pos="4535"/>
        <w:tab w:val="right" w:pos="9070"/>
      </w:tabs>
      <w:ind w:firstLine="241" w:firstLineChars="100"/>
      <w:jc w:val="both"/>
      <w:rPr>
        <w:rFonts w:ascii="仿宋_GB2312" w:eastAsia="仿宋_GB2312"/>
        <w:b w:val="0"/>
        <w:i/>
        <w:sz w:val="18"/>
        <w:u w:val="single"/>
        <w:lang w:val="en-US"/>
      </w:rPr>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3A155E">
    <w:pPr>
      <w:pStyle w:val="39"/>
      <w:rPr>
        <w:rFonts w:ascii="仿宋_GB2312" w:eastAsia="仿宋_GB2312"/>
        <w:b/>
        <w:i/>
        <w:u w:val="single"/>
      </w:rPr>
    </w:pPr>
    <w:r>
      <w:rPr>
        <w:rFonts w:hint="eastAsia"/>
      </w:rPr>
      <w:t xml:space="preserve">                                                                       </w:t>
    </w:r>
  </w:p>
  <w:p w14:paraId="5601A80B">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179C7F">
    <w:pPr>
      <w:pStyle w:val="39"/>
    </w:pPr>
  </w:p>
  <w:p w14:paraId="457305A2"/>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9D326">
    <w:pPr>
      <w:pStyle w:val="39"/>
    </w:pPr>
    <w:r>
      <w:rPr>
        <w:rFonts w:hint="eastAsia"/>
      </w:rPr>
      <w:t xml:space="preserve">                                                                     </w:t>
    </w: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CC3EE">
    <w:pPr>
      <w:pStyle w:val="39"/>
      <w:rPr>
        <w:rFonts w:ascii="仿宋_GB2312" w:eastAsia="仿宋_GB2312"/>
        <w:b/>
        <w:i/>
        <w:u w:val="single"/>
      </w:rPr>
    </w:pPr>
    <w:r>
      <w:t></w:t>
    </w:r>
    <w:r>
      <w:rPr>
        <w:rFonts w:hint="eastAsia"/>
      </w:rPr>
      <w:t xml:space="preserve">                                                  </w:t>
    </w:r>
  </w:p>
  <w:p w14:paraId="33EBA3B3">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99FF29">
    <w:pPr>
      <w:pStyle w:val="39"/>
      <w:rPr>
        <w:rFonts w:ascii="仿宋_GB2312" w:eastAsia="仿宋_GB2312"/>
        <w:b/>
        <w:i/>
        <w:iCs/>
        <w:u w:val="single"/>
      </w:rPr>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ED70D">
    <w:pPr>
      <w:pStyle w:val="39"/>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AC842C"/>
    <w:multiLevelType w:val="singleLevel"/>
    <w:tmpl w:val="E2AC842C"/>
    <w:lvl w:ilvl="0" w:tentative="0">
      <w:start w:val="1"/>
      <w:numFmt w:val="chineseCounting"/>
      <w:suff w:val="nothing"/>
      <w:lvlText w:val="%1、"/>
      <w:lvlJc w:val="left"/>
      <w:rPr>
        <w:rFonts w:hint="eastAsia"/>
      </w:rPr>
    </w:lvl>
  </w:abstractNum>
  <w:abstractNum w:abstractNumId="1">
    <w:nsid w:val="F4AAF6D2"/>
    <w:multiLevelType w:val="singleLevel"/>
    <w:tmpl w:val="F4AAF6D2"/>
    <w:lvl w:ilvl="0" w:tentative="0">
      <w:start w:val="1"/>
      <w:numFmt w:val="decimal"/>
      <w:lvlText w:val="(%1)"/>
      <w:lvlJc w:val="left"/>
      <w:pPr>
        <w:tabs>
          <w:tab w:val="left" w:pos="397"/>
        </w:tabs>
        <w:ind w:left="454" w:hanging="454"/>
      </w:pPr>
      <w:rPr>
        <w:rFonts w:hint="default" w:eastAsia="宋体"/>
      </w:rPr>
    </w:lvl>
  </w:abstractNum>
  <w:abstractNum w:abstractNumId="2">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3">
    <w:nsid w:val="00000007"/>
    <w:multiLevelType w:val="multilevel"/>
    <w:tmpl w:val="00000007"/>
    <w:lvl w:ilvl="0" w:tentative="0">
      <w:start w:val="1"/>
      <w:numFmt w:val="bullet"/>
      <w:pStyle w:val="33"/>
      <w:lvlText w:val=""/>
      <w:lvlJc w:val="left"/>
      <w:pPr>
        <w:tabs>
          <w:tab w:val="left" w:pos="840"/>
        </w:tabs>
        <w:ind w:left="840" w:hanging="420"/>
      </w:pPr>
      <w:rPr>
        <w:rFonts w:hint="default" w:ascii="Wingdings" w:hAnsi="Wingdings"/>
      </w:rPr>
    </w:lvl>
    <w:lvl w:ilvl="1" w:tentative="0">
      <w:start w:val="1"/>
      <w:numFmt w:val="bullet"/>
      <w:pStyle w:val="328"/>
      <w:lvlText w:val=""/>
      <w:lvlJc w:val="left"/>
      <w:pPr>
        <w:tabs>
          <w:tab w:val="left" w:pos="1260"/>
        </w:tabs>
        <w:ind w:left="1260" w:hanging="420"/>
      </w:pPr>
      <w:rPr>
        <w:rFonts w:hint="default" w:ascii="Wingdings" w:hAnsi="Wingdings"/>
      </w:rPr>
    </w:lvl>
    <w:lvl w:ilvl="2" w:tentative="0">
      <w:start w:val="1"/>
      <w:numFmt w:val="bullet"/>
      <w:pStyle w:val="309"/>
      <w:lvlText w:val=""/>
      <w:lvlJc w:val="left"/>
      <w:pPr>
        <w:tabs>
          <w:tab w:val="left" w:pos="1680"/>
        </w:tabs>
        <w:ind w:left="1680" w:hanging="420"/>
      </w:pPr>
      <w:rPr>
        <w:rFonts w:hint="default" w:ascii="Wingdings" w:hAnsi="Wingdings"/>
      </w:rPr>
    </w:lvl>
    <w:lvl w:ilvl="3" w:tentative="0">
      <w:start w:val="1"/>
      <w:numFmt w:val="bullet"/>
      <w:pStyle w:val="326"/>
      <w:lvlText w:val=""/>
      <w:lvlJc w:val="left"/>
      <w:pPr>
        <w:tabs>
          <w:tab w:val="left" w:pos="2100"/>
        </w:tabs>
        <w:ind w:left="2100" w:hanging="420"/>
      </w:pPr>
      <w:rPr>
        <w:rFonts w:hint="default" w:ascii="Wingdings" w:hAnsi="Wingdings"/>
      </w:rPr>
    </w:lvl>
    <w:lvl w:ilvl="4" w:tentative="0">
      <w:start w:val="1"/>
      <w:numFmt w:val="bullet"/>
      <w:pStyle w:val="393"/>
      <w:lvlText w:val=""/>
      <w:lvlJc w:val="left"/>
      <w:pPr>
        <w:tabs>
          <w:tab w:val="left" w:pos="2520"/>
        </w:tabs>
        <w:ind w:left="2520" w:hanging="420"/>
      </w:pPr>
      <w:rPr>
        <w:rFonts w:hint="default" w:ascii="Wingdings" w:hAnsi="Wingdings"/>
      </w:rPr>
    </w:lvl>
    <w:lvl w:ilvl="5" w:tentative="0">
      <w:start w:val="1"/>
      <w:numFmt w:val="bullet"/>
      <w:pStyle w:val="462"/>
      <w:lvlText w:val=""/>
      <w:lvlJc w:val="left"/>
      <w:pPr>
        <w:tabs>
          <w:tab w:val="left" w:pos="2940"/>
        </w:tabs>
        <w:ind w:left="2940" w:hanging="420"/>
      </w:pPr>
      <w:rPr>
        <w:rFonts w:hint="default" w:ascii="Wingdings" w:hAnsi="Wingdings"/>
      </w:rPr>
    </w:lvl>
    <w:lvl w:ilvl="6" w:tentative="0">
      <w:start w:val="1"/>
      <w:numFmt w:val="bullet"/>
      <w:pStyle w:val="461"/>
      <w:lvlText w:val=""/>
      <w:lvlJc w:val="left"/>
      <w:pPr>
        <w:tabs>
          <w:tab w:val="left" w:pos="3360"/>
        </w:tabs>
        <w:ind w:left="3360" w:hanging="420"/>
      </w:pPr>
      <w:rPr>
        <w:rFonts w:hint="default" w:ascii="Wingdings" w:hAnsi="Wingdings"/>
      </w:rPr>
    </w:lvl>
    <w:lvl w:ilvl="7" w:tentative="0">
      <w:start w:val="1"/>
      <w:numFmt w:val="bullet"/>
      <w:pStyle w:val="538"/>
      <w:lvlText w:val=""/>
      <w:lvlJc w:val="left"/>
      <w:pPr>
        <w:tabs>
          <w:tab w:val="left" w:pos="3780"/>
        </w:tabs>
        <w:ind w:left="3780" w:hanging="420"/>
      </w:pPr>
      <w:rPr>
        <w:rFonts w:hint="default" w:ascii="Wingdings" w:hAnsi="Wingdings"/>
      </w:rPr>
    </w:lvl>
    <w:lvl w:ilvl="8" w:tentative="0">
      <w:start w:val="1"/>
      <w:numFmt w:val="bullet"/>
      <w:pStyle w:val="533"/>
      <w:lvlText w:val=""/>
      <w:lvlJc w:val="left"/>
      <w:pPr>
        <w:tabs>
          <w:tab w:val="left" w:pos="4200"/>
        </w:tabs>
        <w:ind w:left="4200" w:hanging="420"/>
      </w:pPr>
      <w:rPr>
        <w:rFonts w:hint="default" w:ascii="Wingdings" w:hAnsi="Wingdings"/>
      </w:rPr>
    </w:lvl>
  </w:abstractNum>
  <w:abstractNum w:abstractNumId="4">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18F94803"/>
    <w:multiLevelType w:val="multilevel"/>
    <w:tmpl w:val="18F94803"/>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22750A8C"/>
    <w:multiLevelType w:val="multilevel"/>
    <w:tmpl w:val="22750A8C"/>
    <w:lvl w:ilvl="0" w:tentative="0">
      <w:start w:val="1"/>
      <w:numFmt w:val="japaneseCounting"/>
      <w:lvlText w:val="%1、"/>
      <w:lvlJc w:val="left"/>
      <w:pPr>
        <w:ind w:left="720" w:hanging="720"/>
      </w:pPr>
      <w:rPr>
        <w:rFonts w:hint="default"/>
        <w:sz w:val="3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262BC712"/>
    <w:multiLevelType w:val="singleLevel"/>
    <w:tmpl w:val="262BC712"/>
    <w:lvl w:ilvl="0" w:tentative="0">
      <w:start w:val="1"/>
      <w:numFmt w:val="decimal"/>
      <w:suff w:val="nothing"/>
      <w:lvlText w:val="（%1）"/>
      <w:lvlJc w:val="left"/>
    </w:lvl>
  </w:abstractNum>
  <w:abstractNum w:abstractNumId="9">
    <w:nsid w:val="4B4B3C73"/>
    <w:multiLevelType w:val="multilevel"/>
    <w:tmpl w:val="4B4B3C73"/>
    <w:lvl w:ilvl="0" w:tentative="0">
      <w:start w:val="1"/>
      <w:numFmt w:val="decimal"/>
      <w:lvlText w:val="（%1）"/>
      <w:lvlJc w:val="left"/>
      <w:pPr>
        <w:ind w:left="1080" w:hanging="7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10">
    <w:nsid w:val="578B3BD2"/>
    <w:multiLevelType w:val="multilevel"/>
    <w:tmpl w:val="578B3BD2"/>
    <w:lvl w:ilvl="0" w:tentative="0">
      <w:start w:val="1"/>
      <w:numFmt w:val="decimal"/>
      <w:pStyle w:val="472"/>
      <w:lvlText w:val="%1"/>
      <w:lvlJc w:val="left"/>
      <w:pPr>
        <w:tabs>
          <w:tab w:val="left" w:pos="480"/>
        </w:tabs>
        <w:ind w:left="480" w:hanging="480"/>
      </w:pPr>
      <w:rPr>
        <w:rFonts w:hint="eastAsia"/>
        <w:sz w:val="44"/>
        <w:szCs w:val="44"/>
      </w:rPr>
    </w:lvl>
    <w:lvl w:ilvl="1" w:tentative="0">
      <w:start w:val="1"/>
      <w:numFmt w:val="decimal"/>
      <w:pStyle w:val="449"/>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77"/>
      <w:lvlText w:val="%1.%2.%3.%4.%5"/>
      <w:lvlJc w:val="left"/>
      <w:pPr>
        <w:tabs>
          <w:tab w:val="left" w:pos="1080"/>
        </w:tabs>
        <w:ind w:left="1080" w:hanging="1080"/>
      </w:pPr>
      <w:rPr>
        <w:rFonts w:hint="default"/>
      </w:rPr>
    </w:lvl>
    <w:lvl w:ilvl="5" w:tentative="0">
      <w:start w:val="1"/>
      <w:numFmt w:val="decimal"/>
      <w:pStyle w:val="4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1">
    <w:nsid w:val="6BB67409"/>
    <w:multiLevelType w:val="multilevel"/>
    <w:tmpl w:val="6BB67409"/>
    <w:lvl w:ilvl="0" w:tentative="0">
      <w:start w:val="1"/>
      <w:numFmt w:val="decimal"/>
      <w:lvlText w:val="（%1）"/>
      <w:lvlJc w:val="left"/>
      <w:pPr>
        <w:ind w:left="720" w:hanging="720"/>
      </w:pPr>
      <w:rPr>
        <w:rFonts w:hint="default" w:cs="Times New Roman"/>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73596DCC"/>
    <w:multiLevelType w:val="multilevel"/>
    <w:tmpl w:val="73596DCC"/>
    <w:lvl w:ilvl="0" w:tentative="0">
      <w:start w:val="1"/>
      <w:numFmt w:val="bullet"/>
      <w:pStyle w:val="473"/>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5"/>
  </w:num>
  <w:num w:numId="3">
    <w:abstractNumId w:val="2"/>
  </w:num>
  <w:num w:numId="4">
    <w:abstractNumId w:val="3"/>
  </w:num>
  <w:num w:numId="5">
    <w:abstractNumId w:val="10"/>
  </w:num>
  <w:num w:numId="6">
    <w:abstractNumId w:val="12"/>
  </w:num>
  <w:num w:numId="7">
    <w:abstractNumId w:val="1"/>
  </w:num>
  <w:num w:numId="8">
    <w:abstractNumId w:val="0"/>
  </w:num>
  <w:num w:numId="9">
    <w:abstractNumId w:val="11"/>
  </w:num>
  <w:num w:numId="10">
    <w:abstractNumId w:val="9"/>
  </w:num>
  <w:num w:numId="11">
    <w:abstractNumId w:val="6"/>
  </w:num>
  <w:num w:numId="12">
    <w:abstractNumId w:val="8"/>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E0NWVhYWYwYzk1MzM4ODNjY2VkNTZiNGY5ZTU5N2QifQ=="/>
  </w:docVars>
  <w:rsids>
    <w:rsidRoot w:val="00172A27"/>
    <w:rsid w:val="00000278"/>
    <w:rsid w:val="00000451"/>
    <w:rsid w:val="0000133D"/>
    <w:rsid w:val="00002075"/>
    <w:rsid w:val="00003EFB"/>
    <w:rsid w:val="000058BD"/>
    <w:rsid w:val="00006109"/>
    <w:rsid w:val="00006725"/>
    <w:rsid w:val="0000675E"/>
    <w:rsid w:val="00006ED1"/>
    <w:rsid w:val="00007151"/>
    <w:rsid w:val="00007CAA"/>
    <w:rsid w:val="00010FE9"/>
    <w:rsid w:val="0001122F"/>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70F2"/>
    <w:rsid w:val="000274CD"/>
    <w:rsid w:val="00027540"/>
    <w:rsid w:val="00030572"/>
    <w:rsid w:val="00030C80"/>
    <w:rsid w:val="00030CB3"/>
    <w:rsid w:val="0003206A"/>
    <w:rsid w:val="000326A7"/>
    <w:rsid w:val="00032EA0"/>
    <w:rsid w:val="000336D4"/>
    <w:rsid w:val="00034AE7"/>
    <w:rsid w:val="00034FA7"/>
    <w:rsid w:val="00035444"/>
    <w:rsid w:val="000357E4"/>
    <w:rsid w:val="00035ACA"/>
    <w:rsid w:val="00035BFB"/>
    <w:rsid w:val="00036F94"/>
    <w:rsid w:val="00040D46"/>
    <w:rsid w:val="00041892"/>
    <w:rsid w:val="00042533"/>
    <w:rsid w:val="00042E65"/>
    <w:rsid w:val="0004347C"/>
    <w:rsid w:val="00043907"/>
    <w:rsid w:val="00044F48"/>
    <w:rsid w:val="00045085"/>
    <w:rsid w:val="00045ABD"/>
    <w:rsid w:val="00046153"/>
    <w:rsid w:val="0004708A"/>
    <w:rsid w:val="00047354"/>
    <w:rsid w:val="0004753C"/>
    <w:rsid w:val="00050656"/>
    <w:rsid w:val="00051B00"/>
    <w:rsid w:val="0005205F"/>
    <w:rsid w:val="0005238F"/>
    <w:rsid w:val="00052BB8"/>
    <w:rsid w:val="00052C94"/>
    <w:rsid w:val="00052F50"/>
    <w:rsid w:val="000531C9"/>
    <w:rsid w:val="0005417A"/>
    <w:rsid w:val="00054D39"/>
    <w:rsid w:val="0005501B"/>
    <w:rsid w:val="000550F5"/>
    <w:rsid w:val="00055337"/>
    <w:rsid w:val="000554C7"/>
    <w:rsid w:val="00055506"/>
    <w:rsid w:val="00056402"/>
    <w:rsid w:val="00056791"/>
    <w:rsid w:val="000568DF"/>
    <w:rsid w:val="000574B4"/>
    <w:rsid w:val="000578A3"/>
    <w:rsid w:val="00057D4C"/>
    <w:rsid w:val="00061A3C"/>
    <w:rsid w:val="00061C48"/>
    <w:rsid w:val="00064278"/>
    <w:rsid w:val="000646CA"/>
    <w:rsid w:val="000665C4"/>
    <w:rsid w:val="00067821"/>
    <w:rsid w:val="0006785E"/>
    <w:rsid w:val="00067F92"/>
    <w:rsid w:val="00067FA7"/>
    <w:rsid w:val="0007032C"/>
    <w:rsid w:val="0007038E"/>
    <w:rsid w:val="0007077C"/>
    <w:rsid w:val="00070825"/>
    <w:rsid w:val="00071CD8"/>
    <w:rsid w:val="00072631"/>
    <w:rsid w:val="00072AED"/>
    <w:rsid w:val="00072B56"/>
    <w:rsid w:val="00072D2B"/>
    <w:rsid w:val="000730B1"/>
    <w:rsid w:val="00073337"/>
    <w:rsid w:val="00073860"/>
    <w:rsid w:val="000738EA"/>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6B4"/>
    <w:rsid w:val="00086EEB"/>
    <w:rsid w:val="00086F8A"/>
    <w:rsid w:val="00090243"/>
    <w:rsid w:val="000904F6"/>
    <w:rsid w:val="00090ED8"/>
    <w:rsid w:val="0009145F"/>
    <w:rsid w:val="00091B4E"/>
    <w:rsid w:val="00092FE9"/>
    <w:rsid w:val="00093BC1"/>
    <w:rsid w:val="00094342"/>
    <w:rsid w:val="00095954"/>
    <w:rsid w:val="000960BA"/>
    <w:rsid w:val="0009662A"/>
    <w:rsid w:val="00096D65"/>
    <w:rsid w:val="00096DFF"/>
    <w:rsid w:val="000974A2"/>
    <w:rsid w:val="000A0E69"/>
    <w:rsid w:val="000A0FEB"/>
    <w:rsid w:val="000A1A52"/>
    <w:rsid w:val="000A1F98"/>
    <w:rsid w:val="000A3D58"/>
    <w:rsid w:val="000A3F17"/>
    <w:rsid w:val="000A3FDB"/>
    <w:rsid w:val="000A47B0"/>
    <w:rsid w:val="000A49BB"/>
    <w:rsid w:val="000A4F22"/>
    <w:rsid w:val="000A5674"/>
    <w:rsid w:val="000A5A46"/>
    <w:rsid w:val="000A7299"/>
    <w:rsid w:val="000B0262"/>
    <w:rsid w:val="000B0E04"/>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5FD7"/>
    <w:rsid w:val="000C6162"/>
    <w:rsid w:val="000C6688"/>
    <w:rsid w:val="000C7BEB"/>
    <w:rsid w:val="000C7FA9"/>
    <w:rsid w:val="000D0124"/>
    <w:rsid w:val="000D0E40"/>
    <w:rsid w:val="000D11E5"/>
    <w:rsid w:val="000D19E8"/>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1AD5"/>
    <w:rsid w:val="000E20C9"/>
    <w:rsid w:val="000E2785"/>
    <w:rsid w:val="000E27BB"/>
    <w:rsid w:val="000E3153"/>
    <w:rsid w:val="000E386F"/>
    <w:rsid w:val="000E4051"/>
    <w:rsid w:val="000E4765"/>
    <w:rsid w:val="000E5B7E"/>
    <w:rsid w:val="000E5FF9"/>
    <w:rsid w:val="000E6AE1"/>
    <w:rsid w:val="000E7142"/>
    <w:rsid w:val="000E7180"/>
    <w:rsid w:val="000E7632"/>
    <w:rsid w:val="000E7739"/>
    <w:rsid w:val="000E77EE"/>
    <w:rsid w:val="000F2940"/>
    <w:rsid w:val="000F3D08"/>
    <w:rsid w:val="000F4495"/>
    <w:rsid w:val="000F4A05"/>
    <w:rsid w:val="000F505B"/>
    <w:rsid w:val="000F68A0"/>
    <w:rsid w:val="000F6CC2"/>
    <w:rsid w:val="0010065F"/>
    <w:rsid w:val="0010118C"/>
    <w:rsid w:val="0010125E"/>
    <w:rsid w:val="00101967"/>
    <w:rsid w:val="00103EBD"/>
    <w:rsid w:val="001048AB"/>
    <w:rsid w:val="00104E5B"/>
    <w:rsid w:val="00104EEC"/>
    <w:rsid w:val="001050DC"/>
    <w:rsid w:val="00105482"/>
    <w:rsid w:val="001055BB"/>
    <w:rsid w:val="001056A5"/>
    <w:rsid w:val="001057B3"/>
    <w:rsid w:val="00105BA9"/>
    <w:rsid w:val="00106AAA"/>
    <w:rsid w:val="00106BD2"/>
    <w:rsid w:val="00107BBD"/>
    <w:rsid w:val="00107BC7"/>
    <w:rsid w:val="001102B5"/>
    <w:rsid w:val="00111117"/>
    <w:rsid w:val="00111C7D"/>
    <w:rsid w:val="00112038"/>
    <w:rsid w:val="001127FF"/>
    <w:rsid w:val="00112B0B"/>
    <w:rsid w:val="00113123"/>
    <w:rsid w:val="0011383E"/>
    <w:rsid w:val="00113941"/>
    <w:rsid w:val="00114847"/>
    <w:rsid w:val="0011560B"/>
    <w:rsid w:val="0011585B"/>
    <w:rsid w:val="00115B1A"/>
    <w:rsid w:val="001160FF"/>
    <w:rsid w:val="001168F8"/>
    <w:rsid w:val="001176FF"/>
    <w:rsid w:val="00120F18"/>
    <w:rsid w:val="0012159D"/>
    <w:rsid w:val="001231D3"/>
    <w:rsid w:val="001232A7"/>
    <w:rsid w:val="0012419E"/>
    <w:rsid w:val="001248EF"/>
    <w:rsid w:val="00124FC4"/>
    <w:rsid w:val="001253AB"/>
    <w:rsid w:val="0012574C"/>
    <w:rsid w:val="001259B8"/>
    <w:rsid w:val="0012693E"/>
    <w:rsid w:val="001308CC"/>
    <w:rsid w:val="00130B94"/>
    <w:rsid w:val="00131762"/>
    <w:rsid w:val="00131C2D"/>
    <w:rsid w:val="0013202C"/>
    <w:rsid w:val="00132CBF"/>
    <w:rsid w:val="00133742"/>
    <w:rsid w:val="001350F7"/>
    <w:rsid w:val="00135562"/>
    <w:rsid w:val="00135769"/>
    <w:rsid w:val="00135BE9"/>
    <w:rsid w:val="00136762"/>
    <w:rsid w:val="00136E33"/>
    <w:rsid w:val="0013755B"/>
    <w:rsid w:val="0013773D"/>
    <w:rsid w:val="00137A63"/>
    <w:rsid w:val="00140254"/>
    <w:rsid w:val="00140693"/>
    <w:rsid w:val="00140D7A"/>
    <w:rsid w:val="00141DFE"/>
    <w:rsid w:val="00142A51"/>
    <w:rsid w:val="001433BC"/>
    <w:rsid w:val="00144649"/>
    <w:rsid w:val="00145022"/>
    <w:rsid w:val="00145662"/>
    <w:rsid w:val="00145C6D"/>
    <w:rsid w:val="00146151"/>
    <w:rsid w:val="00147032"/>
    <w:rsid w:val="00147EA7"/>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7478"/>
    <w:rsid w:val="00167594"/>
    <w:rsid w:val="001702BE"/>
    <w:rsid w:val="001704B3"/>
    <w:rsid w:val="001704DA"/>
    <w:rsid w:val="0017105C"/>
    <w:rsid w:val="00171622"/>
    <w:rsid w:val="001721CF"/>
    <w:rsid w:val="001728FD"/>
    <w:rsid w:val="00172A27"/>
    <w:rsid w:val="00172F02"/>
    <w:rsid w:val="00173631"/>
    <w:rsid w:val="0017372D"/>
    <w:rsid w:val="00173C58"/>
    <w:rsid w:val="00173E59"/>
    <w:rsid w:val="00174F57"/>
    <w:rsid w:val="00175078"/>
    <w:rsid w:val="001755DC"/>
    <w:rsid w:val="0017693F"/>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9F2"/>
    <w:rsid w:val="0019756A"/>
    <w:rsid w:val="001A07F8"/>
    <w:rsid w:val="001A0864"/>
    <w:rsid w:val="001A0A23"/>
    <w:rsid w:val="001A0A91"/>
    <w:rsid w:val="001A128B"/>
    <w:rsid w:val="001A1F0E"/>
    <w:rsid w:val="001A473A"/>
    <w:rsid w:val="001A4B80"/>
    <w:rsid w:val="001A4ED9"/>
    <w:rsid w:val="001A5785"/>
    <w:rsid w:val="001A5FD7"/>
    <w:rsid w:val="001A66A6"/>
    <w:rsid w:val="001A6BBB"/>
    <w:rsid w:val="001A7855"/>
    <w:rsid w:val="001A79A2"/>
    <w:rsid w:val="001B13BF"/>
    <w:rsid w:val="001B16F5"/>
    <w:rsid w:val="001B1C1F"/>
    <w:rsid w:val="001B219B"/>
    <w:rsid w:val="001B2377"/>
    <w:rsid w:val="001B2703"/>
    <w:rsid w:val="001B3E6D"/>
    <w:rsid w:val="001B46B2"/>
    <w:rsid w:val="001B4725"/>
    <w:rsid w:val="001B48B2"/>
    <w:rsid w:val="001B49DA"/>
    <w:rsid w:val="001B4CA8"/>
    <w:rsid w:val="001B4E53"/>
    <w:rsid w:val="001B572D"/>
    <w:rsid w:val="001B5B10"/>
    <w:rsid w:val="001B5E9A"/>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287"/>
    <w:rsid w:val="001D330D"/>
    <w:rsid w:val="001D4AB6"/>
    <w:rsid w:val="001D4AD3"/>
    <w:rsid w:val="001D7DFE"/>
    <w:rsid w:val="001E10C6"/>
    <w:rsid w:val="001E1713"/>
    <w:rsid w:val="001E17E3"/>
    <w:rsid w:val="001E1FE8"/>
    <w:rsid w:val="001E2052"/>
    <w:rsid w:val="001E257C"/>
    <w:rsid w:val="001E31AF"/>
    <w:rsid w:val="001E35EE"/>
    <w:rsid w:val="001E4B2C"/>
    <w:rsid w:val="001E507F"/>
    <w:rsid w:val="001E59FB"/>
    <w:rsid w:val="001F0FD1"/>
    <w:rsid w:val="001F19D1"/>
    <w:rsid w:val="001F1CB9"/>
    <w:rsid w:val="001F1F18"/>
    <w:rsid w:val="001F2F92"/>
    <w:rsid w:val="001F5DBF"/>
    <w:rsid w:val="001F612E"/>
    <w:rsid w:val="00201B0F"/>
    <w:rsid w:val="00202800"/>
    <w:rsid w:val="00202D33"/>
    <w:rsid w:val="00202E58"/>
    <w:rsid w:val="00202F99"/>
    <w:rsid w:val="00203C85"/>
    <w:rsid w:val="00205112"/>
    <w:rsid w:val="00205298"/>
    <w:rsid w:val="002052DD"/>
    <w:rsid w:val="00205695"/>
    <w:rsid w:val="00205939"/>
    <w:rsid w:val="00205D1C"/>
    <w:rsid w:val="002062B8"/>
    <w:rsid w:val="00206698"/>
    <w:rsid w:val="00206736"/>
    <w:rsid w:val="00206C88"/>
    <w:rsid w:val="002078A3"/>
    <w:rsid w:val="00210744"/>
    <w:rsid w:val="00210B9C"/>
    <w:rsid w:val="002117E5"/>
    <w:rsid w:val="00213D15"/>
    <w:rsid w:val="00214028"/>
    <w:rsid w:val="002141C3"/>
    <w:rsid w:val="002141DC"/>
    <w:rsid w:val="00214479"/>
    <w:rsid w:val="002144F3"/>
    <w:rsid w:val="002146C3"/>
    <w:rsid w:val="00215A2A"/>
    <w:rsid w:val="00215D21"/>
    <w:rsid w:val="00216387"/>
    <w:rsid w:val="002204BC"/>
    <w:rsid w:val="00220F7B"/>
    <w:rsid w:val="002213CE"/>
    <w:rsid w:val="00221AF7"/>
    <w:rsid w:val="00221FFA"/>
    <w:rsid w:val="00222494"/>
    <w:rsid w:val="00222775"/>
    <w:rsid w:val="00222A31"/>
    <w:rsid w:val="00222CF6"/>
    <w:rsid w:val="002244E4"/>
    <w:rsid w:val="00224D2A"/>
    <w:rsid w:val="00224D8D"/>
    <w:rsid w:val="0022555A"/>
    <w:rsid w:val="0023079F"/>
    <w:rsid w:val="00231135"/>
    <w:rsid w:val="00231523"/>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5AF7"/>
    <w:rsid w:val="002560CA"/>
    <w:rsid w:val="0025631F"/>
    <w:rsid w:val="00256986"/>
    <w:rsid w:val="00257246"/>
    <w:rsid w:val="00257438"/>
    <w:rsid w:val="00260FA5"/>
    <w:rsid w:val="00261246"/>
    <w:rsid w:val="0026212A"/>
    <w:rsid w:val="00263044"/>
    <w:rsid w:val="00263759"/>
    <w:rsid w:val="002638BD"/>
    <w:rsid w:val="0026470B"/>
    <w:rsid w:val="0026486D"/>
    <w:rsid w:val="00264C4B"/>
    <w:rsid w:val="00264ED0"/>
    <w:rsid w:val="002660C3"/>
    <w:rsid w:val="00266DE1"/>
    <w:rsid w:val="00267A92"/>
    <w:rsid w:val="00267E43"/>
    <w:rsid w:val="00270282"/>
    <w:rsid w:val="002711EF"/>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623"/>
    <w:rsid w:val="00293D77"/>
    <w:rsid w:val="0029499D"/>
    <w:rsid w:val="00294A13"/>
    <w:rsid w:val="00294B10"/>
    <w:rsid w:val="00294DF9"/>
    <w:rsid w:val="00295073"/>
    <w:rsid w:val="00296C32"/>
    <w:rsid w:val="00296EA3"/>
    <w:rsid w:val="002977CE"/>
    <w:rsid w:val="00297AF5"/>
    <w:rsid w:val="002A02D6"/>
    <w:rsid w:val="002A07C4"/>
    <w:rsid w:val="002A0921"/>
    <w:rsid w:val="002A0CB3"/>
    <w:rsid w:val="002A1887"/>
    <w:rsid w:val="002A2001"/>
    <w:rsid w:val="002A4060"/>
    <w:rsid w:val="002A4A05"/>
    <w:rsid w:val="002A4EB3"/>
    <w:rsid w:val="002A51D9"/>
    <w:rsid w:val="002A572D"/>
    <w:rsid w:val="002A5CAB"/>
    <w:rsid w:val="002A5D1C"/>
    <w:rsid w:val="002A5D40"/>
    <w:rsid w:val="002A64E7"/>
    <w:rsid w:val="002A7ED3"/>
    <w:rsid w:val="002A7FC9"/>
    <w:rsid w:val="002B06C1"/>
    <w:rsid w:val="002B139C"/>
    <w:rsid w:val="002B1881"/>
    <w:rsid w:val="002B1D8A"/>
    <w:rsid w:val="002B1F61"/>
    <w:rsid w:val="002B2906"/>
    <w:rsid w:val="002B34E3"/>
    <w:rsid w:val="002B419E"/>
    <w:rsid w:val="002B5AEE"/>
    <w:rsid w:val="002B6177"/>
    <w:rsid w:val="002B650C"/>
    <w:rsid w:val="002B68E6"/>
    <w:rsid w:val="002B6985"/>
    <w:rsid w:val="002C0301"/>
    <w:rsid w:val="002C0326"/>
    <w:rsid w:val="002C0A9F"/>
    <w:rsid w:val="002C1AB3"/>
    <w:rsid w:val="002C1BB7"/>
    <w:rsid w:val="002C2665"/>
    <w:rsid w:val="002C28E1"/>
    <w:rsid w:val="002C327D"/>
    <w:rsid w:val="002C3890"/>
    <w:rsid w:val="002C3AD9"/>
    <w:rsid w:val="002C3D8A"/>
    <w:rsid w:val="002C45C3"/>
    <w:rsid w:val="002C483B"/>
    <w:rsid w:val="002C643D"/>
    <w:rsid w:val="002C6CCA"/>
    <w:rsid w:val="002C70E7"/>
    <w:rsid w:val="002D0E88"/>
    <w:rsid w:val="002D1593"/>
    <w:rsid w:val="002D1942"/>
    <w:rsid w:val="002D22A6"/>
    <w:rsid w:val="002D2819"/>
    <w:rsid w:val="002D2CD6"/>
    <w:rsid w:val="002D2F81"/>
    <w:rsid w:val="002D38A3"/>
    <w:rsid w:val="002D3BA3"/>
    <w:rsid w:val="002D4892"/>
    <w:rsid w:val="002D4D06"/>
    <w:rsid w:val="002D4EE7"/>
    <w:rsid w:val="002D4EED"/>
    <w:rsid w:val="002D58A2"/>
    <w:rsid w:val="002D65AD"/>
    <w:rsid w:val="002D6782"/>
    <w:rsid w:val="002D74A4"/>
    <w:rsid w:val="002D74F4"/>
    <w:rsid w:val="002D7B50"/>
    <w:rsid w:val="002D7DB2"/>
    <w:rsid w:val="002D7EA8"/>
    <w:rsid w:val="002E00E1"/>
    <w:rsid w:val="002E03AE"/>
    <w:rsid w:val="002E0542"/>
    <w:rsid w:val="002E05F2"/>
    <w:rsid w:val="002E0E87"/>
    <w:rsid w:val="002E0F36"/>
    <w:rsid w:val="002E13CF"/>
    <w:rsid w:val="002E1FA9"/>
    <w:rsid w:val="002E201C"/>
    <w:rsid w:val="002E236F"/>
    <w:rsid w:val="002E3956"/>
    <w:rsid w:val="002E469E"/>
    <w:rsid w:val="002E4C01"/>
    <w:rsid w:val="002E4D50"/>
    <w:rsid w:val="002E55FF"/>
    <w:rsid w:val="002E587E"/>
    <w:rsid w:val="002E5DE8"/>
    <w:rsid w:val="002E672A"/>
    <w:rsid w:val="002E6853"/>
    <w:rsid w:val="002E7851"/>
    <w:rsid w:val="002E7EC1"/>
    <w:rsid w:val="002E7EE5"/>
    <w:rsid w:val="002F0323"/>
    <w:rsid w:val="002F134F"/>
    <w:rsid w:val="002F1D0B"/>
    <w:rsid w:val="002F1F02"/>
    <w:rsid w:val="002F27E5"/>
    <w:rsid w:val="002F2D81"/>
    <w:rsid w:val="002F43E5"/>
    <w:rsid w:val="002F4909"/>
    <w:rsid w:val="002F4BA9"/>
    <w:rsid w:val="002F541B"/>
    <w:rsid w:val="002F5BFE"/>
    <w:rsid w:val="002F6EFF"/>
    <w:rsid w:val="002F7DF0"/>
    <w:rsid w:val="002F7FAF"/>
    <w:rsid w:val="00301D64"/>
    <w:rsid w:val="00303AB6"/>
    <w:rsid w:val="00304640"/>
    <w:rsid w:val="00304AC1"/>
    <w:rsid w:val="00305090"/>
    <w:rsid w:val="003050C1"/>
    <w:rsid w:val="00305454"/>
    <w:rsid w:val="00305B9F"/>
    <w:rsid w:val="00305E21"/>
    <w:rsid w:val="003066C6"/>
    <w:rsid w:val="003066FA"/>
    <w:rsid w:val="00306AD6"/>
    <w:rsid w:val="00307DC7"/>
    <w:rsid w:val="00310EDB"/>
    <w:rsid w:val="0031117E"/>
    <w:rsid w:val="00312DFC"/>
    <w:rsid w:val="0031318C"/>
    <w:rsid w:val="0031327E"/>
    <w:rsid w:val="003133DF"/>
    <w:rsid w:val="00313C9D"/>
    <w:rsid w:val="00313E7B"/>
    <w:rsid w:val="0031430C"/>
    <w:rsid w:val="00314C5A"/>
    <w:rsid w:val="0031531A"/>
    <w:rsid w:val="00315394"/>
    <w:rsid w:val="003156D4"/>
    <w:rsid w:val="00315D77"/>
    <w:rsid w:val="003165B1"/>
    <w:rsid w:val="00316A70"/>
    <w:rsid w:val="00316CDE"/>
    <w:rsid w:val="0031752D"/>
    <w:rsid w:val="00320688"/>
    <w:rsid w:val="00320B52"/>
    <w:rsid w:val="0032226D"/>
    <w:rsid w:val="003249F6"/>
    <w:rsid w:val="00324B2F"/>
    <w:rsid w:val="003251B3"/>
    <w:rsid w:val="0032576A"/>
    <w:rsid w:val="00325FCC"/>
    <w:rsid w:val="00326106"/>
    <w:rsid w:val="00326144"/>
    <w:rsid w:val="00326805"/>
    <w:rsid w:val="003269B7"/>
    <w:rsid w:val="00326C0E"/>
    <w:rsid w:val="003272A3"/>
    <w:rsid w:val="003272E4"/>
    <w:rsid w:val="00327B71"/>
    <w:rsid w:val="00331461"/>
    <w:rsid w:val="003316A8"/>
    <w:rsid w:val="00331CC9"/>
    <w:rsid w:val="003320D7"/>
    <w:rsid w:val="00332433"/>
    <w:rsid w:val="00332D52"/>
    <w:rsid w:val="00333337"/>
    <w:rsid w:val="00333A28"/>
    <w:rsid w:val="003360AD"/>
    <w:rsid w:val="0033617A"/>
    <w:rsid w:val="0033631D"/>
    <w:rsid w:val="00337409"/>
    <w:rsid w:val="003405AF"/>
    <w:rsid w:val="0034088F"/>
    <w:rsid w:val="00340A50"/>
    <w:rsid w:val="00340B3E"/>
    <w:rsid w:val="003413D2"/>
    <w:rsid w:val="003422B5"/>
    <w:rsid w:val="003426D7"/>
    <w:rsid w:val="00342857"/>
    <w:rsid w:val="00342E4F"/>
    <w:rsid w:val="00344BBF"/>
    <w:rsid w:val="0034509B"/>
    <w:rsid w:val="00345644"/>
    <w:rsid w:val="00345D7A"/>
    <w:rsid w:val="0034607E"/>
    <w:rsid w:val="00346A23"/>
    <w:rsid w:val="00346B6D"/>
    <w:rsid w:val="00346BA3"/>
    <w:rsid w:val="00347356"/>
    <w:rsid w:val="00350896"/>
    <w:rsid w:val="00350C31"/>
    <w:rsid w:val="00351457"/>
    <w:rsid w:val="003519CD"/>
    <w:rsid w:val="00351A3A"/>
    <w:rsid w:val="0035455F"/>
    <w:rsid w:val="003545E9"/>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9D3"/>
    <w:rsid w:val="00367A87"/>
    <w:rsid w:val="00367EE7"/>
    <w:rsid w:val="003705EA"/>
    <w:rsid w:val="00370A56"/>
    <w:rsid w:val="0037175D"/>
    <w:rsid w:val="0037223C"/>
    <w:rsid w:val="00372842"/>
    <w:rsid w:val="003729A5"/>
    <w:rsid w:val="00372C89"/>
    <w:rsid w:val="00372E9A"/>
    <w:rsid w:val="003735B9"/>
    <w:rsid w:val="00374259"/>
    <w:rsid w:val="00374677"/>
    <w:rsid w:val="00375850"/>
    <w:rsid w:val="0037632F"/>
    <w:rsid w:val="00377B26"/>
    <w:rsid w:val="00377B46"/>
    <w:rsid w:val="00377F5E"/>
    <w:rsid w:val="00381014"/>
    <w:rsid w:val="003811A8"/>
    <w:rsid w:val="00381604"/>
    <w:rsid w:val="00381C68"/>
    <w:rsid w:val="00381F60"/>
    <w:rsid w:val="00383AB0"/>
    <w:rsid w:val="0038437A"/>
    <w:rsid w:val="003847BB"/>
    <w:rsid w:val="00384814"/>
    <w:rsid w:val="00384C0A"/>
    <w:rsid w:val="00384F29"/>
    <w:rsid w:val="003859BE"/>
    <w:rsid w:val="00385B16"/>
    <w:rsid w:val="00385B96"/>
    <w:rsid w:val="00386134"/>
    <w:rsid w:val="0038637D"/>
    <w:rsid w:val="00386C07"/>
    <w:rsid w:val="00386F58"/>
    <w:rsid w:val="0038700D"/>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48A"/>
    <w:rsid w:val="00396831"/>
    <w:rsid w:val="00396972"/>
    <w:rsid w:val="003971A1"/>
    <w:rsid w:val="003A12B6"/>
    <w:rsid w:val="003A20D5"/>
    <w:rsid w:val="003A24CC"/>
    <w:rsid w:val="003A2EE8"/>
    <w:rsid w:val="003A373C"/>
    <w:rsid w:val="003A5378"/>
    <w:rsid w:val="003A6008"/>
    <w:rsid w:val="003A6B8F"/>
    <w:rsid w:val="003A703F"/>
    <w:rsid w:val="003A783B"/>
    <w:rsid w:val="003A7E2B"/>
    <w:rsid w:val="003A7E40"/>
    <w:rsid w:val="003B0046"/>
    <w:rsid w:val="003B0336"/>
    <w:rsid w:val="003B0A3A"/>
    <w:rsid w:val="003B0D79"/>
    <w:rsid w:val="003B15FE"/>
    <w:rsid w:val="003B2930"/>
    <w:rsid w:val="003B31A7"/>
    <w:rsid w:val="003B367F"/>
    <w:rsid w:val="003B430E"/>
    <w:rsid w:val="003B47DE"/>
    <w:rsid w:val="003B4B51"/>
    <w:rsid w:val="003B514E"/>
    <w:rsid w:val="003B636A"/>
    <w:rsid w:val="003B69CE"/>
    <w:rsid w:val="003C011C"/>
    <w:rsid w:val="003C0330"/>
    <w:rsid w:val="003C0B60"/>
    <w:rsid w:val="003C151C"/>
    <w:rsid w:val="003C1B97"/>
    <w:rsid w:val="003C3292"/>
    <w:rsid w:val="003C3C1E"/>
    <w:rsid w:val="003C4134"/>
    <w:rsid w:val="003C435B"/>
    <w:rsid w:val="003C48B4"/>
    <w:rsid w:val="003C4EBE"/>
    <w:rsid w:val="003C62EC"/>
    <w:rsid w:val="003C685A"/>
    <w:rsid w:val="003C6E9C"/>
    <w:rsid w:val="003C7393"/>
    <w:rsid w:val="003C746F"/>
    <w:rsid w:val="003C76E6"/>
    <w:rsid w:val="003C7F12"/>
    <w:rsid w:val="003D03D6"/>
    <w:rsid w:val="003D14C8"/>
    <w:rsid w:val="003D1517"/>
    <w:rsid w:val="003D2DA0"/>
    <w:rsid w:val="003D34C3"/>
    <w:rsid w:val="003D3D83"/>
    <w:rsid w:val="003D4685"/>
    <w:rsid w:val="003D4A41"/>
    <w:rsid w:val="003D5ADB"/>
    <w:rsid w:val="003D646C"/>
    <w:rsid w:val="003D663E"/>
    <w:rsid w:val="003D6793"/>
    <w:rsid w:val="003D6B03"/>
    <w:rsid w:val="003D75D8"/>
    <w:rsid w:val="003E006E"/>
    <w:rsid w:val="003E0E96"/>
    <w:rsid w:val="003E20F7"/>
    <w:rsid w:val="003E336A"/>
    <w:rsid w:val="003E4048"/>
    <w:rsid w:val="003E412B"/>
    <w:rsid w:val="003E60DA"/>
    <w:rsid w:val="003E616A"/>
    <w:rsid w:val="003E6E00"/>
    <w:rsid w:val="003E7111"/>
    <w:rsid w:val="003E7940"/>
    <w:rsid w:val="003F01BD"/>
    <w:rsid w:val="003F0486"/>
    <w:rsid w:val="003F048E"/>
    <w:rsid w:val="003F0AFF"/>
    <w:rsid w:val="003F26DC"/>
    <w:rsid w:val="003F3EFD"/>
    <w:rsid w:val="003F42FF"/>
    <w:rsid w:val="003F4B48"/>
    <w:rsid w:val="003F4DDC"/>
    <w:rsid w:val="003F56B8"/>
    <w:rsid w:val="003F6327"/>
    <w:rsid w:val="003F765B"/>
    <w:rsid w:val="003F7CB8"/>
    <w:rsid w:val="00400CB4"/>
    <w:rsid w:val="00401386"/>
    <w:rsid w:val="004013E6"/>
    <w:rsid w:val="0040188F"/>
    <w:rsid w:val="00401E31"/>
    <w:rsid w:val="00402BBA"/>
    <w:rsid w:val="004035D0"/>
    <w:rsid w:val="00403795"/>
    <w:rsid w:val="004041FB"/>
    <w:rsid w:val="004056B6"/>
    <w:rsid w:val="00405764"/>
    <w:rsid w:val="00405918"/>
    <w:rsid w:val="00405D4E"/>
    <w:rsid w:val="00406745"/>
    <w:rsid w:val="0040674B"/>
    <w:rsid w:val="00406B32"/>
    <w:rsid w:val="004074FA"/>
    <w:rsid w:val="00407A56"/>
    <w:rsid w:val="00407FCC"/>
    <w:rsid w:val="0041035A"/>
    <w:rsid w:val="004112D1"/>
    <w:rsid w:val="004113C9"/>
    <w:rsid w:val="004120DF"/>
    <w:rsid w:val="00413CB7"/>
    <w:rsid w:val="004145C8"/>
    <w:rsid w:val="00414909"/>
    <w:rsid w:val="00415034"/>
    <w:rsid w:val="004158D0"/>
    <w:rsid w:val="004159A8"/>
    <w:rsid w:val="00415B1A"/>
    <w:rsid w:val="0041690F"/>
    <w:rsid w:val="00416D41"/>
    <w:rsid w:val="00417264"/>
    <w:rsid w:val="004173FB"/>
    <w:rsid w:val="004210C0"/>
    <w:rsid w:val="004211DD"/>
    <w:rsid w:val="00421762"/>
    <w:rsid w:val="00421D4B"/>
    <w:rsid w:val="00421ED8"/>
    <w:rsid w:val="00422907"/>
    <w:rsid w:val="00423125"/>
    <w:rsid w:val="00423309"/>
    <w:rsid w:val="004233AD"/>
    <w:rsid w:val="00424446"/>
    <w:rsid w:val="004246A5"/>
    <w:rsid w:val="00425341"/>
    <w:rsid w:val="00425D8C"/>
    <w:rsid w:val="00426B2C"/>
    <w:rsid w:val="0042784A"/>
    <w:rsid w:val="00427FA8"/>
    <w:rsid w:val="0043026B"/>
    <w:rsid w:val="00430338"/>
    <w:rsid w:val="004306D4"/>
    <w:rsid w:val="00432099"/>
    <w:rsid w:val="00432ECA"/>
    <w:rsid w:val="0043554E"/>
    <w:rsid w:val="004355D4"/>
    <w:rsid w:val="004357B1"/>
    <w:rsid w:val="00435821"/>
    <w:rsid w:val="0043583E"/>
    <w:rsid w:val="00436CCE"/>
    <w:rsid w:val="00436D1D"/>
    <w:rsid w:val="00436EAD"/>
    <w:rsid w:val="004375E1"/>
    <w:rsid w:val="00437A2F"/>
    <w:rsid w:val="00440262"/>
    <w:rsid w:val="004406BF"/>
    <w:rsid w:val="00440814"/>
    <w:rsid w:val="00442731"/>
    <w:rsid w:val="00442C12"/>
    <w:rsid w:val="004434DF"/>
    <w:rsid w:val="00445874"/>
    <w:rsid w:val="00445C38"/>
    <w:rsid w:val="004475F7"/>
    <w:rsid w:val="004502AC"/>
    <w:rsid w:val="0045057B"/>
    <w:rsid w:val="0045069B"/>
    <w:rsid w:val="00450B22"/>
    <w:rsid w:val="00451709"/>
    <w:rsid w:val="00451A02"/>
    <w:rsid w:val="00451DB3"/>
    <w:rsid w:val="0045273A"/>
    <w:rsid w:val="0045277C"/>
    <w:rsid w:val="004543AB"/>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C3F"/>
    <w:rsid w:val="00465A21"/>
    <w:rsid w:val="00465DE5"/>
    <w:rsid w:val="0046680A"/>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AB"/>
    <w:rsid w:val="004764C6"/>
    <w:rsid w:val="00476C2D"/>
    <w:rsid w:val="00476F97"/>
    <w:rsid w:val="00477247"/>
    <w:rsid w:val="004776BB"/>
    <w:rsid w:val="00480067"/>
    <w:rsid w:val="0048055E"/>
    <w:rsid w:val="00480C2B"/>
    <w:rsid w:val="00480DC5"/>
    <w:rsid w:val="004824A9"/>
    <w:rsid w:val="00483140"/>
    <w:rsid w:val="00483984"/>
    <w:rsid w:val="00483BC7"/>
    <w:rsid w:val="00483CF0"/>
    <w:rsid w:val="00484D4D"/>
    <w:rsid w:val="0048664F"/>
    <w:rsid w:val="004868AD"/>
    <w:rsid w:val="00486D00"/>
    <w:rsid w:val="00487173"/>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19D"/>
    <w:rsid w:val="004A1E2C"/>
    <w:rsid w:val="004A1EA7"/>
    <w:rsid w:val="004A2EF8"/>
    <w:rsid w:val="004A3A21"/>
    <w:rsid w:val="004A3BC2"/>
    <w:rsid w:val="004A47DE"/>
    <w:rsid w:val="004A4E3B"/>
    <w:rsid w:val="004A5C97"/>
    <w:rsid w:val="004A64D6"/>
    <w:rsid w:val="004A64F9"/>
    <w:rsid w:val="004A71C7"/>
    <w:rsid w:val="004B026C"/>
    <w:rsid w:val="004B0271"/>
    <w:rsid w:val="004B0BE8"/>
    <w:rsid w:val="004B0E4A"/>
    <w:rsid w:val="004B1679"/>
    <w:rsid w:val="004B18F4"/>
    <w:rsid w:val="004B1A98"/>
    <w:rsid w:val="004B2463"/>
    <w:rsid w:val="004B3012"/>
    <w:rsid w:val="004B305F"/>
    <w:rsid w:val="004B34C4"/>
    <w:rsid w:val="004B34E8"/>
    <w:rsid w:val="004B3981"/>
    <w:rsid w:val="004B3A03"/>
    <w:rsid w:val="004B419F"/>
    <w:rsid w:val="004B4EA9"/>
    <w:rsid w:val="004B673A"/>
    <w:rsid w:val="004B69CE"/>
    <w:rsid w:val="004B6E50"/>
    <w:rsid w:val="004B7317"/>
    <w:rsid w:val="004B75B2"/>
    <w:rsid w:val="004C0B22"/>
    <w:rsid w:val="004C0BF0"/>
    <w:rsid w:val="004C0D40"/>
    <w:rsid w:val="004C114F"/>
    <w:rsid w:val="004C11A9"/>
    <w:rsid w:val="004C1D6F"/>
    <w:rsid w:val="004C27CF"/>
    <w:rsid w:val="004C2CA7"/>
    <w:rsid w:val="004C4248"/>
    <w:rsid w:val="004C45C8"/>
    <w:rsid w:val="004C5F4B"/>
    <w:rsid w:val="004C612E"/>
    <w:rsid w:val="004C61B8"/>
    <w:rsid w:val="004C6C0A"/>
    <w:rsid w:val="004C6C6D"/>
    <w:rsid w:val="004C77FF"/>
    <w:rsid w:val="004C7DB0"/>
    <w:rsid w:val="004D0223"/>
    <w:rsid w:val="004D0762"/>
    <w:rsid w:val="004D16A3"/>
    <w:rsid w:val="004D1934"/>
    <w:rsid w:val="004D1E41"/>
    <w:rsid w:val="004D2326"/>
    <w:rsid w:val="004D2E11"/>
    <w:rsid w:val="004D329C"/>
    <w:rsid w:val="004D34D1"/>
    <w:rsid w:val="004D3EC5"/>
    <w:rsid w:val="004D4523"/>
    <w:rsid w:val="004D51D6"/>
    <w:rsid w:val="004D6F29"/>
    <w:rsid w:val="004D700B"/>
    <w:rsid w:val="004D7BF5"/>
    <w:rsid w:val="004D7F9C"/>
    <w:rsid w:val="004E03F4"/>
    <w:rsid w:val="004E0449"/>
    <w:rsid w:val="004E068F"/>
    <w:rsid w:val="004E09CF"/>
    <w:rsid w:val="004E0B75"/>
    <w:rsid w:val="004E1D6F"/>
    <w:rsid w:val="004E2393"/>
    <w:rsid w:val="004E3117"/>
    <w:rsid w:val="004E3A2A"/>
    <w:rsid w:val="004E3AB1"/>
    <w:rsid w:val="004E4003"/>
    <w:rsid w:val="004E4626"/>
    <w:rsid w:val="004E4E79"/>
    <w:rsid w:val="004E5380"/>
    <w:rsid w:val="004E5ACB"/>
    <w:rsid w:val="004E6746"/>
    <w:rsid w:val="004E6CAC"/>
    <w:rsid w:val="004E75C1"/>
    <w:rsid w:val="004E777F"/>
    <w:rsid w:val="004E7E60"/>
    <w:rsid w:val="004F0610"/>
    <w:rsid w:val="004F07F2"/>
    <w:rsid w:val="004F07F9"/>
    <w:rsid w:val="004F0E82"/>
    <w:rsid w:val="004F1523"/>
    <w:rsid w:val="004F1847"/>
    <w:rsid w:val="004F1F9E"/>
    <w:rsid w:val="004F2CB6"/>
    <w:rsid w:val="004F2E6E"/>
    <w:rsid w:val="004F3015"/>
    <w:rsid w:val="004F30E2"/>
    <w:rsid w:val="004F313F"/>
    <w:rsid w:val="004F3EEF"/>
    <w:rsid w:val="004F43A7"/>
    <w:rsid w:val="004F447B"/>
    <w:rsid w:val="004F497C"/>
    <w:rsid w:val="004F4FE8"/>
    <w:rsid w:val="004F531B"/>
    <w:rsid w:val="004F560C"/>
    <w:rsid w:val="004F5DBB"/>
    <w:rsid w:val="004F61A3"/>
    <w:rsid w:val="004F6874"/>
    <w:rsid w:val="004F7922"/>
    <w:rsid w:val="004F7A1F"/>
    <w:rsid w:val="004F7B47"/>
    <w:rsid w:val="0050079C"/>
    <w:rsid w:val="0050106A"/>
    <w:rsid w:val="005010BC"/>
    <w:rsid w:val="0050537D"/>
    <w:rsid w:val="005060AE"/>
    <w:rsid w:val="005062AE"/>
    <w:rsid w:val="00506690"/>
    <w:rsid w:val="005068C4"/>
    <w:rsid w:val="0050790B"/>
    <w:rsid w:val="0051037C"/>
    <w:rsid w:val="0051050F"/>
    <w:rsid w:val="0051056B"/>
    <w:rsid w:val="00510DDC"/>
    <w:rsid w:val="005131A2"/>
    <w:rsid w:val="00513BB9"/>
    <w:rsid w:val="0051440E"/>
    <w:rsid w:val="00514B53"/>
    <w:rsid w:val="00515061"/>
    <w:rsid w:val="00515502"/>
    <w:rsid w:val="00515973"/>
    <w:rsid w:val="00517AC8"/>
    <w:rsid w:val="00517C3E"/>
    <w:rsid w:val="00520C63"/>
    <w:rsid w:val="00520E31"/>
    <w:rsid w:val="005212F4"/>
    <w:rsid w:val="00521908"/>
    <w:rsid w:val="0052397A"/>
    <w:rsid w:val="00524138"/>
    <w:rsid w:val="00524154"/>
    <w:rsid w:val="005256D6"/>
    <w:rsid w:val="00525AD8"/>
    <w:rsid w:val="00526429"/>
    <w:rsid w:val="005266C1"/>
    <w:rsid w:val="005267F4"/>
    <w:rsid w:val="005268C4"/>
    <w:rsid w:val="00527317"/>
    <w:rsid w:val="00527ED6"/>
    <w:rsid w:val="00527F6A"/>
    <w:rsid w:val="00530ED8"/>
    <w:rsid w:val="00531064"/>
    <w:rsid w:val="00531E92"/>
    <w:rsid w:val="005322F1"/>
    <w:rsid w:val="005324D7"/>
    <w:rsid w:val="005335A2"/>
    <w:rsid w:val="00533D52"/>
    <w:rsid w:val="00533DEC"/>
    <w:rsid w:val="0053618A"/>
    <w:rsid w:val="005362D2"/>
    <w:rsid w:val="00536B03"/>
    <w:rsid w:val="00537456"/>
    <w:rsid w:val="005405B2"/>
    <w:rsid w:val="0054076A"/>
    <w:rsid w:val="00540D47"/>
    <w:rsid w:val="00540EE7"/>
    <w:rsid w:val="00541A22"/>
    <w:rsid w:val="00541EAD"/>
    <w:rsid w:val="005424C2"/>
    <w:rsid w:val="005426B2"/>
    <w:rsid w:val="00543519"/>
    <w:rsid w:val="00543640"/>
    <w:rsid w:val="005444C6"/>
    <w:rsid w:val="00544BF9"/>
    <w:rsid w:val="00544F05"/>
    <w:rsid w:val="005454B8"/>
    <w:rsid w:val="00545ACB"/>
    <w:rsid w:val="00545B81"/>
    <w:rsid w:val="00545DB9"/>
    <w:rsid w:val="00546BF8"/>
    <w:rsid w:val="00547BA2"/>
    <w:rsid w:val="00550AC5"/>
    <w:rsid w:val="00550B7E"/>
    <w:rsid w:val="00551052"/>
    <w:rsid w:val="005524ED"/>
    <w:rsid w:val="00553948"/>
    <w:rsid w:val="00554C03"/>
    <w:rsid w:val="00554C58"/>
    <w:rsid w:val="005550F9"/>
    <w:rsid w:val="00556338"/>
    <w:rsid w:val="00556441"/>
    <w:rsid w:val="00557031"/>
    <w:rsid w:val="00557C4C"/>
    <w:rsid w:val="00557DC7"/>
    <w:rsid w:val="00560FCB"/>
    <w:rsid w:val="00561055"/>
    <w:rsid w:val="0056111C"/>
    <w:rsid w:val="00561140"/>
    <w:rsid w:val="00561412"/>
    <w:rsid w:val="00561903"/>
    <w:rsid w:val="00561A9B"/>
    <w:rsid w:val="00561E54"/>
    <w:rsid w:val="00562FB1"/>
    <w:rsid w:val="00563068"/>
    <w:rsid w:val="0056376A"/>
    <w:rsid w:val="00563B3C"/>
    <w:rsid w:val="005646DD"/>
    <w:rsid w:val="00564DA7"/>
    <w:rsid w:val="00565204"/>
    <w:rsid w:val="00565473"/>
    <w:rsid w:val="0056552E"/>
    <w:rsid w:val="005658F3"/>
    <w:rsid w:val="00565DAC"/>
    <w:rsid w:val="00565F0D"/>
    <w:rsid w:val="005662DC"/>
    <w:rsid w:val="00566329"/>
    <w:rsid w:val="00567623"/>
    <w:rsid w:val="00567FBF"/>
    <w:rsid w:val="005701C2"/>
    <w:rsid w:val="00573560"/>
    <w:rsid w:val="00574E7B"/>
    <w:rsid w:val="00576B5C"/>
    <w:rsid w:val="00577540"/>
    <w:rsid w:val="005802F9"/>
    <w:rsid w:val="00580456"/>
    <w:rsid w:val="00580DFC"/>
    <w:rsid w:val="005827A7"/>
    <w:rsid w:val="00583D43"/>
    <w:rsid w:val="005846C3"/>
    <w:rsid w:val="00584F04"/>
    <w:rsid w:val="00585623"/>
    <w:rsid w:val="005857F7"/>
    <w:rsid w:val="00585896"/>
    <w:rsid w:val="0058635A"/>
    <w:rsid w:val="00587D7B"/>
    <w:rsid w:val="005904DB"/>
    <w:rsid w:val="00591421"/>
    <w:rsid w:val="00592825"/>
    <w:rsid w:val="00593D6D"/>
    <w:rsid w:val="00594437"/>
    <w:rsid w:val="00594B70"/>
    <w:rsid w:val="00596CFA"/>
    <w:rsid w:val="005975CE"/>
    <w:rsid w:val="005A0088"/>
    <w:rsid w:val="005A04F6"/>
    <w:rsid w:val="005A0A91"/>
    <w:rsid w:val="005A14F0"/>
    <w:rsid w:val="005A1726"/>
    <w:rsid w:val="005A1861"/>
    <w:rsid w:val="005A1A31"/>
    <w:rsid w:val="005A361D"/>
    <w:rsid w:val="005A36C2"/>
    <w:rsid w:val="005A3719"/>
    <w:rsid w:val="005A3A2F"/>
    <w:rsid w:val="005A3D7F"/>
    <w:rsid w:val="005A3DD7"/>
    <w:rsid w:val="005A4C20"/>
    <w:rsid w:val="005A4F48"/>
    <w:rsid w:val="005A54F1"/>
    <w:rsid w:val="005A5DDE"/>
    <w:rsid w:val="005A64A8"/>
    <w:rsid w:val="005A65C5"/>
    <w:rsid w:val="005A6875"/>
    <w:rsid w:val="005A6C51"/>
    <w:rsid w:val="005A7A32"/>
    <w:rsid w:val="005A7F85"/>
    <w:rsid w:val="005B00DD"/>
    <w:rsid w:val="005B07D5"/>
    <w:rsid w:val="005B1AAB"/>
    <w:rsid w:val="005B2930"/>
    <w:rsid w:val="005B2B87"/>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B8F"/>
    <w:rsid w:val="005C194E"/>
    <w:rsid w:val="005C1DB1"/>
    <w:rsid w:val="005C226F"/>
    <w:rsid w:val="005C2294"/>
    <w:rsid w:val="005C3344"/>
    <w:rsid w:val="005C367B"/>
    <w:rsid w:val="005C4E4D"/>
    <w:rsid w:val="005C4F67"/>
    <w:rsid w:val="005C58F2"/>
    <w:rsid w:val="005C5A97"/>
    <w:rsid w:val="005C6230"/>
    <w:rsid w:val="005C6D5D"/>
    <w:rsid w:val="005C6FD0"/>
    <w:rsid w:val="005D01C3"/>
    <w:rsid w:val="005D05FF"/>
    <w:rsid w:val="005D0FB4"/>
    <w:rsid w:val="005D1176"/>
    <w:rsid w:val="005D1747"/>
    <w:rsid w:val="005D266D"/>
    <w:rsid w:val="005D2A72"/>
    <w:rsid w:val="005D2BD7"/>
    <w:rsid w:val="005D306D"/>
    <w:rsid w:val="005D3327"/>
    <w:rsid w:val="005D5BCF"/>
    <w:rsid w:val="005D6D84"/>
    <w:rsid w:val="005D70A1"/>
    <w:rsid w:val="005D79F2"/>
    <w:rsid w:val="005D7D14"/>
    <w:rsid w:val="005E0141"/>
    <w:rsid w:val="005E09CA"/>
    <w:rsid w:val="005E1AB4"/>
    <w:rsid w:val="005E1F48"/>
    <w:rsid w:val="005E30BB"/>
    <w:rsid w:val="005E4543"/>
    <w:rsid w:val="005E56C9"/>
    <w:rsid w:val="005E5CF7"/>
    <w:rsid w:val="005E6009"/>
    <w:rsid w:val="005E642A"/>
    <w:rsid w:val="005E721E"/>
    <w:rsid w:val="005E72E7"/>
    <w:rsid w:val="005F0857"/>
    <w:rsid w:val="005F15A9"/>
    <w:rsid w:val="005F1C2F"/>
    <w:rsid w:val="005F2CD5"/>
    <w:rsid w:val="005F3720"/>
    <w:rsid w:val="005F49E1"/>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42CD"/>
    <w:rsid w:val="00605217"/>
    <w:rsid w:val="0060533A"/>
    <w:rsid w:val="006054A5"/>
    <w:rsid w:val="006059E4"/>
    <w:rsid w:val="006062A0"/>
    <w:rsid w:val="00606EDF"/>
    <w:rsid w:val="00610097"/>
    <w:rsid w:val="0061098D"/>
    <w:rsid w:val="00611B59"/>
    <w:rsid w:val="00611FBA"/>
    <w:rsid w:val="0061272A"/>
    <w:rsid w:val="00613AA2"/>
    <w:rsid w:val="00613E58"/>
    <w:rsid w:val="00614134"/>
    <w:rsid w:val="006155F1"/>
    <w:rsid w:val="00615846"/>
    <w:rsid w:val="006160F0"/>
    <w:rsid w:val="0061623D"/>
    <w:rsid w:val="0061624B"/>
    <w:rsid w:val="00616C1E"/>
    <w:rsid w:val="006172C8"/>
    <w:rsid w:val="00617501"/>
    <w:rsid w:val="00617EFC"/>
    <w:rsid w:val="00620055"/>
    <w:rsid w:val="006204B3"/>
    <w:rsid w:val="006212D3"/>
    <w:rsid w:val="00623571"/>
    <w:rsid w:val="00623A5E"/>
    <w:rsid w:val="00623CA9"/>
    <w:rsid w:val="00625008"/>
    <w:rsid w:val="0062626B"/>
    <w:rsid w:val="00626930"/>
    <w:rsid w:val="00626952"/>
    <w:rsid w:val="00626BAC"/>
    <w:rsid w:val="006271C3"/>
    <w:rsid w:val="00627B14"/>
    <w:rsid w:val="0063001E"/>
    <w:rsid w:val="00630023"/>
    <w:rsid w:val="00630C70"/>
    <w:rsid w:val="00630D67"/>
    <w:rsid w:val="00631005"/>
    <w:rsid w:val="00632727"/>
    <w:rsid w:val="00633769"/>
    <w:rsid w:val="00633924"/>
    <w:rsid w:val="00633E8B"/>
    <w:rsid w:val="00633FE3"/>
    <w:rsid w:val="00634570"/>
    <w:rsid w:val="0063487C"/>
    <w:rsid w:val="00635B73"/>
    <w:rsid w:val="00635BB7"/>
    <w:rsid w:val="006363D8"/>
    <w:rsid w:val="00636CC7"/>
    <w:rsid w:val="00637833"/>
    <w:rsid w:val="00637F27"/>
    <w:rsid w:val="00640D22"/>
    <w:rsid w:val="00641863"/>
    <w:rsid w:val="00641A84"/>
    <w:rsid w:val="00641DA1"/>
    <w:rsid w:val="00641E5B"/>
    <w:rsid w:val="00642784"/>
    <w:rsid w:val="00643F89"/>
    <w:rsid w:val="00644BED"/>
    <w:rsid w:val="00644E2E"/>
    <w:rsid w:val="00645B87"/>
    <w:rsid w:val="00645C87"/>
    <w:rsid w:val="00645CB4"/>
    <w:rsid w:val="00646084"/>
    <w:rsid w:val="0064650B"/>
    <w:rsid w:val="00646D7F"/>
    <w:rsid w:val="00647664"/>
    <w:rsid w:val="00647700"/>
    <w:rsid w:val="00652CF5"/>
    <w:rsid w:val="0065343E"/>
    <w:rsid w:val="0065398F"/>
    <w:rsid w:val="00653C7C"/>
    <w:rsid w:val="00654252"/>
    <w:rsid w:val="006543B7"/>
    <w:rsid w:val="00654EA5"/>
    <w:rsid w:val="0065587E"/>
    <w:rsid w:val="006558CD"/>
    <w:rsid w:val="00655C26"/>
    <w:rsid w:val="0065637A"/>
    <w:rsid w:val="00656998"/>
    <w:rsid w:val="00656A5C"/>
    <w:rsid w:val="00656DDD"/>
    <w:rsid w:val="00656E4D"/>
    <w:rsid w:val="00656FE1"/>
    <w:rsid w:val="006576BA"/>
    <w:rsid w:val="0066233D"/>
    <w:rsid w:val="00662D3D"/>
    <w:rsid w:val="00662F1F"/>
    <w:rsid w:val="00665030"/>
    <w:rsid w:val="00665384"/>
    <w:rsid w:val="00665670"/>
    <w:rsid w:val="006659EA"/>
    <w:rsid w:val="006661E8"/>
    <w:rsid w:val="00666424"/>
    <w:rsid w:val="00666CFF"/>
    <w:rsid w:val="006673B9"/>
    <w:rsid w:val="0066790C"/>
    <w:rsid w:val="00670C7C"/>
    <w:rsid w:val="00671480"/>
    <w:rsid w:val="006717E7"/>
    <w:rsid w:val="00671FD5"/>
    <w:rsid w:val="006720BC"/>
    <w:rsid w:val="00672BF5"/>
    <w:rsid w:val="00672C73"/>
    <w:rsid w:val="00673B64"/>
    <w:rsid w:val="00675430"/>
    <w:rsid w:val="006755F0"/>
    <w:rsid w:val="00675749"/>
    <w:rsid w:val="00677382"/>
    <w:rsid w:val="0067772D"/>
    <w:rsid w:val="00677AD2"/>
    <w:rsid w:val="00677C50"/>
    <w:rsid w:val="00680316"/>
    <w:rsid w:val="00680714"/>
    <w:rsid w:val="0068071D"/>
    <w:rsid w:val="00680C6B"/>
    <w:rsid w:val="00681240"/>
    <w:rsid w:val="0068245F"/>
    <w:rsid w:val="00683068"/>
    <w:rsid w:val="00683DAD"/>
    <w:rsid w:val="00683F3D"/>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3B73"/>
    <w:rsid w:val="006945A1"/>
    <w:rsid w:val="006945DD"/>
    <w:rsid w:val="00694A53"/>
    <w:rsid w:val="00694E38"/>
    <w:rsid w:val="00695AB4"/>
    <w:rsid w:val="00695C78"/>
    <w:rsid w:val="00695E6C"/>
    <w:rsid w:val="00695EAC"/>
    <w:rsid w:val="00697068"/>
    <w:rsid w:val="00697C59"/>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A76DF"/>
    <w:rsid w:val="006B0580"/>
    <w:rsid w:val="006B0DA2"/>
    <w:rsid w:val="006B1486"/>
    <w:rsid w:val="006B1D06"/>
    <w:rsid w:val="006B1E7E"/>
    <w:rsid w:val="006B2823"/>
    <w:rsid w:val="006B29DC"/>
    <w:rsid w:val="006B33DB"/>
    <w:rsid w:val="006B3669"/>
    <w:rsid w:val="006B36E5"/>
    <w:rsid w:val="006B3D00"/>
    <w:rsid w:val="006B4CF8"/>
    <w:rsid w:val="006B5FBC"/>
    <w:rsid w:val="006B6ED2"/>
    <w:rsid w:val="006C0230"/>
    <w:rsid w:val="006C0309"/>
    <w:rsid w:val="006C1108"/>
    <w:rsid w:val="006C12B4"/>
    <w:rsid w:val="006C1721"/>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E85"/>
    <w:rsid w:val="006D2F72"/>
    <w:rsid w:val="006D3BF8"/>
    <w:rsid w:val="006D43C1"/>
    <w:rsid w:val="006D5442"/>
    <w:rsid w:val="006D6E4E"/>
    <w:rsid w:val="006D72C1"/>
    <w:rsid w:val="006D7A8E"/>
    <w:rsid w:val="006E00E3"/>
    <w:rsid w:val="006E0196"/>
    <w:rsid w:val="006E045C"/>
    <w:rsid w:val="006E065E"/>
    <w:rsid w:val="006E0EDB"/>
    <w:rsid w:val="006E17AC"/>
    <w:rsid w:val="006E189B"/>
    <w:rsid w:val="006E2902"/>
    <w:rsid w:val="006E2F9D"/>
    <w:rsid w:val="006E37C6"/>
    <w:rsid w:val="006E3CF3"/>
    <w:rsid w:val="006E41ED"/>
    <w:rsid w:val="006E4667"/>
    <w:rsid w:val="006E486D"/>
    <w:rsid w:val="006E48BB"/>
    <w:rsid w:val="006E4A16"/>
    <w:rsid w:val="006E591A"/>
    <w:rsid w:val="006F01FF"/>
    <w:rsid w:val="006F0CB2"/>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71A6"/>
    <w:rsid w:val="006F7974"/>
    <w:rsid w:val="006F7C2C"/>
    <w:rsid w:val="00700405"/>
    <w:rsid w:val="00700D18"/>
    <w:rsid w:val="0070168D"/>
    <w:rsid w:val="00701C36"/>
    <w:rsid w:val="00702F2D"/>
    <w:rsid w:val="0070353F"/>
    <w:rsid w:val="0070412C"/>
    <w:rsid w:val="0070415E"/>
    <w:rsid w:val="00704E7D"/>
    <w:rsid w:val="00705060"/>
    <w:rsid w:val="00705351"/>
    <w:rsid w:val="00705CD1"/>
    <w:rsid w:val="00705DAF"/>
    <w:rsid w:val="007062AF"/>
    <w:rsid w:val="007069AE"/>
    <w:rsid w:val="00706B44"/>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5E72"/>
    <w:rsid w:val="0072608B"/>
    <w:rsid w:val="007263A2"/>
    <w:rsid w:val="007266B9"/>
    <w:rsid w:val="00727351"/>
    <w:rsid w:val="00727AC5"/>
    <w:rsid w:val="00727C65"/>
    <w:rsid w:val="007300F0"/>
    <w:rsid w:val="00730EB5"/>
    <w:rsid w:val="0073245C"/>
    <w:rsid w:val="00732493"/>
    <w:rsid w:val="00733230"/>
    <w:rsid w:val="00733708"/>
    <w:rsid w:val="00733A43"/>
    <w:rsid w:val="00733D5F"/>
    <w:rsid w:val="00733FBB"/>
    <w:rsid w:val="00734932"/>
    <w:rsid w:val="00735D53"/>
    <w:rsid w:val="007364A3"/>
    <w:rsid w:val="007378FD"/>
    <w:rsid w:val="007403FE"/>
    <w:rsid w:val="007413EB"/>
    <w:rsid w:val="00742D32"/>
    <w:rsid w:val="00742E9B"/>
    <w:rsid w:val="007444E6"/>
    <w:rsid w:val="00745262"/>
    <w:rsid w:val="0074592C"/>
    <w:rsid w:val="00746098"/>
    <w:rsid w:val="00746D58"/>
    <w:rsid w:val="00746E66"/>
    <w:rsid w:val="00747578"/>
    <w:rsid w:val="00751073"/>
    <w:rsid w:val="00751AF2"/>
    <w:rsid w:val="00751BD2"/>
    <w:rsid w:val="00752188"/>
    <w:rsid w:val="00752CC6"/>
    <w:rsid w:val="00753938"/>
    <w:rsid w:val="007543CE"/>
    <w:rsid w:val="00754558"/>
    <w:rsid w:val="0075497E"/>
    <w:rsid w:val="00754A29"/>
    <w:rsid w:val="00755989"/>
    <w:rsid w:val="00755BCF"/>
    <w:rsid w:val="00756100"/>
    <w:rsid w:val="00756C5F"/>
    <w:rsid w:val="00756D69"/>
    <w:rsid w:val="00757029"/>
    <w:rsid w:val="007602D4"/>
    <w:rsid w:val="00760D96"/>
    <w:rsid w:val="0076124A"/>
    <w:rsid w:val="0076161B"/>
    <w:rsid w:val="00761CB5"/>
    <w:rsid w:val="0076216B"/>
    <w:rsid w:val="00762547"/>
    <w:rsid w:val="00763137"/>
    <w:rsid w:val="00763F8B"/>
    <w:rsid w:val="0076417E"/>
    <w:rsid w:val="007662C7"/>
    <w:rsid w:val="00766862"/>
    <w:rsid w:val="0076743B"/>
    <w:rsid w:val="007675DD"/>
    <w:rsid w:val="007702BF"/>
    <w:rsid w:val="007705F0"/>
    <w:rsid w:val="00771CAC"/>
    <w:rsid w:val="00772036"/>
    <w:rsid w:val="00772E69"/>
    <w:rsid w:val="00773605"/>
    <w:rsid w:val="007739A3"/>
    <w:rsid w:val="007739FB"/>
    <w:rsid w:val="00773BD9"/>
    <w:rsid w:val="00773CB0"/>
    <w:rsid w:val="00773D71"/>
    <w:rsid w:val="00774CA9"/>
    <w:rsid w:val="00775526"/>
    <w:rsid w:val="0077685B"/>
    <w:rsid w:val="0077765A"/>
    <w:rsid w:val="00780032"/>
    <w:rsid w:val="00780636"/>
    <w:rsid w:val="00780E86"/>
    <w:rsid w:val="00781727"/>
    <w:rsid w:val="00782805"/>
    <w:rsid w:val="00782CF3"/>
    <w:rsid w:val="007836BC"/>
    <w:rsid w:val="00783959"/>
    <w:rsid w:val="007869F9"/>
    <w:rsid w:val="00786CBB"/>
    <w:rsid w:val="00786E21"/>
    <w:rsid w:val="007878B5"/>
    <w:rsid w:val="0079038E"/>
    <w:rsid w:val="00790EBB"/>
    <w:rsid w:val="00791C6E"/>
    <w:rsid w:val="007921F7"/>
    <w:rsid w:val="00792909"/>
    <w:rsid w:val="00792BC6"/>
    <w:rsid w:val="00792C3F"/>
    <w:rsid w:val="00792EE2"/>
    <w:rsid w:val="00793105"/>
    <w:rsid w:val="007931E8"/>
    <w:rsid w:val="00793333"/>
    <w:rsid w:val="007939C7"/>
    <w:rsid w:val="0079460F"/>
    <w:rsid w:val="00794E46"/>
    <w:rsid w:val="007952DE"/>
    <w:rsid w:val="00795479"/>
    <w:rsid w:val="00796292"/>
    <w:rsid w:val="007965D9"/>
    <w:rsid w:val="007972D5"/>
    <w:rsid w:val="007A0789"/>
    <w:rsid w:val="007A130E"/>
    <w:rsid w:val="007A18B1"/>
    <w:rsid w:val="007A1BBD"/>
    <w:rsid w:val="007A1F08"/>
    <w:rsid w:val="007A25FA"/>
    <w:rsid w:val="007A317F"/>
    <w:rsid w:val="007A3520"/>
    <w:rsid w:val="007A3604"/>
    <w:rsid w:val="007A3878"/>
    <w:rsid w:val="007A3D85"/>
    <w:rsid w:val="007A3E0D"/>
    <w:rsid w:val="007A436D"/>
    <w:rsid w:val="007A54F6"/>
    <w:rsid w:val="007A5950"/>
    <w:rsid w:val="007A6D91"/>
    <w:rsid w:val="007A7618"/>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90"/>
    <w:rsid w:val="007C387A"/>
    <w:rsid w:val="007C43D6"/>
    <w:rsid w:val="007C47FF"/>
    <w:rsid w:val="007C660F"/>
    <w:rsid w:val="007C6664"/>
    <w:rsid w:val="007C69AE"/>
    <w:rsid w:val="007C6E23"/>
    <w:rsid w:val="007C6FE9"/>
    <w:rsid w:val="007C7688"/>
    <w:rsid w:val="007C76E3"/>
    <w:rsid w:val="007C7AF2"/>
    <w:rsid w:val="007C7DD9"/>
    <w:rsid w:val="007D0DC9"/>
    <w:rsid w:val="007D0ECD"/>
    <w:rsid w:val="007D2882"/>
    <w:rsid w:val="007D2C31"/>
    <w:rsid w:val="007D3D74"/>
    <w:rsid w:val="007D445F"/>
    <w:rsid w:val="007D4DED"/>
    <w:rsid w:val="007D513B"/>
    <w:rsid w:val="007D5BA2"/>
    <w:rsid w:val="007D5ED3"/>
    <w:rsid w:val="007D6FB9"/>
    <w:rsid w:val="007E0595"/>
    <w:rsid w:val="007E0A63"/>
    <w:rsid w:val="007E0C63"/>
    <w:rsid w:val="007E0E05"/>
    <w:rsid w:val="007E0F5D"/>
    <w:rsid w:val="007E217B"/>
    <w:rsid w:val="007E23A1"/>
    <w:rsid w:val="007E259F"/>
    <w:rsid w:val="007E2C23"/>
    <w:rsid w:val="007E5306"/>
    <w:rsid w:val="007E54B8"/>
    <w:rsid w:val="007E5921"/>
    <w:rsid w:val="007E5D12"/>
    <w:rsid w:val="007E677F"/>
    <w:rsid w:val="007E6B25"/>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964"/>
    <w:rsid w:val="00806CD6"/>
    <w:rsid w:val="0080705B"/>
    <w:rsid w:val="0080723C"/>
    <w:rsid w:val="00807F71"/>
    <w:rsid w:val="0081000F"/>
    <w:rsid w:val="00812657"/>
    <w:rsid w:val="00812A1A"/>
    <w:rsid w:val="00812DFF"/>
    <w:rsid w:val="0081334D"/>
    <w:rsid w:val="0081383A"/>
    <w:rsid w:val="00814FC7"/>
    <w:rsid w:val="00815260"/>
    <w:rsid w:val="00817195"/>
    <w:rsid w:val="00817416"/>
    <w:rsid w:val="00820C4A"/>
    <w:rsid w:val="00821271"/>
    <w:rsid w:val="00821306"/>
    <w:rsid w:val="008213D9"/>
    <w:rsid w:val="00821D85"/>
    <w:rsid w:val="00823819"/>
    <w:rsid w:val="00823C4B"/>
    <w:rsid w:val="00823FB0"/>
    <w:rsid w:val="0082427D"/>
    <w:rsid w:val="00824AB1"/>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65B4"/>
    <w:rsid w:val="00846D25"/>
    <w:rsid w:val="00850013"/>
    <w:rsid w:val="008500DD"/>
    <w:rsid w:val="00850191"/>
    <w:rsid w:val="00851E96"/>
    <w:rsid w:val="00852FA5"/>
    <w:rsid w:val="00853F7D"/>
    <w:rsid w:val="0085517F"/>
    <w:rsid w:val="0085562D"/>
    <w:rsid w:val="00855A78"/>
    <w:rsid w:val="00856012"/>
    <w:rsid w:val="00856154"/>
    <w:rsid w:val="00856286"/>
    <w:rsid w:val="0085657E"/>
    <w:rsid w:val="008576B0"/>
    <w:rsid w:val="0086003A"/>
    <w:rsid w:val="00860296"/>
    <w:rsid w:val="00860848"/>
    <w:rsid w:val="00860DA4"/>
    <w:rsid w:val="00860E97"/>
    <w:rsid w:val="00861390"/>
    <w:rsid w:val="00861948"/>
    <w:rsid w:val="00862011"/>
    <w:rsid w:val="00862A15"/>
    <w:rsid w:val="00862CC9"/>
    <w:rsid w:val="00862D8E"/>
    <w:rsid w:val="00862EF2"/>
    <w:rsid w:val="008650A5"/>
    <w:rsid w:val="00865C3D"/>
    <w:rsid w:val="00866453"/>
    <w:rsid w:val="0086707F"/>
    <w:rsid w:val="00867501"/>
    <w:rsid w:val="00867D8E"/>
    <w:rsid w:val="008700C0"/>
    <w:rsid w:val="0087099A"/>
    <w:rsid w:val="00870D79"/>
    <w:rsid w:val="00871333"/>
    <w:rsid w:val="00872386"/>
    <w:rsid w:val="008726D7"/>
    <w:rsid w:val="0087278A"/>
    <w:rsid w:val="00873128"/>
    <w:rsid w:val="008735BC"/>
    <w:rsid w:val="00873AAC"/>
    <w:rsid w:val="00873C61"/>
    <w:rsid w:val="00873DFD"/>
    <w:rsid w:val="008745D9"/>
    <w:rsid w:val="008749BF"/>
    <w:rsid w:val="00875542"/>
    <w:rsid w:val="00875E14"/>
    <w:rsid w:val="008764B2"/>
    <w:rsid w:val="0087677E"/>
    <w:rsid w:val="00877066"/>
    <w:rsid w:val="0087712C"/>
    <w:rsid w:val="00877C5D"/>
    <w:rsid w:val="0088093C"/>
    <w:rsid w:val="00880BC0"/>
    <w:rsid w:val="00881D59"/>
    <w:rsid w:val="00884371"/>
    <w:rsid w:val="0088452F"/>
    <w:rsid w:val="00884B7A"/>
    <w:rsid w:val="00884D47"/>
    <w:rsid w:val="00886AFE"/>
    <w:rsid w:val="00887392"/>
    <w:rsid w:val="00890C40"/>
    <w:rsid w:val="00890C4B"/>
    <w:rsid w:val="008912A7"/>
    <w:rsid w:val="0089183A"/>
    <w:rsid w:val="008920B4"/>
    <w:rsid w:val="008925EB"/>
    <w:rsid w:val="008926F5"/>
    <w:rsid w:val="00893104"/>
    <w:rsid w:val="00893432"/>
    <w:rsid w:val="00893936"/>
    <w:rsid w:val="00893BFD"/>
    <w:rsid w:val="00893CE2"/>
    <w:rsid w:val="00893F41"/>
    <w:rsid w:val="00895144"/>
    <w:rsid w:val="0089594D"/>
    <w:rsid w:val="0089655C"/>
    <w:rsid w:val="008972B6"/>
    <w:rsid w:val="00897339"/>
    <w:rsid w:val="00897697"/>
    <w:rsid w:val="008977E1"/>
    <w:rsid w:val="008A0044"/>
    <w:rsid w:val="008A0BFE"/>
    <w:rsid w:val="008A1932"/>
    <w:rsid w:val="008A21D9"/>
    <w:rsid w:val="008A26A5"/>
    <w:rsid w:val="008A3182"/>
    <w:rsid w:val="008A3D54"/>
    <w:rsid w:val="008A411C"/>
    <w:rsid w:val="008A47CE"/>
    <w:rsid w:val="008A4D74"/>
    <w:rsid w:val="008A5933"/>
    <w:rsid w:val="008A5F2F"/>
    <w:rsid w:val="008A668F"/>
    <w:rsid w:val="008A6BAE"/>
    <w:rsid w:val="008A71FD"/>
    <w:rsid w:val="008A7350"/>
    <w:rsid w:val="008A7A72"/>
    <w:rsid w:val="008B09F3"/>
    <w:rsid w:val="008B0E77"/>
    <w:rsid w:val="008B16E6"/>
    <w:rsid w:val="008B1AB2"/>
    <w:rsid w:val="008B1D9B"/>
    <w:rsid w:val="008B2042"/>
    <w:rsid w:val="008B234E"/>
    <w:rsid w:val="008B25F1"/>
    <w:rsid w:val="008B32C9"/>
    <w:rsid w:val="008B3567"/>
    <w:rsid w:val="008B36D0"/>
    <w:rsid w:val="008B38AF"/>
    <w:rsid w:val="008B3E1B"/>
    <w:rsid w:val="008B3F4B"/>
    <w:rsid w:val="008B48EC"/>
    <w:rsid w:val="008B518E"/>
    <w:rsid w:val="008B6087"/>
    <w:rsid w:val="008B69B8"/>
    <w:rsid w:val="008B7042"/>
    <w:rsid w:val="008B7271"/>
    <w:rsid w:val="008C094A"/>
    <w:rsid w:val="008C1570"/>
    <w:rsid w:val="008C1E3E"/>
    <w:rsid w:val="008C2059"/>
    <w:rsid w:val="008C2DBC"/>
    <w:rsid w:val="008C561E"/>
    <w:rsid w:val="008C5775"/>
    <w:rsid w:val="008C65F4"/>
    <w:rsid w:val="008C6683"/>
    <w:rsid w:val="008C7273"/>
    <w:rsid w:val="008D0E65"/>
    <w:rsid w:val="008D110A"/>
    <w:rsid w:val="008D1612"/>
    <w:rsid w:val="008D2259"/>
    <w:rsid w:val="008D313A"/>
    <w:rsid w:val="008D3381"/>
    <w:rsid w:val="008D33FE"/>
    <w:rsid w:val="008D3B9F"/>
    <w:rsid w:val="008D3D02"/>
    <w:rsid w:val="008D4226"/>
    <w:rsid w:val="008D54C0"/>
    <w:rsid w:val="008D5ED9"/>
    <w:rsid w:val="008D7567"/>
    <w:rsid w:val="008E0E86"/>
    <w:rsid w:val="008E0EE4"/>
    <w:rsid w:val="008E1C24"/>
    <w:rsid w:val="008E2626"/>
    <w:rsid w:val="008E27A9"/>
    <w:rsid w:val="008E323C"/>
    <w:rsid w:val="008E35A6"/>
    <w:rsid w:val="008E36D9"/>
    <w:rsid w:val="008E3A5C"/>
    <w:rsid w:val="008E3A9A"/>
    <w:rsid w:val="008E429E"/>
    <w:rsid w:val="008E4412"/>
    <w:rsid w:val="008E5938"/>
    <w:rsid w:val="008F1D99"/>
    <w:rsid w:val="008F1E3D"/>
    <w:rsid w:val="008F2F11"/>
    <w:rsid w:val="008F33A6"/>
    <w:rsid w:val="008F35EC"/>
    <w:rsid w:val="008F4FE8"/>
    <w:rsid w:val="008F4FED"/>
    <w:rsid w:val="008F6200"/>
    <w:rsid w:val="008F62F8"/>
    <w:rsid w:val="008F6893"/>
    <w:rsid w:val="008F7292"/>
    <w:rsid w:val="009000F2"/>
    <w:rsid w:val="009000F6"/>
    <w:rsid w:val="0090079D"/>
    <w:rsid w:val="0090086A"/>
    <w:rsid w:val="00900D2C"/>
    <w:rsid w:val="00901659"/>
    <w:rsid w:val="00901807"/>
    <w:rsid w:val="00901945"/>
    <w:rsid w:val="00901F0E"/>
    <w:rsid w:val="0090408F"/>
    <w:rsid w:val="009043B7"/>
    <w:rsid w:val="0090446A"/>
    <w:rsid w:val="00904DC3"/>
    <w:rsid w:val="00905469"/>
    <w:rsid w:val="00905B0C"/>
    <w:rsid w:val="0090629C"/>
    <w:rsid w:val="00906EA2"/>
    <w:rsid w:val="00907278"/>
    <w:rsid w:val="009077DC"/>
    <w:rsid w:val="0091112B"/>
    <w:rsid w:val="009128B8"/>
    <w:rsid w:val="00913CFF"/>
    <w:rsid w:val="0091472C"/>
    <w:rsid w:val="00914FE8"/>
    <w:rsid w:val="00915351"/>
    <w:rsid w:val="00915679"/>
    <w:rsid w:val="009159C2"/>
    <w:rsid w:val="00916D22"/>
    <w:rsid w:val="0092077A"/>
    <w:rsid w:val="009219F3"/>
    <w:rsid w:val="00921DF4"/>
    <w:rsid w:val="009221CB"/>
    <w:rsid w:val="00922320"/>
    <w:rsid w:val="00923643"/>
    <w:rsid w:val="00923E1A"/>
    <w:rsid w:val="009243E5"/>
    <w:rsid w:val="0092490A"/>
    <w:rsid w:val="009251B9"/>
    <w:rsid w:val="00925A3E"/>
    <w:rsid w:val="00925BB2"/>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5DEF"/>
    <w:rsid w:val="009365C7"/>
    <w:rsid w:val="00936EA5"/>
    <w:rsid w:val="00937114"/>
    <w:rsid w:val="0094015D"/>
    <w:rsid w:val="00940F61"/>
    <w:rsid w:val="00941101"/>
    <w:rsid w:val="009418D4"/>
    <w:rsid w:val="00941B13"/>
    <w:rsid w:val="009441DB"/>
    <w:rsid w:val="00944834"/>
    <w:rsid w:val="00946128"/>
    <w:rsid w:val="0094633F"/>
    <w:rsid w:val="00946831"/>
    <w:rsid w:val="009475C1"/>
    <w:rsid w:val="009477CB"/>
    <w:rsid w:val="009477D9"/>
    <w:rsid w:val="00947BA5"/>
    <w:rsid w:val="00950805"/>
    <w:rsid w:val="0095121C"/>
    <w:rsid w:val="009517E4"/>
    <w:rsid w:val="009518D4"/>
    <w:rsid w:val="009520BC"/>
    <w:rsid w:val="009521D2"/>
    <w:rsid w:val="00952403"/>
    <w:rsid w:val="00952BD8"/>
    <w:rsid w:val="00953573"/>
    <w:rsid w:val="009535D2"/>
    <w:rsid w:val="009549EF"/>
    <w:rsid w:val="00955C64"/>
    <w:rsid w:val="00956647"/>
    <w:rsid w:val="00957409"/>
    <w:rsid w:val="00957499"/>
    <w:rsid w:val="00957BD6"/>
    <w:rsid w:val="00957ED2"/>
    <w:rsid w:val="00960DE4"/>
    <w:rsid w:val="00961164"/>
    <w:rsid w:val="00961A4F"/>
    <w:rsid w:val="00962B2E"/>
    <w:rsid w:val="00962FB8"/>
    <w:rsid w:val="0096373F"/>
    <w:rsid w:val="00964007"/>
    <w:rsid w:val="009643F4"/>
    <w:rsid w:val="00964F5A"/>
    <w:rsid w:val="00965050"/>
    <w:rsid w:val="009653ED"/>
    <w:rsid w:val="00966AD2"/>
    <w:rsid w:val="009675A3"/>
    <w:rsid w:val="00967867"/>
    <w:rsid w:val="00967961"/>
    <w:rsid w:val="00967A38"/>
    <w:rsid w:val="009709E1"/>
    <w:rsid w:val="009716D8"/>
    <w:rsid w:val="00971F54"/>
    <w:rsid w:val="00971FBF"/>
    <w:rsid w:val="00972057"/>
    <w:rsid w:val="0097227B"/>
    <w:rsid w:val="0097262E"/>
    <w:rsid w:val="0097293F"/>
    <w:rsid w:val="00974022"/>
    <w:rsid w:val="00974F00"/>
    <w:rsid w:val="0097552A"/>
    <w:rsid w:val="0097564A"/>
    <w:rsid w:val="00976BBE"/>
    <w:rsid w:val="0097741F"/>
    <w:rsid w:val="0098055B"/>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EF4"/>
    <w:rsid w:val="00997044"/>
    <w:rsid w:val="00997BC9"/>
    <w:rsid w:val="009A2BE9"/>
    <w:rsid w:val="009A2BF3"/>
    <w:rsid w:val="009A3C3E"/>
    <w:rsid w:val="009A4C2C"/>
    <w:rsid w:val="009A520A"/>
    <w:rsid w:val="009A59B3"/>
    <w:rsid w:val="009A5F76"/>
    <w:rsid w:val="009A5FAE"/>
    <w:rsid w:val="009A6AA7"/>
    <w:rsid w:val="009A7E7C"/>
    <w:rsid w:val="009B0479"/>
    <w:rsid w:val="009B05D2"/>
    <w:rsid w:val="009B0CEE"/>
    <w:rsid w:val="009B152B"/>
    <w:rsid w:val="009B2731"/>
    <w:rsid w:val="009B2DCF"/>
    <w:rsid w:val="009B3D38"/>
    <w:rsid w:val="009B4368"/>
    <w:rsid w:val="009B494C"/>
    <w:rsid w:val="009B7505"/>
    <w:rsid w:val="009C0020"/>
    <w:rsid w:val="009C03F7"/>
    <w:rsid w:val="009C10DA"/>
    <w:rsid w:val="009C1201"/>
    <w:rsid w:val="009C19FC"/>
    <w:rsid w:val="009C22FD"/>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48A"/>
    <w:rsid w:val="009D03B7"/>
    <w:rsid w:val="009D07AD"/>
    <w:rsid w:val="009D0824"/>
    <w:rsid w:val="009D1654"/>
    <w:rsid w:val="009D1BDB"/>
    <w:rsid w:val="009D2F9C"/>
    <w:rsid w:val="009D3505"/>
    <w:rsid w:val="009D4207"/>
    <w:rsid w:val="009D4E4A"/>
    <w:rsid w:val="009D5130"/>
    <w:rsid w:val="009D53D1"/>
    <w:rsid w:val="009D53FB"/>
    <w:rsid w:val="009D6081"/>
    <w:rsid w:val="009D678C"/>
    <w:rsid w:val="009D6B9A"/>
    <w:rsid w:val="009D76B5"/>
    <w:rsid w:val="009D7BC7"/>
    <w:rsid w:val="009D7FAC"/>
    <w:rsid w:val="009E0109"/>
    <w:rsid w:val="009E0342"/>
    <w:rsid w:val="009E098B"/>
    <w:rsid w:val="009E09AB"/>
    <w:rsid w:val="009E0A39"/>
    <w:rsid w:val="009E19BB"/>
    <w:rsid w:val="009E1C47"/>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2186"/>
    <w:rsid w:val="009F28DC"/>
    <w:rsid w:val="009F2EDB"/>
    <w:rsid w:val="009F33DC"/>
    <w:rsid w:val="009F385E"/>
    <w:rsid w:val="009F4550"/>
    <w:rsid w:val="009F56C0"/>
    <w:rsid w:val="009F5C76"/>
    <w:rsid w:val="009F612F"/>
    <w:rsid w:val="00A007B4"/>
    <w:rsid w:val="00A00CA0"/>
    <w:rsid w:val="00A00E00"/>
    <w:rsid w:val="00A01221"/>
    <w:rsid w:val="00A012A8"/>
    <w:rsid w:val="00A016FF"/>
    <w:rsid w:val="00A0188F"/>
    <w:rsid w:val="00A0207F"/>
    <w:rsid w:val="00A021AF"/>
    <w:rsid w:val="00A044AA"/>
    <w:rsid w:val="00A052F0"/>
    <w:rsid w:val="00A07F53"/>
    <w:rsid w:val="00A102F8"/>
    <w:rsid w:val="00A10A20"/>
    <w:rsid w:val="00A10FDE"/>
    <w:rsid w:val="00A117D5"/>
    <w:rsid w:val="00A11984"/>
    <w:rsid w:val="00A131F5"/>
    <w:rsid w:val="00A133C1"/>
    <w:rsid w:val="00A13414"/>
    <w:rsid w:val="00A13F2D"/>
    <w:rsid w:val="00A1475E"/>
    <w:rsid w:val="00A14F78"/>
    <w:rsid w:val="00A14F81"/>
    <w:rsid w:val="00A1535F"/>
    <w:rsid w:val="00A15CB1"/>
    <w:rsid w:val="00A15E84"/>
    <w:rsid w:val="00A16021"/>
    <w:rsid w:val="00A162C5"/>
    <w:rsid w:val="00A176DD"/>
    <w:rsid w:val="00A20FAD"/>
    <w:rsid w:val="00A22C3E"/>
    <w:rsid w:val="00A22C4D"/>
    <w:rsid w:val="00A23442"/>
    <w:rsid w:val="00A249D2"/>
    <w:rsid w:val="00A254AB"/>
    <w:rsid w:val="00A266CC"/>
    <w:rsid w:val="00A26DB4"/>
    <w:rsid w:val="00A27425"/>
    <w:rsid w:val="00A3023E"/>
    <w:rsid w:val="00A305C5"/>
    <w:rsid w:val="00A30919"/>
    <w:rsid w:val="00A31F05"/>
    <w:rsid w:val="00A31FD2"/>
    <w:rsid w:val="00A3404D"/>
    <w:rsid w:val="00A341AB"/>
    <w:rsid w:val="00A34290"/>
    <w:rsid w:val="00A355F9"/>
    <w:rsid w:val="00A35AA9"/>
    <w:rsid w:val="00A36D5C"/>
    <w:rsid w:val="00A37309"/>
    <w:rsid w:val="00A37558"/>
    <w:rsid w:val="00A3786A"/>
    <w:rsid w:val="00A37C3C"/>
    <w:rsid w:val="00A4008C"/>
    <w:rsid w:val="00A402A8"/>
    <w:rsid w:val="00A40685"/>
    <w:rsid w:val="00A40E2F"/>
    <w:rsid w:val="00A41819"/>
    <w:rsid w:val="00A41C9A"/>
    <w:rsid w:val="00A41D73"/>
    <w:rsid w:val="00A429BD"/>
    <w:rsid w:val="00A42B2E"/>
    <w:rsid w:val="00A433E8"/>
    <w:rsid w:val="00A4358B"/>
    <w:rsid w:val="00A43A1D"/>
    <w:rsid w:val="00A44854"/>
    <w:rsid w:val="00A44A45"/>
    <w:rsid w:val="00A46859"/>
    <w:rsid w:val="00A46D39"/>
    <w:rsid w:val="00A472B8"/>
    <w:rsid w:val="00A5004A"/>
    <w:rsid w:val="00A502F5"/>
    <w:rsid w:val="00A504F4"/>
    <w:rsid w:val="00A508AA"/>
    <w:rsid w:val="00A5172B"/>
    <w:rsid w:val="00A526CE"/>
    <w:rsid w:val="00A52A11"/>
    <w:rsid w:val="00A53B6E"/>
    <w:rsid w:val="00A5416E"/>
    <w:rsid w:val="00A54DC0"/>
    <w:rsid w:val="00A550C9"/>
    <w:rsid w:val="00A55228"/>
    <w:rsid w:val="00A55A04"/>
    <w:rsid w:val="00A564DE"/>
    <w:rsid w:val="00A6054E"/>
    <w:rsid w:val="00A60799"/>
    <w:rsid w:val="00A61B7F"/>
    <w:rsid w:val="00A61B91"/>
    <w:rsid w:val="00A62666"/>
    <w:rsid w:val="00A629CA"/>
    <w:rsid w:val="00A63016"/>
    <w:rsid w:val="00A63335"/>
    <w:rsid w:val="00A63685"/>
    <w:rsid w:val="00A645AC"/>
    <w:rsid w:val="00A65EFB"/>
    <w:rsid w:val="00A66E28"/>
    <w:rsid w:val="00A6747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7F9"/>
    <w:rsid w:val="00A849F6"/>
    <w:rsid w:val="00A84F27"/>
    <w:rsid w:val="00A8519C"/>
    <w:rsid w:val="00A85F83"/>
    <w:rsid w:val="00A86019"/>
    <w:rsid w:val="00A86EED"/>
    <w:rsid w:val="00A8733A"/>
    <w:rsid w:val="00A90EC8"/>
    <w:rsid w:val="00A9196B"/>
    <w:rsid w:val="00A91BEE"/>
    <w:rsid w:val="00A91D4B"/>
    <w:rsid w:val="00A920B2"/>
    <w:rsid w:val="00A92675"/>
    <w:rsid w:val="00A92A96"/>
    <w:rsid w:val="00A92AF0"/>
    <w:rsid w:val="00A933FE"/>
    <w:rsid w:val="00A937D5"/>
    <w:rsid w:val="00A93C70"/>
    <w:rsid w:val="00A94A32"/>
    <w:rsid w:val="00A94AFC"/>
    <w:rsid w:val="00A96B4A"/>
    <w:rsid w:val="00A97462"/>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A5C"/>
    <w:rsid w:val="00AA5A6F"/>
    <w:rsid w:val="00AA5D94"/>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759A"/>
    <w:rsid w:val="00AB7B06"/>
    <w:rsid w:val="00AB7EAA"/>
    <w:rsid w:val="00AC0432"/>
    <w:rsid w:val="00AC0770"/>
    <w:rsid w:val="00AC1683"/>
    <w:rsid w:val="00AC1D82"/>
    <w:rsid w:val="00AC266A"/>
    <w:rsid w:val="00AC28CA"/>
    <w:rsid w:val="00AC4094"/>
    <w:rsid w:val="00AC42B6"/>
    <w:rsid w:val="00AC4AB7"/>
    <w:rsid w:val="00AC5859"/>
    <w:rsid w:val="00AC5C9B"/>
    <w:rsid w:val="00AC6225"/>
    <w:rsid w:val="00AC6D24"/>
    <w:rsid w:val="00AD1065"/>
    <w:rsid w:val="00AD2270"/>
    <w:rsid w:val="00AD2771"/>
    <w:rsid w:val="00AD3DA6"/>
    <w:rsid w:val="00AD3F3C"/>
    <w:rsid w:val="00AD4B2F"/>
    <w:rsid w:val="00AD5F0A"/>
    <w:rsid w:val="00AD6B4F"/>
    <w:rsid w:val="00AD7812"/>
    <w:rsid w:val="00AD7C42"/>
    <w:rsid w:val="00AD7CFA"/>
    <w:rsid w:val="00AE0BD6"/>
    <w:rsid w:val="00AE11C1"/>
    <w:rsid w:val="00AE163D"/>
    <w:rsid w:val="00AE1C5C"/>
    <w:rsid w:val="00AE315E"/>
    <w:rsid w:val="00AE319F"/>
    <w:rsid w:val="00AE31D9"/>
    <w:rsid w:val="00AE3792"/>
    <w:rsid w:val="00AE3CF0"/>
    <w:rsid w:val="00AE6062"/>
    <w:rsid w:val="00AE71EE"/>
    <w:rsid w:val="00AE75AC"/>
    <w:rsid w:val="00AE7FD3"/>
    <w:rsid w:val="00AF03CF"/>
    <w:rsid w:val="00AF0A0A"/>
    <w:rsid w:val="00AF14FC"/>
    <w:rsid w:val="00AF1ED2"/>
    <w:rsid w:val="00AF1F4E"/>
    <w:rsid w:val="00AF3557"/>
    <w:rsid w:val="00AF383C"/>
    <w:rsid w:val="00AF3F86"/>
    <w:rsid w:val="00AF4CEE"/>
    <w:rsid w:val="00AF5364"/>
    <w:rsid w:val="00AF584C"/>
    <w:rsid w:val="00AF5D84"/>
    <w:rsid w:val="00AF669D"/>
    <w:rsid w:val="00AF672C"/>
    <w:rsid w:val="00AF7389"/>
    <w:rsid w:val="00AF7C37"/>
    <w:rsid w:val="00B00378"/>
    <w:rsid w:val="00B00D91"/>
    <w:rsid w:val="00B00E84"/>
    <w:rsid w:val="00B038F1"/>
    <w:rsid w:val="00B03C1B"/>
    <w:rsid w:val="00B04678"/>
    <w:rsid w:val="00B04A04"/>
    <w:rsid w:val="00B04C37"/>
    <w:rsid w:val="00B04F00"/>
    <w:rsid w:val="00B05BA6"/>
    <w:rsid w:val="00B066FE"/>
    <w:rsid w:val="00B06912"/>
    <w:rsid w:val="00B10B04"/>
    <w:rsid w:val="00B10CC6"/>
    <w:rsid w:val="00B11A61"/>
    <w:rsid w:val="00B12082"/>
    <w:rsid w:val="00B124BE"/>
    <w:rsid w:val="00B1278A"/>
    <w:rsid w:val="00B13389"/>
    <w:rsid w:val="00B1364C"/>
    <w:rsid w:val="00B141A5"/>
    <w:rsid w:val="00B15286"/>
    <w:rsid w:val="00B1550D"/>
    <w:rsid w:val="00B159C0"/>
    <w:rsid w:val="00B15F6C"/>
    <w:rsid w:val="00B163E8"/>
    <w:rsid w:val="00B1666C"/>
    <w:rsid w:val="00B175F7"/>
    <w:rsid w:val="00B1767E"/>
    <w:rsid w:val="00B20760"/>
    <w:rsid w:val="00B21676"/>
    <w:rsid w:val="00B219E1"/>
    <w:rsid w:val="00B22150"/>
    <w:rsid w:val="00B226DE"/>
    <w:rsid w:val="00B239CD"/>
    <w:rsid w:val="00B241D5"/>
    <w:rsid w:val="00B24BE9"/>
    <w:rsid w:val="00B25956"/>
    <w:rsid w:val="00B25F8C"/>
    <w:rsid w:val="00B260BE"/>
    <w:rsid w:val="00B26677"/>
    <w:rsid w:val="00B269D0"/>
    <w:rsid w:val="00B26A96"/>
    <w:rsid w:val="00B274E3"/>
    <w:rsid w:val="00B2765C"/>
    <w:rsid w:val="00B27C4B"/>
    <w:rsid w:val="00B27FC0"/>
    <w:rsid w:val="00B30563"/>
    <w:rsid w:val="00B30A76"/>
    <w:rsid w:val="00B31204"/>
    <w:rsid w:val="00B31CB6"/>
    <w:rsid w:val="00B32295"/>
    <w:rsid w:val="00B32B21"/>
    <w:rsid w:val="00B33024"/>
    <w:rsid w:val="00B33AB5"/>
    <w:rsid w:val="00B3412E"/>
    <w:rsid w:val="00B34ED7"/>
    <w:rsid w:val="00B367C4"/>
    <w:rsid w:val="00B36FF8"/>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1520"/>
    <w:rsid w:val="00B515C3"/>
    <w:rsid w:val="00B517C2"/>
    <w:rsid w:val="00B518CE"/>
    <w:rsid w:val="00B51F56"/>
    <w:rsid w:val="00B52234"/>
    <w:rsid w:val="00B53623"/>
    <w:rsid w:val="00B53D15"/>
    <w:rsid w:val="00B53D1D"/>
    <w:rsid w:val="00B53E98"/>
    <w:rsid w:val="00B53F9B"/>
    <w:rsid w:val="00B55F64"/>
    <w:rsid w:val="00B56ECA"/>
    <w:rsid w:val="00B57093"/>
    <w:rsid w:val="00B60613"/>
    <w:rsid w:val="00B61AEC"/>
    <w:rsid w:val="00B62B7B"/>
    <w:rsid w:val="00B63EF6"/>
    <w:rsid w:val="00B6440A"/>
    <w:rsid w:val="00B64BF3"/>
    <w:rsid w:val="00B65844"/>
    <w:rsid w:val="00B66054"/>
    <w:rsid w:val="00B6677F"/>
    <w:rsid w:val="00B66C7A"/>
    <w:rsid w:val="00B672EA"/>
    <w:rsid w:val="00B6747B"/>
    <w:rsid w:val="00B70200"/>
    <w:rsid w:val="00B702D7"/>
    <w:rsid w:val="00B70389"/>
    <w:rsid w:val="00B70E01"/>
    <w:rsid w:val="00B728F6"/>
    <w:rsid w:val="00B72CF0"/>
    <w:rsid w:val="00B7380E"/>
    <w:rsid w:val="00B740F6"/>
    <w:rsid w:val="00B74615"/>
    <w:rsid w:val="00B755B6"/>
    <w:rsid w:val="00B75A48"/>
    <w:rsid w:val="00B75A63"/>
    <w:rsid w:val="00B75CC0"/>
    <w:rsid w:val="00B76021"/>
    <w:rsid w:val="00B804F8"/>
    <w:rsid w:val="00B8095A"/>
    <w:rsid w:val="00B81274"/>
    <w:rsid w:val="00B815D3"/>
    <w:rsid w:val="00B823A6"/>
    <w:rsid w:val="00B83E76"/>
    <w:rsid w:val="00B83FA0"/>
    <w:rsid w:val="00B86289"/>
    <w:rsid w:val="00B863B3"/>
    <w:rsid w:val="00B869D3"/>
    <w:rsid w:val="00B86E44"/>
    <w:rsid w:val="00B87359"/>
    <w:rsid w:val="00B87F1C"/>
    <w:rsid w:val="00B90D8D"/>
    <w:rsid w:val="00B91263"/>
    <w:rsid w:val="00B91B61"/>
    <w:rsid w:val="00B93015"/>
    <w:rsid w:val="00B93849"/>
    <w:rsid w:val="00B938BD"/>
    <w:rsid w:val="00B93BC4"/>
    <w:rsid w:val="00B9407F"/>
    <w:rsid w:val="00B944E9"/>
    <w:rsid w:val="00B94896"/>
    <w:rsid w:val="00B94CDD"/>
    <w:rsid w:val="00B96DD9"/>
    <w:rsid w:val="00B97909"/>
    <w:rsid w:val="00B9793B"/>
    <w:rsid w:val="00BA14B2"/>
    <w:rsid w:val="00BA15DC"/>
    <w:rsid w:val="00BA2C82"/>
    <w:rsid w:val="00BA5039"/>
    <w:rsid w:val="00BA583B"/>
    <w:rsid w:val="00BA5EC7"/>
    <w:rsid w:val="00BA6319"/>
    <w:rsid w:val="00BA63CE"/>
    <w:rsid w:val="00BA676E"/>
    <w:rsid w:val="00BA7227"/>
    <w:rsid w:val="00BA763C"/>
    <w:rsid w:val="00BA78B7"/>
    <w:rsid w:val="00BA7CD7"/>
    <w:rsid w:val="00BB00E5"/>
    <w:rsid w:val="00BB0E7C"/>
    <w:rsid w:val="00BB1C6D"/>
    <w:rsid w:val="00BB20B2"/>
    <w:rsid w:val="00BB2ACE"/>
    <w:rsid w:val="00BB2E4E"/>
    <w:rsid w:val="00BB2E62"/>
    <w:rsid w:val="00BB3153"/>
    <w:rsid w:val="00BB36C9"/>
    <w:rsid w:val="00BB7EC0"/>
    <w:rsid w:val="00BC0207"/>
    <w:rsid w:val="00BC0A5A"/>
    <w:rsid w:val="00BC0E64"/>
    <w:rsid w:val="00BC25D1"/>
    <w:rsid w:val="00BC3BCB"/>
    <w:rsid w:val="00BC428A"/>
    <w:rsid w:val="00BC4B53"/>
    <w:rsid w:val="00BC4C40"/>
    <w:rsid w:val="00BC570E"/>
    <w:rsid w:val="00BC5A8D"/>
    <w:rsid w:val="00BC5AE3"/>
    <w:rsid w:val="00BC5BAD"/>
    <w:rsid w:val="00BC61B4"/>
    <w:rsid w:val="00BC76C5"/>
    <w:rsid w:val="00BD138A"/>
    <w:rsid w:val="00BD14D3"/>
    <w:rsid w:val="00BD164A"/>
    <w:rsid w:val="00BD1BDD"/>
    <w:rsid w:val="00BD1D40"/>
    <w:rsid w:val="00BD1D7D"/>
    <w:rsid w:val="00BD2B4D"/>
    <w:rsid w:val="00BD2F08"/>
    <w:rsid w:val="00BD2FB9"/>
    <w:rsid w:val="00BD31C2"/>
    <w:rsid w:val="00BD3683"/>
    <w:rsid w:val="00BD3F3B"/>
    <w:rsid w:val="00BD450A"/>
    <w:rsid w:val="00BD4717"/>
    <w:rsid w:val="00BD48EA"/>
    <w:rsid w:val="00BD4BA8"/>
    <w:rsid w:val="00BD578B"/>
    <w:rsid w:val="00BD58A0"/>
    <w:rsid w:val="00BD59B3"/>
    <w:rsid w:val="00BD62E6"/>
    <w:rsid w:val="00BD6B0E"/>
    <w:rsid w:val="00BD6B38"/>
    <w:rsid w:val="00BD720A"/>
    <w:rsid w:val="00BD7941"/>
    <w:rsid w:val="00BE0C55"/>
    <w:rsid w:val="00BE11A2"/>
    <w:rsid w:val="00BE2299"/>
    <w:rsid w:val="00BE246C"/>
    <w:rsid w:val="00BE2657"/>
    <w:rsid w:val="00BE314D"/>
    <w:rsid w:val="00BE37AE"/>
    <w:rsid w:val="00BE3B14"/>
    <w:rsid w:val="00BE3C65"/>
    <w:rsid w:val="00BE472D"/>
    <w:rsid w:val="00BE676D"/>
    <w:rsid w:val="00BE6F37"/>
    <w:rsid w:val="00BE7F4D"/>
    <w:rsid w:val="00BF03C0"/>
    <w:rsid w:val="00BF0608"/>
    <w:rsid w:val="00BF0EBF"/>
    <w:rsid w:val="00BF21D4"/>
    <w:rsid w:val="00BF2DDC"/>
    <w:rsid w:val="00BF32E9"/>
    <w:rsid w:val="00BF3D30"/>
    <w:rsid w:val="00BF4A15"/>
    <w:rsid w:val="00BF4DAE"/>
    <w:rsid w:val="00BF4E0E"/>
    <w:rsid w:val="00BF4E27"/>
    <w:rsid w:val="00BF537B"/>
    <w:rsid w:val="00BF626A"/>
    <w:rsid w:val="00BF6D77"/>
    <w:rsid w:val="00BF7EF5"/>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005E"/>
    <w:rsid w:val="00C12ECB"/>
    <w:rsid w:val="00C14229"/>
    <w:rsid w:val="00C14ABD"/>
    <w:rsid w:val="00C151E0"/>
    <w:rsid w:val="00C15B31"/>
    <w:rsid w:val="00C166D4"/>
    <w:rsid w:val="00C168E5"/>
    <w:rsid w:val="00C1696D"/>
    <w:rsid w:val="00C17AB5"/>
    <w:rsid w:val="00C17E3F"/>
    <w:rsid w:val="00C20051"/>
    <w:rsid w:val="00C20B86"/>
    <w:rsid w:val="00C21145"/>
    <w:rsid w:val="00C23615"/>
    <w:rsid w:val="00C2397E"/>
    <w:rsid w:val="00C23A83"/>
    <w:rsid w:val="00C24381"/>
    <w:rsid w:val="00C24C2E"/>
    <w:rsid w:val="00C24C7A"/>
    <w:rsid w:val="00C24FFB"/>
    <w:rsid w:val="00C25CDC"/>
    <w:rsid w:val="00C25CFF"/>
    <w:rsid w:val="00C25EA6"/>
    <w:rsid w:val="00C261C1"/>
    <w:rsid w:val="00C26DBF"/>
    <w:rsid w:val="00C30B0B"/>
    <w:rsid w:val="00C316B4"/>
    <w:rsid w:val="00C332D4"/>
    <w:rsid w:val="00C3345A"/>
    <w:rsid w:val="00C33E51"/>
    <w:rsid w:val="00C34531"/>
    <w:rsid w:val="00C34A50"/>
    <w:rsid w:val="00C34C45"/>
    <w:rsid w:val="00C34C47"/>
    <w:rsid w:val="00C3701A"/>
    <w:rsid w:val="00C405C8"/>
    <w:rsid w:val="00C40C2F"/>
    <w:rsid w:val="00C41323"/>
    <w:rsid w:val="00C415AC"/>
    <w:rsid w:val="00C42261"/>
    <w:rsid w:val="00C4297A"/>
    <w:rsid w:val="00C42B6A"/>
    <w:rsid w:val="00C4360C"/>
    <w:rsid w:val="00C43A0B"/>
    <w:rsid w:val="00C43EDA"/>
    <w:rsid w:val="00C4414C"/>
    <w:rsid w:val="00C45512"/>
    <w:rsid w:val="00C45996"/>
    <w:rsid w:val="00C4602B"/>
    <w:rsid w:val="00C46564"/>
    <w:rsid w:val="00C46762"/>
    <w:rsid w:val="00C47203"/>
    <w:rsid w:val="00C50A02"/>
    <w:rsid w:val="00C51149"/>
    <w:rsid w:val="00C5117E"/>
    <w:rsid w:val="00C512D1"/>
    <w:rsid w:val="00C51856"/>
    <w:rsid w:val="00C51B04"/>
    <w:rsid w:val="00C53CE9"/>
    <w:rsid w:val="00C54749"/>
    <w:rsid w:val="00C54A7C"/>
    <w:rsid w:val="00C54F07"/>
    <w:rsid w:val="00C5531B"/>
    <w:rsid w:val="00C55375"/>
    <w:rsid w:val="00C5685E"/>
    <w:rsid w:val="00C56C98"/>
    <w:rsid w:val="00C56DEE"/>
    <w:rsid w:val="00C57120"/>
    <w:rsid w:val="00C571D5"/>
    <w:rsid w:val="00C575D4"/>
    <w:rsid w:val="00C6029A"/>
    <w:rsid w:val="00C61223"/>
    <w:rsid w:val="00C61246"/>
    <w:rsid w:val="00C618A8"/>
    <w:rsid w:val="00C61A78"/>
    <w:rsid w:val="00C61B5F"/>
    <w:rsid w:val="00C62B88"/>
    <w:rsid w:val="00C634C4"/>
    <w:rsid w:val="00C634F9"/>
    <w:rsid w:val="00C637D4"/>
    <w:rsid w:val="00C643ED"/>
    <w:rsid w:val="00C64534"/>
    <w:rsid w:val="00C64D93"/>
    <w:rsid w:val="00C64F49"/>
    <w:rsid w:val="00C65200"/>
    <w:rsid w:val="00C665DE"/>
    <w:rsid w:val="00C667C3"/>
    <w:rsid w:val="00C669A8"/>
    <w:rsid w:val="00C6728B"/>
    <w:rsid w:val="00C71528"/>
    <w:rsid w:val="00C71F09"/>
    <w:rsid w:val="00C72588"/>
    <w:rsid w:val="00C727B9"/>
    <w:rsid w:val="00C73670"/>
    <w:rsid w:val="00C737D1"/>
    <w:rsid w:val="00C739F6"/>
    <w:rsid w:val="00C73DE0"/>
    <w:rsid w:val="00C74609"/>
    <w:rsid w:val="00C749AB"/>
    <w:rsid w:val="00C75A3A"/>
    <w:rsid w:val="00C75A8F"/>
    <w:rsid w:val="00C76C0C"/>
    <w:rsid w:val="00C776BA"/>
    <w:rsid w:val="00C77E23"/>
    <w:rsid w:val="00C81716"/>
    <w:rsid w:val="00C81733"/>
    <w:rsid w:val="00C81FE1"/>
    <w:rsid w:val="00C832CB"/>
    <w:rsid w:val="00C84085"/>
    <w:rsid w:val="00C85E17"/>
    <w:rsid w:val="00C868A7"/>
    <w:rsid w:val="00C87164"/>
    <w:rsid w:val="00C87BD0"/>
    <w:rsid w:val="00C905E5"/>
    <w:rsid w:val="00C90754"/>
    <w:rsid w:val="00C90B95"/>
    <w:rsid w:val="00C90BC4"/>
    <w:rsid w:val="00C90CA9"/>
    <w:rsid w:val="00C92E41"/>
    <w:rsid w:val="00C92F62"/>
    <w:rsid w:val="00C93097"/>
    <w:rsid w:val="00C93B40"/>
    <w:rsid w:val="00C93DB5"/>
    <w:rsid w:val="00C94CB9"/>
    <w:rsid w:val="00C94F2B"/>
    <w:rsid w:val="00C95C2F"/>
    <w:rsid w:val="00C95F87"/>
    <w:rsid w:val="00C968EF"/>
    <w:rsid w:val="00CA0492"/>
    <w:rsid w:val="00CA0A04"/>
    <w:rsid w:val="00CA0D14"/>
    <w:rsid w:val="00CA1C9F"/>
    <w:rsid w:val="00CA21C8"/>
    <w:rsid w:val="00CA2528"/>
    <w:rsid w:val="00CA3232"/>
    <w:rsid w:val="00CA3CAB"/>
    <w:rsid w:val="00CA3FC0"/>
    <w:rsid w:val="00CA6A2E"/>
    <w:rsid w:val="00CA7809"/>
    <w:rsid w:val="00CA7D3E"/>
    <w:rsid w:val="00CB0317"/>
    <w:rsid w:val="00CB0662"/>
    <w:rsid w:val="00CB0A82"/>
    <w:rsid w:val="00CB0F2F"/>
    <w:rsid w:val="00CB1556"/>
    <w:rsid w:val="00CB2913"/>
    <w:rsid w:val="00CB3970"/>
    <w:rsid w:val="00CB42B9"/>
    <w:rsid w:val="00CB4F39"/>
    <w:rsid w:val="00CB52A4"/>
    <w:rsid w:val="00CB537C"/>
    <w:rsid w:val="00CB5A26"/>
    <w:rsid w:val="00CB645B"/>
    <w:rsid w:val="00CB6A93"/>
    <w:rsid w:val="00CB77C3"/>
    <w:rsid w:val="00CB7E9C"/>
    <w:rsid w:val="00CB7F06"/>
    <w:rsid w:val="00CC0072"/>
    <w:rsid w:val="00CC0915"/>
    <w:rsid w:val="00CC1AF5"/>
    <w:rsid w:val="00CC1B74"/>
    <w:rsid w:val="00CC1EB4"/>
    <w:rsid w:val="00CC1EFF"/>
    <w:rsid w:val="00CC291E"/>
    <w:rsid w:val="00CC2D03"/>
    <w:rsid w:val="00CC2EB0"/>
    <w:rsid w:val="00CC34EE"/>
    <w:rsid w:val="00CC3A4B"/>
    <w:rsid w:val="00CC4675"/>
    <w:rsid w:val="00CC4701"/>
    <w:rsid w:val="00CC5686"/>
    <w:rsid w:val="00CC56B4"/>
    <w:rsid w:val="00CC59F5"/>
    <w:rsid w:val="00CC5B9B"/>
    <w:rsid w:val="00CC5F95"/>
    <w:rsid w:val="00CC642A"/>
    <w:rsid w:val="00CC733D"/>
    <w:rsid w:val="00CC7E97"/>
    <w:rsid w:val="00CD1255"/>
    <w:rsid w:val="00CD1484"/>
    <w:rsid w:val="00CD1892"/>
    <w:rsid w:val="00CD1D00"/>
    <w:rsid w:val="00CD2308"/>
    <w:rsid w:val="00CD27AC"/>
    <w:rsid w:val="00CD2A82"/>
    <w:rsid w:val="00CD346D"/>
    <w:rsid w:val="00CD3CAB"/>
    <w:rsid w:val="00CD46A7"/>
    <w:rsid w:val="00CD4E50"/>
    <w:rsid w:val="00CD57CB"/>
    <w:rsid w:val="00CD64E1"/>
    <w:rsid w:val="00CD699D"/>
    <w:rsid w:val="00CD6AE5"/>
    <w:rsid w:val="00CD6BA3"/>
    <w:rsid w:val="00CD70DB"/>
    <w:rsid w:val="00CD7544"/>
    <w:rsid w:val="00CD78D4"/>
    <w:rsid w:val="00CE0697"/>
    <w:rsid w:val="00CE2E2E"/>
    <w:rsid w:val="00CE3A51"/>
    <w:rsid w:val="00CE41F9"/>
    <w:rsid w:val="00CE4ED0"/>
    <w:rsid w:val="00CE4EF2"/>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75F"/>
    <w:rsid w:val="00CF5008"/>
    <w:rsid w:val="00CF5069"/>
    <w:rsid w:val="00CF50B0"/>
    <w:rsid w:val="00CF56B1"/>
    <w:rsid w:val="00CF5E34"/>
    <w:rsid w:val="00CF7385"/>
    <w:rsid w:val="00CF7B77"/>
    <w:rsid w:val="00CF7DF5"/>
    <w:rsid w:val="00D01551"/>
    <w:rsid w:val="00D01C22"/>
    <w:rsid w:val="00D0352D"/>
    <w:rsid w:val="00D03F7C"/>
    <w:rsid w:val="00D04406"/>
    <w:rsid w:val="00D04690"/>
    <w:rsid w:val="00D0480C"/>
    <w:rsid w:val="00D04F01"/>
    <w:rsid w:val="00D04F1E"/>
    <w:rsid w:val="00D04F8B"/>
    <w:rsid w:val="00D054EF"/>
    <w:rsid w:val="00D05637"/>
    <w:rsid w:val="00D05BA9"/>
    <w:rsid w:val="00D05EB1"/>
    <w:rsid w:val="00D064D1"/>
    <w:rsid w:val="00D0650B"/>
    <w:rsid w:val="00D06E71"/>
    <w:rsid w:val="00D0714B"/>
    <w:rsid w:val="00D0764E"/>
    <w:rsid w:val="00D07D82"/>
    <w:rsid w:val="00D10327"/>
    <w:rsid w:val="00D10BE1"/>
    <w:rsid w:val="00D11FE3"/>
    <w:rsid w:val="00D12945"/>
    <w:rsid w:val="00D1343A"/>
    <w:rsid w:val="00D13D50"/>
    <w:rsid w:val="00D14101"/>
    <w:rsid w:val="00D14919"/>
    <w:rsid w:val="00D14E25"/>
    <w:rsid w:val="00D14F7B"/>
    <w:rsid w:val="00D15BF2"/>
    <w:rsid w:val="00D160C4"/>
    <w:rsid w:val="00D165D8"/>
    <w:rsid w:val="00D1724E"/>
    <w:rsid w:val="00D17C26"/>
    <w:rsid w:val="00D206F6"/>
    <w:rsid w:val="00D20784"/>
    <w:rsid w:val="00D20FD1"/>
    <w:rsid w:val="00D21E6F"/>
    <w:rsid w:val="00D22D1A"/>
    <w:rsid w:val="00D2371E"/>
    <w:rsid w:val="00D237E0"/>
    <w:rsid w:val="00D23A17"/>
    <w:rsid w:val="00D24299"/>
    <w:rsid w:val="00D25676"/>
    <w:rsid w:val="00D25901"/>
    <w:rsid w:val="00D259B0"/>
    <w:rsid w:val="00D27129"/>
    <w:rsid w:val="00D279E7"/>
    <w:rsid w:val="00D27F75"/>
    <w:rsid w:val="00D3046D"/>
    <w:rsid w:val="00D30497"/>
    <w:rsid w:val="00D30F5F"/>
    <w:rsid w:val="00D31B07"/>
    <w:rsid w:val="00D31B9D"/>
    <w:rsid w:val="00D32FA0"/>
    <w:rsid w:val="00D33112"/>
    <w:rsid w:val="00D331CB"/>
    <w:rsid w:val="00D3497A"/>
    <w:rsid w:val="00D36BB8"/>
    <w:rsid w:val="00D374D0"/>
    <w:rsid w:val="00D401A1"/>
    <w:rsid w:val="00D40217"/>
    <w:rsid w:val="00D40385"/>
    <w:rsid w:val="00D404CE"/>
    <w:rsid w:val="00D40E8F"/>
    <w:rsid w:val="00D412BF"/>
    <w:rsid w:val="00D417C6"/>
    <w:rsid w:val="00D421CD"/>
    <w:rsid w:val="00D42B0C"/>
    <w:rsid w:val="00D42D6E"/>
    <w:rsid w:val="00D43DEF"/>
    <w:rsid w:val="00D44259"/>
    <w:rsid w:val="00D45DDC"/>
    <w:rsid w:val="00D4752E"/>
    <w:rsid w:val="00D47D71"/>
    <w:rsid w:val="00D5022E"/>
    <w:rsid w:val="00D5064C"/>
    <w:rsid w:val="00D50C94"/>
    <w:rsid w:val="00D5251C"/>
    <w:rsid w:val="00D525B8"/>
    <w:rsid w:val="00D52F56"/>
    <w:rsid w:val="00D539DA"/>
    <w:rsid w:val="00D54A50"/>
    <w:rsid w:val="00D5556D"/>
    <w:rsid w:val="00D55C81"/>
    <w:rsid w:val="00D5674B"/>
    <w:rsid w:val="00D56AA2"/>
    <w:rsid w:val="00D56B56"/>
    <w:rsid w:val="00D56BF5"/>
    <w:rsid w:val="00D56F99"/>
    <w:rsid w:val="00D5743F"/>
    <w:rsid w:val="00D5768A"/>
    <w:rsid w:val="00D605C2"/>
    <w:rsid w:val="00D60733"/>
    <w:rsid w:val="00D61E1D"/>
    <w:rsid w:val="00D629A4"/>
    <w:rsid w:val="00D62BDF"/>
    <w:rsid w:val="00D6312D"/>
    <w:rsid w:val="00D64F1C"/>
    <w:rsid w:val="00D6570C"/>
    <w:rsid w:val="00D65A69"/>
    <w:rsid w:val="00D65A89"/>
    <w:rsid w:val="00D65F4B"/>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3CD4"/>
    <w:rsid w:val="00D73F06"/>
    <w:rsid w:val="00D740B2"/>
    <w:rsid w:val="00D74247"/>
    <w:rsid w:val="00D743F1"/>
    <w:rsid w:val="00D744F1"/>
    <w:rsid w:val="00D7456E"/>
    <w:rsid w:val="00D753A9"/>
    <w:rsid w:val="00D755F7"/>
    <w:rsid w:val="00D75E4B"/>
    <w:rsid w:val="00D77AF6"/>
    <w:rsid w:val="00D804C5"/>
    <w:rsid w:val="00D80FDE"/>
    <w:rsid w:val="00D81A28"/>
    <w:rsid w:val="00D81A52"/>
    <w:rsid w:val="00D82B00"/>
    <w:rsid w:val="00D82BE4"/>
    <w:rsid w:val="00D82E05"/>
    <w:rsid w:val="00D8313F"/>
    <w:rsid w:val="00D83C0D"/>
    <w:rsid w:val="00D846B5"/>
    <w:rsid w:val="00D8665E"/>
    <w:rsid w:val="00D869C1"/>
    <w:rsid w:val="00D86EC6"/>
    <w:rsid w:val="00D87418"/>
    <w:rsid w:val="00D876AF"/>
    <w:rsid w:val="00D87A39"/>
    <w:rsid w:val="00D87FE6"/>
    <w:rsid w:val="00D90BC3"/>
    <w:rsid w:val="00D90DB9"/>
    <w:rsid w:val="00D91001"/>
    <w:rsid w:val="00D91337"/>
    <w:rsid w:val="00D915C9"/>
    <w:rsid w:val="00D918DA"/>
    <w:rsid w:val="00D9198F"/>
    <w:rsid w:val="00D91FCB"/>
    <w:rsid w:val="00D92078"/>
    <w:rsid w:val="00D927E8"/>
    <w:rsid w:val="00D92A87"/>
    <w:rsid w:val="00D9384E"/>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EE2"/>
    <w:rsid w:val="00DA78CF"/>
    <w:rsid w:val="00DA78D5"/>
    <w:rsid w:val="00DA7A89"/>
    <w:rsid w:val="00DA7BF4"/>
    <w:rsid w:val="00DB052F"/>
    <w:rsid w:val="00DB0D2C"/>
    <w:rsid w:val="00DB107D"/>
    <w:rsid w:val="00DB149F"/>
    <w:rsid w:val="00DB14D3"/>
    <w:rsid w:val="00DB154B"/>
    <w:rsid w:val="00DB1632"/>
    <w:rsid w:val="00DB1BDC"/>
    <w:rsid w:val="00DB1D2A"/>
    <w:rsid w:val="00DB2A95"/>
    <w:rsid w:val="00DB3490"/>
    <w:rsid w:val="00DB3593"/>
    <w:rsid w:val="00DB395F"/>
    <w:rsid w:val="00DB440B"/>
    <w:rsid w:val="00DB4426"/>
    <w:rsid w:val="00DB4B40"/>
    <w:rsid w:val="00DB4F12"/>
    <w:rsid w:val="00DB4F21"/>
    <w:rsid w:val="00DB5184"/>
    <w:rsid w:val="00DB5F7A"/>
    <w:rsid w:val="00DB6D32"/>
    <w:rsid w:val="00DB6F96"/>
    <w:rsid w:val="00DB71B9"/>
    <w:rsid w:val="00DB7C5C"/>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42DE"/>
    <w:rsid w:val="00DD4309"/>
    <w:rsid w:val="00DD4344"/>
    <w:rsid w:val="00DD573B"/>
    <w:rsid w:val="00DD5A1E"/>
    <w:rsid w:val="00DD5B8C"/>
    <w:rsid w:val="00DD5BEE"/>
    <w:rsid w:val="00DD5DFA"/>
    <w:rsid w:val="00DE0229"/>
    <w:rsid w:val="00DE191B"/>
    <w:rsid w:val="00DE1A9D"/>
    <w:rsid w:val="00DE1CB1"/>
    <w:rsid w:val="00DE2073"/>
    <w:rsid w:val="00DE2414"/>
    <w:rsid w:val="00DE30AC"/>
    <w:rsid w:val="00DE4106"/>
    <w:rsid w:val="00DE466B"/>
    <w:rsid w:val="00DE48F4"/>
    <w:rsid w:val="00DE5563"/>
    <w:rsid w:val="00DE5D48"/>
    <w:rsid w:val="00DE6E4D"/>
    <w:rsid w:val="00DE7121"/>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1E6"/>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A76"/>
    <w:rsid w:val="00E12BDF"/>
    <w:rsid w:val="00E12D66"/>
    <w:rsid w:val="00E13326"/>
    <w:rsid w:val="00E14356"/>
    <w:rsid w:val="00E14961"/>
    <w:rsid w:val="00E14D76"/>
    <w:rsid w:val="00E15485"/>
    <w:rsid w:val="00E15D6C"/>
    <w:rsid w:val="00E161DE"/>
    <w:rsid w:val="00E17E84"/>
    <w:rsid w:val="00E203DE"/>
    <w:rsid w:val="00E20CE7"/>
    <w:rsid w:val="00E217B1"/>
    <w:rsid w:val="00E222FA"/>
    <w:rsid w:val="00E229CE"/>
    <w:rsid w:val="00E22B4A"/>
    <w:rsid w:val="00E24A62"/>
    <w:rsid w:val="00E24F52"/>
    <w:rsid w:val="00E25433"/>
    <w:rsid w:val="00E2567D"/>
    <w:rsid w:val="00E25755"/>
    <w:rsid w:val="00E26D2E"/>
    <w:rsid w:val="00E279B2"/>
    <w:rsid w:val="00E3055B"/>
    <w:rsid w:val="00E31699"/>
    <w:rsid w:val="00E31812"/>
    <w:rsid w:val="00E31889"/>
    <w:rsid w:val="00E31CE7"/>
    <w:rsid w:val="00E32F3B"/>
    <w:rsid w:val="00E333D5"/>
    <w:rsid w:val="00E3394F"/>
    <w:rsid w:val="00E35A45"/>
    <w:rsid w:val="00E37A6F"/>
    <w:rsid w:val="00E40222"/>
    <w:rsid w:val="00E40406"/>
    <w:rsid w:val="00E40BCB"/>
    <w:rsid w:val="00E41DD2"/>
    <w:rsid w:val="00E4208F"/>
    <w:rsid w:val="00E43006"/>
    <w:rsid w:val="00E43551"/>
    <w:rsid w:val="00E437FA"/>
    <w:rsid w:val="00E45A2C"/>
    <w:rsid w:val="00E46A9C"/>
    <w:rsid w:val="00E47010"/>
    <w:rsid w:val="00E50BDD"/>
    <w:rsid w:val="00E50DF3"/>
    <w:rsid w:val="00E510CF"/>
    <w:rsid w:val="00E513D7"/>
    <w:rsid w:val="00E5206C"/>
    <w:rsid w:val="00E52897"/>
    <w:rsid w:val="00E52AAB"/>
    <w:rsid w:val="00E52DF4"/>
    <w:rsid w:val="00E5448E"/>
    <w:rsid w:val="00E54E0D"/>
    <w:rsid w:val="00E555A9"/>
    <w:rsid w:val="00E558E5"/>
    <w:rsid w:val="00E56144"/>
    <w:rsid w:val="00E56795"/>
    <w:rsid w:val="00E57932"/>
    <w:rsid w:val="00E606C4"/>
    <w:rsid w:val="00E60811"/>
    <w:rsid w:val="00E60AB8"/>
    <w:rsid w:val="00E615B3"/>
    <w:rsid w:val="00E63C60"/>
    <w:rsid w:val="00E64050"/>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AD7"/>
    <w:rsid w:val="00E82D24"/>
    <w:rsid w:val="00E8357D"/>
    <w:rsid w:val="00E84212"/>
    <w:rsid w:val="00E84C04"/>
    <w:rsid w:val="00E84F72"/>
    <w:rsid w:val="00E856A2"/>
    <w:rsid w:val="00E8572B"/>
    <w:rsid w:val="00E8575B"/>
    <w:rsid w:val="00E85929"/>
    <w:rsid w:val="00E85AD2"/>
    <w:rsid w:val="00E874BB"/>
    <w:rsid w:val="00E87AE5"/>
    <w:rsid w:val="00E87CF7"/>
    <w:rsid w:val="00E87E4D"/>
    <w:rsid w:val="00E9036E"/>
    <w:rsid w:val="00E9078A"/>
    <w:rsid w:val="00E912FD"/>
    <w:rsid w:val="00E92C6E"/>
    <w:rsid w:val="00E92D0B"/>
    <w:rsid w:val="00E93195"/>
    <w:rsid w:val="00E934A7"/>
    <w:rsid w:val="00E9519E"/>
    <w:rsid w:val="00E951D8"/>
    <w:rsid w:val="00E95C2A"/>
    <w:rsid w:val="00E961CB"/>
    <w:rsid w:val="00E963BC"/>
    <w:rsid w:val="00E96E91"/>
    <w:rsid w:val="00E97DC6"/>
    <w:rsid w:val="00E97F3B"/>
    <w:rsid w:val="00E97F7A"/>
    <w:rsid w:val="00EA0010"/>
    <w:rsid w:val="00EA0143"/>
    <w:rsid w:val="00EA0400"/>
    <w:rsid w:val="00EA089B"/>
    <w:rsid w:val="00EA0902"/>
    <w:rsid w:val="00EA1A55"/>
    <w:rsid w:val="00EA1D28"/>
    <w:rsid w:val="00EA2686"/>
    <w:rsid w:val="00EA2E21"/>
    <w:rsid w:val="00EA37FA"/>
    <w:rsid w:val="00EA380C"/>
    <w:rsid w:val="00EA7308"/>
    <w:rsid w:val="00EA783E"/>
    <w:rsid w:val="00EA7D07"/>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CE6"/>
    <w:rsid w:val="00EB3E92"/>
    <w:rsid w:val="00EB54AB"/>
    <w:rsid w:val="00EB6257"/>
    <w:rsid w:val="00EB68E6"/>
    <w:rsid w:val="00EB71C9"/>
    <w:rsid w:val="00EB7392"/>
    <w:rsid w:val="00EB7B67"/>
    <w:rsid w:val="00EC07F1"/>
    <w:rsid w:val="00EC14EA"/>
    <w:rsid w:val="00EC1E8A"/>
    <w:rsid w:val="00EC302E"/>
    <w:rsid w:val="00EC328C"/>
    <w:rsid w:val="00EC5241"/>
    <w:rsid w:val="00EC56E1"/>
    <w:rsid w:val="00EC594C"/>
    <w:rsid w:val="00EC5B44"/>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BCB"/>
    <w:rsid w:val="00ED7CA2"/>
    <w:rsid w:val="00EE014B"/>
    <w:rsid w:val="00EE13DA"/>
    <w:rsid w:val="00EE1595"/>
    <w:rsid w:val="00EE2087"/>
    <w:rsid w:val="00EE3384"/>
    <w:rsid w:val="00EE499F"/>
    <w:rsid w:val="00EE56E2"/>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F00630"/>
    <w:rsid w:val="00F00922"/>
    <w:rsid w:val="00F00924"/>
    <w:rsid w:val="00F00AB5"/>
    <w:rsid w:val="00F01BE6"/>
    <w:rsid w:val="00F0217A"/>
    <w:rsid w:val="00F026D3"/>
    <w:rsid w:val="00F02FFB"/>
    <w:rsid w:val="00F03395"/>
    <w:rsid w:val="00F034E6"/>
    <w:rsid w:val="00F03E4C"/>
    <w:rsid w:val="00F04560"/>
    <w:rsid w:val="00F06340"/>
    <w:rsid w:val="00F0665D"/>
    <w:rsid w:val="00F06D42"/>
    <w:rsid w:val="00F07134"/>
    <w:rsid w:val="00F0724D"/>
    <w:rsid w:val="00F07378"/>
    <w:rsid w:val="00F10B81"/>
    <w:rsid w:val="00F14591"/>
    <w:rsid w:val="00F145D3"/>
    <w:rsid w:val="00F14B4B"/>
    <w:rsid w:val="00F14CD1"/>
    <w:rsid w:val="00F15115"/>
    <w:rsid w:val="00F15C81"/>
    <w:rsid w:val="00F15C8E"/>
    <w:rsid w:val="00F15D8C"/>
    <w:rsid w:val="00F15F18"/>
    <w:rsid w:val="00F16B86"/>
    <w:rsid w:val="00F16E1A"/>
    <w:rsid w:val="00F16F92"/>
    <w:rsid w:val="00F17904"/>
    <w:rsid w:val="00F17C3E"/>
    <w:rsid w:val="00F20197"/>
    <w:rsid w:val="00F20369"/>
    <w:rsid w:val="00F20570"/>
    <w:rsid w:val="00F205A1"/>
    <w:rsid w:val="00F20607"/>
    <w:rsid w:val="00F208BB"/>
    <w:rsid w:val="00F213D8"/>
    <w:rsid w:val="00F21760"/>
    <w:rsid w:val="00F21A5D"/>
    <w:rsid w:val="00F21C13"/>
    <w:rsid w:val="00F22362"/>
    <w:rsid w:val="00F22796"/>
    <w:rsid w:val="00F2363A"/>
    <w:rsid w:val="00F238F7"/>
    <w:rsid w:val="00F23BA0"/>
    <w:rsid w:val="00F254C4"/>
    <w:rsid w:val="00F25641"/>
    <w:rsid w:val="00F256D8"/>
    <w:rsid w:val="00F26065"/>
    <w:rsid w:val="00F266E3"/>
    <w:rsid w:val="00F2689C"/>
    <w:rsid w:val="00F27E44"/>
    <w:rsid w:val="00F30313"/>
    <w:rsid w:val="00F303BC"/>
    <w:rsid w:val="00F309CD"/>
    <w:rsid w:val="00F317EA"/>
    <w:rsid w:val="00F318A1"/>
    <w:rsid w:val="00F31CF5"/>
    <w:rsid w:val="00F3265C"/>
    <w:rsid w:val="00F343EE"/>
    <w:rsid w:val="00F353F4"/>
    <w:rsid w:val="00F35494"/>
    <w:rsid w:val="00F35607"/>
    <w:rsid w:val="00F35D47"/>
    <w:rsid w:val="00F35DBA"/>
    <w:rsid w:val="00F3619D"/>
    <w:rsid w:val="00F36EC1"/>
    <w:rsid w:val="00F3722A"/>
    <w:rsid w:val="00F37366"/>
    <w:rsid w:val="00F37C99"/>
    <w:rsid w:val="00F40747"/>
    <w:rsid w:val="00F419B8"/>
    <w:rsid w:val="00F41C0F"/>
    <w:rsid w:val="00F42856"/>
    <w:rsid w:val="00F42F47"/>
    <w:rsid w:val="00F43777"/>
    <w:rsid w:val="00F43A4C"/>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A82"/>
    <w:rsid w:val="00F51B78"/>
    <w:rsid w:val="00F5254B"/>
    <w:rsid w:val="00F53A44"/>
    <w:rsid w:val="00F53E96"/>
    <w:rsid w:val="00F54E5E"/>
    <w:rsid w:val="00F551DB"/>
    <w:rsid w:val="00F559BE"/>
    <w:rsid w:val="00F56FEF"/>
    <w:rsid w:val="00F57521"/>
    <w:rsid w:val="00F60938"/>
    <w:rsid w:val="00F60C7E"/>
    <w:rsid w:val="00F60E0A"/>
    <w:rsid w:val="00F61606"/>
    <w:rsid w:val="00F61918"/>
    <w:rsid w:val="00F61C45"/>
    <w:rsid w:val="00F62151"/>
    <w:rsid w:val="00F62CA8"/>
    <w:rsid w:val="00F630B4"/>
    <w:rsid w:val="00F635EF"/>
    <w:rsid w:val="00F63BF4"/>
    <w:rsid w:val="00F63C55"/>
    <w:rsid w:val="00F63C60"/>
    <w:rsid w:val="00F64991"/>
    <w:rsid w:val="00F65BA9"/>
    <w:rsid w:val="00F65BC8"/>
    <w:rsid w:val="00F66205"/>
    <w:rsid w:val="00F6630F"/>
    <w:rsid w:val="00F66419"/>
    <w:rsid w:val="00F67842"/>
    <w:rsid w:val="00F67B58"/>
    <w:rsid w:val="00F67E81"/>
    <w:rsid w:val="00F70A50"/>
    <w:rsid w:val="00F71C68"/>
    <w:rsid w:val="00F724E2"/>
    <w:rsid w:val="00F725DD"/>
    <w:rsid w:val="00F74103"/>
    <w:rsid w:val="00F745A4"/>
    <w:rsid w:val="00F74C0C"/>
    <w:rsid w:val="00F75BB5"/>
    <w:rsid w:val="00F75FD5"/>
    <w:rsid w:val="00F7604C"/>
    <w:rsid w:val="00F773A9"/>
    <w:rsid w:val="00F81623"/>
    <w:rsid w:val="00F81D25"/>
    <w:rsid w:val="00F829B9"/>
    <w:rsid w:val="00F82EA0"/>
    <w:rsid w:val="00F83045"/>
    <w:rsid w:val="00F83615"/>
    <w:rsid w:val="00F8421D"/>
    <w:rsid w:val="00F84621"/>
    <w:rsid w:val="00F85329"/>
    <w:rsid w:val="00F86079"/>
    <w:rsid w:val="00F87282"/>
    <w:rsid w:val="00F878CD"/>
    <w:rsid w:val="00F87905"/>
    <w:rsid w:val="00F90C1F"/>
    <w:rsid w:val="00F910AF"/>
    <w:rsid w:val="00F9199A"/>
    <w:rsid w:val="00F91A44"/>
    <w:rsid w:val="00F9217B"/>
    <w:rsid w:val="00F951DF"/>
    <w:rsid w:val="00F96655"/>
    <w:rsid w:val="00F97A34"/>
    <w:rsid w:val="00F97E4A"/>
    <w:rsid w:val="00F97EA1"/>
    <w:rsid w:val="00FA05C8"/>
    <w:rsid w:val="00FA0678"/>
    <w:rsid w:val="00FA0DB6"/>
    <w:rsid w:val="00FA23F7"/>
    <w:rsid w:val="00FA27EB"/>
    <w:rsid w:val="00FA3EBC"/>
    <w:rsid w:val="00FA423C"/>
    <w:rsid w:val="00FA44D0"/>
    <w:rsid w:val="00FA54A1"/>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B3"/>
    <w:rsid w:val="00FC09D7"/>
    <w:rsid w:val="00FC22D0"/>
    <w:rsid w:val="00FC38D4"/>
    <w:rsid w:val="00FC391E"/>
    <w:rsid w:val="00FC3BB7"/>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5AE4"/>
    <w:rsid w:val="00FD5F25"/>
    <w:rsid w:val="00FD60BE"/>
    <w:rsid w:val="00FD6894"/>
    <w:rsid w:val="00FD6AF0"/>
    <w:rsid w:val="00FD704D"/>
    <w:rsid w:val="00FD74E3"/>
    <w:rsid w:val="00FD79B8"/>
    <w:rsid w:val="00FE0AD1"/>
    <w:rsid w:val="00FE1852"/>
    <w:rsid w:val="00FE32B7"/>
    <w:rsid w:val="00FE33DB"/>
    <w:rsid w:val="00FE33F5"/>
    <w:rsid w:val="00FE37DD"/>
    <w:rsid w:val="00FE3C31"/>
    <w:rsid w:val="00FE4015"/>
    <w:rsid w:val="00FE44F5"/>
    <w:rsid w:val="00FE4783"/>
    <w:rsid w:val="00FE480D"/>
    <w:rsid w:val="00FE4ACC"/>
    <w:rsid w:val="00FE7DD1"/>
    <w:rsid w:val="00FF0B4F"/>
    <w:rsid w:val="00FF0B70"/>
    <w:rsid w:val="00FF1A06"/>
    <w:rsid w:val="00FF1AD3"/>
    <w:rsid w:val="00FF1B46"/>
    <w:rsid w:val="00FF219D"/>
    <w:rsid w:val="00FF2BB3"/>
    <w:rsid w:val="00FF49B4"/>
    <w:rsid w:val="00FF49F4"/>
    <w:rsid w:val="00FF651D"/>
    <w:rsid w:val="00FF6843"/>
    <w:rsid w:val="00FF7724"/>
    <w:rsid w:val="00FF78E2"/>
    <w:rsid w:val="010651D9"/>
    <w:rsid w:val="018502B5"/>
    <w:rsid w:val="02200BA9"/>
    <w:rsid w:val="03162E60"/>
    <w:rsid w:val="03337382"/>
    <w:rsid w:val="03DD35E4"/>
    <w:rsid w:val="04AB601A"/>
    <w:rsid w:val="04F14936"/>
    <w:rsid w:val="053578FC"/>
    <w:rsid w:val="053E3ADB"/>
    <w:rsid w:val="0563090D"/>
    <w:rsid w:val="05DF3A53"/>
    <w:rsid w:val="0605425D"/>
    <w:rsid w:val="065A6178"/>
    <w:rsid w:val="07101279"/>
    <w:rsid w:val="08A20E83"/>
    <w:rsid w:val="098F03F8"/>
    <w:rsid w:val="0A51342A"/>
    <w:rsid w:val="0A562168"/>
    <w:rsid w:val="0A5B7E63"/>
    <w:rsid w:val="0BE8101B"/>
    <w:rsid w:val="0C87121B"/>
    <w:rsid w:val="0CDD493C"/>
    <w:rsid w:val="0D3A01A5"/>
    <w:rsid w:val="0D59721F"/>
    <w:rsid w:val="0D8E421B"/>
    <w:rsid w:val="0D9E6C7B"/>
    <w:rsid w:val="0DF702FE"/>
    <w:rsid w:val="0E324406"/>
    <w:rsid w:val="0F277032"/>
    <w:rsid w:val="0F816ACD"/>
    <w:rsid w:val="0F964154"/>
    <w:rsid w:val="0FCA49CB"/>
    <w:rsid w:val="10FC16EA"/>
    <w:rsid w:val="114C7551"/>
    <w:rsid w:val="114F3DE9"/>
    <w:rsid w:val="118963A1"/>
    <w:rsid w:val="11EE1C29"/>
    <w:rsid w:val="1212609B"/>
    <w:rsid w:val="127723A9"/>
    <w:rsid w:val="12D918ED"/>
    <w:rsid w:val="13072A44"/>
    <w:rsid w:val="13555D5C"/>
    <w:rsid w:val="135D4586"/>
    <w:rsid w:val="14BE790E"/>
    <w:rsid w:val="15616908"/>
    <w:rsid w:val="15737510"/>
    <w:rsid w:val="15A6477B"/>
    <w:rsid w:val="160E7C67"/>
    <w:rsid w:val="161F5FBA"/>
    <w:rsid w:val="16866209"/>
    <w:rsid w:val="173B6FF4"/>
    <w:rsid w:val="17F378CF"/>
    <w:rsid w:val="18D52883"/>
    <w:rsid w:val="19200077"/>
    <w:rsid w:val="19AD1CFF"/>
    <w:rsid w:val="1A15126C"/>
    <w:rsid w:val="1A951111"/>
    <w:rsid w:val="1ABA0B77"/>
    <w:rsid w:val="1B152E7C"/>
    <w:rsid w:val="1B2A271F"/>
    <w:rsid w:val="1C4C4BC0"/>
    <w:rsid w:val="1C9A72B3"/>
    <w:rsid w:val="1CC21F65"/>
    <w:rsid w:val="1D266CE1"/>
    <w:rsid w:val="1D392D8E"/>
    <w:rsid w:val="1D3963AF"/>
    <w:rsid w:val="1E714A66"/>
    <w:rsid w:val="1FE868A9"/>
    <w:rsid w:val="20A165BD"/>
    <w:rsid w:val="20B74817"/>
    <w:rsid w:val="20D33458"/>
    <w:rsid w:val="21107461"/>
    <w:rsid w:val="227B20F6"/>
    <w:rsid w:val="23C142D5"/>
    <w:rsid w:val="24B86128"/>
    <w:rsid w:val="260457A8"/>
    <w:rsid w:val="279C379A"/>
    <w:rsid w:val="28562545"/>
    <w:rsid w:val="29EC2C27"/>
    <w:rsid w:val="2A496297"/>
    <w:rsid w:val="2A5854FC"/>
    <w:rsid w:val="2AEC55B4"/>
    <w:rsid w:val="2B3B1275"/>
    <w:rsid w:val="2C1E0EE9"/>
    <w:rsid w:val="2C2B65BC"/>
    <w:rsid w:val="2C2F1276"/>
    <w:rsid w:val="2D404C52"/>
    <w:rsid w:val="2D9B65E7"/>
    <w:rsid w:val="2D9D3D2A"/>
    <w:rsid w:val="2DD15014"/>
    <w:rsid w:val="2EA8753A"/>
    <w:rsid w:val="2F137A4C"/>
    <w:rsid w:val="2FAF03E9"/>
    <w:rsid w:val="2FD25781"/>
    <w:rsid w:val="2FF73084"/>
    <w:rsid w:val="309F63A7"/>
    <w:rsid w:val="30CC3396"/>
    <w:rsid w:val="317801BD"/>
    <w:rsid w:val="319C6071"/>
    <w:rsid w:val="334D2ACA"/>
    <w:rsid w:val="33F736D3"/>
    <w:rsid w:val="342E63AB"/>
    <w:rsid w:val="344B5139"/>
    <w:rsid w:val="34967B08"/>
    <w:rsid w:val="35AB75E3"/>
    <w:rsid w:val="365302AE"/>
    <w:rsid w:val="367D3204"/>
    <w:rsid w:val="37CA5C8C"/>
    <w:rsid w:val="37D22C05"/>
    <w:rsid w:val="398F42DB"/>
    <w:rsid w:val="3A8567FB"/>
    <w:rsid w:val="3BB371F1"/>
    <w:rsid w:val="3C2224F4"/>
    <w:rsid w:val="3C5F759A"/>
    <w:rsid w:val="3C6E67E0"/>
    <w:rsid w:val="3CCA65A0"/>
    <w:rsid w:val="3D3303D5"/>
    <w:rsid w:val="3D40369E"/>
    <w:rsid w:val="3DC079A3"/>
    <w:rsid w:val="3E234C13"/>
    <w:rsid w:val="3EF20030"/>
    <w:rsid w:val="40183943"/>
    <w:rsid w:val="42E1381E"/>
    <w:rsid w:val="431B1746"/>
    <w:rsid w:val="44781760"/>
    <w:rsid w:val="4574354D"/>
    <w:rsid w:val="479C27F8"/>
    <w:rsid w:val="47F045CD"/>
    <w:rsid w:val="4800405C"/>
    <w:rsid w:val="483B69E1"/>
    <w:rsid w:val="48751F9C"/>
    <w:rsid w:val="49AF48F1"/>
    <w:rsid w:val="49B21079"/>
    <w:rsid w:val="4AD5594C"/>
    <w:rsid w:val="4C7C0118"/>
    <w:rsid w:val="4DAD1CAB"/>
    <w:rsid w:val="4E663E61"/>
    <w:rsid w:val="508B36D8"/>
    <w:rsid w:val="51215FCC"/>
    <w:rsid w:val="51402E7D"/>
    <w:rsid w:val="51A0432A"/>
    <w:rsid w:val="52733D7F"/>
    <w:rsid w:val="527D08CB"/>
    <w:rsid w:val="52A96B6F"/>
    <w:rsid w:val="535B3F9E"/>
    <w:rsid w:val="548228E7"/>
    <w:rsid w:val="550764A4"/>
    <w:rsid w:val="556E2B4F"/>
    <w:rsid w:val="56830A59"/>
    <w:rsid w:val="56A64AF1"/>
    <w:rsid w:val="56B91708"/>
    <w:rsid w:val="58AE4F0C"/>
    <w:rsid w:val="58F8350C"/>
    <w:rsid w:val="5A2A7C7B"/>
    <w:rsid w:val="5C0473DF"/>
    <w:rsid w:val="5C794EB5"/>
    <w:rsid w:val="5C80234E"/>
    <w:rsid w:val="5CD31225"/>
    <w:rsid w:val="5D4B04D0"/>
    <w:rsid w:val="5E261785"/>
    <w:rsid w:val="5F5E6CF6"/>
    <w:rsid w:val="5FCC5339"/>
    <w:rsid w:val="601665AE"/>
    <w:rsid w:val="60525479"/>
    <w:rsid w:val="60A7632F"/>
    <w:rsid w:val="60AA3E6F"/>
    <w:rsid w:val="61054A27"/>
    <w:rsid w:val="611D2366"/>
    <w:rsid w:val="61A403F4"/>
    <w:rsid w:val="61E873DE"/>
    <w:rsid w:val="623F53F1"/>
    <w:rsid w:val="62885958"/>
    <w:rsid w:val="6318148A"/>
    <w:rsid w:val="63806DCF"/>
    <w:rsid w:val="64CE2EAA"/>
    <w:rsid w:val="65D23698"/>
    <w:rsid w:val="662E75B1"/>
    <w:rsid w:val="66342C2E"/>
    <w:rsid w:val="663A5C95"/>
    <w:rsid w:val="663E784C"/>
    <w:rsid w:val="66B81A33"/>
    <w:rsid w:val="672E57FA"/>
    <w:rsid w:val="68680898"/>
    <w:rsid w:val="69264EFC"/>
    <w:rsid w:val="69383701"/>
    <w:rsid w:val="6AD75DC0"/>
    <w:rsid w:val="6B4C26F3"/>
    <w:rsid w:val="6BA75B7B"/>
    <w:rsid w:val="6C2D1BC8"/>
    <w:rsid w:val="6D126F21"/>
    <w:rsid w:val="6D473249"/>
    <w:rsid w:val="6D505D9E"/>
    <w:rsid w:val="6D592B5E"/>
    <w:rsid w:val="6D926F4D"/>
    <w:rsid w:val="6DE65080"/>
    <w:rsid w:val="6E8E12EF"/>
    <w:rsid w:val="6FED394E"/>
    <w:rsid w:val="717B5AE0"/>
    <w:rsid w:val="71C300C5"/>
    <w:rsid w:val="71D43752"/>
    <w:rsid w:val="71E06240"/>
    <w:rsid w:val="72C76B03"/>
    <w:rsid w:val="74723174"/>
    <w:rsid w:val="74731246"/>
    <w:rsid w:val="749C4185"/>
    <w:rsid w:val="75841CE6"/>
    <w:rsid w:val="75DA2C18"/>
    <w:rsid w:val="76020568"/>
    <w:rsid w:val="7859279C"/>
    <w:rsid w:val="791C63D5"/>
    <w:rsid w:val="7926633B"/>
    <w:rsid w:val="79F05DB6"/>
    <w:rsid w:val="7A67303B"/>
    <w:rsid w:val="7AAB1D04"/>
    <w:rsid w:val="7ABA4368"/>
    <w:rsid w:val="7B257FFD"/>
    <w:rsid w:val="7C1E59E5"/>
    <w:rsid w:val="7C664691"/>
    <w:rsid w:val="7CD04806"/>
    <w:rsid w:val="7D63703E"/>
    <w:rsid w:val="7D97007A"/>
    <w:rsid w:val="7FBC78A9"/>
    <w:rsid w:val="7FF24449"/>
    <w:rsid w:val="7FFE5B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42"/>
    <w:autoRedefine/>
    <w:qFormat/>
    <w:uiPriority w:val="0"/>
    <w:pPr>
      <w:adjustRightInd/>
      <w:spacing w:line="360" w:lineRule="auto"/>
      <w:jc w:val="center"/>
      <w:outlineLvl w:val="0"/>
    </w:pPr>
    <w:rPr>
      <w:rFonts w:ascii="仿宋" w:hAnsi="仿宋" w:eastAsia="仿宋" w:cs="仿宋_GB2312"/>
      <w:b/>
      <w:color w:val="000000"/>
      <w:sz w:val="36"/>
      <w:szCs w:val="36"/>
    </w:rPr>
  </w:style>
  <w:style w:type="paragraph" w:styleId="3">
    <w:name w:val="heading 2"/>
    <w:basedOn w:val="1"/>
    <w:next w:val="1"/>
    <w:autoRedefine/>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2"/>
      </w:numPr>
      <w:spacing w:before="260" w:after="260" w:line="416" w:lineRule="auto"/>
      <w:outlineLvl w:val="2"/>
    </w:pPr>
    <w:rPr>
      <w:b/>
      <w:bCs/>
      <w:sz w:val="32"/>
      <w:szCs w:val="32"/>
    </w:rPr>
  </w:style>
  <w:style w:type="paragraph" w:styleId="5">
    <w:name w:val="heading 4"/>
    <w:basedOn w:val="1"/>
    <w:next w:val="1"/>
    <w:link w:val="212"/>
    <w:autoRedefine/>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175"/>
    <w:autoRedefine/>
    <w:qFormat/>
    <w:uiPriority w:val="0"/>
    <w:pPr>
      <w:keepNext/>
      <w:keepLines/>
      <w:numPr>
        <w:ilvl w:val="4"/>
        <w:numId w:val="2"/>
      </w:numPr>
      <w:spacing w:before="280" w:after="290" w:line="376" w:lineRule="auto"/>
      <w:outlineLvl w:val="4"/>
    </w:pPr>
    <w:rPr>
      <w:b/>
      <w:bCs/>
      <w:sz w:val="28"/>
      <w:szCs w:val="28"/>
    </w:rPr>
  </w:style>
  <w:style w:type="paragraph" w:styleId="7">
    <w:name w:val="heading 6"/>
    <w:basedOn w:val="1"/>
    <w:next w:val="1"/>
    <w:link w:val="240"/>
    <w:autoRedefine/>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8">
    <w:name w:val="heading 7"/>
    <w:basedOn w:val="1"/>
    <w:next w:val="1"/>
    <w:link w:val="206"/>
    <w:autoRedefine/>
    <w:qFormat/>
    <w:uiPriority w:val="0"/>
    <w:pPr>
      <w:keepNext/>
      <w:keepLines/>
      <w:numPr>
        <w:ilvl w:val="6"/>
        <w:numId w:val="2"/>
      </w:numPr>
      <w:spacing w:before="240" w:after="64" w:line="320" w:lineRule="auto"/>
      <w:outlineLvl w:val="6"/>
    </w:pPr>
    <w:rPr>
      <w:b/>
      <w:bCs/>
      <w:sz w:val="24"/>
    </w:rPr>
  </w:style>
  <w:style w:type="paragraph" w:styleId="9">
    <w:name w:val="heading 8"/>
    <w:basedOn w:val="1"/>
    <w:next w:val="1"/>
    <w:link w:val="110"/>
    <w:autoRedefine/>
    <w:qFormat/>
    <w:uiPriority w:val="0"/>
    <w:pPr>
      <w:keepNext/>
      <w:keepLines/>
      <w:numPr>
        <w:ilvl w:val="7"/>
        <w:numId w:val="2"/>
      </w:numPr>
      <w:spacing w:before="240" w:after="64" w:line="320" w:lineRule="auto"/>
      <w:outlineLvl w:val="7"/>
    </w:pPr>
    <w:rPr>
      <w:rFonts w:ascii="Arial" w:hAnsi="Arial" w:eastAsia="黑体"/>
      <w:sz w:val="24"/>
    </w:rPr>
  </w:style>
  <w:style w:type="paragraph" w:styleId="10">
    <w:name w:val="heading 9"/>
    <w:basedOn w:val="1"/>
    <w:next w:val="1"/>
    <w:link w:val="123"/>
    <w:autoRedefine/>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242"/>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246"/>
    <w:autoRedefine/>
    <w:qFormat/>
    <w:uiPriority w:val="99"/>
    <w:pPr>
      <w:jc w:val="left"/>
    </w:pPr>
  </w:style>
  <w:style w:type="paragraph" w:styleId="20">
    <w:name w:val="Salutation"/>
    <w:basedOn w:val="1"/>
    <w:next w:val="1"/>
    <w:link w:val="211"/>
    <w:autoRedefine/>
    <w:qFormat/>
    <w:uiPriority w:val="0"/>
    <w:rPr>
      <w:rFonts w:ascii="仿宋_GB2312" w:eastAsia="仿宋_GB2312"/>
      <w:sz w:val="28"/>
      <w:szCs w:val="20"/>
    </w:rPr>
  </w:style>
  <w:style w:type="paragraph" w:styleId="21">
    <w:name w:val="Body Text 3"/>
    <w:basedOn w:val="1"/>
    <w:link w:val="184"/>
    <w:autoRedefine/>
    <w:qFormat/>
    <w:uiPriority w:val="0"/>
    <w:pPr>
      <w:jc w:val="center"/>
    </w:pPr>
    <w:rPr>
      <w:szCs w:val="20"/>
    </w:rPr>
  </w:style>
  <w:style w:type="paragraph" w:styleId="22">
    <w:name w:val="Body Text"/>
    <w:basedOn w:val="1"/>
    <w:next w:val="23"/>
    <w:link w:val="120"/>
    <w:autoRedefine/>
    <w:qFormat/>
    <w:uiPriority w:val="0"/>
    <w:pPr>
      <w:autoSpaceDE w:val="0"/>
      <w:autoSpaceDN w:val="0"/>
      <w:spacing w:line="360" w:lineRule="auto"/>
    </w:pPr>
    <w:rPr>
      <w:rFonts w:ascii="宋体"/>
      <w:sz w:val="24"/>
      <w:szCs w:val="21"/>
      <w:lang w:val="zh-CN"/>
    </w:rPr>
  </w:style>
  <w:style w:type="paragraph" w:styleId="23">
    <w:name w:val="Body Text First Indent"/>
    <w:basedOn w:val="22"/>
    <w:next w:val="1"/>
    <w:link w:val="133"/>
    <w:autoRedefine/>
    <w:qFormat/>
    <w:uiPriority w:val="0"/>
    <w:pPr>
      <w:ind w:firstLine="420"/>
    </w:pPr>
    <w:rPr>
      <w:szCs w:val="20"/>
    </w:rPr>
  </w:style>
  <w:style w:type="paragraph" w:styleId="24">
    <w:name w:val="Body Text Indent"/>
    <w:basedOn w:val="1"/>
    <w:link w:val="101"/>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173"/>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222"/>
    <w:autoRedefine/>
    <w:qFormat/>
    <w:uiPriority w:val="0"/>
    <w:rPr>
      <w:rFonts w:ascii="宋体" w:hAnsi="Courier New"/>
      <w:szCs w:val="20"/>
    </w:rPr>
  </w:style>
  <w:style w:type="paragraph" w:styleId="33">
    <w:name w:val="List Number 4"/>
    <w:basedOn w:val="1"/>
    <w:autoRedefine/>
    <w:qFormat/>
    <w:uiPriority w:val="0"/>
    <w:pPr>
      <w:numPr>
        <w:ilvl w:val="0"/>
        <w:numId w:val="4"/>
      </w:numPr>
      <w:autoSpaceDE w:val="0"/>
      <w:autoSpaceDN w:val="0"/>
      <w:spacing w:line="360" w:lineRule="atLeast"/>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209"/>
    <w:autoRedefine/>
    <w:qFormat/>
    <w:uiPriority w:val="0"/>
    <w:pPr>
      <w:ind w:left="100" w:leftChars="2500"/>
    </w:pPr>
    <w:rPr>
      <w:rFonts w:ascii="宋体"/>
      <w:sz w:val="24"/>
      <w:szCs w:val="21"/>
      <w:lang w:val="zh-CN"/>
    </w:rPr>
  </w:style>
  <w:style w:type="paragraph" w:styleId="36">
    <w:name w:val="Body Text Indent 2"/>
    <w:basedOn w:val="1"/>
    <w:link w:val="81"/>
    <w:autoRedefine/>
    <w:qFormat/>
    <w:uiPriority w:val="0"/>
    <w:pPr>
      <w:spacing w:line="360" w:lineRule="auto"/>
      <w:ind w:firstLine="601"/>
      <w:textAlignment w:val="baseline"/>
    </w:pPr>
    <w:rPr>
      <w:rFonts w:ascii="宋体"/>
      <w:kern w:val="0"/>
      <w:sz w:val="28"/>
      <w:szCs w:val="20"/>
    </w:rPr>
  </w:style>
  <w:style w:type="paragraph" w:styleId="37">
    <w:name w:val="Balloon Text"/>
    <w:basedOn w:val="1"/>
    <w:link w:val="247"/>
    <w:autoRedefine/>
    <w:semiHidden/>
    <w:qFormat/>
    <w:uiPriority w:val="0"/>
    <w:rPr>
      <w:sz w:val="18"/>
      <w:szCs w:val="18"/>
    </w:rPr>
  </w:style>
  <w:style w:type="paragraph" w:styleId="38">
    <w:name w:val="footer"/>
    <w:basedOn w:val="1"/>
    <w:link w:val="629"/>
    <w:autoRedefine/>
    <w:qFormat/>
    <w:uiPriority w:val="99"/>
    <w:pPr>
      <w:tabs>
        <w:tab w:val="center" w:pos="4153"/>
        <w:tab w:val="right" w:pos="8306"/>
      </w:tabs>
      <w:snapToGrid w:val="0"/>
      <w:jc w:val="left"/>
    </w:pPr>
    <w:rPr>
      <w:sz w:val="18"/>
      <w:szCs w:val="18"/>
    </w:rPr>
  </w:style>
  <w:style w:type="paragraph" w:styleId="39">
    <w:name w:val="header"/>
    <w:basedOn w:val="1"/>
    <w:link w:val="630"/>
    <w:autoRedefine/>
    <w:qFormat/>
    <w:uiPriority w:val="99"/>
    <w:pPr>
      <w:pBdr>
        <w:bottom w:val="single" w:color="auto" w:sz="6" w:space="1"/>
      </w:pBdr>
      <w:tabs>
        <w:tab w:val="center" w:pos="4153"/>
        <w:tab w:val="right" w:pos="8306"/>
      </w:tabs>
      <w:snapToGrid w:val="0"/>
      <w:jc w:val="center"/>
    </w:pPr>
    <w:rPr>
      <w:sz w:val="18"/>
      <w:szCs w:val="18"/>
    </w:rPr>
  </w:style>
  <w:style w:type="paragraph" w:styleId="40">
    <w:name w:val="Signature"/>
    <w:basedOn w:val="1"/>
    <w:link w:val="257"/>
    <w:autoRedefine/>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autoRedefine/>
    <w:qFormat/>
    <w:uiPriority w:val="0"/>
  </w:style>
  <w:style w:type="paragraph" w:styleId="42">
    <w:name w:val="toc 4"/>
    <w:basedOn w:val="1"/>
    <w:next w:val="1"/>
    <w:autoRedefine/>
    <w:qFormat/>
    <w:uiPriority w:val="0"/>
    <w:pPr>
      <w:ind w:left="1260" w:leftChars="600"/>
    </w:pPr>
  </w:style>
  <w:style w:type="paragraph" w:styleId="43">
    <w:name w:val="index heading"/>
    <w:basedOn w:val="1"/>
    <w:next w:val="44"/>
    <w:autoRedefine/>
    <w:qFormat/>
    <w:uiPriority w:val="0"/>
    <w:pPr>
      <w:adjustRightInd/>
      <w:ind w:firstLine="200" w:firstLineChars="200"/>
    </w:pPr>
  </w:style>
  <w:style w:type="paragraph" w:styleId="44">
    <w:name w:val="index 1"/>
    <w:basedOn w:val="1"/>
    <w:next w:val="1"/>
    <w:autoRedefine/>
    <w:qFormat/>
    <w:uiPriority w:val="0"/>
    <w:pPr>
      <w:adjustRightInd/>
      <w:spacing w:line="360" w:lineRule="auto"/>
      <w:ind w:firstLine="200" w:firstLineChars="200"/>
      <w:jc w:val="center"/>
    </w:pPr>
    <w:rPr>
      <w:sz w:val="24"/>
      <w:szCs w:val="20"/>
    </w:rPr>
  </w:style>
  <w:style w:type="paragraph" w:styleId="45">
    <w:name w:val="Subtitle"/>
    <w:link w:val="100"/>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autoRedefine/>
    <w:qFormat/>
    <w:uiPriority w:val="0"/>
    <w:pPr>
      <w:tabs>
        <w:tab w:val="left" w:pos="902"/>
      </w:tabs>
      <w:adjustRightInd/>
      <w:spacing w:line="400" w:lineRule="exact"/>
      <w:ind w:left="902" w:hanging="420"/>
    </w:pPr>
    <w:rPr>
      <w:sz w:val="24"/>
      <w:szCs w:val="20"/>
    </w:rPr>
  </w:style>
  <w:style w:type="paragraph" w:styleId="47">
    <w:name w:val="List"/>
    <w:basedOn w:val="1"/>
    <w:autoRedefine/>
    <w:qFormat/>
    <w:uiPriority w:val="0"/>
    <w:pPr>
      <w:ind w:left="200" w:hanging="200" w:hangingChars="200"/>
    </w:pPr>
  </w:style>
  <w:style w:type="paragraph" w:styleId="48">
    <w:name w:val="footnote text"/>
    <w:basedOn w:val="15"/>
    <w:link w:val="236"/>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autoRedefine/>
    <w:qFormat/>
    <w:uiPriority w:val="0"/>
    <w:pPr>
      <w:ind w:left="2100" w:leftChars="1000"/>
    </w:pPr>
  </w:style>
  <w:style w:type="paragraph" w:styleId="50">
    <w:name w:val="List 5"/>
    <w:basedOn w:val="1"/>
    <w:autoRedefine/>
    <w:qFormat/>
    <w:uiPriority w:val="0"/>
    <w:pPr>
      <w:adjustRightInd/>
      <w:ind w:left="100" w:leftChars="800" w:hanging="200" w:hangingChars="200"/>
    </w:pPr>
  </w:style>
  <w:style w:type="paragraph" w:styleId="51">
    <w:name w:val="Body Text Indent 3"/>
    <w:basedOn w:val="1"/>
    <w:link w:val="193"/>
    <w:autoRedefine/>
    <w:qFormat/>
    <w:uiPriority w:val="0"/>
    <w:pPr>
      <w:spacing w:line="360" w:lineRule="auto"/>
      <w:ind w:firstLine="420"/>
    </w:pPr>
    <w:rPr>
      <w:sz w:val="24"/>
      <w:szCs w:val="20"/>
    </w:rPr>
  </w:style>
  <w:style w:type="paragraph" w:styleId="52">
    <w:name w:val="toc 2"/>
    <w:basedOn w:val="1"/>
    <w:next w:val="1"/>
    <w:autoRedefine/>
    <w:qFormat/>
    <w:uiPriority w:val="0"/>
    <w:pPr>
      <w:ind w:left="420" w:leftChars="200"/>
    </w:pPr>
  </w:style>
  <w:style w:type="paragraph" w:styleId="53">
    <w:name w:val="toc 9"/>
    <w:basedOn w:val="1"/>
    <w:next w:val="1"/>
    <w:autoRedefine/>
    <w:qFormat/>
    <w:uiPriority w:val="0"/>
    <w:pPr>
      <w:ind w:left="3360" w:leftChars="1600"/>
    </w:pPr>
  </w:style>
  <w:style w:type="paragraph" w:styleId="54">
    <w:name w:val="Body Text 2"/>
    <w:basedOn w:val="1"/>
    <w:autoRedefine/>
    <w:qFormat/>
    <w:uiPriority w:val="0"/>
    <w:pPr>
      <w:spacing w:after="120" w:line="480" w:lineRule="auto"/>
    </w:pPr>
  </w:style>
  <w:style w:type="paragraph" w:styleId="55">
    <w:name w:val="HTML Preformatted"/>
    <w:basedOn w:val="1"/>
    <w:link w:val="105"/>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7">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autoRedefine/>
    <w:semiHidden/>
    <w:qFormat/>
    <w:uiPriority w:val="0"/>
    <w:rPr>
      <w:b/>
      <w:bCs/>
    </w:rPr>
  </w:style>
  <w:style w:type="paragraph" w:styleId="59">
    <w:name w:val="Body Text First Indent 2"/>
    <w:basedOn w:val="24"/>
    <w:next w:val="23"/>
    <w:link w:val="244"/>
    <w:autoRedefine/>
    <w:qFormat/>
    <w:uiPriority w:val="0"/>
    <w:pPr>
      <w:adjustRightInd/>
      <w:spacing w:after="120" w:line="240" w:lineRule="auto"/>
      <w:ind w:left="420" w:leftChars="200" w:firstLine="210"/>
    </w:pPr>
    <w:rPr>
      <w:sz w:val="21"/>
    </w:rPr>
  </w:style>
  <w:style w:type="table" w:styleId="61">
    <w:name w:val="Table Grid"/>
    <w:basedOn w:val="6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autoRedefine/>
    <w:qFormat/>
    <w:uiPriority w:val="22"/>
    <w:rPr>
      <w:b/>
      <w:bCs/>
    </w:rPr>
  </w:style>
  <w:style w:type="character" w:styleId="64">
    <w:name w:val="page number"/>
    <w:basedOn w:val="62"/>
    <w:autoRedefine/>
    <w:qFormat/>
    <w:uiPriority w:val="0"/>
    <w:rPr>
      <w:rFonts w:ascii="Arial" w:hAnsi="Arial" w:eastAsia="黑体" w:cs="Arial"/>
      <w:snapToGrid w:val="0"/>
      <w:kern w:val="0"/>
      <w:szCs w:val="21"/>
    </w:rPr>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rPr>
      <w:rFonts w:ascii="Arial" w:hAnsi="Arial" w:eastAsia="黑体" w:cs="Arial"/>
      <w:snapToGrid w:val="0"/>
      <w:kern w:val="0"/>
      <w:szCs w:val="21"/>
    </w:rPr>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72">
    <w:name w:val="solutionfonts"/>
    <w:autoRedefine/>
    <w:qFormat/>
    <w:uiPriority w:val="0"/>
  </w:style>
  <w:style w:type="character" w:customStyle="1" w:styleId="73">
    <w:name w:val="Font Style82"/>
    <w:autoRedefine/>
    <w:qFormat/>
    <w:uiPriority w:val="99"/>
    <w:rPr>
      <w:rFonts w:ascii="宋体" w:eastAsia="宋体" w:cs="宋体"/>
      <w:color w:val="000000"/>
      <w:sz w:val="14"/>
      <w:szCs w:val="14"/>
    </w:rPr>
  </w:style>
  <w:style w:type="character" w:customStyle="1" w:styleId="74">
    <w:name w:val="此正文 Char"/>
    <w:link w:val="75"/>
    <w:autoRedefine/>
    <w:qFormat/>
    <w:uiPriority w:val="0"/>
    <w:rPr>
      <w:kern w:val="2"/>
      <w:sz w:val="24"/>
      <w:szCs w:val="24"/>
    </w:rPr>
  </w:style>
  <w:style w:type="paragraph" w:customStyle="1" w:styleId="75">
    <w:name w:val="此正文"/>
    <w:basedOn w:val="1"/>
    <w:link w:val="74"/>
    <w:autoRedefine/>
    <w:qFormat/>
    <w:uiPriority w:val="0"/>
    <w:pPr>
      <w:adjustRightInd/>
      <w:spacing w:line="360" w:lineRule="auto"/>
      <w:ind w:firstLine="200" w:firstLineChars="200"/>
    </w:pPr>
    <w:rPr>
      <w:sz w:val="24"/>
    </w:rPr>
  </w:style>
  <w:style w:type="character" w:customStyle="1" w:styleId="76">
    <w:name w:val="Char Char10"/>
    <w:autoRedefine/>
    <w:semiHidden/>
    <w:qFormat/>
    <w:uiPriority w:val="0"/>
    <w:rPr>
      <w:rFonts w:ascii="宋体" w:hAnsi="宋体"/>
      <w:kern w:val="2"/>
      <w:sz w:val="21"/>
      <w:szCs w:val="24"/>
      <w:lang w:val="en-US" w:eastAsia="zh-CN"/>
    </w:rPr>
  </w:style>
  <w:style w:type="character" w:customStyle="1" w:styleId="77">
    <w:name w:val="h Char Char"/>
    <w:autoRedefine/>
    <w:qFormat/>
    <w:uiPriority w:val="0"/>
    <w:rPr>
      <w:rFonts w:eastAsia="宋体"/>
      <w:kern w:val="2"/>
      <w:sz w:val="18"/>
      <w:lang w:val="en-US" w:eastAsia="zh-CN" w:bidi="ar-SA"/>
    </w:rPr>
  </w:style>
  <w:style w:type="character" w:customStyle="1" w:styleId="78">
    <w:name w:val="Bold"/>
    <w:autoRedefine/>
    <w:qFormat/>
    <w:uiPriority w:val="0"/>
    <w:rPr>
      <w:rFonts w:ascii="Arial" w:hAnsi="Arial" w:eastAsia="黑体" w:cs="Times New Roman"/>
      <w:b/>
      <w:kern w:val="2"/>
      <w:sz w:val="32"/>
      <w:szCs w:val="32"/>
      <w:lang w:val="en-US" w:eastAsia="zh-CN" w:bidi="ar-SA"/>
    </w:rPr>
  </w:style>
  <w:style w:type="character" w:customStyle="1" w:styleId="79">
    <w:name w:val="Ò³Ã¼ Char Char"/>
    <w:autoRedefine/>
    <w:qFormat/>
    <w:uiPriority w:val="0"/>
    <w:rPr>
      <w:rFonts w:eastAsia="宋体"/>
      <w:kern w:val="2"/>
      <w:sz w:val="18"/>
      <w:lang w:val="en-US" w:eastAsia="zh-CN" w:bidi="ar-SA"/>
    </w:rPr>
  </w:style>
  <w:style w:type="character" w:customStyle="1" w:styleId="80">
    <w:name w:val="标准正文格式 Char"/>
    <w:autoRedefine/>
    <w:qFormat/>
    <w:uiPriority w:val="0"/>
    <w:rPr>
      <w:rFonts w:ascii="宋体" w:eastAsia="仿宋_GB2312" w:cs="宋体"/>
      <w:color w:val="000000"/>
      <w:sz w:val="24"/>
      <w:lang w:val="en-US" w:eastAsia="zh-CN" w:bidi="ar-SA"/>
    </w:rPr>
  </w:style>
  <w:style w:type="character" w:customStyle="1" w:styleId="81">
    <w:name w:val="正文文本缩进 2 字符"/>
    <w:link w:val="36"/>
    <w:autoRedefine/>
    <w:qFormat/>
    <w:uiPriority w:val="0"/>
    <w:rPr>
      <w:rFonts w:ascii="宋体"/>
      <w:sz w:val="28"/>
    </w:rPr>
  </w:style>
  <w:style w:type="character" w:customStyle="1" w:styleId="82">
    <w:name w:val="Char Char8"/>
    <w:autoRedefine/>
    <w:qFormat/>
    <w:uiPriority w:val="0"/>
    <w:rPr>
      <w:rFonts w:eastAsia="宋体"/>
      <w:b/>
      <w:sz w:val="24"/>
      <w:lang w:val="en-GB" w:eastAsia="zh-CN"/>
    </w:rPr>
  </w:style>
  <w:style w:type="character" w:customStyle="1" w:styleId="83">
    <w:name w:val="No Spacing Char"/>
    <w:link w:val="84"/>
    <w:autoRedefine/>
    <w:qFormat/>
    <w:uiPriority w:val="1"/>
    <w:rPr>
      <w:rFonts w:ascii="Calibri" w:hAnsi="Calibri"/>
      <w:sz w:val="22"/>
      <w:szCs w:val="22"/>
      <w:lang w:val="en-US" w:eastAsia="zh-CN" w:bidi="ar-SA"/>
    </w:rPr>
  </w:style>
  <w:style w:type="paragraph" w:customStyle="1" w:styleId="84">
    <w:name w:val="无间隔1"/>
    <w:link w:val="83"/>
    <w:autoRedefine/>
    <w:qFormat/>
    <w:uiPriority w:val="1"/>
    <w:rPr>
      <w:rFonts w:ascii="Calibri" w:hAnsi="Calibri" w:eastAsia="宋体" w:cs="Times New Roman"/>
      <w:sz w:val="22"/>
      <w:szCs w:val="22"/>
      <w:lang w:val="en-US" w:eastAsia="zh-CN" w:bidi="ar-SA"/>
    </w:rPr>
  </w:style>
  <w:style w:type="character" w:customStyle="1" w:styleId="85">
    <w:name w:val="blue1"/>
    <w:basedOn w:val="62"/>
    <w:autoRedefine/>
    <w:qFormat/>
    <w:uiPriority w:val="0"/>
    <w:rPr>
      <w:rFonts w:ascii="Arial" w:hAnsi="Arial" w:eastAsia="黑体" w:cs="Arial"/>
      <w:snapToGrid w:val="0"/>
      <w:kern w:val="0"/>
      <w:szCs w:val="21"/>
    </w:rPr>
  </w:style>
  <w:style w:type="character" w:customStyle="1" w:styleId="86">
    <w:name w:val="highlight1"/>
    <w:autoRedefine/>
    <w:qFormat/>
    <w:uiPriority w:val="0"/>
    <w:rPr>
      <w:rFonts w:ascii="仿宋_GB2312" w:eastAsia="微软雅黑"/>
      <w:b/>
      <w:kern w:val="2"/>
      <w:sz w:val="23"/>
      <w:szCs w:val="23"/>
      <w:lang w:val="en-US" w:eastAsia="zh-CN" w:bidi="ar-SA"/>
    </w:rPr>
  </w:style>
  <w:style w:type="character" w:customStyle="1" w:styleId="87">
    <w:name w:val="ca-131"/>
    <w:autoRedefine/>
    <w:qFormat/>
    <w:uiPriority w:val="0"/>
    <w:rPr>
      <w:rFonts w:hint="eastAsia" w:ascii="仿宋_GB2312" w:eastAsia="仿宋_GB2312"/>
      <w:b/>
      <w:bCs/>
      <w:color w:val="000000"/>
      <w:spacing w:val="-20"/>
      <w:sz w:val="24"/>
      <w:szCs w:val="24"/>
    </w:rPr>
  </w:style>
  <w:style w:type="character" w:customStyle="1" w:styleId="88">
    <w:name w:val="h3 Char"/>
    <w:autoRedefine/>
    <w:qFormat/>
    <w:uiPriority w:val="0"/>
    <w:rPr>
      <w:rFonts w:eastAsia="宋体"/>
      <w:b/>
      <w:kern w:val="2"/>
      <w:sz w:val="32"/>
      <w:lang w:val="en-US" w:eastAsia="zh-CN" w:bidi="ar-SA"/>
    </w:rPr>
  </w:style>
  <w:style w:type="character" w:customStyle="1" w:styleId="89">
    <w:name w:val="Char Char12"/>
    <w:autoRedefine/>
    <w:qFormat/>
    <w:uiPriority w:val="0"/>
    <w:rPr>
      <w:rFonts w:ascii="仿宋_GB2312" w:eastAsia="仿宋_GB2312"/>
      <w:b/>
      <w:bCs/>
      <w:kern w:val="2"/>
      <w:sz w:val="24"/>
      <w:szCs w:val="24"/>
      <w:lang w:val="zh-CN" w:eastAsia="zh-CN" w:bidi="ar-SA"/>
    </w:rPr>
  </w:style>
  <w:style w:type="character" w:customStyle="1" w:styleId="90">
    <w:name w:val="Comment Text Char"/>
    <w:autoRedefine/>
    <w:semiHidden/>
    <w:qFormat/>
    <w:locked/>
    <w:uiPriority w:val="0"/>
    <w:rPr>
      <w:rFonts w:ascii="宋体" w:hAnsi="宋体" w:eastAsia="宋体"/>
      <w:kern w:val="2"/>
      <w:sz w:val="24"/>
      <w:lang w:val="en-US" w:eastAsia="zh-CN" w:bidi="ar-SA"/>
    </w:rPr>
  </w:style>
  <w:style w:type="character" w:customStyle="1" w:styleId="91">
    <w:name w:val="批注文字 Char"/>
    <w:autoRedefine/>
    <w:qFormat/>
    <w:uiPriority w:val="99"/>
    <w:rPr>
      <w:kern w:val="2"/>
      <w:sz w:val="21"/>
      <w:szCs w:val="24"/>
    </w:rPr>
  </w:style>
  <w:style w:type="character" w:customStyle="1" w:styleId="92">
    <w:name w:val="仿宋正文 Char"/>
    <w:link w:val="93"/>
    <w:autoRedefine/>
    <w:qFormat/>
    <w:uiPriority w:val="0"/>
    <w:rPr>
      <w:rFonts w:ascii="仿宋_GB2312" w:eastAsia="仿宋_GB2312"/>
      <w:kern w:val="2"/>
      <w:sz w:val="24"/>
      <w:lang w:val="en-US" w:eastAsia="zh-CN" w:bidi="ar-SA"/>
    </w:rPr>
  </w:style>
  <w:style w:type="paragraph" w:customStyle="1" w:styleId="93">
    <w:name w:val="仿宋正文"/>
    <w:basedOn w:val="1"/>
    <w:link w:val="92"/>
    <w:autoRedefine/>
    <w:qFormat/>
    <w:uiPriority w:val="0"/>
    <w:pPr>
      <w:adjustRightInd/>
      <w:spacing w:line="360" w:lineRule="auto"/>
      <w:ind w:firstLine="480" w:firstLineChars="200"/>
    </w:pPr>
    <w:rPr>
      <w:rFonts w:ascii="仿宋_GB2312" w:eastAsia="仿宋_GB2312"/>
      <w:sz w:val="24"/>
      <w:szCs w:val="20"/>
    </w:rPr>
  </w:style>
  <w:style w:type="character" w:customStyle="1" w:styleId="94">
    <w:name w:val="style91"/>
    <w:autoRedefine/>
    <w:qFormat/>
    <w:uiPriority w:val="0"/>
    <w:rPr>
      <w:color w:val="333333"/>
    </w:rPr>
  </w:style>
  <w:style w:type="character" w:customStyle="1" w:styleId="95">
    <w:name w:val="Char Char4"/>
    <w:autoRedefine/>
    <w:qFormat/>
    <w:uiPriority w:val="0"/>
    <w:rPr>
      <w:rFonts w:eastAsia="宋体"/>
      <w:b/>
      <w:sz w:val="24"/>
      <w:lang w:val="en-GB" w:eastAsia="zh-CN" w:bidi="ar-SA"/>
    </w:rPr>
  </w:style>
  <w:style w:type="character" w:customStyle="1" w:styleId="96">
    <w:name w:val="Char Char2"/>
    <w:autoRedefine/>
    <w:qFormat/>
    <w:uiPriority w:val="0"/>
    <w:rPr>
      <w:rFonts w:eastAsia="宋体"/>
      <w:b/>
      <w:bCs/>
      <w:kern w:val="2"/>
      <w:sz w:val="21"/>
      <w:szCs w:val="24"/>
      <w:lang w:val="en-US" w:eastAsia="zh-CN" w:bidi="ar-SA"/>
    </w:rPr>
  </w:style>
  <w:style w:type="character" w:customStyle="1" w:styleId="97">
    <w:name w:val="正文 项目2 Char"/>
    <w:basedOn w:val="98"/>
    <w:autoRedefine/>
    <w:qFormat/>
    <w:uiPriority w:val="0"/>
    <w:rPr>
      <w:rFonts w:ascii="仿宋_GB2312" w:hAnsi="仿宋_GB2312" w:eastAsia="仿宋_GB2312"/>
      <w:kern w:val="2"/>
      <w:sz w:val="24"/>
      <w:lang w:bidi="ar-SA"/>
    </w:rPr>
  </w:style>
  <w:style w:type="character" w:customStyle="1" w:styleId="98">
    <w:name w:val="正文 项目 Char"/>
    <w:autoRedefine/>
    <w:qFormat/>
    <w:uiPriority w:val="0"/>
    <w:rPr>
      <w:rFonts w:ascii="仿宋_GB2312" w:hAnsi="仿宋_GB2312" w:eastAsia="仿宋_GB2312"/>
      <w:kern w:val="2"/>
      <w:sz w:val="24"/>
      <w:lang w:bidi="ar-SA"/>
    </w:rPr>
  </w:style>
  <w:style w:type="character" w:customStyle="1" w:styleId="99">
    <w:name w:val="页眉 Char1"/>
    <w:autoRedefine/>
    <w:qFormat/>
    <w:uiPriority w:val="0"/>
    <w:rPr>
      <w:rFonts w:eastAsia="宋体"/>
      <w:kern w:val="2"/>
      <w:sz w:val="18"/>
      <w:szCs w:val="18"/>
      <w:lang w:val="en-US" w:eastAsia="zh-CN" w:bidi="ar-SA"/>
    </w:rPr>
  </w:style>
  <w:style w:type="character" w:customStyle="1" w:styleId="100">
    <w:name w:val="副标题 字符"/>
    <w:link w:val="45"/>
    <w:autoRedefine/>
    <w:qFormat/>
    <w:uiPriority w:val="0"/>
    <w:rPr>
      <w:rFonts w:ascii="Arial" w:hAnsi="Arial" w:eastAsia="隶书"/>
      <w:b/>
      <w:bCs/>
      <w:kern w:val="28"/>
      <w:sz w:val="44"/>
      <w:szCs w:val="32"/>
      <w:lang w:val="en-US" w:eastAsia="zh-CN" w:bidi="ar-SA"/>
    </w:rPr>
  </w:style>
  <w:style w:type="character" w:customStyle="1" w:styleId="101">
    <w:name w:val="正文文本缩进 字符1"/>
    <w:link w:val="24"/>
    <w:autoRedefine/>
    <w:qFormat/>
    <w:uiPriority w:val="0"/>
    <w:rPr>
      <w:rFonts w:ascii="宋体" w:hAnsi="宋体"/>
      <w:kern w:val="2"/>
      <w:sz w:val="24"/>
      <w:szCs w:val="24"/>
    </w:rPr>
  </w:style>
  <w:style w:type="character" w:customStyle="1" w:styleId="102">
    <w:name w:val="big1"/>
    <w:autoRedefine/>
    <w:qFormat/>
    <w:uiPriority w:val="0"/>
    <w:rPr>
      <w:rFonts w:hint="eastAsia" w:ascii="宋体" w:hAnsi="宋体" w:eastAsia="宋体"/>
      <w:color w:val="333333"/>
      <w:sz w:val="22"/>
      <w:szCs w:val="22"/>
    </w:rPr>
  </w:style>
  <w:style w:type="character" w:customStyle="1" w:styleId="103">
    <w:name w:val="h Char Char1"/>
    <w:autoRedefine/>
    <w:qFormat/>
    <w:uiPriority w:val="0"/>
    <w:rPr>
      <w:rFonts w:eastAsia="宋体"/>
      <w:kern w:val="2"/>
      <w:sz w:val="18"/>
      <w:szCs w:val="18"/>
      <w:lang w:val="en-US" w:eastAsia="zh-CN" w:bidi="ar-SA"/>
    </w:rPr>
  </w:style>
  <w:style w:type="character" w:customStyle="1" w:styleId="104">
    <w:name w:val="样式8 Char"/>
    <w:autoRedefine/>
    <w:qFormat/>
    <w:uiPriority w:val="0"/>
    <w:rPr>
      <w:rFonts w:ascii="仿宋_GB2312" w:hAnsi="宋体" w:eastAsia="仿宋_GB2312"/>
      <w:b/>
      <w:bCs/>
      <w:kern w:val="2"/>
      <w:sz w:val="24"/>
      <w:szCs w:val="24"/>
    </w:rPr>
  </w:style>
  <w:style w:type="character" w:customStyle="1" w:styleId="105">
    <w:name w:val="HTML 预设格式 字符"/>
    <w:link w:val="55"/>
    <w:autoRedefine/>
    <w:qFormat/>
    <w:uiPriority w:val="0"/>
    <w:rPr>
      <w:rFonts w:ascii="黑体" w:hAnsi="Courier New" w:eastAsia="黑体"/>
    </w:rPr>
  </w:style>
  <w:style w:type="character" w:customStyle="1" w:styleId="106">
    <w:name w:val="页脚 Char1"/>
    <w:autoRedefine/>
    <w:qFormat/>
    <w:uiPriority w:val="0"/>
    <w:rPr>
      <w:rFonts w:eastAsia="宋体"/>
      <w:kern w:val="2"/>
      <w:sz w:val="18"/>
      <w:szCs w:val="18"/>
      <w:lang w:val="en-US" w:eastAsia="zh-CN" w:bidi="ar-SA"/>
    </w:rPr>
  </w:style>
  <w:style w:type="character" w:customStyle="1" w:styleId="107">
    <w:name w:val="myp11"/>
    <w:autoRedefine/>
    <w:qFormat/>
    <w:uiPriority w:val="0"/>
    <w:rPr>
      <w:rFonts w:ascii="仿宋_GB2312" w:eastAsia="微软雅黑"/>
      <w:b/>
      <w:kern w:val="2"/>
      <w:sz w:val="32"/>
      <w:szCs w:val="32"/>
      <w:lang w:val="en-US" w:eastAsia="zh-CN" w:bidi="ar-SA"/>
    </w:rPr>
  </w:style>
  <w:style w:type="character" w:customStyle="1" w:styleId="108">
    <w:name w:val="正文文本 2 Char"/>
    <w:autoRedefine/>
    <w:qFormat/>
    <w:uiPriority w:val="0"/>
    <w:rPr>
      <w:rFonts w:eastAsia="宋体"/>
      <w:kern w:val="2"/>
      <w:sz w:val="21"/>
      <w:szCs w:val="24"/>
      <w:lang w:val="en-US" w:eastAsia="zh-CN" w:bidi="ar-SA"/>
    </w:rPr>
  </w:style>
  <w:style w:type="character" w:customStyle="1" w:styleId="109">
    <w:name w:val="tw4winTerm"/>
    <w:autoRedefine/>
    <w:qFormat/>
    <w:uiPriority w:val="0"/>
    <w:rPr>
      <w:color w:val="0000FF"/>
    </w:rPr>
  </w:style>
  <w:style w:type="character" w:customStyle="1" w:styleId="110">
    <w:name w:val="标题 8 字符"/>
    <w:link w:val="9"/>
    <w:autoRedefine/>
    <w:qFormat/>
    <w:uiPriority w:val="0"/>
    <w:rPr>
      <w:rFonts w:ascii="Arial" w:hAnsi="Arial" w:eastAsia="黑体"/>
      <w:kern w:val="2"/>
      <w:sz w:val="24"/>
      <w:szCs w:val="24"/>
    </w:rPr>
  </w:style>
  <w:style w:type="character" w:customStyle="1" w:styleId="111">
    <w:name w:val="标题 2 Char Char"/>
    <w:autoRedefine/>
    <w:qFormat/>
    <w:uiPriority w:val="0"/>
    <w:rPr>
      <w:rFonts w:ascii="楷体_GB2312" w:hAnsi="Arial" w:eastAsia="楷体_GB2312"/>
      <w:b/>
      <w:bCs/>
      <w:kern w:val="2"/>
      <w:sz w:val="24"/>
      <w:szCs w:val="32"/>
      <w:lang w:val="en-US" w:eastAsia="zh-CN" w:bidi="ar-SA"/>
    </w:rPr>
  </w:style>
  <w:style w:type="character" w:customStyle="1" w:styleId="112">
    <w:name w:val="hei16b1"/>
    <w:autoRedefine/>
    <w:qFormat/>
    <w:uiPriority w:val="0"/>
    <w:rPr>
      <w:rFonts w:hint="default" w:ascii="Arial" w:hAnsi="Arial" w:cs="Arial"/>
      <w:b/>
      <w:bCs/>
      <w:color w:val="000000"/>
      <w:sz w:val="24"/>
      <w:szCs w:val="24"/>
    </w:rPr>
  </w:style>
  <w:style w:type="character" w:customStyle="1" w:styleId="113">
    <w:name w:val="Heading 7 Char"/>
    <w:autoRedefine/>
    <w:qFormat/>
    <w:locked/>
    <w:uiPriority w:val="0"/>
    <w:rPr>
      <w:rFonts w:ascii="宋体" w:hAnsi="宋体" w:eastAsia="宋体"/>
      <w:b/>
      <w:bCs/>
      <w:kern w:val="2"/>
      <w:sz w:val="24"/>
      <w:szCs w:val="24"/>
      <w:lang w:val="en-US" w:eastAsia="zh-CN" w:bidi="ar-SA"/>
    </w:rPr>
  </w:style>
  <w:style w:type="character" w:customStyle="1" w:styleId="114">
    <w:name w:val="Char Char6"/>
    <w:autoRedefine/>
    <w:qFormat/>
    <w:uiPriority w:val="0"/>
    <w:rPr>
      <w:rFonts w:eastAsia="宋体"/>
      <w:kern w:val="2"/>
      <w:sz w:val="21"/>
      <w:szCs w:val="24"/>
      <w:lang w:val="en-US" w:eastAsia="zh-CN" w:bidi="ar-SA"/>
    </w:rPr>
  </w:style>
  <w:style w:type="character" w:customStyle="1" w:styleId="115">
    <w:name w:val="哈哈正文 Char"/>
    <w:link w:val="116"/>
    <w:autoRedefine/>
    <w:qFormat/>
    <w:uiPriority w:val="0"/>
    <w:rPr>
      <w:rFonts w:ascii="宋体" w:hAnsi="宋体" w:eastAsia="宋体"/>
      <w:kern w:val="2"/>
      <w:sz w:val="24"/>
      <w:lang w:bidi="ar-SA"/>
    </w:rPr>
  </w:style>
  <w:style w:type="paragraph" w:customStyle="1" w:styleId="116">
    <w:name w:val="哈哈正文"/>
    <w:basedOn w:val="1"/>
    <w:link w:val="115"/>
    <w:autoRedefine/>
    <w:qFormat/>
    <w:uiPriority w:val="0"/>
    <w:pPr>
      <w:adjustRightInd/>
      <w:spacing w:line="360" w:lineRule="auto"/>
      <w:ind w:firstLine="200" w:firstLineChars="200"/>
    </w:pPr>
    <w:rPr>
      <w:rFonts w:ascii="宋体" w:hAnsi="宋体"/>
      <w:sz w:val="24"/>
      <w:szCs w:val="20"/>
    </w:rPr>
  </w:style>
  <w:style w:type="character" w:customStyle="1" w:styleId="117">
    <w:name w:val="pt141"/>
    <w:autoRedefine/>
    <w:qFormat/>
    <w:uiPriority w:val="0"/>
    <w:rPr>
      <w:color w:val="330066"/>
      <w:sz w:val="22"/>
      <w:szCs w:val="22"/>
    </w:rPr>
  </w:style>
  <w:style w:type="character" w:customStyle="1" w:styleId="118">
    <w:name w:val="普通文字 Char3"/>
    <w:autoRedefine/>
    <w:qFormat/>
    <w:uiPriority w:val="0"/>
    <w:rPr>
      <w:rFonts w:ascii="宋体" w:hAnsi="Courier New" w:eastAsia="宋体"/>
      <w:kern w:val="2"/>
      <w:sz w:val="21"/>
      <w:lang w:val="en-US" w:eastAsia="zh-CN" w:bidi="ar-SA"/>
    </w:rPr>
  </w:style>
  <w:style w:type="character" w:customStyle="1" w:styleId="119">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120">
    <w:name w:val="正文文本 字符"/>
    <w:link w:val="22"/>
    <w:autoRedefine/>
    <w:semiHidden/>
    <w:qFormat/>
    <w:uiPriority w:val="0"/>
    <w:rPr>
      <w:rFonts w:ascii="宋体" w:hAnsi="Arial" w:eastAsia="宋体" w:cs="Arial"/>
      <w:snapToGrid w:val="0"/>
      <w:kern w:val="2"/>
      <w:sz w:val="24"/>
      <w:szCs w:val="21"/>
      <w:lang w:val="zh-CN" w:eastAsia="zh-CN" w:bidi="ar-SA"/>
    </w:rPr>
  </w:style>
  <w:style w:type="character" w:customStyle="1" w:styleId="121">
    <w:name w:val="正文2 Char"/>
    <w:autoRedefine/>
    <w:qFormat/>
    <w:uiPriority w:val="0"/>
    <w:rPr>
      <w:rFonts w:eastAsia="宋体"/>
      <w:kern w:val="2"/>
      <w:sz w:val="24"/>
      <w:lang w:val="en-US" w:eastAsia="zh-CN" w:bidi="ar-SA"/>
    </w:rPr>
  </w:style>
  <w:style w:type="character" w:customStyle="1" w:styleId="122">
    <w:name w:val="普通文字 Char1"/>
    <w:autoRedefine/>
    <w:qFormat/>
    <w:uiPriority w:val="0"/>
    <w:rPr>
      <w:rFonts w:ascii="宋体" w:hAnsi="Courier New" w:eastAsia="宋体"/>
      <w:kern w:val="2"/>
      <w:sz w:val="21"/>
      <w:lang w:val="en-US" w:eastAsia="zh-CN"/>
    </w:rPr>
  </w:style>
  <w:style w:type="character" w:customStyle="1" w:styleId="123">
    <w:name w:val="标题 9 字符"/>
    <w:link w:val="10"/>
    <w:autoRedefine/>
    <w:qFormat/>
    <w:uiPriority w:val="0"/>
    <w:rPr>
      <w:rFonts w:ascii="Arial" w:hAnsi="Arial" w:eastAsia="黑体"/>
      <w:kern w:val="2"/>
      <w:sz w:val="21"/>
      <w:szCs w:val="21"/>
    </w:rPr>
  </w:style>
  <w:style w:type="character" w:customStyle="1" w:styleId="124">
    <w:name w:val="Header Char"/>
    <w:autoRedefine/>
    <w:semiHidden/>
    <w:qFormat/>
    <w:locked/>
    <w:uiPriority w:val="0"/>
    <w:rPr>
      <w:rFonts w:eastAsia="宋体"/>
      <w:kern w:val="2"/>
      <w:sz w:val="18"/>
      <w:szCs w:val="18"/>
      <w:lang w:val="en-US" w:eastAsia="zh-CN" w:bidi="ar-SA"/>
    </w:rPr>
  </w:style>
  <w:style w:type="character" w:customStyle="1" w:styleId="125">
    <w:name w:val="Footer-Even Char1"/>
    <w:autoRedefine/>
    <w:qFormat/>
    <w:uiPriority w:val="0"/>
    <w:rPr>
      <w:rFonts w:eastAsia="宋体"/>
      <w:kern w:val="2"/>
      <w:sz w:val="18"/>
      <w:szCs w:val="18"/>
      <w:lang w:val="en-US" w:eastAsia="zh-CN" w:bidi="ar-SA"/>
    </w:rPr>
  </w:style>
  <w:style w:type="character" w:customStyle="1" w:styleId="126">
    <w:name w:val="unnamed31"/>
    <w:autoRedefine/>
    <w:qFormat/>
    <w:uiPriority w:val="0"/>
    <w:rPr>
      <w:rFonts w:ascii="Tahoma" w:hAnsi="Tahoma" w:eastAsia="宋体"/>
      <w:b/>
      <w:kern w:val="2"/>
      <w:sz w:val="24"/>
      <w:szCs w:val="32"/>
      <w:u w:val="none"/>
      <w:lang w:val="en-US" w:eastAsia="zh-CN" w:bidi="ar-SA"/>
    </w:rPr>
  </w:style>
  <w:style w:type="character" w:customStyle="1" w:styleId="127">
    <w:name w:val="纯文本 Char Char Char"/>
    <w:autoRedefine/>
    <w:qFormat/>
    <w:uiPriority w:val="0"/>
    <w:rPr>
      <w:rFonts w:ascii="宋体" w:hAnsi="Courier New" w:eastAsia="宋体"/>
      <w:kern w:val="2"/>
      <w:sz w:val="21"/>
      <w:lang w:val="en-US" w:eastAsia="zh-CN" w:bidi="ar-SA"/>
    </w:rPr>
  </w:style>
  <w:style w:type="character" w:customStyle="1" w:styleId="128">
    <w:name w:val="Body Text(ch) Char Char"/>
    <w:autoRedefine/>
    <w:qFormat/>
    <w:uiPriority w:val="0"/>
    <w:rPr>
      <w:rFonts w:ascii="宋体"/>
      <w:kern w:val="2"/>
      <w:sz w:val="24"/>
      <w:szCs w:val="21"/>
      <w:lang w:val="zh-CN"/>
    </w:rPr>
  </w:style>
  <w:style w:type="character" w:customStyle="1" w:styleId="129">
    <w:name w:val="插图说明 Char"/>
    <w:autoRedefine/>
    <w:qFormat/>
    <w:uiPriority w:val="0"/>
    <w:rPr>
      <w:rFonts w:eastAsia="黑体"/>
      <w:sz w:val="24"/>
      <w:lang w:val="en-US" w:eastAsia="zh-CN"/>
    </w:rPr>
  </w:style>
  <w:style w:type="character" w:customStyle="1" w:styleId="130">
    <w:name w:val="tw4winExternal"/>
    <w:autoRedefine/>
    <w:qFormat/>
    <w:uiPriority w:val="0"/>
    <w:rPr>
      <w:rFonts w:ascii="Courier New" w:hAnsi="Courier New" w:cs="Courier New"/>
      <w:color w:val="808080"/>
      <w:lang w:val="en-US" w:eastAsia="zh-CN"/>
    </w:rPr>
  </w:style>
  <w:style w:type="character" w:customStyle="1" w:styleId="131">
    <w:name w:val="font21"/>
    <w:autoRedefine/>
    <w:qFormat/>
    <w:uiPriority w:val="0"/>
    <w:rPr>
      <w:rFonts w:hint="eastAsia" w:ascii="宋体" w:hAnsi="宋体" w:eastAsia="宋体"/>
      <w:kern w:val="2"/>
      <w:sz w:val="28"/>
      <w:szCs w:val="28"/>
      <w:lang w:val="en-US" w:eastAsia="zh-CN" w:bidi="ar-SA"/>
    </w:rPr>
  </w:style>
  <w:style w:type="character" w:customStyle="1" w:styleId="132">
    <w:name w:val="标书正文格式 Char"/>
    <w:autoRedefine/>
    <w:qFormat/>
    <w:uiPriority w:val="0"/>
    <w:rPr>
      <w:rFonts w:eastAsia="楷体_GB2312"/>
      <w:kern w:val="2"/>
      <w:sz w:val="24"/>
      <w:szCs w:val="24"/>
      <w:lang w:bidi="ar-SA"/>
    </w:rPr>
  </w:style>
  <w:style w:type="character" w:customStyle="1" w:styleId="133">
    <w:name w:val="正文文本首行缩进 字符"/>
    <w:link w:val="23"/>
    <w:autoRedefine/>
    <w:qFormat/>
    <w:uiPriority w:val="0"/>
    <w:rPr>
      <w:rFonts w:ascii="宋体"/>
      <w:kern w:val="2"/>
      <w:sz w:val="24"/>
      <w:lang w:val="zh-CN"/>
    </w:rPr>
  </w:style>
  <w:style w:type="character" w:customStyle="1" w:styleId="134">
    <w:name w:val="javascript"/>
    <w:autoRedefine/>
    <w:qFormat/>
    <w:uiPriority w:val="0"/>
  </w:style>
  <w:style w:type="character" w:customStyle="1" w:styleId="135">
    <w:name w:val="Balloon Text Char"/>
    <w:autoRedefine/>
    <w:semiHidden/>
    <w:qFormat/>
    <w:locked/>
    <w:uiPriority w:val="0"/>
    <w:rPr>
      <w:rFonts w:eastAsia="宋体"/>
      <w:kern w:val="2"/>
      <w:sz w:val="18"/>
      <w:szCs w:val="18"/>
      <w:lang w:val="en-US" w:eastAsia="zh-CN" w:bidi="ar-SA"/>
    </w:rPr>
  </w:style>
  <w:style w:type="character" w:customStyle="1" w:styleId="136">
    <w:name w:val="Char Char5"/>
    <w:autoRedefine/>
    <w:qFormat/>
    <w:uiPriority w:val="0"/>
    <w:rPr>
      <w:rFonts w:ascii="宋体" w:hAnsi="Courier New" w:eastAsia="宋体"/>
      <w:kern w:val="2"/>
      <w:sz w:val="21"/>
      <w:lang w:val="en-US" w:eastAsia="zh-CN"/>
    </w:rPr>
  </w:style>
  <w:style w:type="character" w:customStyle="1" w:styleId="137">
    <w:name w:val="Char Char"/>
    <w:autoRedefine/>
    <w:qFormat/>
    <w:uiPriority w:val="0"/>
    <w:rPr>
      <w:rFonts w:ascii="宋体" w:hAnsi="Courier New" w:eastAsia="宋体"/>
      <w:kern w:val="2"/>
      <w:sz w:val="21"/>
      <w:lang w:val="en-US" w:eastAsia="zh-CN" w:bidi="ar-SA"/>
    </w:rPr>
  </w:style>
  <w:style w:type="character" w:customStyle="1" w:styleId="138">
    <w:name w:val="mdeck"/>
    <w:autoRedefine/>
    <w:qFormat/>
    <w:uiPriority w:val="0"/>
    <w:rPr>
      <w:rFonts w:ascii="仿宋_GB2312" w:eastAsia="微软雅黑"/>
      <w:b/>
      <w:kern w:val="2"/>
      <w:sz w:val="32"/>
      <w:szCs w:val="32"/>
      <w:lang w:val="en-US" w:eastAsia="zh-CN" w:bidi="ar-SA"/>
    </w:rPr>
  </w:style>
  <w:style w:type="character" w:customStyle="1" w:styleId="139">
    <w:name w:val="content"/>
    <w:autoRedefine/>
    <w:qFormat/>
    <w:uiPriority w:val="0"/>
  </w:style>
  <w:style w:type="character" w:customStyle="1" w:styleId="140">
    <w:name w:val="Char Char3"/>
    <w:autoRedefine/>
    <w:qFormat/>
    <w:uiPriority w:val="0"/>
    <w:rPr>
      <w:rFonts w:eastAsia="宋体"/>
      <w:kern w:val="2"/>
      <w:sz w:val="21"/>
      <w:szCs w:val="24"/>
      <w:lang w:val="en-US" w:eastAsia="zh-CN" w:bidi="ar-SA"/>
    </w:rPr>
  </w:style>
  <w:style w:type="character" w:customStyle="1" w:styleId="141">
    <w:name w:val="Char Char81"/>
    <w:autoRedefine/>
    <w:qFormat/>
    <w:uiPriority w:val="6"/>
    <w:rPr>
      <w:rFonts w:eastAsia="宋体"/>
      <w:b/>
      <w:sz w:val="24"/>
      <w:lang w:val="en-GB" w:eastAsia="zh-CN"/>
    </w:rPr>
  </w:style>
  <w:style w:type="character" w:customStyle="1" w:styleId="142">
    <w:name w:val="标题 1 字符"/>
    <w:link w:val="2"/>
    <w:autoRedefine/>
    <w:qFormat/>
    <w:uiPriority w:val="0"/>
    <w:rPr>
      <w:rFonts w:ascii="仿宋" w:hAnsi="仿宋" w:eastAsia="仿宋" w:cs="仿宋_GB2312"/>
      <w:b/>
      <w:color w:val="000000"/>
      <w:kern w:val="2"/>
      <w:sz w:val="36"/>
      <w:szCs w:val="36"/>
    </w:rPr>
  </w:style>
  <w:style w:type="character" w:customStyle="1" w:styleId="143">
    <w:name w:val="页眉 Char"/>
    <w:autoRedefine/>
    <w:qFormat/>
    <w:uiPriority w:val="99"/>
    <w:rPr>
      <w:rFonts w:eastAsia="仿宋_GB2312"/>
      <w:kern w:val="2"/>
      <w:sz w:val="18"/>
      <w:lang w:val="en-US" w:eastAsia="zh-CN"/>
    </w:rPr>
  </w:style>
  <w:style w:type="character" w:customStyle="1" w:styleId="144">
    <w:name w:val="b11_01b Char"/>
    <w:link w:val="145"/>
    <w:autoRedefine/>
    <w:qFormat/>
    <w:uiPriority w:val="0"/>
    <w:rPr>
      <w:rFonts w:ascii="Verdana" w:hAnsi="Verdana"/>
      <w:b/>
      <w:bCs/>
      <w:color w:val="4A82CA"/>
      <w:sz w:val="17"/>
      <w:szCs w:val="17"/>
    </w:rPr>
  </w:style>
  <w:style w:type="paragraph" w:customStyle="1" w:styleId="145">
    <w:name w:val="b11_01b"/>
    <w:basedOn w:val="1"/>
    <w:next w:val="1"/>
    <w:link w:val="144"/>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46">
    <w:name w:val="标题4-dyf Char"/>
    <w:link w:val="147"/>
    <w:autoRedefine/>
    <w:qFormat/>
    <w:uiPriority w:val="0"/>
    <w:rPr>
      <w:rFonts w:ascii="Cambria" w:hAnsi="Cambria"/>
      <w:b/>
      <w:bCs/>
      <w:color w:val="000000"/>
      <w:kern w:val="2"/>
      <w:sz w:val="21"/>
      <w:szCs w:val="21"/>
    </w:rPr>
  </w:style>
  <w:style w:type="paragraph" w:customStyle="1" w:styleId="147">
    <w:name w:val="标题4-dyf"/>
    <w:basedOn w:val="5"/>
    <w:link w:val="146"/>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48">
    <w:name w:val="批注主题 Char"/>
    <w:autoRedefine/>
    <w:qFormat/>
    <w:uiPriority w:val="0"/>
    <w:rPr>
      <w:rFonts w:eastAsia="宋体"/>
      <w:b/>
      <w:bCs/>
      <w:kern w:val="2"/>
      <w:sz w:val="21"/>
      <w:szCs w:val="24"/>
      <w:lang w:val="en-US" w:eastAsia="zh-CN" w:bidi="ar-SA"/>
    </w:rPr>
  </w:style>
  <w:style w:type="character" w:customStyle="1" w:styleId="14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50">
    <w:name w:val="标题 3 Char2"/>
    <w:autoRedefine/>
    <w:qFormat/>
    <w:uiPriority w:val="0"/>
    <w:rPr>
      <w:rFonts w:eastAsia="宋体"/>
      <w:b/>
      <w:bCs/>
      <w:kern w:val="2"/>
      <w:sz w:val="32"/>
      <w:szCs w:val="32"/>
      <w:lang w:val="en-US" w:eastAsia="zh-CN" w:bidi="ar-SA"/>
    </w:rPr>
  </w:style>
  <w:style w:type="character" w:customStyle="1" w:styleId="151">
    <w:name w:val="gray6"/>
    <w:basedOn w:val="62"/>
    <w:autoRedefine/>
    <w:qFormat/>
    <w:uiPriority w:val="0"/>
    <w:rPr>
      <w:rFonts w:ascii="Arial" w:hAnsi="Arial" w:eastAsia="黑体" w:cs="Arial"/>
      <w:snapToGrid w:val="0"/>
      <w:kern w:val="0"/>
      <w:szCs w:val="21"/>
    </w:rPr>
  </w:style>
  <w:style w:type="character" w:customStyle="1" w:styleId="152">
    <w:name w:val="正文首行缩进两字 Char"/>
    <w:autoRedefine/>
    <w:qFormat/>
    <w:uiPriority w:val="0"/>
    <w:rPr>
      <w:sz w:val="24"/>
      <w:szCs w:val="24"/>
      <w:lang w:val="en-US" w:eastAsia="zh-CN" w:bidi="ar-SA"/>
    </w:rPr>
  </w:style>
  <w:style w:type="character" w:customStyle="1" w:styleId="153">
    <w:name w:val="Char Char51"/>
    <w:autoRedefine/>
    <w:qFormat/>
    <w:uiPriority w:val="0"/>
    <w:rPr>
      <w:rFonts w:ascii="宋体" w:hAnsi="Courier New" w:eastAsia="宋体"/>
      <w:kern w:val="2"/>
      <w:sz w:val="21"/>
      <w:lang w:val="en-US" w:eastAsia="zh-CN"/>
    </w:rPr>
  </w:style>
  <w:style w:type="character" w:customStyle="1" w:styleId="154">
    <w:name w:val="带编号样式 Char"/>
    <w:autoRedefine/>
    <w:qFormat/>
    <w:uiPriority w:val="0"/>
    <w:rPr>
      <w:rFonts w:ascii="仿宋_GB2312" w:eastAsia="仿宋_GB2312"/>
      <w:color w:val="000000"/>
      <w:sz w:val="24"/>
      <w:lang w:bidi="ar-SA"/>
    </w:rPr>
  </w:style>
  <w:style w:type="character" w:customStyle="1" w:styleId="155">
    <w:name w:val="Footer-Even Char"/>
    <w:autoRedefine/>
    <w:qFormat/>
    <w:uiPriority w:val="0"/>
    <w:rPr>
      <w:rFonts w:eastAsia="宋体"/>
      <w:kern w:val="2"/>
      <w:sz w:val="18"/>
      <w:lang w:val="en-US" w:eastAsia="zh-CN" w:bidi="ar-SA"/>
    </w:rPr>
  </w:style>
  <w:style w:type="character" w:customStyle="1" w:styleId="156">
    <w:name w:val="样式4 Char"/>
    <w:autoRedefine/>
    <w:qFormat/>
    <w:uiPriority w:val="0"/>
    <w:rPr>
      <w:rFonts w:ascii="仿宋_GB2312" w:hAnsi="仿宋" w:eastAsia="仿宋_GB2312"/>
      <w:b/>
      <w:kern w:val="2"/>
      <w:sz w:val="32"/>
      <w:szCs w:val="32"/>
      <w:lang w:bidi="ar-SA"/>
    </w:rPr>
  </w:style>
  <w:style w:type="character" w:customStyle="1" w:styleId="157">
    <w:name w:val="样式 标题 4h4H4Fab-4T5Ref Heading 1rh1Heading sqlsect 1.2.3.... Char"/>
    <w:link w:val="158"/>
    <w:autoRedefine/>
    <w:qFormat/>
    <w:uiPriority w:val="0"/>
    <w:rPr>
      <w:rFonts w:ascii="微软雅黑" w:hAnsi="微软雅黑" w:eastAsia="微软雅黑"/>
      <w:b/>
      <w:bCs/>
      <w:kern w:val="2"/>
      <w:sz w:val="24"/>
      <w:szCs w:val="28"/>
    </w:rPr>
  </w:style>
  <w:style w:type="paragraph" w:customStyle="1" w:styleId="158">
    <w:name w:val="样式 标题 4h4H4Fab-4T5Ref Heading 1rh1Heading sqlsect 1.2.3...."/>
    <w:basedOn w:val="5"/>
    <w:link w:val="157"/>
    <w:autoRedefine/>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59">
    <w:name w:val="dandyren_title1"/>
    <w:autoRedefine/>
    <w:qFormat/>
    <w:uiPriority w:val="0"/>
    <w:rPr>
      <w:b/>
      <w:bCs/>
      <w:color w:val="FF6633"/>
      <w:sz w:val="18"/>
      <w:szCs w:val="18"/>
    </w:rPr>
  </w:style>
  <w:style w:type="character" w:customStyle="1" w:styleId="160">
    <w:name w:val="普通文字 Char Char1"/>
    <w:autoRedefine/>
    <w:qFormat/>
    <w:uiPriority w:val="0"/>
    <w:rPr>
      <w:rFonts w:ascii="宋体" w:hAnsi="Courier New"/>
      <w:kern w:val="2"/>
      <w:sz w:val="21"/>
    </w:rPr>
  </w:style>
  <w:style w:type="character" w:customStyle="1" w:styleId="161">
    <w:name w:val="PI Char"/>
    <w:autoRedefine/>
    <w:qFormat/>
    <w:uiPriority w:val="0"/>
    <w:rPr>
      <w:rFonts w:ascii="宋体" w:hAnsi="宋体" w:eastAsia="宋体"/>
      <w:kern w:val="2"/>
      <w:sz w:val="24"/>
      <w:szCs w:val="24"/>
      <w:lang w:val="en-US" w:eastAsia="zh-CN" w:bidi="ar-SA"/>
    </w:rPr>
  </w:style>
  <w:style w:type="character" w:customStyle="1" w:styleId="162">
    <w:name w:val="Char Char11"/>
    <w:autoRedefine/>
    <w:qFormat/>
    <w:locked/>
    <w:uiPriority w:val="0"/>
    <w:rPr>
      <w:rFonts w:ascii="宋体" w:hAnsi="宋体" w:eastAsia="宋体"/>
      <w:b/>
      <w:kern w:val="2"/>
      <w:sz w:val="24"/>
      <w:szCs w:val="24"/>
      <w:lang w:val="en-US" w:eastAsia="zh-CN" w:bidi="ar-SA"/>
    </w:rPr>
  </w:style>
  <w:style w:type="character" w:customStyle="1" w:styleId="163">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164">
    <w:name w:val="Document Map Char"/>
    <w:autoRedefine/>
    <w:semiHidden/>
    <w:qFormat/>
    <w:locked/>
    <w:uiPriority w:val="0"/>
    <w:rPr>
      <w:rFonts w:eastAsia="宋体"/>
      <w:kern w:val="2"/>
      <w:sz w:val="21"/>
      <w:szCs w:val="24"/>
      <w:lang w:val="en-US" w:eastAsia="zh-CN" w:bidi="ar-SA"/>
    </w:rPr>
  </w:style>
  <w:style w:type="character" w:customStyle="1" w:styleId="165">
    <w:name w:val="正文文本缩进 Char"/>
    <w:autoRedefine/>
    <w:qFormat/>
    <w:uiPriority w:val="0"/>
    <w:rPr>
      <w:rFonts w:ascii="宋体" w:hAnsi="宋体"/>
      <w:kern w:val="2"/>
      <w:sz w:val="24"/>
      <w:szCs w:val="24"/>
    </w:rPr>
  </w:style>
  <w:style w:type="character" w:customStyle="1" w:styleId="166">
    <w:name w:val="文本正文 Char Char"/>
    <w:autoRedefine/>
    <w:qFormat/>
    <w:locked/>
    <w:uiPriority w:val="0"/>
    <w:rPr>
      <w:sz w:val="24"/>
      <w:lang w:bidi="ar-SA"/>
    </w:rPr>
  </w:style>
  <w:style w:type="character" w:customStyle="1" w:styleId="167">
    <w:name w:val="样式7 Char"/>
    <w:autoRedefine/>
    <w:qFormat/>
    <w:uiPriority w:val="0"/>
    <w:rPr>
      <w:rFonts w:ascii="仿宋_GB2312" w:hAnsi="仿宋" w:eastAsia="仿宋_GB2312"/>
      <w:b/>
      <w:kern w:val="2"/>
      <w:sz w:val="24"/>
      <w:szCs w:val="24"/>
    </w:rPr>
  </w:style>
  <w:style w:type="character" w:customStyle="1" w:styleId="168">
    <w:name w:val="样式3 Char"/>
    <w:basedOn w:val="169"/>
    <w:autoRedefine/>
    <w:qFormat/>
    <w:uiPriority w:val="0"/>
    <w:rPr>
      <w:rFonts w:ascii="仿宋_GB2312" w:hAnsi="仿宋" w:eastAsia="仿宋_GB2312" w:cs="仿宋_GB2312"/>
      <w:sz w:val="32"/>
      <w:szCs w:val="30"/>
      <w:lang w:val="zh-CN"/>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71">
    <w:name w:val="Table Text Char1"/>
    <w:autoRedefine/>
    <w:qFormat/>
    <w:uiPriority w:val="0"/>
    <w:rPr>
      <w:rFonts w:eastAsia="宋体"/>
      <w:sz w:val="24"/>
      <w:szCs w:val="24"/>
      <w:lang w:val="en-US" w:eastAsia="zh-CN" w:bidi="ar-SA"/>
    </w:rPr>
  </w:style>
  <w:style w:type="character" w:customStyle="1" w:styleId="172">
    <w:name w:val="shadow11"/>
    <w:autoRedefine/>
    <w:qFormat/>
    <w:uiPriority w:val="0"/>
    <w:rPr>
      <w:color w:val="000000"/>
      <w:sz w:val="21"/>
    </w:rPr>
  </w:style>
  <w:style w:type="character" w:customStyle="1" w:styleId="173">
    <w:name w:val="HTML 地址 字符"/>
    <w:link w:val="29"/>
    <w:autoRedefine/>
    <w:qFormat/>
    <w:uiPriority w:val="0"/>
    <w:rPr>
      <w:rFonts w:ascii="宋体" w:hAnsi="宋体"/>
      <w:i/>
      <w:iCs/>
      <w:sz w:val="24"/>
      <w:szCs w:val="24"/>
    </w:rPr>
  </w:style>
  <w:style w:type="character" w:customStyle="1" w:styleId="174">
    <w:name w:val="Char Char21"/>
    <w:autoRedefine/>
    <w:qFormat/>
    <w:uiPriority w:val="0"/>
    <w:rPr>
      <w:rFonts w:eastAsia="宋体"/>
      <w:b/>
      <w:bCs/>
      <w:kern w:val="2"/>
      <w:sz w:val="21"/>
      <w:szCs w:val="24"/>
      <w:lang w:val="en-US" w:eastAsia="zh-CN" w:bidi="ar-SA"/>
    </w:rPr>
  </w:style>
  <w:style w:type="character" w:customStyle="1" w:styleId="175">
    <w:name w:val="标题 5 字符"/>
    <w:link w:val="6"/>
    <w:autoRedefine/>
    <w:qFormat/>
    <w:uiPriority w:val="0"/>
    <w:rPr>
      <w:b/>
      <w:bCs/>
      <w:kern w:val="2"/>
      <w:sz w:val="28"/>
      <w:szCs w:val="28"/>
    </w:rPr>
  </w:style>
  <w:style w:type="character" w:customStyle="1" w:styleId="176">
    <w:name w:val="h3 Char1"/>
    <w:autoRedefine/>
    <w:qFormat/>
    <w:uiPriority w:val="0"/>
    <w:rPr>
      <w:rFonts w:eastAsia="宋体"/>
      <w:b/>
      <w:bCs/>
      <w:kern w:val="2"/>
      <w:sz w:val="32"/>
      <w:szCs w:val="32"/>
      <w:lang w:bidi="ar-SA"/>
    </w:rPr>
  </w:style>
  <w:style w:type="character" w:customStyle="1" w:styleId="177">
    <w:name w:val="FA正文 Char Char"/>
    <w:autoRedefine/>
    <w:qFormat/>
    <w:uiPriority w:val="0"/>
    <w:rPr>
      <w:rFonts w:hAnsi="宋体"/>
      <w:kern w:val="2"/>
      <w:sz w:val="24"/>
      <w:lang w:bidi="ar-SA"/>
    </w:rPr>
  </w:style>
  <w:style w:type="character" w:customStyle="1" w:styleId="178">
    <w:name w:val="首行缩进 Char"/>
    <w:autoRedefine/>
    <w:qFormat/>
    <w:uiPriority w:val="0"/>
    <w:rPr>
      <w:rFonts w:ascii="宋体" w:eastAsia="宋体"/>
      <w:kern w:val="2"/>
      <w:sz w:val="24"/>
      <w:lang w:val="en-US" w:eastAsia="zh-CN" w:bidi="ar-SA"/>
    </w:rPr>
  </w:style>
  <w:style w:type="character" w:customStyle="1" w:styleId="179">
    <w:name w:val="Char Char7"/>
    <w:autoRedefine/>
    <w:semiHidden/>
    <w:qFormat/>
    <w:uiPriority w:val="0"/>
    <w:rPr>
      <w:rFonts w:eastAsia="宋体"/>
      <w:kern w:val="2"/>
      <w:sz w:val="21"/>
      <w:szCs w:val="24"/>
      <w:lang w:val="en-US" w:eastAsia="zh-CN" w:bidi="ar-SA"/>
    </w:rPr>
  </w:style>
  <w:style w:type="character" w:customStyle="1" w:styleId="180">
    <w:name w:val="hui"/>
    <w:basedOn w:val="62"/>
    <w:autoRedefine/>
    <w:qFormat/>
    <w:uiPriority w:val="0"/>
    <w:rPr>
      <w:rFonts w:ascii="Arial" w:hAnsi="Arial" w:eastAsia="黑体" w:cs="Arial"/>
      <w:snapToGrid w:val="0"/>
      <w:kern w:val="0"/>
      <w:szCs w:val="21"/>
    </w:rPr>
  </w:style>
  <w:style w:type="character" w:customStyle="1" w:styleId="181">
    <w:name w:val="正文缩进 Char"/>
    <w:autoRedefine/>
    <w:qFormat/>
    <w:uiPriority w:val="0"/>
    <w:rPr>
      <w:rFonts w:eastAsia="宋体"/>
      <w:kern w:val="2"/>
      <w:sz w:val="21"/>
      <w:lang w:val="en-US" w:eastAsia="zh-CN"/>
    </w:rPr>
  </w:style>
  <w:style w:type="character" w:customStyle="1" w:styleId="182">
    <w:name w:val="正文1 Char"/>
    <w:autoRedefine/>
    <w:qFormat/>
    <w:uiPriority w:val="0"/>
    <w:rPr>
      <w:rFonts w:ascii="宋体" w:eastAsia="宋体"/>
      <w:snapToGrid w:val="0"/>
      <w:color w:val="000000"/>
      <w:kern w:val="28"/>
      <w:sz w:val="28"/>
      <w:lang w:val="en-US" w:eastAsia="zh-CN" w:bidi="ar-SA"/>
    </w:rPr>
  </w:style>
  <w:style w:type="character" w:customStyle="1" w:styleId="183">
    <w:name w:val="Char Char61"/>
    <w:autoRedefine/>
    <w:qFormat/>
    <w:uiPriority w:val="0"/>
    <w:rPr>
      <w:rFonts w:eastAsia="宋体"/>
      <w:kern w:val="2"/>
      <w:sz w:val="21"/>
      <w:szCs w:val="24"/>
      <w:lang w:val="en-US" w:eastAsia="zh-CN" w:bidi="ar-SA"/>
    </w:rPr>
  </w:style>
  <w:style w:type="character" w:customStyle="1" w:styleId="184">
    <w:name w:val="正文文本 3 字符"/>
    <w:link w:val="21"/>
    <w:autoRedefine/>
    <w:qFormat/>
    <w:uiPriority w:val="0"/>
    <w:rPr>
      <w:kern w:val="2"/>
      <w:sz w:val="21"/>
    </w:rPr>
  </w:style>
  <w:style w:type="character" w:customStyle="1" w:styleId="185">
    <w:name w:val="message1"/>
    <w:autoRedefine/>
    <w:qFormat/>
    <w:uiPriority w:val="0"/>
    <w:rPr>
      <w:rFonts w:hint="default" w:ascii="Tahoma" w:hAnsi="Tahoma" w:cs="Tahoma"/>
      <w:sz w:val="18"/>
      <w:szCs w:val="18"/>
    </w:rPr>
  </w:style>
  <w:style w:type="character" w:customStyle="1" w:styleId="186">
    <w:name w:val="Heading 2 Hidden Char"/>
    <w:autoRedefine/>
    <w:qFormat/>
    <w:uiPriority w:val="0"/>
    <w:rPr>
      <w:rFonts w:ascii="仿宋_GB2312" w:eastAsia="仿宋_GB2312"/>
      <w:b/>
      <w:bCs/>
      <w:kern w:val="2"/>
      <w:sz w:val="24"/>
      <w:szCs w:val="24"/>
      <w:lang w:val="zh-CN" w:eastAsia="zh-CN" w:bidi="ar-SA"/>
    </w:rPr>
  </w:style>
  <w:style w:type="character" w:customStyle="1" w:styleId="187">
    <w:name w:val="DO_NOT_TRANSLATE"/>
    <w:autoRedefine/>
    <w:qFormat/>
    <w:uiPriority w:val="0"/>
    <w:rPr>
      <w:rFonts w:ascii="Courier New" w:hAnsi="Courier New" w:cs="Courier New"/>
      <w:color w:val="800000"/>
      <w:lang w:val="en-US" w:eastAsia="zh-CN"/>
    </w:rPr>
  </w:style>
  <w:style w:type="character" w:customStyle="1" w:styleId="188">
    <w:name w:val="unnamed11"/>
    <w:autoRedefine/>
    <w:qFormat/>
    <w:uiPriority w:val="0"/>
    <w:rPr>
      <w:sz w:val="20"/>
      <w:szCs w:val="20"/>
    </w:rPr>
  </w:style>
  <w:style w:type="character" w:customStyle="1" w:styleId="189">
    <w:name w:val="tw4winInternal"/>
    <w:autoRedefine/>
    <w:qFormat/>
    <w:uiPriority w:val="0"/>
    <w:rPr>
      <w:rFonts w:ascii="Courier New" w:hAnsi="Courier New" w:cs="Courier New"/>
      <w:color w:val="FF0000"/>
      <w:lang w:val="en-US" w:eastAsia="zh-CN"/>
    </w:rPr>
  </w:style>
  <w:style w:type="character" w:customStyle="1" w:styleId="190">
    <w:name w:val="正文（缩进2汉字） Char"/>
    <w:link w:val="191"/>
    <w:autoRedefine/>
    <w:qFormat/>
    <w:uiPriority w:val="0"/>
    <w:rPr>
      <w:rFonts w:ascii="宋体"/>
    </w:rPr>
  </w:style>
  <w:style w:type="paragraph" w:customStyle="1" w:styleId="191">
    <w:name w:val="正文（缩进2汉字）"/>
    <w:basedOn w:val="1"/>
    <w:link w:val="190"/>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2">
    <w:name w:val="页脚 Char"/>
    <w:autoRedefine/>
    <w:qFormat/>
    <w:uiPriority w:val="99"/>
    <w:rPr>
      <w:rFonts w:eastAsia="仿宋_GB2312"/>
      <w:kern w:val="2"/>
      <w:sz w:val="18"/>
      <w:lang w:val="en-US" w:eastAsia="zh-CN"/>
    </w:rPr>
  </w:style>
  <w:style w:type="character" w:customStyle="1" w:styleId="193">
    <w:name w:val="正文文本缩进 3 字符"/>
    <w:link w:val="51"/>
    <w:autoRedefine/>
    <w:qFormat/>
    <w:uiPriority w:val="0"/>
    <w:rPr>
      <w:kern w:val="2"/>
      <w:sz w:val="24"/>
    </w:rPr>
  </w:style>
  <w:style w:type="character" w:customStyle="1" w:styleId="194">
    <w:name w:val="正文缩进 Char1"/>
    <w:autoRedefine/>
    <w:qFormat/>
    <w:uiPriority w:val="0"/>
    <w:rPr>
      <w:rFonts w:ascii="宋体" w:eastAsia="宋体"/>
      <w:snapToGrid w:val="0"/>
      <w:color w:val="000000"/>
      <w:kern w:val="28"/>
      <w:sz w:val="28"/>
      <w:lang w:val="en-US" w:eastAsia="zh-CN" w:bidi="ar-SA"/>
    </w:rPr>
  </w:style>
  <w:style w:type="character" w:customStyle="1" w:styleId="195">
    <w:name w:val="正文文本 Char"/>
    <w:autoRedefine/>
    <w:qFormat/>
    <w:uiPriority w:val="0"/>
    <w:rPr>
      <w:rFonts w:eastAsia="宋体"/>
      <w:kern w:val="2"/>
      <w:sz w:val="24"/>
      <w:szCs w:val="24"/>
      <w:lang w:val="en-US" w:eastAsia="zh-CN" w:bidi="ar-SA"/>
    </w:rPr>
  </w:style>
  <w:style w:type="character" w:customStyle="1" w:styleId="196">
    <w:name w:val="style36"/>
    <w:basedOn w:val="62"/>
    <w:autoRedefine/>
    <w:qFormat/>
    <w:uiPriority w:val="0"/>
    <w:rPr>
      <w:rFonts w:ascii="Arial" w:hAnsi="Arial" w:eastAsia="黑体" w:cs="Arial"/>
      <w:snapToGrid w:val="0"/>
      <w:kern w:val="0"/>
      <w:szCs w:val="21"/>
    </w:rPr>
  </w:style>
  <w:style w:type="character" w:customStyle="1" w:styleId="197">
    <w:name w:val="hui3"/>
    <w:autoRedefine/>
    <w:qFormat/>
    <w:uiPriority w:val="0"/>
    <w:rPr>
      <w:color w:val="333333"/>
    </w:rPr>
  </w:style>
  <w:style w:type="character" w:customStyle="1" w:styleId="198">
    <w:name w:val="方案正文 Char"/>
    <w:autoRedefine/>
    <w:qFormat/>
    <w:uiPriority w:val="0"/>
    <w:rPr>
      <w:rFonts w:ascii="仿宋_GB2312" w:eastAsia="仿宋_GB2312"/>
      <w:b/>
      <w:color w:val="000000"/>
      <w:kern w:val="2"/>
      <w:sz w:val="24"/>
      <w:lang w:val="en-US" w:eastAsia="zh-CN" w:bidi="ar-SA"/>
    </w:rPr>
  </w:style>
  <w:style w:type="character" w:customStyle="1" w:styleId="199">
    <w:name w:val="apple-converted-space"/>
    <w:autoRedefine/>
    <w:qFormat/>
    <w:uiPriority w:val="0"/>
  </w:style>
  <w:style w:type="character" w:customStyle="1" w:styleId="200">
    <w:name w:val="文档结构图 Char"/>
    <w:autoRedefine/>
    <w:qFormat/>
    <w:uiPriority w:val="0"/>
    <w:rPr>
      <w:rFonts w:eastAsia="宋体"/>
      <w:kern w:val="2"/>
      <w:sz w:val="21"/>
      <w:szCs w:val="24"/>
      <w:lang w:val="en-US" w:eastAsia="zh-CN" w:bidi="ar-SA"/>
    </w:rPr>
  </w:style>
  <w:style w:type="character" w:customStyle="1" w:styleId="201">
    <w:name w:val="正文非缩进 Char3"/>
    <w:autoRedefine/>
    <w:qFormat/>
    <w:uiPriority w:val="0"/>
    <w:rPr>
      <w:rFonts w:ascii="宋体" w:eastAsia="宋体"/>
      <w:snapToGrid w:val="0"/>
      <w:color w:val="000000"/>
      <w:kern w:val="28"/>
      <w:sz w:val="28"/>
      <w:lang w:val="en-US" w:eastAsia="zh-CN" w:bidi="ar-SA"/>
    </w:rPr>
  </w:style>
  <w:style w:type="character" w:customStyle="1" w:styleId="202">
    <w:name w:val="dectext1"/>
    <w:autoRedefine/>
    <w:qFormat/>
    <w:uiPriority w:val="0"/>
    <w:rPr>
      <w:rFonts w:ascii="宋体" w:hAnsi="宋体" w:eastAsia="宋体"/>
      <w:color w:val="333333"/>
      <w:sz w:val="21"/>
      <w:szCs w:val="21"/>
      <w:u w:val="none"/>
    </w:rPr>
  </w:style>
  <w:style w:type="character" w:customStyle="1" w:styleId="203">
    <w:name w:val="t21"/>
    <w:autoRedefine/>
    <w:qFormat/>
    <w:uiPriority w:val="0"/>
    <w:rPr>
      <w:rFonts w:ascii="仿宋_GB2312" w:eastAsia="微软雅黑"/>
      <w:b/>
      <w:kern w:val="2"/>
      <w:sz w:val="23"/>
      <w:szCs w:val="23"/>
      <w:lang w:val="en-US" w:eastAsia="zh-CN" w:bidi="ar-SA"/>
    </w:rPr>
  </w:style>
  <w:style w:type="character" w:customStyle="1" w:styleId="204">
    <w:name w:val="副标题 Char1"/>
    <w:autoRedefine/>
    <w:qFormat/>
    <w:uiPriority w:val="0"/>
    <w:rPr>
      <w:rFonts w:ascii="Cambria" w:hAnsi="Cambria" w:eastAsia="宋体" w:cs="Times New Roman"/>
      <w:b/>
      <w:bCs/>
      <w:snapToGrid w:val="0"/>
      <w:kern w:val="28"/>
      <w:sz w:val="32"/>
      <w:szCs w:val="32"/>
    </w:rPr>
  </w:style>
  <w:style w:type="character" w:customStyle="1" w:styleId="205">
    <w:name w:val="px14"/>
    <w:autoRedefine/>
    <w:qFormat/>
    <w:uiPriority w:val="0"/>
    <w:rPr>
      <w:rFonts w:ascii="仿宋_GB2312" w:eastAsia="微软雅黑" w:cs="Times New Roman"/>
      <w:b/>
      <w:kern w:val="2"/>
      <w:sz w:val="32"/>
      <w:szCs w:val="32"/>
      <w:lang w:val="en-US" w:eastAsia="zh-CN" w:bidi="ar-SA"/>
    </w:rPr>
  </w:style>
  <w:style w:type="character" w:customStyle="1" w:styleId="206">
    <w:name w:val="标题 7 字符"/>
    <w:link w:val="8"/>
    <w:autoRedefine/>
    <w:qFormat/>
    <w:uiPriority w:val="0"/>
    <w:rPr>
      <w:b/>
      <w:bCs/>
      <w:kern w:val="2"/>
      <w:sz w:val="24"/>
      <w:szCs w:val="24"/>
    </w:rPr>
  </w:style>
  <w:style w:type="character" w:customStyle="1" w:styleId="207">
    <w:name w:val="Normal Indent Char Char"/>
    <w:autoRedefine/>
    <w:qFormat/>
    <w:uiPriority w:val="0"/>
    <w:rPr>
      <w:rFonts w:eastAsia="宋体"/>
      <w:kern w:val="2"/>
      <w:sz w:val="21"/>
      <w:lang w:val="en-US" w:eastAsia="zh-CN" w:bidi="ar-SA"/>
    </w:rPr>
  </w:style>
  <w:style w:type="character" w:customStyle="1" w:styleId="208">
    <w:name w:val="f141"/>
    <w:autoRedefine/>
    <w:qFormat/>
    <w:uiPriority w:val="0"/>
    <w:rPr>
      <w:rFonts w:ascii="Tahoma" w:hAnsi="Tahoma" w:eastAsia="宋体"/>
      <w:b/>
      <w:kern w:val="2"/>
      <w:sz w:val="21"/>
      <w:szCs w:val="21"/>
      <w:lang w:val="en-US" w:eastAsia="zh-CN" w:bidi="ar-SA"/>
    </w:rPr>
  </w:style>
  <w:style w:type="character" w:customStyle="1" w:styleId="209">
    <w:name w:val="日期 字符"/>
    <w:link w:val="35"/>
    <w:autoRedefine/>
    <w:qFormat/>
    <w:uiPriority w:val="0"/>
    <w:rPr>
      <w:rFonts w:ascii="宋体"/>
      <w:kern w:val="2"/>
      <w:sz w:val="24"/>
      <w:szCs w:val="21"/>
      <w:lang w:val="zh-CN"/>
    </w:rPr>
  </w:style>
  <w:style w:type="character" w:customStyle="1" w:styleId="210">
    <w:name w:val="myp1111"/>
    <w:autoRedefine/>
    <w:qFormat/>
    <w:uiPriority w:val="0"/>
    <w:rPr>
      <w:rFonts w:hint="default" w:ascii="ˎ̥" w:hAnsi="ˎ̥"/>
      <w:color w:val="000000"/>
      <w:sz w:val="20"/>
      <w:szCs w:val="20"/>
      <w:u w:val="none"/>
    </w:rPr>
  </w:style>
  <w:style w:type="character" w:customStyle="1" w:styleId="211">
    <w:name w:val="称呼 字符"/>
    <w:link w:val="20"/>
    <w:autoRedefine/>
    <w:qFormat/>
    <w:uiPriority w:val="0"/>
    <w:rPr>
      <w:rFonts w:ascii="仿宋_GB2312" w:eastAsia="仿宋_GB2312"/>
      <w:kern w:val="2"/>
      <w:sz w:val="28"/>
    </w:rPr>
  </w:style>
  <w:style w:type="character" w:customStyle="1" w:styleId="212">
    <w:name w:val="标题 4 字符"/>
    <w:link w:val="5"/>
    <w:autoRedefine/>
    <w:qFormat/>
    <w:uiPriority w:val="0"/>
    <w:rPr>
      <w:rFonts w:ascii="Arial" w:hAnsi="Arial" w:eastAsia="黑体"/>
      <w:b/>
      <w:bCs/>
      <w:kern w:val="2"/>
      <w:sz w:val="28"/>
      <w:szCs w:val="28"/>
      <w:lang w:val="zh-CN"/>
    </w:rPr>
  </w:style>
  <w:style w:type="character" w:customStyle="1" w:styleId="213">
    <w:name w:val="标书1 Char"/>
    <w:autoRedefine/>
    <w:qFormat/>
    <w:uiPriority w:val="0"/>
    <w:rPr>
      <w:rFonts w:eastAsia="宋体"/>
      <w:b/>
      <w:bCs/>
      <w:kern w:val="44"/>
      <w:sz w:val="44"/>
      <w:szCs w:val="44"/>
      <w:lang w:val="en-US" w:eastAsia="zh-CN" w:bidi="ar-SA"/>
    </w:rPr>
  </w:style>
  <w:style w:type="character" w:customStyle="1" w:styleId="214">
    <w:name w:val="链接"/>
    <w:autoRedefine/>
    <w:qFormat/>
    <w:uiPriority w:val="0"/>
    <w:rPr>
      <w:color w:val="0000FF"/>
      <w:sz w:val="21"/>
      <w:szCs w:val="21"/>
      <w:u w:val="single"/>
    </w:rPr>
  </w:style>
  <w:style w:type="character" w:customStyle="1" w:styleId="215">
    <w:name w:val="正文首行缩进 Char Char Char Char Char Char"/>
    <w:autoRedefine/>
    <w:qFormat/>
    <w:uiPriority w:val="0"/>
    <w:rPr>
      <w:rFonts w:ascii="宋体" w:eastAsia="宋体"/>
      <w:kern w:val="2"/>
      <w:sz w:val="24"/>
      <w:lang w:val="zh-CN" w:bidi="ar-SA"/>
    </w:rPr>
  </w:style>
  <w:style w:type="character" w:customStyle="1" w:styleId="216">
    <w:name w:val="正文2 Char Char"/>
    <w:link w:val="217"/>
    <w:autoRedefine/>
    <w:qFormat/>
    <w:uiPriority w:val="0"/>
    <w:rPr>
      <w:rFonts w:eastAsia="宋体"/>
      <w:kern w:val="2"/>
      <w:sz w:val="24"/>
      <w:lang w:val="en-US" w:eastAsia="zh-CN" w:bidi="ar-SA"/>
    </w:rPr>
  </w:style>
  <w:style w:type="paragraph" w:customStyle="1" w:styleId="217">
    <w:name w:val="正文2"/>
    <w:basedOn w:val="1"/>
    <w:link w:val="216"/>
    <w:autoRedefine/>
    <w:qFormat/>
    <w:uiPriority w:val="0"/>
    <w:pPr>
      <w:spacing w:before="156" w:line="360" w:lineRule="auto"/>
      <w:ind w:firstLine="510" w:firstLineChars="200"/>
    </w:pPr>
    <w:rPr>
      <w:sz w:val="24"/>
      <w:szCs w:val="20"/>
    </w:rPr>
  </w:style>
  <w:style w:type="character" w:customStyle="1" w:styleId="218">
    <w:name w:val="tw4winError"/>
    <w:autoRedefine/>
    <w:qFormat/>
    <w:uiPriority w:val="0"/>
    <w:rPr>
      <w:rFonts w:ascii="Courier New" w:hAnsi="Courier New" w:cs="Courier New"/>
      <w:color w:val="00FF00"/>
      <w:sz w:val="40"/>
      <w:szCs w:val="40"/>
    </w:rPr>
  </w:style>
  <w:style w:type="character" w:customStyle="1" w:styleId="219">
    <w:name w:val="正文1 Char1"/>
    <w:autoRedefine/>
    <w:qFormat/>
    <w:uiPriority w:val="0"/>
    <w:rPr>
      <w:rFonts w:ascii="仿宋_GB2312" w:hAnsi="Courier New" w:eastAsia="仿宋_GB2312"/>
      <w:kern w:val="28"/>
      <w:sz w:val="24"/>
      <w:szCs w:val="24"/>
      <w:lang w:val="en-US" w:eastAsia="zh-CN"/>
    </w:rPr>
  </w:style>
  <w:style w:type="character" w:customStyle="1" w:styleId="220">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221">
    <w:name w:val="c7 style3"/>
    <w:autoRedefine/>
    <w:qFormat/>
    <w:uiPriority w:val="0"/>
  </w:style>
  <w:style w:type="character" w:customStyle="1" w:styleId="222">
    <w:name w:val="纯文本 字符1"/>
    <w:link w:val="32"/>
    <w:autoRedefine/>
    <w:qFormat/>
    <w:uiPriority w:val="0"/>
    <w:rPr>
      <w:rFonts w:ascii="宋体" w:hAnsi="Courier New" w:eastAsia="宋体" w:cs="Arial"/>
      <w:snapToGrid w:val="0"/>
      <w:kern w:val="2"/>
      <w:sz w:val="21"/>
      <w:szCs w:val="21"/>
      <w:lang w:val="en-US" w:eastAsia="zh-CN" w:bidi="ar-SA"/>
    </w:rPr>
  </w:style>
  <w:style w:type="character" w:customStyle="1" w:styleId="223">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224">
    <w:name w:val="表正文 Char"/>
    <w:qFormat/>
    <w:uiPriority w:val="0"/>
    <w:rPr>
      <w:rFonts w:ascii="宋体" w:eastAsia="宋体"/>
      <w:snapToGrid w:val="0"/>
      <w:color w:val="000000"/>
      <w:kern w:val="28"/>
      <w:sz w:val="28"/>
      <w:lang w:val="en-US" w:eastAsia="zh-CN" w:bidi="ar-SA"/>
    </w:rPr>
  </w:style>
  <w:style w:type="character" w:customStyle="1" w:styleId="225">
    <w:name w:val="普通文字 Char1 Char"/>
    <w:qFormat/>
    <w:uiPriority w:val="0"/>
    <w:rPr>
      <w:rFonts w:ascii="宋体" w:hAnsi="Courier New" w:eastAsia="宋体"/>
      <w:kern w:val="2"/>
      <w:sz w:val="21"/>
      <w:szCs w:val="24"/>
      <w:lang w:val="en-US" w:eastAsia="zh-CN" w:bidi="ar-SA"/>
    </w:rPr>
  </w:style>
  <w:style w:type="character" w:customStyle="1" w:styleId="226">
    <w:name w:val="pt9"/>
    <w:qFormat/>
    <w:uiPriority w:val="0"/>
    <w:rPr>
      <w:rFonts w:ascii="仿宋_GB2312" w:eastAsia="微软雅黑"/>
      <w:b/>
      <w:kern w:val="2"/>
      <w:sz w:val="32"/>
      <w:szCs w:val="32"/>
      <w:lang w:val="en-US" w:eastAsia="zh-CN" w:bidi="ar-SA"/>
    </w:rPr>
  </w:style>
  <w:style w:type="character" w:customStyle="1" w:styleId="227">
    <w:name w:val="表正文 Char1"/>
    <w:qFormat/>
    <w:uiPriority w:val="0"/>
    <w:rPr>
      <w:rFonts w:ascii="宋体" w:eastAsia="宋体"/>
      <w:snapToGrid w:val="0"/>
      <w:color w:val="000000"/>
      <w:kern w:val="28"/>
      <w:sz w:val="28"/>
    </w:rPr>
  </w:style>
  <w:style w:type="character" w:customStyle="1" w:styleId="228">
    <w:name w:val="正文非缩进 Char"/>
    <w:qFormat/>
    <w:uiPriority w:val="0"/>
    <w:rPr>
      <w:rFonts w:ascii="宋体" w:eastAsia="宋体"/>
      <w:snapToGrid w:val="0"/>
      <w:color w:val="000000"/>
      <w:kern w:val="28"/>
      <w:sz w:val="28"/>
      <w:lang w:val="en-US" w:eastAsia="zh-CN" w:bidi="ar-SA"/>
    </w:rPr>
  </w:style>
  <w:style w:type="character" w:customStyle="1" w:styleId="229">
    <w:name w:val="冯广丽 Char"/>
    <w:link w:val="230"/>
    <w:qFormat/>
    <w:uiPriority w:val="0"/>
    <w:rPr>
      <w:rFonts w:ascii="宋体" w:hAnsi="宋体"/>
      <w:kern w:val="2"/>
      <w:sz w:val="24"/>
      <w:szCs w:val="22"/>
    </w:rPr>
  </w:style>
  <w:style w:type="paragraph" w:customStyle="1" w:styleId="230">
    <w:name w:val="冯广丽"/>
    <w:basedOn w:val="1"/>
    <w:link w:val="229"/>
    <w:qFormat/>
    <w:uiPriority w:val="0"/>
    <w:pPr>
      <w:adjustRightInd/>
      <w:spacing w:line="360" w:lineRule="auto"/>
      <w:ind w:firstLine="480" w:firstLineChars="200"/>
    </w:pPr>
    <w:rPr>
      <w:rFonts w:ascii="宋体" w:hAnsi="宋体"/>
      <w:sz w:val="24"/>
      <w:szCs w:val="22"/>
    </w:rPr>
  </w:style>
  <w:style w:type="character" w:customStyle="1" w:styleId="231">
    <w:name w:val="large1"/>
    <w:qFormat/>
    <w:uiPriority w:val="0"/>
    <w:rPr>
      <w:rFonts w:hint="eastAsia" w:ascii="宋体" w:hAnsi="宋体" w:eastAsia="宋体"/>
      <w:sz w:val="21"/>
      <w:szCs w:val="21"/>
    </w:rPr>
  </w:style>
  <w:style w:type="character" w:customStyle="1" w:styleId="232">
    <w:name w:val="样式 样式 标题 4h4H4Fab-4T5Ref Heading 1rh1Heading sqlsect 1.2.3.... +... Char"/>
    <w:link w:val="233"/>
    <w:qFormat/>
    <w:uiPriority w:val="0"/>
    <w:rPr>
      <w:rFonts w:ascii="微软雅黑" w:hAnsi="微软雅黑" w:eastAsia="微软雅黑"/>
      <w:b/>
      <w:bCs/>
      <w:kern w:val="2"/>
      <w:sz w:val="24"/>
      <w:szCs w:val="28"/>
    </w:rPr>
  </w:style>
  <w:style w:type="paragraph" w:customStyle="1" w:styleId="233">
    <w:name w:val="样式 样式 标题 4h4H4Fab-4T5Ref Heading 1rh1Heading sqlsect 1.2.3.... +..."/>
    <w:basedOn w:val="158"/>
    <w:link w:val="232"/>
    <w:qFormat/>
    <w:uiPriority w:val="0"/>
  </w:style>
  <w:style w:type="character" w:customStyle="1" w:styleId="234">
    <w:name w:val="标题 1 Char Char"/>
    <w:qFormat/>
    <w:uiPriority w:val="0"/>
    <w:rPr>
      <w:rFonts w:hint="eastAsia" w:ascii="宋体" w:hAnsi="宋体" w:eastAsia="宋体"/>
      <w:b/>
      <w:spacing w:val="-2"/>
      <w:sz w:val="24"/>
      <w:lang w:val="en-US" w:eastAsia="zh-CN" w:bidi="ar-SA"/>
    </w:rPr>
  </w:style>
  <w:style w:type="character" w:customStyle="1" w:styleId="235">
    <w:name w:val="标题 4 Char1"/>
    <w:semiHidden/>
    <w:qFormat/>
    <w:uiPriority w:val="9"/>
    <w:rPr>
      <w:rFonts w:ascii="Cambria" w:hAnsi="Cambria" w:eastAsia="宋体" w:cs="Times New Roman"/>
      <w:b/>
      <w:bCs/>
      <w:kern w:val="2"/>
      <w:sz w:val="28"/>
      <w:szCs w:val="28"/>
    </w:rPr>
  </w:style>
  <w:style w:type="character" w:customStyle="1" w:styleId="236">
    <w:name w:val="脚注文本 字符"/>
    <w:link w:val="48"/>
    <w:qFormat/>
    <w:uiPriority w:val="0"/>
    <w:rPr>
      <w:color w:val="0000FF"/>
      <w:sz w:val="21"/>
    </w:rPr>
  </w:style>
  <w:style w:type="character" w:customStyle="1" w:styleId="237">
    <w:name w:val="zbggmain style9"/>
    <w:qFormat/>
    <w:uiPriority w:val="0"/>
  </w:style>
  <w:style w:type="character" w:customStyle="1" w:styleId="238">
    <w:name w:val="tw4winMark"/>
    <w:qFormat/>
    <w:uiPriority w:val="0"/>
    <w:rPr>
      <w:rFonts w:ascii="Courier New" w:hAnsi="Courier New" w:cs="Courier New"/>
      <w:vanish/>
      <w:color w:val="800080"/>
      <w:sz w:val="24"/>
      <w:szCs w:val="24"/>
      <w:vertAlign w:val="subscript"/>
    </w:rPr>
  </w:style>
  <w:style w:type="character" w:customStyle="1" w:styleId="239">
    <w:name w:val="tw4winPopup"/>
    <w:qFormat/>
    <w:uiPriority w:val="0"/>
    <w:rPr>
      <w:rFonts w:ascii="Courier New" w:hAnsi="Courier New" w:cs="Courier New"/>
      <w:color w:val="008000"/>
      <w:lang w:val="en-US" w:eastAsia="zh-CN"/>
    </w:rPr>
  </w:style>
  <w:style w:type="character" w:customStyle="1" w:styleId="240">
    <w:name w:val="标题 6 字符"/>
    <w:link w:val="7"/>
    <w:qFormat/>
    <w:uiPriority w:val="0"/>
    <w:rPr>
      <w:rFonts w:ascii="Arial" w:hAnsi="Arial" w:eastAsia="黑体"/>
      <w:b/>
      <w:bCs/>
      <w:kern w:val="2"/>
      <w:sz w:val="24"/>
      <w:szCs w:val="24"/>
    </w:rPr>
  </w:style>
  <w:style w:type="character" w:customStyle="1" w:styleId="241">
    <w:name w:val="样式 宋体"/>
    <w:qFormat/>
    <w:uiPriority w:val="0"/>
    <w:rPr>
      <w:rFonts w:ascii="宋体" w:hAnsi="宋体"/>
      <w:sz w:val="24"/>
    </w:rPr>
  </w:style>
  <w:style w:type="character" w:customStyle="1" w:styleId="242">
    <w:name w:val="正文缩进 字符1"/>
    <w:link w:val="15"/>
    <w:qFormat/>
    <w:uiPriority w:val="0"/>
    <w:rPr>
      <w:rFonts w:ascii="宋体" w:eastAsia="宋体"/>
      <w:snapToGrid w:val="0"/>
      <w:color w:val="000000"/>
      <w:kern w:val="28"/>
      <w:sz w:val="28"/>
      <w:lang w:val="en-US" w:eastAsia="zh-CN" w:bidi="ar-SA"/>
    </w:rPr>
  </w:style>
  <w:style w:type="character" w:customStyle="1" w:styleId="243">
    <w:name w:val="标题 Char"/>
    <w:qFormat/>
    <w:uiPriority w:val="0"/>
    <w:rPr>
      <w:rFonts w:eastAsia="宋体"/>
      <w:b/>
      <w:sz w:val="24"/>
      <w:lang w:val="en-GB" w:eastAsia="zh-CN" w:bidi="ar-SA"/>
    </w:rPr>
  </w:style>
  <w:style w:type="character" w:customStyle="1" w:styleId="244">
    <w:name w:val="正文文本首行缩进 2 字符"/>
    <w:link w:val="59"/>
    <w:qFormat/>
    <w:uiPriority w:val="0"/>
    <w:rPr>
      <w:rFonts w:ascii="宋体" w:hAnsi="宋体"/>
      <w:kern w:val="2"/>
      <w:sz w:val="21"/>
      <w:szCs w:val="24"/>
    </w:rPr>
  </w:style>
  <w:style w:type="character" w:customStyle="1" w:styleId="245">
    <w:name w:val="正文 编号 Char"/>
    <w:qFormat/>
    <w:uiPriority w:val="0"/>
    <w:rPr>
      <w:rFonts w:ascii="仿宋_GB2312" w:hAnsi="仿宋_GB2312" w:eastAsia="仿宋_GB2312"/>
      <w:kern w:val="2"/>
      <w:sz w:val="24"/>
      <w:lang w:bidi="ar-SA"/>
    </w:rPr>
  </w:style>
  <w:style w:type="character" w:customStyle="1" w:styleId="246">
    <w:name w:val="批注文字 字符"/>
    <w:link w:val="19"/>
    <w:qFormat/>
    <w:uiPriority w:val="0"/>
    <w:rPr>
      <w:kern w:val="2"/>
      <w:sz w:val="21"/>
      <w:szCs w:val="24"/>
    </w:rPr>
  </w:style>
  <w:style w:type="character" w:customStyle="1" w:styleId="247">
    <w:name w:val="批注框文本 字符"/>
    <w:link w:val="37"/>
    <w:semiHidden/>
    <w:qFormat/>
    <w:uiPriority w:val="0"/>
    <w:rPr>
      <w:kern w:val="2"/>
      <w:sz w:val="18"/>
      <w:szCs w:val="18"/>
    </w:rPr>
  </w:style>
  <w:style w:type="character" w:customStyle="1" w:styleId="248">
    <w:name w:val="公文正文 Char"/>
    <w:qFormat/>
    <w:uiPriority w:val="0"/>
    <w:rPr>
      <w:rFonts w:ascii="仿宋_GB2312" w:eastAsia="仿宋_GB2312"/>
      <w:kern w:val="2"/>
      <w:sz w:val="24"/>
      <w:szCs w:val="24"/>
      <w:lang w:val="en-US" w:eastAsia="zh-CN" w:bidi="ar-SA"/>
    </w:rPr>
  </w:style>
  <w:style w:type="character" w:customStyle="1" w:styleId="249">
    <w:name w:val="Footer Char"/>
    <w:qFormat/>
    <w:locked/>
    <w:uiPriority w:val="0"/>
    <w:rPr>
      <w:rFonts w:eastAsia="宋体"/>
      <w:kern w:val="2"/>
      <w:sz w:val="18"/>
      <w:lang w:val="en-US" w:eastAsia="zh-CN" w:bidi="ar-SA"/>
    </w:rPr>
  </w:style>
  <w:style w:type="character" w:customStyle="1" w:styleId="250">
    <w:name w:val="标题 2 Char"/>
    <w:qFormat/>
    <w:uiPriority w:val="0"/>
    <w:rPr>
      <w:rFonts w:ascii="Arial" w:hAnsi="Arial" w:eastAsia="黑体"/>
      <w:b/>
      <w:kern w:val="2"/>
      <w:sz w:val="32"/>
      <w:lang w:val="en-US" w:eastAsia="zh-CN"/>
    </w:rPr>
  </w:style>
  <w:style w:type="character" w:customStyle="1" w:styleId="251">
    <w:name w:val="Char Char41"/>
    <w:qFormat/>
    <w:uiPriority w:val="0"/>
    <w:rPr>
      <w:rFonts w:eastAsia="宋体"/>
      <w:b/>
      <w:sz w:val="24"/>
      <w:lang w:val="en-GB" w:eastAsia="zh-CN" w:bidi="ar-SA"/>
    </w:rPr>
  </w:style>
  <w:style w:type="character" w:customStyle="1" w:styleId="252">
    <w:name w:val="Char Char91"/>
    <w:qFormat/>
    <w:uiPriority w:val="0"/>
    <w:rPr>
      <w:rFonts w:eastAsia="宋体"/>
      <w:kern w:val="2"/>
      <w:sz w:val="18"/>
      <w:szCs w:val="18"/>
      <w:lang w:val="en-US" w:eastAsia="zh-CN" w:bidi="ar-SA"/>
    </w:rPr>
  </w:style>
  <w:style w:type="character" w:customStyle="1" w:styleId="253">
    <w:name w:val="列出段落 Char"/>
    <w:qFormat/>
    <w:uiPriority w:val="34"/>
    <w:rPr>
      <w:rFonts w:eastAsia="楷体_GB2312" w:cs="Lucida Sans"/>
      <w:kern w:val="2"/>
      <w:sz w:val="24"/>
      <w:szCs w:val="24"/>
      <w:lang w:val="en-US" w:eastAsia="zh-CN" w:bidi="ar-SA"/>
    </w:rPr>
  </w:style>
  <w:style w:type="character" w:customStyle="1" w:styleId="254">
    <w:name w:val="gf正文1 Char"/>
    <w:qFormat/>
    <w:uiPriority w:val="0"/>
    <w:rPr>
      <w:rFonts w:ascii="宋体" w:hAnsi="宋体" w:eastAsia="宋体" w:cs="宋体"/>
      <w:kern w:val="2"/>
      <w:sz w:val="24"/>
      <w:szCs w:val="24"/>
      <w:lang w:val="en-US" w:eastAsia="zh-CN" w:bidi="ar-SA"/>
    </w:rPr>
  </w:style>
  <w:style w:type="character" w:customStyle="1" w:styleId="255">
    <w:name w:val="标书表格字体格式 Char"/>
    <w:qFormat/>
    <w:uiPriority w:val="0"/>
    <w:rPr>
      <w:kern w:val="2"/>
      <w:sz w:val="21"/>
      <w:szCs w:val="24"/>
      <w:lang w:bidi="ar-SA"/>
    </w:rPr>
  </w:style>
  <w:style w:type="character" w:customStyle="1" w:styleId="256">
    <w:name w:val="样式6 Char"/>
    <w:qFormat/>
    <w:uiPriority w:val="0"/>
    <w:rPr>
      <w:rFonts w:ascii="仿宋_GB2312" w:hAnsi="宋体" w:eastAsia="仿宋_GB2312"/>
      <w:b/>
      <w:bCs/>
      <w:kern w:val="2"/>
      <w:sz w:val="24"/>
      <w:szCs w:val="24"/>
      <w:lang w:val="en-US" w:eastAsia="zh-CN" w:bidi="ar-SA"/>
    </w:rPr>
  </w:style>
  <w:style w:type="character" w:customStyle="1" w:styleId="257">
    <w:name w:val="签名 字符"/>
    <w:link w:val="40"/>
    <w:qFormat/>
    <w:uiPriority w:val="0"/>
    <w:rPr>
      <w:rFonts w:eastAsia="仿宋_GB2312"/>
      <w:sz w:val="24"/>
    </w:rPr>
  </w:style>
  <w:style w:type="character" w:customStyle="1" w:styleId="258">
    <w:name w:val="冯 Char"/>
    <w:link w:val="259"/>
    <w:qFormat/>
    <w:uiPriority w:val="0"/>
    <w:rPr>
      <w:rFonts w:ascii="宋体" w:hAnsi="宋体"/>
      <w:color w:val="000000"/>
      <w:sz w:val="24"/>
      <w:szCs w:val="24"/>
    </w:rPr>
  </w:style>
  <w:style w:type="paragraph" w:customStyle="1" w:styleId="259">
    <w:name w:val="冯"/>
    <w:basedOn w:val="1"/>
    <w:link w:val="258"/>
    <w:qFormat/>
    <w:uiPriority w:val="0"/>
    <w:pPr>
      <w:widowControl/>
      <w:adjustRightInd/>
      <w:spacing w:line="360" w:lineRule="auto"/>
      <w:ind w:firstLine="480" w:firstLineChars="200"/>
    </w:pPr>
    <w:rPr>
      <w:rFonts w:ascii="宋体" w:hAnsi="宋体"/>
      <w:color w:val="000000"/>
      <w:kern w:val="0"/>
      <w:sz w:val="24"/>
    </w:rPr>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md"/>
    <w:basedOn w:val="62"/>
    <w:qFormat/>
    <w:uiPriority w:val="0"/>
    <w:rPr>
      <w:rFonts w:ascii="Arial" w:hAnsi="Arial" w:eastAsia="黑体" w:cs="Arial"/>
      <w:snapToGrid w:val="0"/>
      <w:kern w:val="0"/>
      <w:szCs w:val="21"/>
    </w:rPr>
  </w:style>
  <w:style w:type="character" w:customStyle="1" w:styleId="262">
    <w:name w:val="样式5 Char"/>
    <w:qFormat/>
    <w:uiPriority w:val="0"/>
    <w:rPr>
      <w:rFonts w:ascii="仿宋_GB2312" w:hAnsi="仿宋" w:eastAsia="仿宋_GB2312"/>
      <w:kern w:val="2"/>
      <w:sz w:val="24"/>
      <w:szCs w:val="24"/>
    </w:rPr>
  </w:style>
  <w:style w:type="character" w:customStyle="1" w:styleId="263">
    <w:name w:val="表格 Char Char"/>
    <w:qFormat/>
    <w:uiPriority w:val="0"/>
    <w:rPr>
      <w:rFonts w:ascii="宋体" w:hAnsi="宋体" w:eastAsia="宋体"/>
      <w:lang w:bidi="ar-SA"/>
    </w:rPr>
  </w:style>
  <w:style w:type="character" w:customStyle="1" w:styleId="264">
    <w:name w:val="font12gray1"/>
    <w:qFormat/>
    <w:uiPriority w:val="0"/>
    <w:rPr>
      <w:rFonts w:ascii="仿宋_GB2312" w:eastAsia="微软雅黑"/>
      <w:b/>
      <w:spacing w:val="300"/>
      <w:kern w:val="2"/>
      <w:sz w:val="18"/>
      <w:szCs w:val="18"/>
      <w:lang w:val="en-US" w:eastAsia="zh-CN" w:bidi="ar-SA"/>
    </w:rPr>
  </w:style>
  <w:style w:type="character" w:customStyle="1" w:styleId="265">
    <w:name w:val="txt"/>
    <w:qFormat/>
    <w:uiPriority w:val="0"/>
    <w:rPr>
      <w:rFonts w:ascii="仿宋_GB2312" w:eastAsia="微软雅黑"/>
      <w:b/>
      <w:kern w:val="2"/>
      <w:sz w:val="32"/>
      <w:szCs w:val="32"/>
      <w:lang w:val="en-US" w:eastAsia="zh-CN" w:bidi="ar-SA"/>
    </w:rPr>
  </w:style>
  <w:style w:type="character" w:customStyle="1" w:styleId="266">
    <w:name w:val="tw4winJump"/>
    <w:qFormat/>
    <w:uiPriority w:val="0"/>
    <w:rPr>
      <w:rFonts w:ascii="Courier New" w:hAnsi="Courier New" w:cs="Courier New"/>
      <w:color w:val="008080"/>
      <w:lang w:val="en-US" w:eastAsia="zh-CN"/>
    </w:rPr>
  </w:style>
  <w:style w:type="character" w:customStyle="1" w:styleId="267">
    <w:name w:val="Item List Char"/>
    <w:link w:val="268"/>
    <w:qFormat/>
    <w:uiPriority w:val="0"/>
    <w:rPr>
      <w:rFonts w:ascii="Arial"/>
      <w:bCs/>
      <w:sz w:val="21"/>
      <w:szCs w:val="21"/>
      <w:lang w:val="en-US" w:eastAsia="zh-CN" w:bidi="ar-SA"/>
    </w:rPr>
  </w:style>
  <w:style w:type="paragraph" w:customStyle="1" w:styleId="268">
    <w:name w:val="Item List"/>
    <w:link w:val="26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69">
    <w:name w:val="Char Char121"/>
    <w:qFormat/>
    <w:uiPriority w:val="0"/>
    <w:rPr>
      <w:rFonts w:ascii="仿宋_GB2312" w:eastAsia="仿宋_GB2312"/>
      <w:b/>
      <w:bCs/>
      <w:kern w:val="2"/>
      <w:sz w:val="24"/>
      <w:szCs w:val="24"/>
      <w:lang w:val="zh-CN" w:eastAsia="zh-CN" w:bidi="ar-SA"/>
    </w:rPr>
  </w:style>
  <w:style w:type="paragraph" w:customStyle="1" w:styleId="27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1">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272">
    <w:name w:val="4"/>
    <w:basedOn w:val="1"/>
    <w:next w:val="36"/>
    <w:qFormat/>
    <w:uiPriority w:val="0"/>
    <w:pPr>
      <w:spacing w:after="120" w:line="480" w:lineRule="auto"/>
      <w:ind w:left="420" w:leftChars="200"/>
    </w:pPr>
    <w:rPr>
      <w:sz w:val="24"/>
      <w:szCs w:val="20"/>
    </w:rPr>
  </w:style>
  <w:style w:type="paragraph" w:customStyle="1" w:styleId="273">
    <w:name w:val="Char Char1"/>
    <w:basedOn w:val="1"/>
    <w:qFormat/>
    <w:uiPriority w:val="0"/>
    <w:pPr>
      <w:widowControl/>
      <w:spacing w:after="160" w:line="240" w:lineRule="exact"/>
      <w:jc w:val="left"/>
    </w:pPr>
    <w:rPr>
      <w:rFonts w:eastAsia="仿宋_GB2312"/>
      <w:sz w:val="28"/>
    </w:rPr>
  </w:style>
  <w:style w:type="paragraph" w:customStyle="1" w:styleId="27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5">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76">
    <w:name w:val="默认段落样式"/>
    <w:basedOn w:val="217"/>
    <w:qFormat/>
    <w:uiPriority w:val="0"/>
    <w:pPr>
      <w:spacing w:before="0"/>
      <w:ind w:firstLine="480"/>
      <w:outlineLvl w:val="2"/>
    </w:pPr>
    <w:rPr>
      <w:rFonts w:ascii="仿宋_GB2312" w:hAnsi="宋体" w:eastAsia="仿宋_GB2312"/>
      <w:color w:val="000000"/>
      <w:szCs w:val="24"/>
    </w:rPr>
  </w:style>
  <w:style w:type="paragraph" w:customStyle="1" w:styleId="277">
    <w:name w:val="Char Char1 Char Char Char Char Char Char"/>
    <w:basedOn w:val="1"/>
    <w:qFormat/>
    <w:uiPriority w:val="0"/>
    <w:rPr>
      <w:rFonts w:ascii="仿宋_GB2312" w:eastAsia="仿宋_GB2312"/>
      <w:b/>
      <w:sz w:val="32"/>
      <w:szCs w:val="20"/>
    </w:rPr>
  </w:style>
  <w:style w:type="paragraph" w:customStyle="1" w:styleId="27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79">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0">
    <w:name w:val="文本正文 Char"/>
    <w:basedOn w:val="1"/>
    <w:qFormat/>
    <w:uiPriority w:val="0"/>
    <w:pPr>
      <w:spacing w:line="360" w:lineRule="auto"/>
      <w:ind w:firstLine="200" w:firstLineChars="200"/>
    </w:pPr>
    <w:rPr>
      <w:kern w:val="0"/>
      <w:sz w:val="24"/>
      <w:szCs w:val="20"/>
    </w:rPr>
  </w:style>
  <w:style w:type="paragraph" w:customStyle="1" w:styleId="28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8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3">
    <w:name w:val="文章标题"/>
    <w:next w:val="28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84">
    <w:name w:val="封面公司名"/>
    <w:qFormat/>
    <w:uiPriority w:val="0"/>
    <w:pPr>
      <w:jc w:val="center"/>
    </w:pPr>
    <w:rPr>
      <w:rFonts w:ascii="Arial" w:hAnsi="Arial" w:eastAsia="楷体_GB2312" w:cs="宋体"/>
      <w:bCs/>
      <w:kern w:val="2"/>
      <w:sz w:val="28"/>
      <w:lang w:val="en-US" w:eastAsia="zh-CN" w:bidi="ar-SA"/>
    </w:rPr>
  </w:style>
  <w:style w:type="paragraph" w:customStyle="1" w:styleId="285">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6">
    <w:name w:val="默认段落字体 Para Char Char Char Char Char Char Char"/>
    <w:basedOn w:val="1"/>
    <w:qFormat/>
    <w:uiPriority w:val="0"/>
    <w:rPr>
      <w:rFonts w:eastAsia="仿宋_GB2312"/>
      <w:sz w:val="28"/>
      <w:szCs w:val="20"/>
    </w:rPr>
  </w:style>
  <w:style w:type="paragraph" w:customStyle="1" w:styleId="28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88">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89">
    <w:name w:val="trademark"/>
    <w:qFormat/>
    <w:uiPriority w:val="0"/>
    <w:pPr>
      <w:spacing w:after="60"/>
    </w:pPr>
    <w:rPr>
      <w:rFonts w:ascii="Futura Bk" w:hAnsi="Futura Bk" w:eastAsia="宋体" w:cs="Times New Roman"/>
      <w:sz w:val="15"/>
      <w:lang w:val="en-US" w:eastAsia="en-US" w:bidi="ar-SA"/>
    </w:rPr>
  </w:style>
  <w:style w:type="paragraph" w:customStyle="1" w:styleId="29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1">
    <w:name w:val="Char3"/>
    <w:basedOn w:val="1"/>
    <w:qFormat/>
    <w:uiPriority w:val="0"/>
    <w:pPr>
      <w:adjustRightInd/>
    </w:pPr>
    <w:rPr>
      <w:rFonts w:ascii="仿宋_GB2312" w:eastAsia="仿宋_GB2312"/>
      <w:b/>
      <w:sz w:val="32"/>
      <w:szCs w:val="32"/>
    </w:rPr>
  </w:style>
  <w:style w:type="paragraph" w:customStyle="1" w:styleId="292">
    <w:name w:val="默认段落字体 Para Char"/>
    <w:basedOn w:val="1"/>
    <w:qFormat/>
    <w:uiPriority w:val="0"/>
    <w:rPr>
      <w:rFonts w:ascii="Tahoma" w:hAnsi="Tahoma"/>
      <w:sz w:val="24"/>
      <w:szCs w:val="20"/>
    </w:rPr>
  </w:style>
  <w:style w:type="paragraph" w:customStyle="1" w:styleId="29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4">
    <w:name w:val="Char Char Char Char Char Char Char Char Char Char Char Char1 Char"/>
    <w:basedOn w:val="1"/>
    <w:qFormat/>
    <w:uiPriority w:val="0"/>
    <w:rPr>
      <w:rFonts w:ascii="Tahoma" w:hAnsi="Tahoma" w:cs="仿宋_GB2312"/>
      <w:sz w:val="24"/>
      <w:szCs w:val="20"/>
    </w:rPr>
  </w:style>
  <w:style w:type="paragraph" w:customStyle="1" w:styleId="29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9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29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9">
    <w:name w:val="Char Char11 Char Char Char Char Char Char Char Char Char"/>
    <w:basedOn w:val="1"/>
    <w:qFormat/>
    <w:uiPriority w:val="0"/>
    <w:pPr>
      <w:spacing w:line="360" w:lineRule="auto"/>
    </w:pPr>
    <w:rPr>
      <w:szCs w:val="20"/>
    </w:rPr>
  </w:style>
  <w:style w:type="paragraph" w:customStyle="1" w:styleId="30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1">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2">
    <w:name w:val="左对齐表格文字"/>
    <w:basedOn w:val="1"/>
    <w:qFormat/>
    <w:uiPriority w:val="0"/>
    <w:pPr>
      <w:adjustRightInd/>
      <w:ind w:firstLine="200" w:firstLineChars="200"/>
      <w:jc w:val="right"/>
    </w:pPr>
  </w:style>
  <w:style w:type="paragraph" w:customStyle="1" w:styleId="303">
    <w:name w:val="Char31"/>
    <w:basedOn w:val="1"/>
    <w:qFormat/>
    <w:uiPriority w:val="0"/>
    <w:pPr>
      <w:adjustRightInd/>
      <w:ind w:firstLine="200" w:firstLineChars="200"/>
    </w:pPr>
    <w:rPr>
      <w:rFonts w:ascii="Tahoma" w:hAnsi="Tahoma"/>
      <w:sz w:val="24"/>
      <w:szCs w:val="20"/>
    </w:rPr>
  </w:style>
  <w:style w:type="paragraph" w:customStyle="1" w:styleId="30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0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07">
    <w:name w:val="彩色列表 - 强调文字颜色 11"/>
    <w:basedOn w:val="1"/>
    <w:qFormat/>
    <w:uiPriority w:val="0"/>
    <w:pPr>
      <w:adjustRightInd/>
      <w:ind w:firstLine="420" w:firstLineChars="200"/>
    </w:pPr>
    <w:rPr>
      <w:rFonts w:ascii="Calibri" w:hAnsi="Calibri"/>
      <w:szCs w:val="22"/>
    </w:rPr>
  </w:style>
  <w:style w:type="paragraph" w:customStyle="1" w:styleId="30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309">
    <w:name w:val="MM Topic 3"/>
    <w:basedOn w:val="4"/>
    <w:qFormat/>
    <w:uiPriority w:val="0"/>
    <w:pPr>
      <w:numPr>
        <w:numId w:val="4"/>
      </w:numPr>
      <w:tabs>
        <w:tab w:val="left" w:pos="1680"/>
      </w:tabs>
      <w:adjustRightInd/>
    </w:pPr>
  </w:style>
  <w:style w:type="paragraph" w:customStyle="1" w:styleId="310">
    <w:name w:val="Normal0"/>
    <w:qFormat/>
    <w:uiPriority w:val="0"/>
    <w:rPr>
      <w:rFonts w:ascii="Times New Roman" w:hAnsi="Times New Roman" w:eastAsia="宋体" w:cs="Times New Roman"/>
      <w:lang w:val="en-US" w:eastAsia="en-US" w:bidi="ar-SA"/>
    </w:rPr>
  </w:style>
  <w:style w:type="paragraph" w:customStyle="1" w:styleId="311">
    <w:name w:val="Char Char Char Char Char Char Char"/>
    <w:basedOn w:val="1"/>
    <w:qFormat/>
    <w:uiPriority w:val="0"/>
    <w:rPr>
      <w:rFonts w:ascii="仿宋_GB2312" w:eastAsia="仿宋_GB2312"/>
      <w:b/>
      <w:sz w:val="32"/>
      <w:szCs w:val="32"/>
    </w:rPr>
  </w:style>
  <w:style w:type="paragraph" w:customStyle="1" w:styleId="31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3">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5">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1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18">
    <w:name w:val="Char2"/>
    <w:basedOn w:val="1"/>
    <w:qFormat/>
    <w:uiPriority w:val="0"/>
    <w:rPr>
      <w:rFonts w:ascii="仿宋_GB2312" w:eastAsia="仿宋_GB2312"/>
      <w:b/>
      <w:sz w:val="32"/>
      <w:szCs w:val="32"/>
    </w:rPr>
  </w:style>
  <w:style w:type="paragraph" w:customStyle="1" w:styleId="31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32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1">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32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25">
    <w:name w:val="Char Char Char"/>
    <w:basedOn w:val="1"/>
    <w:qFormat/>
    <w:uiPriority w:val="0"/>
    <w:rPr>
      <w:rFonts w:ascii="Tahoma" w:hAnsi="Tahoma"/>
      <w:sz w:val="24"/>
      <w:szCs w:val="20"/>
    </w:rPr>
  </w:style>
  <w:style w:type="paragraph" w:customStyle="1" w:styleId="326">
    <w:name w:val="MM Topic 4"/>
    <w:basedOn w:val="5"/>
    <w:qFormat/>
    <w:uiPriority w:val="0"/>
    <w:pPr>
      <w:numPr>
        <w:numId w:val="4"/>
      </w:numPr>
      <w:tabs>
        <w:tab w:val="left" w:pos="2100"/>
      </w:tabs>
      <w:adjustRightInd/>
    </w:pPr>
    <w:rPr>
      <w:lang w:val="en-US"/>
    </w:rPr>
  </w:style>
  <w:style w:type="paragraph" w:customStyle="1" w:styleId="327">
    <w:name w:val="标准小四"/>
    <w:basedOn w:val="1"/>
    <w:qFormat/>
    <w:uiPriority w:val="0"/>
    <w:pPr>
      <w:spacing w:line="360" w:lineRule="auto"/>
      <w:ind w:firstLine="480" w:firstLineChars="200"/>
    </w:pPr>
    <w:rPr>
      <w:rFonts w:ascii="Arial" w:hAnsi="Arial"/>
      <w:sz w:val="24"/>
      <w:szCs w:val="21"/>
    </w:rPr>
  </w:style>
  <w:style w:type="paragraph" w:customStyle="1" w:styleId="328">
    <w:name w:val="MM Topic 2"/>
    <w:basedOn w:val="3"/>
    <w:qFormat/>
    <w:uiPriority w:val="0"/>
    <w:pPr>
      <w:numPr>
        <w:ilvl w:val="1"/>
        <w:numId w:val="4"/>
      </w:numPr>
    </w:pPr>
    <w:rPr>
      <w:rFonts w:ascii="Arial" w:hAnsi="Arial" w:eastAsia="黑体"/>
      <w:lang w:val="en-US"/>
    </w:rPr>
  </w:style>
  <w:style w:type="paragraph" w:customStyle="1" w:styleId="329">
    <w:name w:val="表格标题2"/>
    <w:basedOn w:val="330"/>
    <w:qFormat/>
    <w:uiPriority w:val="0"/>
    <w:rPr>
      <w:b/>
    </w:rPr>
  </w:style>
  <w:style w:type="paragraph" w:customStyle="1" w:styleId="330">
    <w:name w:val="表格内文"/>
    <w:basedOn w:val="1"/>
    <w:qFormat/>
    <w:uiPriority w:val="0"/>
    <w:pPr>
      <w:adjustRightInd/>
      <w:spacing w:line="360" w:lineRule="auto"/>
    </w:pPr>
    <w:rPr>
      <w:rFonts w:ascii="宋体" w:hAnsi="宋体" w:cs="宋体"/>
      <w:color w:val="000000"/>
      <w:szCs w:val="20"/>
    </w:rPr>
  </w:style>
  <w:style w:type="paragraph" w:customStyle="1" w:styleId="33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3">
    <w:name w:val="Char Char11 Char Char Char Char Char Char Char Char Char1"/>
    <w:basedOn w:val="1"/>
    <w:qFormat/>
    <w:uiPriority w:val="0"/>
    <w:pPr>
      <w:spacing w:line="360" w:lineRule="auto"/>
    </w:pPr>
    <w:rPr>
      <w:szCs w:val="20"/>
    </w:rPr>
  </w:style>
  <w:style w:type="paragraph" w:customStyle="1" w:styleId="334">
    <w:name w:val="Char Char Char Char Char Char Char Char Char Char Char1 Char"/>
    <w:basedOn w:val="1"/>
    <w:qFormat/>
    <w:uiPriority w:val="0"/>
    <w:pPr>
      <w:adjustRightInd/>
    </w:pPr>
    <w:rPr>
      <w:rFonts w:ascii="Tahoma" w:hAnsi="Tahoma"/>
      <w:sz w:val="24"/>
    </w:rPr>
  </w:style>
  <w:style w:type="paragraph" w:customStyle="1" w:styleId="33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36">
    <w:name w:val="a1"/>
    <w:basedOn w:val="1"/>
    <w:qFormat/>
    <w:uiPriority w:val="0"/>
    <w:pPr>
      <w:widowControl/>
      <w:spacing w:line="300" w:lineRule="atLeast"/>
      <w:jc w:val="left"/>
    </w:pPr>
    <w:rPr>
      <w:rFonts w:ascii="宋体" w:hAnsi="宋体"/>
      <w:kern w:val="0"/>
      <w:sz w:val="18"/>
      <w:szCs w:val="20"/>
    </w:rPr>
  </w:style>
  <w:style w:type="paragraph" w:customStyle="1" w:styleId="33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38">
    <w:name w:val="Char"/>
    <w:basedOn w:val="1"/>
    <w:qFormat/>
    <w:uiPriority w:val="0"/>
    <w:rPr>
      <w:rFonts w:ascii="仿宋_GB2312" w:eastAsia="仿宋_GB2312"/>
      <w:b/>
      <w:sz w:val="32"/>
      <w:szCs w:val="32"/>
    </w:rPr>
  </w:style>
  <w:style w:type="paragraph" w:customStyle="1" w:styleId="339">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340">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1">
    <w:name w:val="TOC 标题1"/>
    <w:basedOn w:val="2"/>
    <w:next w:val="1"/>
    <w:unhideWhenUsed/>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2">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3">
    <w:name w:val="Char3 Char Char Char"/>
    <w:basedOn w:val="1"/>
    <w:qFormat/>
    <w:uiPriority w:val="0"/>
    <w:pPr>
      <w:widowControl/>
      <w:adjustRightInd/>
      <w:spacing w:after="160" w:line="240" w:lineRule="exact"/>
      <w:jc w:val="left"/>
    </w:pPr>
    <w:rPr>
      <w:szCs w:val="20"/>
    </w:rPr>
  </w:style>
  <w:style w:type="paragraph" w:customStyle="1" w:styleId="34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34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4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49">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51">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2">
    <w:name w:val="Char Char1 Char Char1 Char Char1"/>
    <w:basedOn w:val="1"/>
    <w:autoRedefine/>
    <w:qFormat/>
    <w:uiPriority w:val="0"/>
    <w:pPr>
      <w:tabs>
        <w:tab w:val="left" w:pos="840"/>
      </w:tabs>
      <w:ind w:left="840" w:hanging="420"/>
    </w:pPr>
    <w:rPr>
      <w:rFonts w:ascii="Tahoma" w:hAnsi="Tahoma"/>
      <w:sz w:val="24"/>
    </w:rPr>
  </w:style>
  <w:style w:type="paragraph" w:customStyle="1" w:styleId="353">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4">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55">
    <w:name w:val="默认段落字体 Para Char Char Char Char"/>
    <w:basedOn w:val="1"/>
    <w:autoRedefine/>
    <w:qFormat/>
    <w:uiPriority w:val="0"/>
    <w:pPr>
      <w:spacing w:line="360" w:lineRule="auto"/>
    </w:pPr>
    <w:rPr>
      <w:szCs w:val="20"/>
    </w:rPr>
  </w:style>
  <w:style w:type="paragraph" w:customStyle="1" w:styleId="356">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357">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5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0">
    <w:name w:val="正文21"/>
    <w:basedOn w:val="1"/>
    <w:autoRedefine/>
    <w:qFormat/>
    <w:uiPriority w:val="0"/>
    <w:pPr>
      <w:adjustRightInd/>
      <w:spacing w:before="156" w:line="360" w:lineRule="auto"/>
      <w:ind w:firstLine="510" w:firstLineChars="200"/>
    </w:pPr>
    <w:rPr>
      <w:sz w:val="24"/>
      <w:szCs w:val="20"/>
    </w:rPr>
  </w:style>
  <w:style w:type="paragraph" w:customStyle="1" w:styleId="361">
    <w:name w:val="列出段落2"/>
    <w:basedOn w:val="1"/>
    <w:qFormat/>
    <w:uiPriority w:val="0"/>
    <w:pPr>
      <w:adjustRightInd/>
      <w:ind w:firstLine="420" w:firstLineChars="200"/>
    </w:pPr>
    <w:rPr>
      <w:rFonts w:ascii="宋体" w:hAnsi="宋体"/>
      <w:sz w:val="24"/>
    </w:rPr>
  </w:style>
  <w:style w:type="paragraph" w:customStyle="1" w:styleId="362">
    <w:name w:val="封面"/>
    <w:basedOn w:val="1"/>
    <w:qFormat/>
    <w:uiPriority w:val="0"/>
    <w:pPr>
      <w:spacing w:line="360" w:lineRule="atLeast"/>
      <w:jc w:val="right"/>
      <w:textAlignment w:val="baseline"/>
    </w:pPr>
    <w:rPr>
      <w:rFonts w:ascii="Symbol" w:hAnsi="Symbol"/>
      <w:kern w:val="0"/>
      <w:szCs w:val="20"/>
    </w:rPr>
  </w:style>
  <w:style w:type="paragraph" w:customStyle="1" w:styleId="363">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6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366">
    <w:name w:val="Char Char1 Char Char Char Char Char Char1"/>
    <w:basedOn w:val="1"/>
    <w:qFormat/>
    <w:uiPriority w:val="0"/>
    <w:rPr>
      <w:rFonts w:ascii="仿宋_GB2312" w:eastAsia="仿宋_GB2312"/>
      <w:b/>
      <w:sz w:val="32"/>
      <w:szCs w:val="20"/>
    </w:rPr>
  </w:style>
  <w:style w:type="paragraph" w:customStyle="1" w:styleId="36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6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6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70">
    <w:name w:val="正文（首行缩进2字符）"/>
    <w:basedOn w:val="1"/>
    <w:qFormat/>
    <w:uiPriority w:val="0"/>
    <w:pPr>
      <w:adjustRightInd/>
      <w:spacing w:line="360" w:lineRule="auto"/>
      <w:ind w:firstLine="480" w:firstLineChars="200"/>
    </w:pPr>
    <w:rPr>
      <w:sz w:val="24"/>
      <w:szCs w:val="20"/>
    </w:rPr>
  </w:style>
  <w:style w:type="paragraph" w:customStyle="1" w:styleId="37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2">
    <w:name w:val="表文字"/>
    <w:qFormat/>
    <w:uiPriority w:val="0"/>
    <w:rPr>
      <w:rFonts w:ascii="宋体" w:hAnsi="Times New Roman" w:eastAsia="宋体" w:cs="Times New Roman"/>
      <w:kern w:val="2"/>
      <w:lang w:val="en-US" w:eastAsia="zh-CN" w:bidi="ar-SA"/>
    </w:rPr>
  </w:style>
  <w:style w:type="paragraph" w:customStyle="1" w:styleId="3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4">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6">
    <w:name w:val="有符号正文"/>
    <w:basedOn w:val="1"/>
    <w:qFormat/>
    <w:uiPriority w:val="0"/>
    <w:pPr>
      <w:adjustRightInd/>
      <w:spacing w:line="400" w:lineRule="exact"/>
      <w:ind w:firstLine="200" w:firstLineChars="200"/>
    </w:pPr>
    <w:rPr>
      <w:rFonts w:ascii="Arial" w:hAnsi="Arial"/>
    </w:rPr>
  </w:style>
  <w:style w:type="paragraph" w:customStyle="1" w:styleId="377">
    <w:name w:val="数字标题5"/>
    <w:basedOn w:val="6"/>
    <w:next w:val="1"/>
    <w:qFormat/>
    <w:uiPriority w:val="0"/>
    <w:pPr>
      <w:numPr>
        <w:numId w:val="5"/>
      </w:numPr>
      <w:tabs>
        <w:tab w:val="left" w:pos="1080"/>
      </w:tabs>
    </w:pPr>
  </w:style>
  <w:style w:type="paragraph" w:customStyle="1" w:styleId="378">
    <w:name w:val="Char12"/>
    <w:basedOn w:val="1"/>
    <w:qFormat/>
    <w:uiPriority w:val="0"/>
    <w:rPr>
      <w:rFonts w:ascii="仿宋_GB2312" w:eastAsia="仿宋_GB2312"/>
      <w:b/>
      <w:sz w:val="32"/>
      <w:szCs w:val="32"/>
    </w:rPr>
  </w:style>
  <w:style w:type="paragraph" w:customStyle="1" w:styleId="37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380">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38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382">
    <w:name w:val="Char Char11 Char Char Char"/>
    <w:basedOn w:val="1"/>
    <w:qFormat/>
    <w:uiPriority w:val="0"/>
    <w:pPr>
      <w:spacing w:line="360" w:lineRule="auto"/>
    </w:pPr>
    <w:rPr>
      <w:szCs w:val="20"/>
    </w:rPr>
  </w:style>
  <w:style w:type="paragraph" w:customStyle="1" w:styleId="383">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84">
    <w:name w:val="Char Char111"/>
    <w:basedOn w:val="1"/>
    <w:autoRedefine/>
    <w:qFormat/>
    <w:uiPriority w:val="0"/>
    <w:pPr>
      <w:spacing w:line="360" w:lineRule="auto"/>
    </w:pPr>
    <w:rPr>
      <w:szCs w:val="20"/>
    </w:rPr>
  </w:style>
  <w:style w:type="paragraph" w:customStyle="1" w:styleId="385">
    <w:name w:val="文档正文"/>
    <w:basedOn w:val="1"/>
    <w:autoRedefine/>
    <w:qFormat/>
    <w:uiPriority w:val="0"/>
    <w:pPr>
      <w:spacing w:line="480" w:lineRule="atLeast"/>
      <w:ind w:firstLine="567"/>
      <w:textAlignment w:val="baseline"/>
    </w:pPr>
    <w:rPr>
      <w:kern w:val="0"/>
      <w:sz w:val="24"/>
      <w:szCs w:val="20"/>
    </w:rPr>
  </w:style>
  <w:style w:type="paragraph" w:customStyle="1" w:styleId="38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8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88">
    <w:name w:val="Char1 Char Char Char3"/>
    <w:basedOn w:val="1"/>
    <w:autoRedefine/>
    <w:qFormat/>
    <w:uiPriority w:val="0"/>
    <w:pPr>
      <w:adjustRightInd/>
      <w:ind w:firstLine="200" w:firstLineChars="200"/>
    </w:pPr>
    <w:rPr>
      <w:rFonts w:ascii="Tahoma" w:hAnsi="Tahoma"/>
      <w:sz w:val="24"/>
      <w:szCs w:val="20"/>
    </w:rPr>
  </w:style>
  <w:style w:type="paragraph" w:customStyle="1" w:styleId="389">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0">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391">
    <w:name w:val="Char2 Char Char Char"/>
    <w:basedOn w:val="1"/>
    <w:autoRedefine/>
    <w:qFormat/>
    <w:uiPriority w:val="0"/>
    <w:rPr>
      <w:rFonts w:ascii="仿宋_GB2312" w:eastAsia="仿宋_GB2312"/>
      <w:b/>
      <w:sz w:val="32"/>
      <w:szCs w:val="32"/>
    </w:rPr>
  </w:style>
  <w:style w:type="paragraph" w:customStyle="1" w:styleId="392">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3">
    <w:name w:val="MM Topic 5"/>
    <w:basedOn w:val="6"/>
    <w:qFormat/>
    <w:uiPriority w:val="0"/>
    <w:pPr>
      <w:numPr>
        <w:numId w:val="4"/>
      </w:numPr>
      <w:tabs>
        <w:tab w:val="left" w:pos="2520"/>
      </w:tabs>
      <w:adjustRightInd/>
    </w:pPr>
  </w:style>
  <w:style w:type="paragraph" w:customStyle="1" w:styleId="39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397">
    <w:name w:val="Char1 Char Char Char2"/>
    <w:basedOn w:val="1"/>
    <w:qFormat/>
    <w:uiPriority w:val="0"/>
    <w:pPr>
      <w:adjustRightInd/>
      <w:ind w:firstLine="200" w:firstLineChars="200"/>
    </w:pPr>
    <w:rPr>
      <w:rFonts w:ascii="Tahoma" w:hAnsi="Tahoma"/>
      <w:sz w:val="24"/>
      <w:szCs w:val="20"/>
    </w:rPr>
  </w:style>
  <w:style w:type="paragraph" w:customStyle="1" w:styleId="39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99">
    <w:name w:val="Char1 Char Char Char"/>
    <w:basedOn w:val="1"/>
    <w:qFormat/>
    <w:uiPriority w:val="0"/>
    <w:rPr>
      <w:rFonts w:ascii="Tahoma" w:hAnsi="Tahoma"/>
      <w:sz w:val="24"/>
      <w:szCs w:val="20"/>
    </w:rPr>
  </w:style>
  <w:style w:type="paragraph" w:customStyle="1" w:styleId="40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402">
    <w:name w:val="Char Char Char Char Char Char Char1"/>
    <w:basedOn w:val="1"/>
    <w:qFormat/>
    <w:uiPriority w:val="0"/>
    <w:rPr>
      <w:rFonts w:ascii="仿宋_GB2312" w:eastAsia="仿宋_GB2312"/>
      <w:b/>
      <w:sz w:val="32"/>
      <w:szCs w:val="32"/>
    </w:rPr>
  </w:style>
  <w:style w:type="paragraph" w:customStyle="1" w:styleId="403">
    <w:name w:val="Char2 Char Char Char1"/>
    <w:basedOn w:val="1"/>
    <w:qFormat/>
    <w:uiPriority w:val="0"/>
    <w:rPr>
      <w:rFonts w:ascii="仿宋_GB2312" w:eastAsia="仿宋_GB2312"/>
      <w:b/>
      <w:sz w:val="32"/>
      <w:szCs w:val="32"/>
    </w:rPr>
  </w:style>
  <w:style w:type="paragraph" w:customStyle="1" w:styleId="4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05">
    <w:name w:val="0"/>
    <w:basedOn w:val="1"/>
    <w:qFormat/>
    <w:uiPriority w:val="0"/>
    <w:pPr>
      <w:widowControl/>
    </w:pPr>
    <w:rPr>
      <w:kern w:val="0"/>
      <w:sz w:val="24"/>
      <w:szCs w:val="20"/>
    </w:rPr>
  </w:style>
  <w:style w:type="paragraph" w:customStyle="1" w:styleId="406">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0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样式 正文文本缩进 + 段前: 2 字符"/>
    <w:basedOn w:val="1"/>
    <w:qFormat/>
    <w:uiPriority w:val="0"/>
    <w:pPr>
      <w:adjustRightInd/>
      <w:ind w:left="420" w:leftChars="200"/>
      <w:jc w:val="left"/>
    </w:pPr>
    <w:rPr>
      <w:sz w:val="28"/>
      <w:szCs w:val="20"/>
      <w:lang w:eastAsia="zh-TW"/>
    </w:rPr>
  </w:style>
  <w:style w:type="paragraph" w:customStyle="1" w:styleId="411">
    <w:name w:val="标书标题2"/>
    <w:basedOn w:val="3"/>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12">
    <w:name w:val="表格"/>
    <w:basedOn w:val="1"/>
    <w:qFormat/>
    <w:uiPriority w:val="0"/>
    <w:pPr>
      <w:snapToGrid w:val="0"/>
      <w:ind w:firstLine="42" w:firstLineChars="21"/>
    </w:pPr>
    <w:rPr>
      <w:rFonts w:ascii="宋体" w:hAnsi="宋体"/>
      <w:kern w:val="0"/>
      <w:sz w:val="20"/>
      <w:szCs w:val="20"/>
    </w:rPr>
  </w:style>
  <w:style w:type="paragraph" w:customStyle="1" w:styleId="41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4">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5">
    <w:name w:val="数字标题6"/>
    <w:basedOn w:val="7"/>
    <w:next w:val="1"/>
    <w:autoRedefine/>
    <w:qFormat/>
    <w:uiPriority w:val="0"/>
    <w:pPr>
      <w:numPr>
        <w:numId w:val="5"/>
      </w:numPr>
      <w:tabs>
        <w:tab w:val="left" w:pos="1080"/>
      </w:tabs>
    </w:pPr>
    <w:rPr>
      <w:rFonts w:ascii="Times New Roman" w:hAnsi="Times New Roman" w:eastAsia="宋体"/>
      <w:i/>
    </w:rPr>
  </w:style>
  <w:style w:type="paragraph" w:customStyle="1" w:styleId="416">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7">
    <w:name w:val="P1"/>
    <w:basedOn w:val="1"/>
    <w:autoRedefine/>
    <w:qFormat/>
    <w:uiPriority w:val="0"/>
    <w:pPr>
      <w:adjustRightInd/>
      <w:spacing w:line="288" w:lineRule="auto"/>
      <w:ind w:firstLine="425" w:firstLineChars="200"/>
    </w:pPr>
  </w:style>
  <w:style w:type="paragraph" w:customStyle="1" w:styleId="418">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1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0">
    <w:name w:val="正文文字 2"/>
    <w:basedOn w:val="421"/>
    <w:next w:val="421"/>
    <w:autoRedefine/>
    <w:qFormat/>
    <w:uiPriority w:val="0"/>
    <w:rPr>
      <w:rFonts w:ascii="宋体" w:eastAsia="宋体" w:cs="Times New Roman"/>
      <w:color w:val="auto"/>
    </w:rPr>
  </w:style>
  <w:style w:type="paragraph" w:customStyle="1" w:styleId="421">
    <w:name w:val="Default"/>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2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3">
    <w:name w:val="Char Char4 Char Char"/>
    <w:basedOn w:val="1"/>
    <w:qFormat/>
    <w:uiPriority w:val="0"/>
    <w:pPr>
      <w:widowControl/>
      <w:adjustRightInd/>
      <w:spacing w:after="160" w:line="240" w:lineRule="exact"/>
      <w:jc w:val="left"/>
    </w:pPr>
  </w:style>
  <w:style w:type="paragraph" w:customStyle="1" w:styleId="42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5">
    <w:name w:val="_Style 12"/>
    <w:basedOn w:val="18"/>
    <w:qFormat/>
    <w:uiPriority w:val="0"/>
    <w:pPr>
      <w:snapToGrid w:val="0"/>
      <w:spacing w:line="360" w:lineRule="auto"/>
    </w:pPr>
  </w:style>
  <w:style w:type="paragraph" w:customStyle="1" w:styleId="426">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27">
    <w:name w:val="Char Char1 Char1"/>
    <w:basedOn w:val="1"/>
    <w:qFormat/>
    <w:uiPriority w:val="0"/>
    <w:rPr>
      <w:rFonts w:ascii="仿宋_GB2312" w:eastAsia="仿宋_GB2312"/>
      <w:b/>
      <w:sz w:val="32"/>
      <w:szCs w:val="32"/>
    </w:rPr>
  </w:style>
  <w:style w:type="paragraph" w:customStyle="1" w:styleId="428">
    <w:name w:val="Char2 Char Char"/>
    <w:basedOn w:val="1"/>
    <w:qFormat/>
    <w:uiPriority w:val="0"/>
    <w:pPr>
      <w:adjustRightInd/>
    </w:pPr>
    <w:rPr>
      <w:rFonts w:ascii="Tahoma" w:hAnsi="Tahoma"/>
      <w:sz w:val="24"/>
      <w:szCs w:val="20"/>
    </w:rPr>
  </w:style>
  <w:style w:type="paragraph" w:customStyle="1" w:styleId="42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30">
    <w:name w:val="MM Empty"/>
    <w:basedOn w:val="1"/>
    <w:qFormat/>
    <w:uiPriority w:val="0"/>
    <w:pPr>
      <w:adjustRightInd/>
    </w:pPr>
  </w:style>
  <w:style w:type="paragraph" w:customStyle="1" w:styleId="431">
    <w:name w:val="正文表标题"/>
    <w:next w:val="3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5">
    <w:name w:val="Char2 Char Char1"/>
    <w:basedOn w:val="1"/>
    <w:qFormat/>
    <w:uiPriority w:val="0"/>
    <w:pPr>
      <w:adjustRightInd/>
    </w:pPr>
    <w:rPr>
      <w:rFonts w:ascii="Tahoma" w:hAnsi="Tahoma"/>
      <w:sz w:val="24"/>
      <w:szCs w:val="20"/>
    </w:rPr>
  </w:style>
  <w:style w:type="paragraph" w:customStyle="1" w:styleId="436">
    <w:name w:val="数字标题3"/>
    <w:basedOn w:val="4"/>
    <w:next w:val="1"/>
    <w:qFormat/>
    <w:uiPriority w:val="0"/>
    <w:pPr>
      <w:numPr>
        <w:numId w:val="0"/>
      </w:numPr>
      <w:spacing w:line="240" w:lineRule="auto"/>
    </w:pPr>
    <w:rPr>
      <w:sz w:val="28"/>
      <w:szCs w:val="28"/>
    </w:rPr>
  </w:style>
  <w:style w:type="paragraph" w:customStyle="1" w:styleId="437">
    <w:name w:val="彩色列表 - 强调文字颜色 12"/>
    <w:basedOn w:val="1"/>
    <w:qFormat/>
    <w:uiPriority w:val="0"/>
    <w:pPr>
      <w:adjustRightInd/>
      <w:ind w:firstLine="420" w:firstLineChars="200"/>
    </w:pPr>
    <w:rPr>
      <w:rFonts w:ascii="Calibri" w:hAnsi="Calibri"/>
      <w:szCs w:val="22"/>
    </w:rPr>
  </w:style>
  <w:style w:type="paragraph" w:customStyle="1" w:styleId="438">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439">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440">
    <w:name w:val="正文（标题三）"/>
    <w:basedOn w:val="1"/>
    <w:qFormat/>
    <w:uiPriority w:val="0"/>
    <w:pPr>
      <w:spacing w:line="360" w:lineRule="auto"/>
      <w:ind w:firstLine="200" w:firstLineChars="200"/>
    </w:pPr>
    <w:rPr>
      <w:sz w:val="24"/>
    </w:rPr>
  </w:style>
  <w:style w:type="paragraph" w:customStyle="1" w:styleId="441">
    <w:name w:val="Char Char Char1 Char"/>
    <w:basedOn w:val="1"/>
    <w:qFormat/>
    <w:uiPriority w:val="0"/>
    <w:rPr>
      <w:szCs w:val="20"/>
    </w:rPr>
  </w:style>
  <w:style w:type="paragraph" w:customStyle="1" w:styleId="4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3">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4">
    <w:name w:val="标题五"/>
    <w:basedOn w:val="1"/>
    <w:autoRedefine/>
    <w:qFormat/>
    <w:uiPriority w:val="0"/>
    <w:pPr>
      <w:adjustRightInd/>
      <w:spacing w:before="156" w:beforeLines="50" w:line="360" w:lineRule="auto"/>
    </w:pPr>
    <w:rPr>
      <w:b/>
      <w:sz w:val="24"/>
    </w:rPr>
  </w:style>
  <w:style w:type="paragraph" w:customStyle="1" w:styleId="445">
    <w:name w:val="Char Char Char Char Char Char Char Char Char Char Char Char1 Char1"/>
    <w:basedOn w:val="1"/>
    <w:autoRedefine/>
    <w:qFormat/>
    <w:uiPriority w:val="0"/>
    <w:rPr>
      <w:rFonts w:ascii="Tahoma" w:hAnsi="Tahoma" w:cs="仿宋_GB2312"/>
      <w:sz w:val="24"/>
      <w:szCs w:val="20"/>
    </w:rPr>
  </w:style>
  <w:style w:type="paragraph" w:customStyle="1" w:styleId="446">
    <w:name w:val="Bulleted List"/>
    <w:basedOn w:val="1"/>
    <w:autoRedefine/>
    <w:qFormat/>
    <w:uiPriority w:val="0"/>
    <w:pPr>
      <w:tabs>
        <w:tab w:val="left" w:pos="1260"/>
      </w:tabs>
      <w:adjustRightInd/>
      <w:ind w:left="1260" w:hanging="420"/>
    </w:pPr>
  </w:style>
  <w:style w:type="paragraph" w:customStyle="1" w:styleId="447">
    <w:name w:val="Char Char1 Char Char Char"/>
    <w:basedOn w:val="1"/>
    <w:autoRedefine/>
    <w:qFormat/>
    <w:uiPriority w:val="0"/>
    <w:rPr>
      <w:rFonts w:ascii="仿宋_GB2312" w:eastAsia="仿宋_GB2312"/>
      <w:b/>
      <w:sz w:val="32"/>
      <w:szCs w:val="20"/>
    </w:rPr>
  </w:style>
  <w:style w:type="paragraph" w:customStyle="1" w:styleId="44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49">
    <w:name w:val="数字标题2"/>
    <w:basedOn w:val="3"/>
    <w:next w:val="1"/>
    <w:autoRedefine/>
    <w:qFormat/>
    <w:uiPriority w:val="0"/>
    <w:pPr>
      <w:numPr>
        <w:ilvl w:val="1"/>
        <w:numId w:val="5"/>
      </w:numPr>
    </w:pPr>
    <w:rPr>
      <w:rFonts w:ascii="Times New Roman" w:eastAsia="宋体"/>
      <w:i/>
      <w:sz w:val="36"/>
      <w:szCs w:val="36"/>
      <w:lang w:val="en-US"/>
    </w:rPr>
  </w:style>
  <w:style w:type="paragraph" w:customStyle="1" w:styleId="450">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51">
    <w:name w:val="Char21"/>
    <w:basedOn w:val="1"/>
    <w:autoRedefine/>
    <w:qFormat/>
    <w:uiPriority w:val="0"/>
    <w:pPr>
      <w:adjustRightInd/>
      <w:ind w:firstLine="200" w:firstLineChars="200"/>
    </w:pPr>
    <w:rPr>
      <w:rFonts w:ascii="仿宋_GB2312" w:eastAsia="仿宋_GB2312"/>
      <w:b/>
      <w:sz w:val="32"/>
      <w:szCs w:val="32"/>
    </w:rPr>
  </w:style>
  <w:style w:type="paragraph" w:customStyle="1" w:styleId="452">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53">
    <w:name w:val="No Spacing"/>
    <w:basedOn w:val="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5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5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8">
    <w:name w:val="标书表格字体格式"/>
    <w:next w:val="306"/>
    <w:qFormat/>
    <w:uiPriority w:val="0"/>
    <w:rPr>
      <w:rFonts w:ascii="Times New Roman" w:hAnsi="Times New Roman" w:eastAsia="宋体" w:cs="Times New Roman"/>
      <w:kern w:val="2"/>
      <w:sz w:val="21"/>
      <w:szCs w:val="24"/>
      <w:lang w:val="en-US" w:eastAsia="zh-CN" w:bidi="ar-SA"/>
    </w:rPr>
  </w:style>
  <w:style w:type="paragraph" w:customStyle="1" w:styleId="45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61">
    <w:name w:val="五级条标题"/>
    <w:basedOn w:val="462"/>
    <w:next w:val="347"/>
    <w:qFormat/>
    <w:uiPriority w:val="0"/>
    <w:pPr>
      <w:numPr>
        <w:ilvl w:val="6"/>
      </w:numPr>
      <w:tabs>
        <w:tab w:val="left" w:pos="1260"/>
        <w:tab w:val="left" w:pos="1680"/>
        <w:tab w:val="left" w:pos="2100"/>
        <w:tab w:val="left" w:pos="2520"/>
        <w:tab w:val="left" w:pos="2940"/>
      </w:tabs>
      <w:outlineLvl w:val="6"/>
    </w:pPr>
  </w:style>
  <w:style w:type="paragraph" w:customStyle="1" w:styleId="462">
    <w:name w:val="四级条标题"/>
    <w:basedOn w:val="463"/>
    <w:next w:val="347"/>
    <w:qFormat/>
    <w:uiPriority w:val="0"/>
    <w:pPr>
      <w:numPr>
        <w:ilvl w:val="5"/>
        <w:numId w:val="4"/>
      </w:numPr>
      <w:tabs>
        <w:tab w:val="left" w:pos="1260"/>
        <w:tab w:val="left" w:pos="1680"/>
        <w:tab w:val="left" w:pos="2100"/>
        <w:tab w:val="left" w:pos="2520"/>
      </w:tabs>
      <w:outlineLvl w:val="5"/>
    </w:pPr>
  </w:style>
  <w:style w:type="paragraph" w:customStyle="1" w:styleId="463">
    <w:name w:val="三级条标题"/>
    <w:basedOn w:val="464"/>
    <w:next w:val="347"/>
    <w:qFormat/>
    <w:uiPriority w:val="0"/>
    <w:pPr>
      <w:tabs>
        <w:tab w:val="left" w:pos="1260"/>
        <w:tab w:val="left" w:pos="1680"/>
        <w:tab w:val="left" w:pos="2100"/>
        <w:tab w:val="left" w:pos="2520"/>
      </w:tabs>
      <w:ind w:left="2520"/>
      <w:outlineLvl w:val="4"/>
    </w:pPr>
  </w:style>
  <w:style w:type="paragraph" w:customStyle="1" w:styleId="464">
    <w:name w:val="二级条标题"/>
    <w:basedOn w:val="465"/>
    <w:next w:val="347"/>
    <w:qFormat/>
    <w:uiPriority w:val="0"/>
    <w:pPr>
      <w:tabs>
        <w:tab w:val="left" w:pos="1260"/>
        <w:tab w:val="left" w:pos="1680"/>
        <w:tab w:val="left" w:pos="2100"/>
      </w:tabs>
      <w:ind w:left="0"/>
      <w:outlineLvl w:val="3"/>
    </w:pPr>
  </w:style>
  <w:style w:type="paragraph" w:customStyle="1" w:styleId="465">
    <w:name w:val="一级条标题"/>
    <w:basedOn w:val="466"/>
    <w:next w:val="347"/>
    <w:qFormat/>
    <w:uiPriority w:val="0"/>
    <w:pPr>
      <w:tabs>
        <w:tab w:val="left" w:pos="1260"/>
        <w:tab w:val="left" w:pos="1680"/>
      </w:tabs>
      <w:spacing w:before="0" w:beforeLines="0" w:after="0" w:afterLines="0"/>
      <w:ind w:left="1680"/>
      <w:outlineLvl w:val="2"/>
    </w:pPr>
  </w:style>
  <w:style w:type="paragraph" w:customStyle="1" w:styleId="466">
    <w:name w:val="章标题"/>
    <w:next w:val="34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467">
    <w:name w:val="数字标题4"/>
    <w:basedOn w:val="5"/>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6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69">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47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2">
    <w:name w:val="数字标题1"/>
    <w:basedOn w:val="2"/>
    <w:next w:val="1"/>
    <w:qFormat/>
    <w:uiPriority w:val="0"/>
    <w:pPr>
      <w:numPr>
        <w:ilvl w:val="0"/>
        <w:numId w:val="5"/>
      </w:numPr>
      <w:tabs>
        <w:tab w:val="left" w:pos="432"/>
      </w:tabs>
    </w:pPr>
  </w:style>
  <w:style w:type="paragraph" w:customStyle="1" w:styleId="473">
    <w:name w:val="正文 项目2"/>
    <w:basedOn w:val="373"/>
    <w:qFormat/>
    <w:uiPriority w:val="0"/>
    <w:pPr>
      <w:numPr>
        <w:ilvl w:val="0"/>
        <w:numId w:val="6"/>
      </w:numPr>
      <w:tabs>
        <w:tab w:val="clear" w:pos="840"/>
      </w:tabs>
      <w:spacing w:after="0"/>
    </w:pPr>
  </w:style>
  <w:style w:type="paragraph" w:customStyle="1" w:styleId="47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476">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79">
    <w:name w:val="Char Char Char1 Char1"/>
    <w:basedOn w:val="1"/>
    <w:autoRedefine/>
    <w:qFormat/>
    <w:uiPriority w:val="0"/>
    <w:rPr>
      <w:szCs w:val="20"/>
    </w:rPr>
  </w:style>
  <w:style w:type="paragraph" w:customStyle="1" w:styleId="480">
    <w:name w:val="Char1 Char Char Char4"/>
    <w:basedOn w:val="1"/>
    <w:autoRedefine/>
    <w:qFormat/>
    <w:uiPriority w:val="0"/>
    <w:pPr>
      <w:adjustRightInd/>
      <w:ind w:firstLine="200" w:firstLineChars="200"/>
    </w:pPr>
    <w:rPr>
      <w:rFonts w:ascii="Tahoma" w:hAnsi="Tahoma"/>
      <w:sz w:val="24"/>
      <w:szCs w:val="20"/>
    </w:rPr>
  </w:style>
  <w:style w:type="paragraph" w:customStyle="1" w:styleId="481">
    <w:name w:val="TOC 标题2"/>
    <w:basedOn w:val="2"/>
    <w:next w:val="1"/>
    <w:autoRedefine/>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3">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8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8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88">
    <w:name w:val="Char Char11 Char Char Char1"/>
    <w:basedOn w:val="1"/>
    <w:qFormat/>
    <w:uiPriority w:val="0"/>
    <w:pPr>
      <w:spacing w:line="360" w:lineRule="auto"/>
    </w:pPr>
    <w:rPr>
      <w:szCs w:val="20"/>
    </w:rPr>
  </w:style>
  <w:style w:type="paragraph" w:customStyle="1" w:styleId="48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1">
    <w:name w:val="Char Char Char Char Char Char Char Char"/>
    <w:basedOn w:val="1"/>
    <w:qFormat/>
    <w:uiPriority w:val="0"/>
    <w:pPr>
      <w:tabs>
        <w:tab w:val="left" w:pos="360"/>
      </w:tabs>
    </w:pPr>
    <w:rPr>
      <w:sz w:val="24"/>
      <w:szCs w:val="20"/>
    </w:rPr>
  </w:style>
  <w:style w:type="paragraph" w:customStyle="1" w:styleId="492">
    <w:name w:val="表格（小）"/>
    <w:basedOn w:val="1"/>
    <w:qFormat/>
    <w:uiPriority w:val="0"/>
    <w:pPr>
      <w:adjustRightInd/>
      <w:snapToGrid w:val="0"/>
      <w:spacing w:line="300" w:lineRule="auto"/>
    </w:pPr>
    <w:rPr>
      <w:rFonts w:eastAsia="仿宋"/>
      <w:szCs w:val="21"/>
    </w:rPr>
  </w:style>
  <w:style w:type="paragraph" w:customStyle="1" w:styleId="493">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495">
    <w:name w:val="List Paragraph1"/>
    <w:basedOn w:val="1"/>
    <w:qFormat/>
    <w:uiPriority w:val="34"/>
    <w:pPr>
      <w:spacing w:line="360" w:lineRule="auto"/>
      <w:ind w:firstLine="200" w:firstLineChars="200"/>
    </w:pPr>
    <w:rPr>
      <w:rFonts w:eastAsia="楷体_GB2312" w:cs="Lucida Sans"/>
      <w:sz w:val="24"/>
    </w:rPr>
  </w:style>
  <w:style w:type="paragraph" w:customStyle="1" w:styleId="49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9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9">
    <w:name w:val="Table Text"/>
    <w:basedOn w:val="1"/>
    <w:qFormat/>
    <w:uiPriority w:val="0"/>
    <w:pPr>
      <w:widowControl/>
      <w:spacing w:before="60" w:after="60"/>
      <w:jc w:val="left"/>
    </w:pPr>
    <w:rPr>
      <w:kern w:val="0"/>
      <w:sz w:val="24"/>
    </w:rPr>
  </w:style>
  <w:style w:type="paragraph" w:customStyle="1" w:styleId="500">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1">
    <w:name w:val="Char23"/>
    <w:basedOn w:val="1"/>
    <w:qFormat/>
    <w:uiPriority w:val="0"/>
    <w:rPr>
      <w:rFonts w:ascii="仿宋_GB2312" w:eastAsia="仿宋_GB2312"/>
      <w:b/>
      <w:sz w:val="32"/>
      <w:szCs w:val="32"/>
    </w:rPr>
  </w:style>
  <w:style w:type="paragraph" w:styleId="502">
    <w:name w:val="List Paragraph"/>
    <w:basedOn w:val="1"/>
    <w:qFormat/>
    <w:uiPriority w:val="34"/>
    <w:pPr>
      <w:spacing w:line="360" w:lineRule="auto"/>
      <w:ind w:firstLine="200" w:firstLineChars="200"/>
    </w:pPr>
    <w:rPr>
      <w:rFonts w:eastAsia="楷体_GB2312" w:cs="Lucida Sans"/>
      <w:sz w:val="24"/>
    </w:rPr>
  </w:style>
  <w:style w:type="paragraph" w:customStyle="1" w:styleId="503">
    <w:name w:val="Char Char Char Char Char Char Char Char1"/>
    <w:basedOn w:val="1"/>
    <w:qFormat/>
    <w:uiPriority w:val="0"/>
    <w:pPr>
      <w:tabs>
        <w:tab w:val="left" w:pos="360"/>
      </w:tabs>
    </w:pPr>
    <w:rPr>
      <w:sz w:val="24"/>
      <w:szCs w:val="20"/>
    </w:rPr>
  </w:style>
  <w:style w:type="paragraph" w:customStyle="1" w:styleId="50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5">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6">
    <w:name w:val="样式 标题 1Level 1 HeadPIM 1Section Headh1l11Heading 0Datash..."/>
    <w:basedOn w:val="2"/>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0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08">
    <w:name w:val="样式 标题 1 + 黑色 段前: 0.5 行 段后: 0.5 行1"/>
    <w:basedOn w:val="2"/>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09">
    <w:name w:val="WW-正文文字缩进 2"/>
    <w:basedOn w:val="1"/>
    <w:autoRedefine/>
    <w:qFormat/>
    <w:uiPriority w:val="0"/>
    <w:pPr>
      <w:suppressAutoHyphens/>
      <w:adjustRightInd/>
      <w:ind w:firstLine="420"/>
    </w:pPr>
    <w:rPr>
      <w:kern w:val="1"/>
      <w:szCs w:val="20"/>
    </w:rPr>
  </w:style>
  <w:style w:type="paragraph" w:customStyle="1" w:styleId="510">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2">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4">
    <w:name w:val="四号　首行缩进"/>
    <w:basedOn w:val="1"/>
    <w:autoRedefine/>
    <w:qFormat/>
    <w:uiPriority w:val="0"/>
    <w:pPr>
      <w:adjustRightInd/>
      <w:spacing w:line="360" w:lineRule="auto"/>
    </w:pPr>
    <w:rPr>
      <w:rFonts w:ascii="宋体" w:hAnsi="宋体"/>
      <w:szCs w:val="20"/>
    </w:rPr>
  </w:style>
  <w:style w:type="paragraph" w:customStyle="1" w:styleId="515">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516">
    <w:name w:val="bullet"/>
    <w:basedOn w:val="1"/>
    <w:autoRedefine/>
    <w:qFormat/>
    <w:uiPriority w:val="0"/>
    <w:pPr>
      <w:tabs>
        <w:tab w:val="left" w:pos="840"/>
      </w:tabs>
      <w:adjustRightInd/>
      <w:ind w:left="840" w:hanging="420"/>
    </w:pPr>
  </w:style>
  <w:style w:type="paragraph" w:customStyle="1" w:styleId="51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1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19">
    <w:name w:val="单元格居中"/>
    <w:basedOn w:val="1"/>
    <w:qFormat/>
    <w:uiPriority w:val="0"/>
    <w:pPr>
      <w:adjustRightInd/>
      <w:spacing w:line="360" w:lineRule="auto"/>
      <w:jc w:val="center"/>
    </w:pPr>
    <w:rPr>
      <w:sz w:val="24"/>
    </w:rPr>
  </w:style>
  <w:style w:type="paragraph" w:customStyle="1" w:styleId="520">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21">
    <w:name w:val="Char Char14"/>
    <w:basedOn w:val="1"/>
    <w:qFormat/>
    <w:uiPriority w:val="0"/>
    <w:pPr>
      <w:spacing w:line="360" w:lineRule="auto"/>
    </w:pPr>
    <w:rPr>
      <w:rFonts w:ascii="Tahoma" w:hAnsi="Tahoma"/>
      <w:sz w:val="24"/>
      <w:szCs w:val="20"/>
    </w:rPr>
  </w:style>
  <w:style w:type="paragraph" w:customStyle="1" w:styleId="52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4">
    <w:name w:val="Char3 Char Char Char1"/>
    <w:basedOn w:val="1"/>
    <w:qFormat/>
    <w:uiPriority w:val="0"/>
    <w:pPr>
      <w:widowControl/>
      <w:adjustRightInd/>
      <w:spacing w:after="160" w:line="240" w:lineRule="exact"/>
      <w:jc w:val="left"/>
    </w:pPr>
    <w:rPr>
      <w:szCs w:val="20"/>
    </w:rPr>
  </w:style>
  <w:style w:type="paragraph" w:customStyle="1" w:styleId="525">
    <w:name w:val="Char Char Char Char Char Char Char Char Char Char"/>
    <w:basedOn w:val="1"/>
    <w:qFormat/>
    <w:uiPriority w:val="0"/>
    <w:rPr>
      <w:rFonts w:ascii="仿宋_GB2312" w:eastAsia="仿宋_GB2312"/>
      <w:b/>
      <w:sz w:val="32"/>
      <w:szCs w:val="32"/>
    </w:rPr>
  </w:style>
  <w:style w:type="paragraph" w:customStyle="1" w:styleId="52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2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28">
    <w:name w:val="EB_表格"/>
    <w:basedOn w:val="1"/>
    <w:qFormat/>
    <w:uiPriority w:val="0"/>
    <w:pPr>
      <w:adjustRightInd/>
      <w:spacing w:line="300" w:lineRule="auto"/>
      <w:jc w:val="center"/>
    </w:pPr>
  </w:style>
  <w:style w:type="paragraph" w:customStyle="1" w:styleId="529">
    <w:name w:val="Char5"/>
    <w:basedOn w:val="1"/>
    <w:qFormat/>
    <w:uiPriority w:val="0"/>
    <w:rPr>
      <w:rFonts w:ascii="仿宋_GB2312" w:eastAsia="仿宋_GB2312"/>
      <w:b/>
      <w:sz w:val="32"/>
      <w:szCs w:val="32"/>
    </w:rPr>
  </w:style>
  <w:style w:type="paragraph" w:customStyle="1" w:styleId="53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53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3">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3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35">
    <w:name w:val="MM Topic 1"/>
    <w:basedOn w:val="2"/>
    <w:qFormat/>
    <w:uiPriority w:val="0"/>
    <w:pPr>
      <w:tabs>
        <w:tab w:val="left" w:pos="432"/>
        <w:tab w:val="left" w:pos="840"/>
      </w:tabs>
      <w:ind w:left="840" w:hanging="420"/>
    </w:pPr>
  </w:style>
  <w:style w:type="paragraph" w:customStyle="1" w:styleId="53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3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38">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53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540">
    <w:name w:val="列表内容"/>
    <w:basedOn w:val="1"/>
    <w:next w:val="1"/>
    <w:autoRedefine/>
    <w:qFormat/>
    <w:uiPriority w:val="0"/>
    <w:pPr>
      <w:widowControl/>
      <w:tabs>
        <w:tab w:val="left" w:pos="840"/>
      </w:tabs>
      <w:ind w:left="840" w:hanging="420"/>
      <w:jc w:val="left"/>
    </w:pPr>
    <w:rPr>
      <w:kern w:val="0"/>
      <w:sz w:val="18"/>
    </w:rPr>
  </w:style>
  <w:style w:type="paragraph" w:customStyle="1" w:styleId="541">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54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54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4">
    <w:name w:val="Char1 Char Char Char1"/>
    <w:basedOn w:val="1"/>
    <w:autoRedefine/>
    <w:qFormat/>
    <w:uiPriority w:val="0"/>
    <w:pPr>
      <w:adjustRightInd/>
      <w:ind w:firstLine="200" w:firstLineChars="200"/>
    </w:pPr>
    <w:rPr>
      <w:rFonts w:ascii="Tahoma" w:hAnsi="Tahoma"/>
      <w:sz w:val="24"/>
      <w:szCs w:val="20"/>
    </w:rPr>
  </w:style>
  <w:style w:type="paragraph" w:customStyle="1" w:styleId="54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46">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547">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48">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49">
    <w:name w:val="样式 样式2 + 左侧:  1 字符 右侧:  1 字符"/>
    <w:basedOn w:val="48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0">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55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3">
    <w:name w:val="Char Char Char Char Char Char Char Char Char Char1"/>
    <w:basedOn w:val="1"/>
    <w:qFormat/>
    <w:uiPriority w:val="0"/>
    <w:rPr>
      <w:rFonts w:ascii="仿宋_GB2312" w:eastAsia="仿宋_GB2312"/>
      <w:b/>
      <w:sz w:val="32"/>
      <w:szCs w:val="32"/>
    </w:rPr>
  </w:style>
  <w:style w:type="paragraph" w:customStyle="1" w:styleId="554">
    <w:name w:val="注释"/>
    <w:basedOn w:val="1"/>
    <w:qFormat/>
    <w:uiPriority w:val="0"/>
    <w:pPr>
      <w:adjustRightInd/>
      <w:spacing w:line="360" w:lineRule="auto"/>
      <w:ind w:firstLine="480"/>
    </w:pPr>
    <w:rPr>
      <w:sz w:val="24"/>
    </w:rPr>
  </w:style>
  <w:style w:type="paragraph" w:customStyle="1" w:styleId="55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6">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正文 首行缩进:  2 字符 Char"/>
    <w:basedOn w:val="1"/>
    <w:qFormat/>
    <w:uiPriority w:val="0"/>
    <w:pPr>
      <w:adjustRightInd/>
      <w:spacing w:line="360" w:lineRule="auto"/>
      <w:ind w:firstLine="480"/>
    </w:pPr>
    <w:rPr>
      <w:rFonts w:cs="宋体"/>
      <w:sz w:val="24"/>
      <w:szCs w:val="20"/>
    </w:rPr>
  </w:style>
  <w:style w:type="paragraph" w:customStyle="1" w:styleId="55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0">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1">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562">
    <w:name w:val="样式7"/>
    <w:basedOn w:val="369"/>
    <w:next w:val="1"/>
    <w:qFormat/>
    <w:uiPriority w:val="0"/>
    <w:pPr>
      <w:spacing w:after="156" w:afterLines="50"/>
      <w:jc w:val="left"/>
      <w:outlineLvl w:val="3"/>
    </w:pPr>
    <w:rPr>
      <w:sz w:val="24"/>
      <w:szCs w:val="24"/>
    </w:rPr>
  </w:style>
  <w:style w:type="paragraph" w:customStyle="1" w:styleId="56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4">
    <w:name w:val="单元格左对齐"/>
    <w:basedOn w:val="1"/>
    <w:qFormat/>
    <w:uiPriority w:val="0"/>
    <w:pPr>
      <w:adjustRightInd/>
      <w:spacing w:line="360" w:lineRule="auto"/>
    </w:pPr>
    <w:rPr>
      <w:sz w:val="24"/>
    </w:rPr>
  </w:style>
  <w:style w:type="paragraph" w:customStyle="1" w:styleId="565">
    <w:name w:val="Char Char1 Char Char Char1"/>
    <w:basedOn w:val="1"/>
    <w:qFormat/>
    <w:uiPriority w:val="0"/>
    <w:rPr>
      <w:rFonts w:ascii="仿宋_GB2312" w:eastAsia="仿宋_GB2312"/>
      <w:b/>
      <w:sz w:val="32"/>
      <w:szCs w:val="32"/>
    </w:rPr>
  </w:style>
  <w:style w:type="paragraph" w:customStyle="1" w:styleId="56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67">
    <w:name w:val="样式 标题 1章节第一层h1H"/>
    <w:basedOn w:val="2"/>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68">
    <w:name w:val="正文文字表格居中"/>
    <w:basedOn w:val="1"/>
    <w:next w:val="54"/>
    <w:qFormat/>
    <w:uiPriority w:val="0"/>
    <w:pPr>
      <w:snapToGrid w:val="0"/>
      <w:spacing w:line="360" w:lineRule="auto"/>
    </w:pPr>
    <w:rPr>
      <w:rFonts w:ascii="宋体"/>
      <w:b/>
      <w:sz w:val="24"/>
      <w:szCs w:val="20"/>
    </w:rPr>
  </w:style>
  <w:style w:type="paragraph" w:customStyle="1" w:styleId="56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7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57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572">
    <w:name w:val="Thf"/>
    <w:basedOn w:val="513"/>
    <w:autoRedefine/>
    <w:qFormat/>
    <w:uiPriority w:val="0"/>
    <w:pPr>
      <w:ind w:left="0"/>
    </w:pPr>
  </w:style>
  <w:style w:type="paragraph" w:customStyle="1" w:styleId="573">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4">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5">
    <w:name w:val="Char19"/>
    <w:basedOn w:val="1"/>
    <w:autoRedefine/>
    <w:qFormat/>
    <w:uiPriority w:val="0"/>
    <w:pPr>
      <w:adjustRightInd/>
    </w:pPr>
    <w:rPr>
      <w:szCs w:val="20"/>
    </w:rPr>
  </w:style>
  <w:style w:type="paragraph" w:customStyle="1" w:styleId="57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7">
    <w:name w:val="样式3"/>
    <w:basedOn w:val="485"/>
    <w:autoRedefine/>
    <w:qFormat/>
    <w:uiPriority w:val="0"/>
    <w:pPr>
      <w:spacing w:before="312" w:beforeLines="100"/>
      <w:jc w:val="left"/>
    </w:pPr>
  </w:style>
  <w:style w:type="paragraph" w:customStyle="1" w:styleId="578">
    <w:name w:val="首行缩进"/>
    <w:basedOn w:val="1"/>
    <w:autoRedefine/>
    <w:qFormat/>
    <w:uiPriority w:val="0"/>
    <w:pPr>
      <w:spacing w:line="360" w:lineRule="auto"/>
      <w:ind w:firstLine="480" w:firstLineChars="200"/>
    </w:pPr>
    <w:rPr>
      <w:rFonts w:ascii="宋体"/>
      <w:sz w:val="24"/>
      <w:szCs w:val="20"/>
    </w:rPr>
  </w:style>
  <w:style w:type="paragraph" w:customStyle="1" w:styleId="579">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0">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1">
    <w:name w:val="样式 标题 4PIM 4H4h4bulletblbbH41H42H43H44H45H46H47H48...1"/>
    <w:basedOn w:val="5"/>
    <w:qFormat/>
    <w:uiPriority w:val="0"/>
    <w:pPr>
      <w:widowControl/>
      <w:jc w:val="left"/>
    </w:pPr>
    <w:rPr>
      <w:rFonts w:cs="宋体"/>
      <w:sz w:val="24"/>
      <w:szCs w:val="20"/>
    </w:rPr>
  </w:style>
  <w:style w:type="paragraph" w:customStyle="1" w:styleId="582">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3">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85">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8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8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8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2">
    <w:name w:val="p0"/>
    <w:basedOn w:val="1"/>
    <w:qFormat/>
    <w:uiPriority w:val="0"/>
    <w:pPr>
      <w:widowControl/>
      <w:adjustRightInd/>
    </w:pPr>
    <w:rPr>
      <w:kern w:val="0"/>
      <w:szCs w:val="21"/>
    </w:rPr>
  </w:style>
  <w:style w:type="paragraph" w:customStyle="1" w:styleId="593">
    <w:name w:val="修订1"/>
    <w:qFormat/>
    <w:uiPriority w:val="0"/>
    <w:rPr>
      <w:rFonts w:ascii="Times New Roman" w:hAnsi="Times New Roman" w:eastAsia="宋体" w:cs="Times New Roman"/>
      <w:kern w:val="2"/>
      <w:sz w:val="21"/>
      <w:lang w:val="en-US" w:eastAsia="zh-CN" w:bidi="ar-SA"/>
    </w:rPr>
  </w:style>
  <w:style w:type="paragraph" w:customStyle="1" w:styleId="5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9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97">
    <w:name w:val="Char Char13"/>
    <w:basedOn w:val="1"/>
    <w:qFormat/>
    <w:uiPriority w:val="0"/>
    <w:pPr>
      <w:widowControl/>
      <w:spacing w:after="160" w:line="240" w:lineRule="exact"/>
      <w:jc w:val="left"/>
    </w:pPr>
    <w:rPr>
      <w:rFonts w:eastAsia="仿宋_GB2312"/>
      <w:sz w:val="28"/>
    </w:rPr>
  </w:style>
  <w:style w:type="paragraph" w:customStyle="1" w:styleId="59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99">
    <w:name w:val="FA正文"/>
    <w:basedOn w:val="1"/>
    <w:qFormat/>
    <w:uiPriority w:val="0"/>
    <w:pPr>
      <w:spacing w:line="360" w:lineRule="auto"/>
      <w:ind w:firstLine="480" w:firstLineChars="200"/>
    </w:pPr>
    <w:rPr>
      <w:rFonts w:hAnsi="宋体"/>
      <w:sz w:val="24"/>
      <w:szCs w:val="20"/>
    </w:rPr>
  </w:style>
  <w:style w:type="paragraph" w:customStyle="1" w:styleId="600">
    <w:name w:val="CM14"/>
    <w:basedOn w:val="421"/>
    <w:next w:val="421"/>
    <w:qFormat/>
    <w:uiPriority w:val="0"/>
    <w:pPr>
      <w:spacing w:after="68"/>
    </w:pPr>
    <w:rPr>
      <w:rFonts w:ascii="FHLHE E+ Futura Bk" w:eastAsia="FHLHE E+ Futura Bk" w:cs="Times New Roman"/>
      <w:color w:val="auto"/>
    </w:rPr>
  </w:style>
  <w:style w:type="paragraph" w:customStyle="1" w:styleId="601">
    <w:name w:val="Char Char Char Char2"/>
    <w:basedOn w:val="1"/>
    <w:qFormat/>
    <w:uiPriority w:val="0"/>
    <w:rPr>
      <w:rFonts w:ascii="Tahoma" w:hAnsi="Tahoma"/>
      <w:sz w:val="24"/>
      <w:szCs w:val="20"/>
    </w:rPr>
  </w:style>
  <w:style w:type="paragraph" w:customStyle="1" w:styleId="60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03">
    <w:name w:val="样式1 + (中宋体"/>
    <w:basedOn w:val="48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04">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60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06">
    <w:name w:val="带编号样式"/>
    <w:basedOn w:val="280"/>
    <w:qFormat/>
    <w:uiPriority w:val="0"/>
    <w:pPr>
      <w:tabs>
        <w:tab w:val="left" w:pos="840"/>
      </w:tabs>
      <w:snapToGrid w:val="0"/>
      <w:ind w:left="840" w:hanging="420" w:firstLineChars="0"/>
    </w:pPr>
    <w:rPr>
      <w:rFonts w:ascii="仿宋_GB2312" w:eastAsia="仿宋_GB2312"/>
      <w:color w:val="000000"/>
    </w:rPr>
  </w:style>
  <w:style w:type="paragraph" w:customStyle="1" w:styleId="60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0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09">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0">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2">
    <w:name w:val="Char1 Char Char Char5"/>
    <w:basedOn w:val="1"/>
    <w:qFormat/>
    <w:uiPriority w:val="0"/>
    <w:pPr>
      <w:adjustRightInd/>
      <w:ind w:firstLine="200" w:firstLineChars="200"/>
    </w:pPr>
    <w:rPr>
      <w:rFonts w:ascii="Tahoma" w:hAnsi="Tahoma"/>
      <w:sz w:val="24"/>
      <w:szCs w:val="20"/>
    </w:rPr>
  </w:style>
  <w:style w:type="paragraph" w:customStyle="1" w:styleId="61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5">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7">
    <w:name w:val="纯文本_0_0"/>
    <w:basedOn w:val="616"/>
    <w:link w:val="618"/>
    <w:qFormat/>
    <w:uiPriority w:val="0"/>
    <w:rPr>
      <w:rFonts w:ascii="宋体" w:hAnsi="Courier New"/>
      <w:szCs w:val="21"/>
    </w:rPr>
  </w:style>
  <w:style w:type="character" w:customStyle="1" w:styleId="618">
    <w:name w:val="纯文本 Char_0"/>
    <w:link w:val="617"/>
    <w:qFormat/>
    <w:uiPriority w:val="0"/>
    <w:rPr>
      <w:rFonts w:ascii="宋体" w:hAnsi="Courier New"/>
      <w:kern w:val="2"/>
      <w:sz w:val="21"/>
      <w:szCs w:val="21"/>
      <w:lang w:val="en-US" w:eastAsia="zh-CN"/>
    </w:rPr>
  </w:style>
  <w:style w:type="character" w:customStyle="1" w:styleId="619">
    <w:name w:val="纯文本 Char1"/>
    <w:link w:val="620"/>
    <w:qFormat/>
    <w:uiPriority w:val="0"/>
    <w:rPr>
      <w:rFonts w:ascii="宋体" w:hAnsi="Courier New"/>
    </w:rPr>
  </w:style>
  <w:style w:type="paragraph" w:customStyle="1" w:styleId="620">
    <w:name w:val="纯文本1"/>
    <w:basedOn w:val="1"/>
    <w:link w:val="619"/>
    <w:qFormat/>
    <w:uiPriority w:val="0"/>
    <w:pPr>
      <w:adjustRightInd/>
    </w:pPr>
    <w:rPr>
      <w:rFonts w:ascii="宋体" w:hAnsi="Courier New"/>
      <w:kern w:val="0"/>
      <w:sz w:val="20"/>
      <w:szCs w:val="20"/>
    </w:rPr>
  </w:style>
  <w:style w:type="paragraph" w:customStyle="1" w:styleId="621">
    <w:name w:val="索引 11"/>
    <w:basedOn w:val="1"/>
    <w:next w:val="1"/>
    <w:qFormat/>
    <w:uiPriority w:val="99"/>
    <w:pPr>
      <w:adjustRightInd/>
      <w:spacing w:line="360" w:lineRule="auto"/>
    </w:pPr>
    <w:rPr>
      <w:rFonts w:ascii="仿宋_GB2312" w:eastAsia="仿宋_GB2312"/>
      <w:sz w:val="24"/>
      <w:szCs w:val="20"/>
    </w:rPr>
  </w:style>
  <w:style w:type="character" w:customStyle="1" w:styleId="622">
    <w:name w:val="正文缩进 字符"/>
    <w:qFormat/>
    <w:uiPriority w:val="0"/>
    <w:rPr>
      <w:rFonts w:ascii="宋体" w:eastAsia="宋体"/>
      <w:snapToGrid w:val="0"/>
      <w:color w:val="000000"/>
      <w:kern w:val="28"/>
      <w:sz w:val="28"/>
      <w:lang w:val="en-US" w:eastAsia="zh-CN" w:bidi="ar-SA"/>
    </w:rPr>
  </w:style>
  <w:style w:type="character" w:customStyle="1" w:styleId="623">
    <w:name w:val="纯文本 字符"/>
    <w:qFormat/>
    <w:uiPriority w:val="0"/>
    <w:rPr>
      <w:rFonts w:ascii="宋体" w:hAnsi="Courier New" w:eastAsia="宋体" w:cs="Arial"/>
      <w:snapToGrid w:val="0"/>
      <w:kern w:val="2"/>
      <w:sz w:val="21"/>
      <w:szCs w:val="21"/>
      <w:lang w:val="en-US" w:eastAsia="zh-CN" w:bidi="ar-SA"/>
    </w:rPr>
  </w:style>
  <w:style w:type="character" w:customStyle="1" w:styleId="624">
    <w:name w:val="正文文本缩进 字符"/>
    <w:qFormat/>
    <w:uiPriority w:val="0"/>
    <w:rPr>
      <w:rFonts w:ascii="宋体" w:hAnsi="宋体"/>
      <w:kern w:val="2"/>
      <w:sz w:val="24"/>
      <w:szCs w:val="24"/>
    </w:rPr>
  </w:style>
  <w:style w:type="character" w:customStyle="1" w:styleId="625">
    <w:name w:val="bookmark-item"/>
    <w:qFormat/>
    <w:uiPriority w:val="0"/>
    <w:rPr>
      <w:rFonts w:ascii="Arial" w:hAnsi="Arial" w:eastAsia="黑体" w:cs="Arial"/>
      <w:snapToGrid/>
      <w:kern w:val="0"/>
      <w:szCs w:val="21"/>
    </w:rPr>
  </w:style>
  <w:style w:type="character" w:customStyle="1" w:styleId="626">
    <w:name w:val="fontstyle01"/>
    <w:qFormat/>
    <w:uiPriority w:val="0"/>
    <w:rPr>
      <w:rFonts w:hint="eastAsia" w:ascii="宋体" w:hAnsi="宋体" w:eastAsia="宋体" w:cs="Arial"/>
      <w:snapToGrid/>
      <w:color w:val="000000"/>
      <w:kern w:val="0"/>
      <w:sz w:val="36"/>
      <w:szCs w:val="36"/>
    </w:rPr>
  </w:style>
  <w:style w:type="character" w:customStyle="1" w:styleId="627">
    <w:name w:val="正文文本缩进 Char3"/>
    <w:qFormat/>
    <w:uiPriority w:val="0"/>
    <w:rPr>
      <w:rFonts w:ascii="宋体" w:hAnsi="宋体"/>
      <w:kern w:val="2"/>
      <w:sz w:val="24"/>
      <w:szCs w:val="24"/>
    </w:rPr>
  </w:style>
  <w:style w:type="paragraph" w:customStyle="1" w:styleId="62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29">
    <w:name w:val="页脚 字符"/>
    <w:link w:val="38"/>
    <w:qFormat/>
    <w:locked/>
    <w:uiPriority w:val="99"/>
    <w:rPr>
      <w:kern w:val="2"/>
      <w:sz w:val="18"/>
      <w:szCs w:val="18"/>
    </w:rPr>
  </w:style>
  <w:style w:type="character" w:customStyle="1" w:styleId="630">
    <w:name w:val="页眉 字符"/>
    <w:link w:val="39"/>
    <w:qFormat/>
    <w:uiPriority w:val="99"/>
    <w:rPr>
      <w:kern w:val="2"/>
      <w:sz w:val="18"/>
      <w:szCs w:val="18"/>
    </w:rPr>
  </w:style>
  <w:style w:type="paragraph" w:customStyle="1" w:styleId="631">
    <w:name w:val="[Normal]"/>
    <w:qFormat/>
    <w:uiPriority w:val="0"/>
    <w:rPr>
      <w:rFonts w:ascii="宋体" w:hAnsi="宋体" w:eastAsia="宋体" w:cs="Times New Roman"/>
      <w:sz w:val="24"/>
      <w:szCs w:val="22"/>
      <w:lang w:val="zh-CN" w:eastAsia="zh-CN" w:bidi="ar-SA"/>
    </w:rPr>
  </w:style>
  <w:style w:type="paragraph" w:customStyle="1" w:styleId="632">
    <w:name w:val="封面编号"/>
    <w:basedOn w:val="1"/>
    <w:qFormat/>
    <w:uiPriority w:val="0"/>
    <w:pPr>
      <w:spacing w:line="360" w:lineRule="auto"/>
      <w:jc w:val="center"/>
    </w:pPr>
    <w:rPr>
      <w:rFonts w:ascii="黑体" w:hAnsi="宋体" w:eastAsia="黑体" w:cs="宋体"/>
      <w:b/>
      <w:bCs/>
      <w:sz w:val="38"/>
      <w:szCs w:val="20"/>
    </w:rPr>
  </w:style>
  <w:style w:type="paragraph" w:customStyle="1" w:styleId="633">
    <w:name w:val="列出段落"/>
    <w:basedOn w:val="1"/>
    <w:qFormat/>
    <w:uiPriority w:val="0"/>
    <w:pPr>
      <w:autoSpaceDE w:val="0"/>
      <w:autoSpaceDN w:val="0"/>
      <w:spacing w:before="110"/>
      <w:ind w:left="1071" w:hanging="213"/>
      <w:jc w:val="left"/>
    </w:pPr>
    <w:rPr>
      <w:rFonts w:hint="eastAsia" w:ascii="宋体" w:hAnsi="宋体"/>
      <w:kern w:val="0"/>
      <w:sz w:val="22"/>
      <w:szCs w:val="22"/>
    </w:rPr>
  </w:style>
  <w:style w:type="paragraph" w:customStyle="1" w:styleId="634">
    <w:name w:val="QB标题4"/>
    <w:basedOn w:val="635"/>
    <w:qFormat/>
    <w:uiPriority w:val="0"/>
    <w:pPr>
      <w:tabs>
        <w:tab w:val="left" w:pos="397"/>
        <w:tab w:val="left" w:pos="425"/>
        <w:tab w:val="left" w:pos="432"/>
        <w:tab w:val="left" w:pos="567"/>
        <w:tab w:val="left" w:pos="851"/>
      </w:tabs>
      <w:outlineLvl w:val="5"/>
    </w:pPr>
    <w:rPr>
      <w:bCs w:val="0"/>
      <w:sz w:val="24"/>
    </w:rPr>
  </w:style>
  <w:style w:type="paragraph" w:customStyle="1" w:styleId="635">
    <w:name w:val="QB标题2"/>
    <w:basedOn w:val="3"/>
    <w:qFormat/>
    <w:uiPriority w:val="0"/>
    <w:pPr>
      <w:numPr>
        <w:ilvl w:val="1"/>
        <w:numId w:val="7"/>
      </w:numPr>
      <w:tabs>
        <w:tab w:val="left" w:pos="397"/>
        <w:tab w:val="left" w:pos="425"/>
        <w:tab w:val="left" w:pos="567"/>
        <w:tab w:val="clear" w:pos="432"/>
      </w:tabs>
      <w:spacing w:before="260" w:after="260" w:line="415" w:lineRule="auto"/>
      <w:jc w:val="center"/>
    </w:pPr>
    <w:rPr>
      <w:rFonts w:ascii="Cambria" w:hAnsi="Cambria" w:eastAsia="黑体"/>
      <w:sz w:val="21"/>
      <w:szCs w:val="21"/>
    </w:rPr>
  </w:style>
  <w:style w:type="paragraph" w:customStyle="1" w:styleId="636">
    <w:name w:val="DC_正文"/>
    <w:basedOn w:val="1"/>
    <w:qFormat/>
    <w:uiPriority w:val="0"/>
    <w:pPr>
      <w:widowControl/>
      <w:spacing w:line="400" w:lineRule="exact"/>
      <w:ind w:firstLine="400" w:firstLineChars="200"/>
    </w:pPr>
    <w:rPr>
      <w:rFonts w:ascii="微软雅黑" w:hAnsi="微软雅黑 Light" w:eastAsia="微软雅黑"/>
      <w:sz w:val="20"/>
      <w:szCs w:val="21"/>
    </w:rPr>
  </w:style>
  <w:style w:type="paragraph" w:customStyle="1" w:styleId="637">
    <w:name w:val="_Style 130"/>
    <w:basedOn w:val="1"/>
    <w:next w:val="502"/>
    <w:qFormat/>
    <w:uiPriority w:val="34"/>
    <w:pPr>
      <w:ind w:firstLine="420" w:firstLineChars="200"/>
    </w:pPr>
    <w:rPr>
      <w:sz w:val="28"/>
      <w:szCs w:val="28"/>
    </w:rPr>
  </w:style>
  <w:style w:type="character" w:customStyle="1" w:styleId="638">
    <w:name w:val="font61"/>
    <w:basedOn w:val="62"/>
    <w:qFormat/>
    <w:uiPriority w:val="0"/>
    <w:rPr>
      <w:rFonts w:ascii="Calibri" w:hAnsi="Calibri" w:cs="Calibri"/>
      <w:color w:val="000000"/>
      <w:sz w:val="20"/>
      <w:szCs w:val="20"/>
      <w:u w:val="none"/>
    </w:rPr>
  </w:style>
  <w:style w:type="character" w:customStyle="1" w:styleId="639">
    <w:name w:val="font81"/>
    <w:basedOn w:val="62"/>
    <w:qFormat/>
    <w:uiPriority w:val="0"/>
    <w:rPr>
      <w:rFonts w:hint="eastAsia" w:ascii="宋体" w:hAnsi="宋体" w:eastAsia="宋体" w:cs="宋体"/>
      <w:color w:val="000000"/>
      <w:sz w:val="20"/>
      <w:szCs w:val="20"/>
      <w:u w:val="none"/>
    </w:rPr>
  </w:style>
  <w:style w:type="character" w:customStyle="1" w:styleId="640">
    <w:name w:val="font41"/>
    <w:basedOn w:val="62"/>
    <w:qFormat/>
    <w:uiPriority w:val="0"/>
    <w:rPr>
      <w:rFonts w:hint="eastAsia" w:ascii="宋体" w:hAnsi="宋体" w:eastAsia="宋体" w:cs="宋体"/>
      <w:color w:val="000000"/>
      <w:sz w:val="20"/>
      <w:szCs w:val="20"/>
      <w:u w:val="none"/>
    </w:rPr>
  </w:style>
  <w:style w:type="character" w:customStyle="1" w:styleId="641">
    <w:name w:val="font11"/>
    <w:basedOn w:val="62"/>
    <w:qFormat/>
    <w:uiPriority w:val="0"/>
    <w:rPr>
      <w:rFonts w:hint="eastAsia" w:ascii="宋体" w:hAnsi="宋体" w:eastAsia="宋体" w:cs="宋体"/>
      <w:color w:val="000000"/>
      <w:sz w:val="20"/>
      <w:szCs w:val="20"/>
      <w:u w:val="none"/>
    </w:rPr>
  </w:style>
  <w:style w:type="character" w:customStyle="1" w:styleId="642">
    <w:name w:val="font101"/>
    <w:basedOn w:val="62"/>
    <w:qFormat/>
    <w:uiPriority w:val="0"/>
    <w:rPr>
      <w:rFonts w:ascii="Arial" w:hAnsi="Arial" w:cs="Arial"/>
      <w:color w:val="000000"/>
      <w:sz w:val="20"/>
      <w:szCs w:val="20"/>
      <w:u w:val="none"/>
    </w:rPr>
  </w:style>
  <w:style w:type="character" w:customStyle="1" w:styleId="643">
    <w:name w:val="font31"/>
    <w:basedOn w:val="62"/>
    <w:qFormat/>
    <w:uiPriority w:val="0"/>
    <w:rPr>
      <w:rFonts w:hint="eastAsia" w:ascii="宋体" w:hAnsi="宋体" w:eastAsia="宋体" w:cs="宋体"/>
      <w:color w:val="000000"/>
      <w:sz w:val="22"/>
      <w:szCs w:val="22"/>
      <w:u w:val="none"/>
    </w:rPr>
  </w:style>
  <w:style w:type="character" w:customStyle="1" w:styleId="644">
    <w:name w:val="font01"/>
    <w:basedOn w:val="62"/>
    <w:qFormat/>
    <w:uiPriority w:val="0"/>
    <w:rPr>
      <w:rFonts w:hint="eastAsia" w:ascii="宋体" w:hAnsi="宋体" w:eastAsia="宋体" w:cs="宋体"/>
      <w:color w:val="000000"/>
      <w:sz w:val="22"/>
      <w:szCs w:val="22"/>
      <w:u w:val="none"/>
    </w:rPr>
  </w:style>
  <w:style w:type="paragraph" w:customStyle="1" w:styleId="645">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646">
    <w:name w:val="Other|1"/>
    <w:basedOn w:val="1"/>
    <w:qFormat/>
    <w:uiPriority w:val="0"/>
    <w:rPr>
      <w:rFonts w:ascii="宋体" w:hAnsi="宋体" w:eastAsia="宋体" w:cs="宋体"/>
      <w:sz w:val="22"/>
      <w:szCs w:val="22"/>
      <w:lang w:val="zh-TW" w:eastAsia="zh-TW" w:bidi="zh-TW"/>
    </w:rPr>
  </w:style>
  <w:style w:type="paragraph" w:customStyle="1" w:styleId="647">
    <w:name w:val="图表"/>
    <w:basedOn w:val="1"/>
    <w:next w:val="1"/>
    <w:autoRedefine/>
    <w:qFormat/>
    <w:uiPriority w:val="0"/>
    <w:pPr>
      <w:spacing w:line="360" w:lineRule="auto"/>
      <w:ind w:firstLine="0" w:firstLineChars="0"/>
      <w:jc w:val="center"/>
    </w:pPr>
    <w:rPr>
      <w:rFonts w:ascii="Times New Roman" w:hAnsi="Times New Roman" w:eastAsia="Songti SC"/>
      <w:sz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54</Pages>
  <Words>21658</Words>
  <Characters>23139</Characters>
  <Lines>622</Lines>
  <Paragraphs>175</Paragraphs>
  <TotalTime>6</TotalTime>
  <ScaleCrop>false</ScaleCrop>
  <LinksUpToDate>false</LinksUpToDate>
  <CharactersWithSpaces>24553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2021-10-28T12:16:00Z</dcterms:created>
  <dc:creator>玥</dc:creator>
  <cp:lastModifiedBy>朱小炮</cp:lastModifiedBy>
  <cp:lastPrinted>2022-04-25T13:27:00Z</cp:lastPrinted>
  <dcterms:modified xsi:type="dcterms:W3CDTF">2025-04-07T07:25:08Z</dcterms:modified>
  <dc:title>杭州市市民卡扩大发卡工程</dc:title>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680EA129B8A84CC8915571C434949A9F_13</vt:lpwstr>
  </property>
  <property fmtid="{D5CDD505-2E9C-101B-9397-08002B2CF9AE}" pid="4" name="KSOTemplateDocerSaveRecord">
    <vt:lpwstr>eyJoZGlkIjoiNjc0NzE0ZDg4NzljMGFiMDJiZWZlZjM5OTg1MzIwMWMiLCJ1c2VySWQiOiIzOTcxNTYwODEifQ==</vt:lpwstr>
  </property>
</Properties>
</file>