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DC981">
      <w:pPr>
        <w:spacing w:before="120" w:beforeLines="50" w:line="700" w:lineRule="exact"/>
        <w:jc w:val="center"/>
        <w:rPr>
          <w:rFonts w:hint="eastAsia" w:ascii="宋体" w:hAnsi="宋体" w:cs="宋体"/>
          <w:b/>
          <w:bCs/>
          <w:sz w:val="36"/>
          <w:szCs w:val="36"/>
        </w:rPr>
      </w:pPr>
      <w:bookmarkStart w:id="0" w:name="_Toc7681"/>
    </w:p>
    <w:bookmarkEnd w:id="0"/>
    <w:p w14:paraId="6BA854E5">
      <w:pPr>
        <w:spacing w:before="120" w:beforeLines="50" w:line="700" w:lineRule="exact"/>
        <w:jc w:val="center"/>
        <w:outlineLvl w:val="0"/>
        <w:rPr>
          <w:rFonts w:hint="eastAsia" w:ascii="宋体" w:hAnsi="宋体" w:cs="宋体"/>
          <w:b/>
          <w:bCs/>
          <w:sz w:val="36"/>
          <w:szCs w:val="36"/>
        </w:rPr>
      </w:pPr>
      <w:bookmarkStart w:id="1" w:name="OLE_LINK3"/>
      <w:r>
        <w:rPr>
          <w:rFonts w:hint="eastAsia" w:ascii="宋体" w:hAnsi="宋体" w:cs="宋体"/>
          <w:b/>
          <w:bCs/>
          <w:sz w:val="40"/>
          <w:szCs w:val="40"/>
        </w:rPr>
        <w:t>嵊州市三溪水库工程林木清理项目</w:t>
      </w:r>
      <w:bookmarkEnd w:id="1"/>
      <w:r>
        <w:rPr>
          <w:rFonts w:hint="eastAsia" w:ascii="宋体" w:hAnsi="宋体" w:cs="宋体"/>
          <w:b/>
          <w:bCs/>
          <w:sz w:val="36"/>
          <w:szCs w:val="36"/>
        </w:rPr>
        <w:t xml:space="preserve"> </w:t>
      </w:r>
    </w:p>
    <w:p w14:paraId="33CDB8C6">
      <w:pPr>
        <w:spacing w:before="120" w:beforeLines="50" w:line="360" w:lineRule="auto"/>
        <w:jc w:val="center"/>
        <w:outlineLvl w:val="0"/>
        <w:rPr>
          <w:rFonts w:hint="eastAsia" w:ascii="宋体" w:hAnsi="宋体" w:cs="宋体"/>
          <w:b/>
          <w:bCs/>
          <w:sz w:val="28"/>
          <w:szCs w:val="28"/>
        </w:rPr>
      </w:pPr>
      <w:bookmarkStart w:id="2" w:name="_Toc28453"/>
      <w:bookmarkStart w:id="3" w:name="_Toc9354"/>
      <w:r>
        <w:rPr>
          <w:rFonts w:hint="eastAsia" w:ascii="宋体" w:hAnsi="宋体" w:cs="宋体"/>
          <w:b/>
          <w:bCs/>
          <w:sz w:val="28"/>
          <w:szCs w:val="28"/>
        </w:rPr>
        <w:t>（项目编号：DD-SZ2025N01）</w:t>
      </w:r>
      <w:bookmarkEnd w:id="2"/>
      <w:bookmarkEnd w:id="3"/>
    </w:p>
    <w:p w14:paraId="763646D6">
      <w:pPr>
        <w:pStyle w:val="25"/>
        <w:rPr>
          <w:rFonts w:hint="eastAsia" w:hAnsi="宋体"/>
          <w:b/>
          <w:bCs/>
        </w:rPr>
      </w:pPr>
    </w:p>
    <w:p w14:paraId="1B4887D1">
      <w:pPr>
        <w:pStyle w:val="18"/>
        <w:rPr>
          <w:rFonts w:hint="eastAsia" w:ascii="宋体" w:hAnsi="宋体" w:cs="宋体"/>
        </w:rPr>
      </w:pPr>
    </w:p>
    <w:p w14:paraId="488F0B02">
      <w:pPr>
        <w:pStyle w:val="18"/>
        <w:rPr>
          <w:rFonts w:hint="eastAsia" w:ascii="宋体" w:hAnsi="宋体" w:cs="宋体"/>
        </w:rPr>
      </w:pPr>
    </w:p>
    <w:p w14:paraId="32A61A67">
      <w:pPr>
        <w:pStyle w:val="18"/>
        <w:rPr>
          <w:rFonts w:hint="eastAsia" w:ascii="宋体" w:hAnsi="宋体" w:cs="宋体"/>
        </w:rPr>
      </w:pPr>
    </w:p>
    <w:p w14:paraId="294FB09E">
      <w:pPr>
        <w:pStyle w:val="18"/>
        <w:rPr>
          <w:rFonts w:hint="eastAsia" w:ascii="宋体" w:hAnsi="宋体" w:cs="宋体"/>
        </w:rPr>
      </w:pPr>
    </w:p>
    <w:p w14:paraId="71377703">
      <w:pPr>
        <w:spacing w:before="120" w:beforeLines="50" w:line="360" w:lineRule="auto"/>
        <w:jc w:val="center"/>
        <w:outlineLvl w:val="0"/>
        <w:rPr>
          <w:rFonts w:hint="eastAsia" w:ascii="宋体" w:hAnsi="宋体" w:cs="宋体"/>
          <w:sz w:val="30"/>
          <w:szCs w:val="30"/>
        </w:rPr>
      </w:pPr>
      <w:bookmarkStart w:id="4" w:name="_Toc17047"/>
      <w:bookmarkStart w:id="5" w:name="_Toc32674"/>
      <w:r>
        <w:rPr>
          <w:rFonts w:hint="eastAsia" w:ascii="宋体" w:hAnsi="宋体" w:cs="宋体"/>
          <w:sz w:val="56"/>
          <w:szCs w:val="56"/>
        </w:rPr>
        <w:t>公开招标文件</w:t>
      </w:r>
      <w:bookmarkEnd w:id="4"/>
      <w:bookmarkEnd w:id="5"/>
    </w:p>
    <w:p w14:paraId="77DD9138">
      <w:pPr>
        <w:pStyle w:val="15"/>
        <w:snapToGrid w:val="0"/>
        <w:spacing w:before="120" w:after="120" w:line="360" w:lineRule="auto"/>
        <w:jc w:val="center"/>
        <w:outlineLvl w:val="0"/>
        <w:rPr>
          <w:rFonts w:hint="eastAsia" w:hAnsi="宋体"/>
          <w:b/>
          <w:bCs/>
          <w:sz w:val="32"/>
          <w:szCs w:val="32"/>
        </w:rPr>
      </w:pPr>
      <w:bookmarkStart w:id="6" w:name="_Toc4021"/>
      <w:bookmarkStart w:id="7" w:name="_Toc25846"/>
      <w:r>
        <w:rPr>
          <w:rFonts w:hint="eastAsia" w:hAnsi="宋体"/>
          <w:b/>
          <w:bCs/>
          <w:sz w:val="32"/>
          <w:szCs w:val="32"/>
        </w:rPr>
        <w:t>（国企采购项目电子标）</w:t>
      </w:r>
      <w:bookmarkEnd w:id="6"/>
      <w:bookmarkEnd w:id="7"/>
    </w:p>
    <w:p w14:paraId="0A18F72D">
      <w:pPr>
        <w:pStyle w:val="15"/>
        <w:snapToGrid w:val="0"/>
        <w:spacing w:before="120" w:after="120" w:line="360" w:lineRule="auto"/>
        <w:ind w:firstLine="1343" w:firstLineChars="446"/>
        <w:rPr>
          <w:rFonts w:hint="eastAsia" w:hAnsi="宋体"/>
          <w:b/>
          <w:bCs/>
          <w:sz w:val="30"/>
          <w:szCs w:val="30"/>
        </w:rPr>
      </w:pPr>
      <w:r>
        <w:rPr>
          <w:rFonts w:hint="eastAsia" w:hAnsi="宋体"/>
          <w:b/>
          <w:bCs/>
          <w:sz w:val="30"/>
          <w:szCs w:val="30"/>
        </w:rPr>
        <w:t xml:space="preserve"> </w:t>
      </w:r>
    </w:p>
    <w:p w14:paraId="7ACF2720">
      <w:pPr>
        <w:adjustRightInd/>
        <w:spacing w:before="120" w:beforeLines="50" w:line="700" w:lineRule="exact"/>
        <w:rPr>
          <w:rFonts w:hint="eastAsia" w:ascii="宋体" w:hAnsi="宋体" w:cs="宋体"/>
          <w:b/>
          <w:bCs/>
          <w:sz w:val="30"/>
          <w:szCs w:val="30"/>
        </w:rPr>
      </w:pPr>
    </w:p>
    <w:p w14:paraId="781CF626">
      <w:pPr>
        <w:pStyle w:val="3"/>
        <w:jc w:val="both"/>
        <w:rPr>
          <w:rFonts w:hint="eastAsia" w:ascii="宋体" w:hAnsi="宋体" w:cs="宋体"/>
        </w:rPr>
      </w:pPr>
    </w:p>
    <w:p w14:paraId="0A1C1601">
      <w:pPr>
        <w:adjustRightInd/>
        <w:spacing w:before="120" w:beforeLines="50" w:line="600" w:lineRule="exact"/>
        <w:ind w:firstLine="643" w:firstLineChars="200"/>
        <w:rPr>
          <w:rFonts w:hint="eastAsia" w:ascii="宋体" w:hAnsi="宋体" w:cs="宋体"/>
          <w:b/>
          <w:bCs/>
          <w:sz w:val="32"/>
          <w:szCs w:val="32"/>
        </w:rPr>
      </w:pPr>
      <w:bookmarkStart w:id="8" w:name="_Toc18705"/>
    </w:p>
    <w:p w14:paraId="7284E420">
      <w:pPr>
        <w:adjustRightInd/>
        <w:spacing w:before="120" w:beforeLines="50" w:line="700" w:lineRule="exact"/>
        <w:ind w:firstLine="1285" w:firstLineChars="400"/>
        <w:outlineLvl w:val="0"/>
        <w:rPr>
          <w:rFonts w:hint="eastAsia" w:ascii="宋体" w:hAnsi="宋体" w:cs="宋体"/>
          <w:b/>
          <w:bCs/>
          <w:sz w:val="32"/>
          <w:szCs w:val="32"/>
        </w:rPr>
      </w:pPr>
      <w:bookmarkStart w:id="9" w:name="_Toc6700"/>
      <w:r>
        <w:rPr>
          <w:rFonts w:hint="eastAsia" w:ascii="宋体" w:hAnsi="宋体" w:cs="宋体"/>
          <w:b/>
          <w:bCs/>
          <w:sz w:val="32"/>
          <w:szCs w:val="32"/>
        </w:rPr>
        <w:t>采  购 单 位：</w:t>
      </w:r>
      <w:bookmarkEnd w:id="8"/>
      <w:bookmarkEnd w:id="9"/>
      <w:bookmarkStart w:id="10" w:name="OLE_LINK2"/>
      <w:r>
        <w:rPr>
          <w:rFonts w:hint="eastAsia" w:ascii="宋体" w:hAnsi="宋体" w:cs="宋体"/>
          <w:b/>
          <w:bCs/>
          <w:sz w:val="32"/>
          <w:szCs w:val="32"/>
        </w:rPr>
        <w:t>嵊州市水利水电发展有限公司</w:t>
      </w:r>
      <w:bookmarkEnd w:id="10"/>
    </w:p>
    <w:p w14:paraId="6F308F91">
      <w:pPr>
        <w:adjustRightInd/>
        <w:spacing w:before="120" w:beforeLines="50" w:line="700" w:lineRule="exact"/>
        <w:ind w:firstLine="1285" w:firstLineChars="400"/>
        <w:rPr>
          <w:rFonts w:hint="eastAsia" w:ascii="宋体" w:hAnsi="宋体" w:cs="宋体"/>
          <w:b/>
          <w:bCs/>
          <w:sz w:val="32"/>
          <w:szCs w:val="32"/>
        </w:rPr>
      </w:pPr>
      <w:r>
        <w:rPr>
          <w:rFonts w:hint="eastAsia" w:ascii="宋体" w:hAnsi="宋体" w:cs="宋体"/>
          <w:b/>
          <w:bCs/>
          <w:sz w:val="32"/>
          <w:szCs w:val="32"/>
        </w:rPr>
        <w:t xml:space="preserve">采购代理机构：大地工程咨询有限公司 </w:t>
      </w:r>
    </w:p>
    <w:p w14:paraId="350095E7">
      <w:pPr>
        <w:autoSpaceDE w:val="0"/>
        <w:adjustRightInd/>
        <w:snapToGrid w:val="0"/>
        <w:spacing w:line="700" w:lineRule="exact"/>
        <w:ind w:firstLine="1285" w:firstLineChars="400"/>
        <w:outlineLvl w:val="0"/>
        <w:rPr>
          <w:rFonts w:hint="eastAsia" w:ascii="宋体" w:hAnsi="宋体" w:cs="宋体"/>
          <w:b/>
          <w:bCs/>
          <w:sz w:val="32"/>
          <w:szCs w:val="32"/>
        </w:rPr>
      </w:pPr>
      <w:bookmarkStart w:id="11" w:name="_Toc14505"/>
      <w:bookmarkStart w:id="12" w:name="_Toc3262"/>
      <w:r>
        <w:rPr>
          <w:rFonts w:hint="eastAsia" w:ascii="宋体" w:hAnsi="宋体" w:cs="宋体"/>
          <w:b/>
          <w:bCs/>
          <w:sz w:val="32"/>
          <w:szCs w:val="32"/>
        </w:rPr>
        <w:t>日        期：2025年02月</w:t>
      </w:r>
      <w:bookmarkEnd w:id="11"/>
      <w:bookmarkEnd w:id="12"/>
      <w:r>
        <w:rPr>
          <w:rFonts w:hint="eastAsia" w:ascii="宋体" w:hAnsi="宋体" w:cs="宋体"/>
          <w:b/>
          <w:bCs/>
          <w:sz w:val="32"/>
          <w:szCs w:val="32"/>
        </w:rPr>
        <w:t xml:space="preserve"> </w:t>
      </w:r>
    </w:p>
    <w:p w14:paraId="72838BDE"/>
    <w:p w14:paraId="3B99B265">
      <w:pPr>
        <w:pStyle w:val="3"/>
      </w:pPr>
    </w:p>
    <w:p w14:paraId="125D9227">
      <w:pPr>
        <w:adjustRightInd/>
        <w:spacing w:line="360" w:lineRule="auto"/>
        <w:jc w:val="center"/>
        <w:rPr>
          <w:rFonts w:hint="eastAsia" w:ascii="宋体" w:hAnsi="宋体" w:cs="宋体"/>
          <w:b/>
          <w:sz w:val="32"/>
          <w:szCs w:val="32"/>
        </w:rPr>
      </w:pPr>
    </w:p>
    <w:p w14:paraId="71703A72">
      <w:pPr>
        <w:jc w:val="center"/>
        <w:rPr>
          <w:rFonts w:hint="eastAsia" w:ascii="宋体" w:hAnsi="宋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7" w:right="1418" w:bottom="1400" w:left="1418" w:header="851" w:footer="992" w:gutter="0"/>
          <w:cols w:space="720" w:num="1"/>
          <w:titlePg/>
          <w:docGrid w:linePitch="312" w:charSpace="0"/>
        </w:sectPr>
      </w:pPr>
    </w:p>
    <w:p w14:paraId="21F63366">
      <w:pPr>
        <w:jc w:val="center"/>
        <w:rPr>
          <w:b/>
          <w:bCs/>
          <w:sz w:val="32"/>
          <w:szCs w:val="32"/>
        </w:rPr>
      </w:pPr>
      <w:r>
        <w:rPr>
          <w:rFonts w:ascii="宋体" w:hAnsi="宋体"/>
          <w:b/>
          <w:bCs/>
          <w:sz w:val="32"/>
          <w:szCs w:val="32"/>
        </w:rPr>
        <w:t>目</w:t>
      </w:r>
      <w:r>
        <w:rPr>
          <w:rFonts w:hint="eastAsia" w:ascii="宋体" w:hAnsi="宋体"/>
          <w:b/>
          <w:bCs/>
          <w:sz w:val="32"/>
          <w:szCs w:val="32"/>
        </w:rPr>
        <w:t xml:space="preserve">  </w:t>
      </w:r>
      <w:r>
        <w:rPr>
          <w:rFonts w:ascii="宋体" w:hAnsi="宋体"/>
          <w:b/>
          <w:bCs/>
          <w:sz w:val="32"/>
          <w:szCs w:val="32"/>
        </w:rPr>
        <w:t>录</w:t>
      </w:r>
    </w:p>
    <w:p w14:paraId="7D1E851A">
      <w:pPr>
        <w:pStyle w:val="49"/>
        <w:tabs>
          <w:tab w:val="right" w:leader="dot" w:pos="9070"/>
        </w:tabs>
      </w:pP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TOC \o "1-1" \h \u </w:instrText>
      </w:r>
      <w:r>
        <w:rPr>
          <w:rFonts w:hint="eastAsia" w:ascii="宋体" w:hAnsi="宋体" w:eastAsia="宋体" w:cs="宋体"/>
          <w:b/>
          <w:sz w:val="32"/>
          <w:szCs w:val="32"/>
        </w:rPr>
        <w:fldChar w:fldCharType="separate"/>
      </w:r>
    </w:p>
    <w:p w14:paraId="16E5275D">
      <w:pPr>
        <w:pStyle w:val="49"/>
        <w:tabs>
          <w:tab w:val="right" w:leader="dot" w:pos="9070"/>
        </w:tabs>
        <w:spacing w:line="700" w:lineRule="exact"/>
        <w:rPr>
          <w:sz w:val="30"/>
          <w:szCs w:val="30"/>
        </w:rPr>
      </w:pPr>
      <w:r>
        <w:fldChar w:fldCharType="begin"/>
      </w:r>
      <w:r>
        <w:instrText xml:space="preserve"> HYPERLINK \l "_Toc2260" </w:instrText>
      </w:r>
      <w:r>
        <w:fldChar w:fldCharType="separate"/>
      </w:r>
      <w:r>
        <w:rPr>
          <w:rFonts w:hint="eastAsia" w:ascii="宋体" w:hAnsi="宋体" w:eastAsia="宋体" w:cs="宋体"/>
          <w:sz w:val="30"/>
          <w:szCs w:val="30"/>
        </w:rPr>
        <w:t>第一章 采购公告</w:t>
      </w:r>
      <w:r>
        <w:rPr>
          <w:sz w:val="30"/>
          <w:szCs w:val="30"/>
        </w:rPr>
        <w:tab/>
      </w:r>
      <w:r>
        <w:rPr>
          <w:sz w:val="30"/>
          <w:szCs w:val="30"/>
        </w:rPr>
        <w:fldChar w:fldCharType="begin"/>
      </w:r>
      <w:r>
        <w:rPr>
          <w:sz w:val="30"/>
          <w:szCs w:val="30"/>
        </w:rPr>
        <w:instrText xml:space="preserve"> PAGEREF _Toc2260 \h </w:instrText>
      </w:r>
      <w:r>
        <w:rPr>
          <w:sz w:val="30"/>
          <w:szCs w:val="30"/>
        </w:rPr>
        <w:fldChar w:fldCharType="separate"/>
      </w:r>
      <w:r>
        <w:rPr>
          <w:sz w:val="30"/>
          <w:szCs w:val="30"/>
        </w:rPr>
        <w:t>1</w:t>
      </w:r>
      <w:r>
        <w:rPr>
          <w:sz w:val="30"/>
          <w:szCs w:val="30"/>
        </w:rPr>
        <w:fldChar w:fldCharType="end"/>
      </w:r>
      <w:r>
        <w:rPr>
          <w:sz w:val="30"/>
          <w:szCs w:val="30"/>
        </w:rPr>
        <w:fldChar w:fldCharType="end"/>
      </w:r>
    </w:p>
    <w:p w14:paraId="7023EA6E">
      <w:pPr>
        <w:pStyle w:val="49"/>
        <w:tabs>
          <w:tab w:val="right" w:leader="dot" w:pos="9070"/>
        </w:tabs>
        <w:spacing w:line="700" w:lineRule="exact"/>
        <w:rPr>
          <w:sz w:val="30"/>
          <w:szCs w:val="30"/>
        </w:rPr>
      </w:pPr>
      <w:r>
        <w:fldChar w:fldCharType="begin"/>
      </w:r>
      <w:r>
        <w:instrText xml:space="preserve"> HYPERLINK \l "_Toc15391" </w:instrText>
      </w:r>
      <w:r>
        <w:fldChar w:fldCharType="separate"/>
      </w:r>
      <w:r>
        <w:rPr>
          <w:rFonts w:hint="eastAsia" w:ascii="宋体" w:hAnsi="宋体" w:eastAsia="宋体" w:cs="宋体"/>
          <w:sz w:val="30"/>
          <w:szCs w:val="30"/>
        </w:rPr>
        <w:t>第二章 投标人须知</w:t>
      </w:r>
      <w:r>
        <w:rPr>
          <w:sz w:val="30"/>
          <w:szCs w:val="30"/>
        </w:rPr>
        <w:tab/>
      </w:r>
      <w:r>
        <w:rPr>
          <w:sz w:val="30"/>
          <w:szCs w:val="30"/>
        </w:rPr>
        <w:fldChar w:fldCharType="begin"/>
      </w:r>
      <w:r>
        <w:rPr>
          <w:sz w:val="30"/>
          <w:szCs w:val="30"/>
        </w:rPr>
        <w:instrText xml:space="preserve"> PAGEREF _Toc15391 \h </w:instrText>
      </w:r>
      <w:r>
        <w:rPr>
          <w:sz w:val="30"/>
          <w:szCs w:val="30"/>
        </w:rPr>
        <w:fldChar w:fldCharType="separate"/>
      </w:r>
      <w:r>
        <w:rPr>
          <w:sz w:val="30"/>
          <w:szCs w:val="30"/>
        </w:rPr>
        <w:t>5</w:t>
      </w:r>
      <w:r>
        <w:rPr>
          <w:sz w:val="30"/>
          <w:szCs w:val="30"/>
        </w:rPr>
        <w:fldChar w:fldCharType="end"/>
      </w:r>
      <w:r>
        <w:rPr>
          <w:sz w:val="30"/>
          <w:szCs w:val="30"/>
        </w:rPr>
        <w:fldChar w:fldCharType="end"/>
      </w:r>
    </w:p>
    <w:p w14:paraId="2CE58163">
      <w:pPr>
        <w:pStyle w:val="49"/>
        <w:tabs>
          <w:tab w:val="right" w:leader="dot" w:pos="9070"/>
        </w:tabs>
        <w:spacing w:line="700" w:lineRule="exact"/>
        <w:rPr>
          <w:sz w:val="30"/>
          <w:szCs w:val="30"/>
        </w:rPr>
      </w:pPr>
      <w:r>
        <w:fldChar w:fldCharType="begin"/>
      </w:r>
      <w:r>
        <w:instrText xml:space="preserve"> HYPERLINK \l "_Toc872" </w:instrText>
      </w:r>
      <w:r>
        <w:fldChar w:fldCharType="separate"/>
      </w:r>
      <w:r>
        <w:rPr>
          <w:rFonts w:hint="eastAsia" w:ascii="宋体" w:hAnsi="宋体" w:eastAsia="宋体" w:cs="宋体"/>
          <w:bCs/>
          <w:sz w:val="30"/>
          <w:szCs w:val="30"/>
        </w:rPr>
        <w:t>第三章 采购需求</w:t>
      </w:r>
      <w:r>
        <w:rPr>
          <w:sz w:val="30"/>
          <w:szCs w:val="30"/>
        </w:rPr>
        <w:tab/>
      </w:r>
      <w:r>
        <w:rPr>
          <w:sz w:val="30"/>
          <w:szCs w:val="30"/>
        </w:rPr>
        <w:fldChar w:fldCharType="begin"/>
      </w:r>
      <w:r>
        <w:rPr>
          <w:sz w:val="30"/>
          <w:szCs w:val="30"/>
        </w:rPr>
        <w:instrText xml:space="preserve"> PAGEREF _Toc872 \h </w:instrText>
      </w:r>
      <w:r>
        <w:rPr>
          <w:sz w:val="30"/>
          <w:szCs w:val="30"/>
        </w:rPr>
        <w:fldChar w:fldCharType="separate"/>
      </w:r>
      <w:r>
        <w:rPr>
          <w:sz w:val="30"/>
          <w:szCs w:val="30"/>
        </w:rPr>
        <w:t>8</w:t>
      </w:r>
      <w:r>
        <w:rPr>
          <w:sz w:val="30"/>
          <w:szCs w:val="30"/>
        </w:rPr>
        <w:fldChar w:fldCharType="end"/>
      </w:r>
      <w:r>
        <w:rPr>
          <w:sz w:val="30"/>
          <w:szCs w:val="30"/>
        </w:rPr>
        <w:fldChar w:fldCharType="end"/>
      </w:r>
    </w:p>
    <w:p w14:paraId="7BA17D84">
      <w:pPr>
        <w:pStyle w:val="49"/>
        <w:tabs>
          <w:tab w:val="right" w:leader="dot" w:pos="9070"/>
        </w:tabs>
        <w:spacing w:line="700" w:lineRule="exact"/>
        <w:rPr>
          <w:sz w:val="30"/>
          <w:szCs w:val="30"/>
        </w:rPr>
      </w:pPr>
      <w:r>
        <w:fldChar w:fldCharType="begin"/>
      </w:r>
      <w:r>
        <w:instrText xml:space="preserve"> HYPERLINK \l "_Toc13216" </w:instrText>
      </w:r>
      <w:r>
        <w:fldChar w:fldCharType="separate"/>
      </w:r>
      <w:r>
        <w:rPr>
          <w:rFonts w:hint="eastAsia" w:ascii="宋体" w:hAnsi="宋体" w:eastAsia="宋体" w:cs="宋体"/>
          <w:kern w:val="1"/>
          <w:sz w:val="30"/>
          <w:szCs w:val="30"/>
        </w:rPr>
        <w:t>第四章 评标办法</w:t>
      </w:r>
      <w:r>
        <w:rPr>
          <w:sz w:val="30"/>
          <w:szCs w:val="30"/>
        </w:rPr>
        <w:tab/>
      </w:r>
      <w:r>
        <w:rPr>
          <w:sz w:val="30"/>
          <w:szCs w:val="30"/>
        </w:rPr>
        <w:fldChar w:fldCharType="begin"/>
      </w:r>
      <w:r>
        <w:rPr>
          <w:sz w:val="30"/>
          <w:szCs w:val="30"/>
        </w:rPr>
        <w:instrText xml:space="preserve"> PAGEREF _Toc13216 \h </w:instrText>
      </w:r>
      <w:r>
        <w:rPr>
          <w:sz w:val="30"/>
          <w:szCs w:val="30"/>
        </w:rPr>
        <w:fldChar w:fldCharType="separate"/>
      </w:r>
      <w:r>
        <w:rPr>
          <w:sz w:val="30"/>
          <w:szCs w:val="30"/>
        </w:rPr>
        <w:t>33</w:t>
      </w:r>
      <w:r>
        <w:rPr>
          <w:sz w:val="30"/>
          <w:szCs w:val="30"/>
        </w:rPr>
        <w:fldChar w:fldCharType="end"/>
      </w:r>
      <w:r>
        <w:rPr>
          <w:sz w:val="30"/>
          <w:szCs w:val="30"/>
        </w:rPr>
        <w:fldChar w:fldCharType="end"/>
      </w:r>
    </w:p>
    <w:p w14:paraId="7D5926E3">
      <w:pPr>
        <w:pStyle w:val="49"/>
        <w:tabs>
          <w:tab w:val="right" w:leader="dot" w:pos="9070"/>
        </w:tabs>
        <w:spacing w:line="700" w:lineRule="exact"/>
        <w:rPr>
          <w:sz w:val="30"/>
          <w:szCs w:val="30"/>
        </w:rPr>
      </w:pPr>
      <w:r>
        <w:fldChar w:fldCharType="begin"/>
      </w:r>
      <w:r>
        <w:instrText xml:space="preserve"> HYPERLINK \l "_Toc8096" </w:instrText>
      </w:r>
      <w:r>
        <w:fldChar w:fldCharType="separate"/>
      </w:r>
      <w:r>
        <w:rPr>
          <w:rFonts w:hint="eastAsia" w:ascii="宋体" w:hAnsi="宋体" w:eastAsia="宋体" w:cs="宋体"/>
          <w:bCs/>
          <w:sz w:val="30"/>
          <w:szCs w:val="30"/>
        </w:rPr>
        <w:t>第五章 合同主要条款</w:t>
      </w:r>
      <w:r>
        <w:rPr>
          <w:sz w:val="30"/>
          <w:szCs w:val="30"/>
        </w:rPr>
        <w:tab/>
      </w:r>
      <w:r>
        <w:rPr>
          <w:sz w:val="30"/>
          <w:szCs w:val="30"/>
        </w:rPr>
        <w:fldChar w:fldCharType="begin"/>
      </w:r>
      <w:r>
        <w:rPr>
          <w:sz w:val="30"/>
          <w:szCs w:val="30"/>
        </w:rPr>
        <w:instrText xml:space="preserve"> PAGEREF _Toc8096 \h </w:instrText>
      </w:r>
      <w:r>
        <w:rPr>
          <w:sz w:val="30"/>
          <w:szCs w:val="30"/>
        </w:rPr>
        <w:fldChar w:fldCharType="separate"/>
      </w:r>
      <w:r>
        <w:rPr>
          <w:sz w:val="30"/>
          <w:szCs w:val="30"/>
        </w:rPr>
        <w:t>36</w:t>
      </w:r>
      <w:r>
        <w:rPr>
          <w:sz w:val="30"/>
          <w:szCs w:val="30"/>
        </w:rPr>
        <w:fldChar w:fldCharType="end"/>
      </w:r>
      <w:r>
        <w:rPr>
          <w:sz w:val="30"/>
          <w:szCs w:val="30"/>
        </w:rPr>
        <w:fldChar w:fldCharType="end"/>
      </w:r>
    </w:p>
    <w:p w14:paraId="6035CF12">
      <w:pPr>
        <w:pStyle w:val="49"/>
        <w:tabs>
          <w:tab w:val="right" w:leader="dot" w:pos="9070"/>
        </w:tabs>
        <w:spacing w:line="700" w:lineRule="exact"/>
        <w:rPr>
          <w:sz w:val="30"/>
          <w:szCs w:val="30"/>
        </w:rPr>
      </w:pPr>
      <w:r>
        <w:fldChar w:fldCharType="begin"/>
      </w:r>
      <w:r>
        <w:instrText xml:space="preserve"> HYPERLINK \l "_Toc8187" </w:instrText>
      </w:r>
      <w:r>
        <w:fldChar w:fldCharType="separate"/>
      </w:r>
      <w:r>
        <w:rPr>
          <w:rFonts w:hint="eastAsia" w:ascii="宋体" w:hAnsi="宋体" w:eastAsia="宋体" w:cs="宋体"/>
          <w:sz w:val="30"/>
          <w:szCs w:val="30"/>
        </w:rPr>
        <w:t>第六章 投标文件格式</w:t>
      </w:r>
      <w:r>
        <w:rPr>
          <w:sz w:val="30"/>
          <w:szCs w:val="30"/>
        </w:rPr>
        <w:tab/>
      </w:r>
      <w:r>
        <w:rPr>
          <w:sz w:val="30"/>
          <w:szCs w:val="30"/>
        </w:rPr>
        <w:fldChar w:fldCharType="begin"/>
      </w:r>
      <w:r>
        <w:rPr>
          <w:sz w:val="30"/>
          <w:szCs w:val="30"/>
        </w:rPr>
        <w:instrText xml:space="preserve"> PAGEREF _Toc8187 \h </w:instrText>
      </w:r>
      <w:r>
        <w:rPr>
          <w:sz w:val="30"/>
          <w:szCs w:val="30"/>
        </w:rPr>
        <w:fldChar w:fldCharType="separate"/>
      </w:r>
      <w:r>
        <w:rPr>
          <w:sz w:val="30"/>
          <w:szCs w:val="30"/>
        </w:rPr>
        <w:t>36</w:t>
      </w:r>
      <w:r>
        <w:rPr>
          <w:sz w:val="30"/>
          <w:szCs w:val="30"/>
        </w:rPr>
        <w:fldChar w:fldCharType="end"/>
      </w:r>
      <w:r>
        <w:rPr>
          <w:sz w:val="30"/>
          <w:szCs w:val="30"/>
        </w:rPr>
        <w:fldChar w:fldCharType="end"/>
      </w:r>
    </w:p>
    <w:p w14:paraId="0B55C214">
      <w:pPr>
        <w:adjustRightInd/>
        <w:spacing w:line="360" w:lineRule="auto"/>
        <w:jc w:val="center"/>
        <w:rPr>
          <w:rFonts w:hint="eastAsia" w:ascii="宋体" w:hAnsi="宋体" w:cs="宋体"/>
          <w:b/>
          <w:sz w:val="32"/>
          <w:szCs w:val="32"/>
        </w:rPr>
      </w:pPr>
      <w:r>
        <w:rPr>
          <w:rFonts w:hint="eastAsia" w:ascii="宋体" w:hAnsi="宋体" w:cs="宋体"/>
          <w:szCs w:val="32"/>
        </w:rPr>
        <w:fldChar w:fldCharType="end"/>
      </w:r>
    </w:p>
    <w:p w14:paraId="74033940">
      <w:pPr>
        <w:adjustRightInd/>
        <w:spacing w:line="360" w:lineRule="auto"/>
        <w:jc w:val="center"/>
        <w:rPr>
          <w:rFonts w:hint="eastAsia" w:ascii="宋体" w:hAnsi="宋体" w:cs="宋体"/>
          <w:b/>
          <w:sz w:val="32"/>
          <w:szCs w:val="32"/>
        </w:rPr>
      </w:pPr>
    </w:p>
    <w:p w14:paraId="3AB85119">
      <w:pPr>
        <w:adjustRightInd/>
        <w:spacing w:line="360" w:lineRule="auto"/>
        <w:jc w:val="center"/>
        <w:rPr>
          <w:rFonts w:hint="eastAsia" w:ascii="宋体" w:hAnsi="宋体" w:cs="宋体"/>
          <w:b/>
          <w:sz w:val="32"/>
          <w:szCs w:val="32"/>
        </w:rPr>
      </w:pPr>
    </w:p>
    <w:p w14:paraId="4C0C07DE">
      <w:pPr>
        <w:adjustRightInd/>
        <w:spacing w:line="360" w:lineRule="auto"/>
        <w:jc w:val="center"/>
        <w:rPr>
          <w:rFonts w:hint="eastAsia" w:ascii="宋体" w:hAnsi="宋体" w:cs="宋体"/>
          <w:b/>
          <w:sz w:val="32"/>
          <w:szCs w:val="32"/>
        </w:rPr>
      </w:pPr>
    </w:p>
    <w:p w14:paraId="0496BD0C">
      <w:pPr>
        <w:adjustRightInd/>
        <w:spacing w:line="360" w:lineRule="auto"/>
        <w:jc w:val="center"/>
        <w:rPr>
          <w:rFonts w:hint="eastAsia" w:ascii="宋体" w:hAnsi="宋体" w:cs="宋体"/>
          <w:b/>
          <w:sz w:val="32"/>
          <w:szCs w:val="32"/>
        </w:rPr>
      </w:pPr>
    </w:p>
    <w:p w14:paraId="25DF3054">
      <w:pPr>
        <w:adjustRightInd/>
        <w:spacing w:line="360" w:lineRule="auto"/>
        <w:jc w:val="center"/>
        <w:rPr>
          <w:rFonts w:hint="eastAsia" w:ascii="宋体" w:hAnsi="宋体" w:cs="宋体"/>
          <w:b/>
          <w:sz w:val="32"/>
          <w:szCs w:val="32"/>
        </w:rPr>
      </w:pPr>
    </w:p>
    <w:p w14:paraId="7E4DDE7A">
      <w:pPr>
        <w:adjustRightInd/>
        <w:spacing w:line="360" w:lineRule="auto"/>
        <w:jc w:val="center"/>
        <w:rPr>
          <w:rFonts w:hint="eastAsia" w:ascii="宋体" w:hAnsi="宋体" w:cs="宋体"/>
          <w:b/>
          <w:sz w:val="32"/>
          <w:szCs w:val="32"/>
        </w:rPr>
      </w:pPr>
    </w:p>
    <w:p w14:paraId="0C5CF7F8">
      <w:pPr>
        <w:adjustRightInd/>
        <w:spacing w:line="360" w:lineRule="auto"/>
        <w:jc w:val="center"/>
        <w:rPr>
          <w:rFonts w:hint="eastAsia" w:ascii="宋体" w:hAnsi="宋体" w:cs="宋体"/>
          <w:b/>
          <w:sz w:val="32"/>
          <w:szCs w:val="32"/>
        </w:rPr>
      </w:pPr>
    </w:p>
    <w:p w14:paraId="65A18C21">
      <w:pPr>
        <w:adjustRightInd/>
        <w:spacing w:line="360" w:lineRule="auto"/>
        <w:jc w:val="center"/>
        <w:rPr>
          <w:rFonts w:hint="eastAsia" w:ascii="宋体" w:hAnsi="宋体" w:cs="宋体"/>
          <w:b/>
          <w:sz w:val="32"/>
          <w:szCs w:val="32"/>
        </w:rPr>
      </w:pPr>
    </w:p>
    <w:p w14:paraId="0189C02F">
      <w:pPr>
        <w:adjustRightInd/>
        <w:spacing w:line="360" w:lineRule="auto"/>
        <w:jc w:val="center"/>
        <w:rPr>
          <w:rFonts w:hint="eastAsia" w:ascii="宋体" w:hAnsi="宋体" w:cs="宋体"/>
          <w:b/>
          <w:sz w:val="32"/>
          <w:szCs w:val="32"/>
        </w:rPr>
      </w:pPr>
    </w:p>
    <w:p w14:paraId="1C9E77A9">
      <w:pPr>
        <w:adjustRightInd/>
        <w:spacing w:line="360" w:lineRule="auto"/>
        <w:jc w:val="center"/>
        <w:rPr>
          <w:rFonts w:hint="eastAsia" w:ascii="宋体" w:hAnsi="宋体" w:cs="宋体"/>
          <w:b/>
          <w:sz w:val="32"/>
          <w:szCs w:val="32"/>
        </w:rPr>
      </w:pPr>
    </w:p>
    <w:p w14:paraId="066144CC">
      <w:pPr>
        <w:adjustRightInd/>
        <w:spacing w:line="360" w:lineRule="auto"/>
        <w:jc w:val="center"/>
        <w:rPr>
          <w:rFonts w:hint="eastAsia" w:ascii="宋体" w:hAnsi="宋体" w:cs="宋体"/>
          <w:b/>
          <w:sz w:val="32"/>
          <w:szCs w:val="32"/>
        </w:rPr>
      </w:pPr>
    </w:p>
    <w:p w14:paraId="5C990024">
      <w:pPr>
        <w:adjustRightInd/>
        <w:spacing w:line="360" w:lineRule="auto"/>
        <w:jc w:val="center"/>
        <w:rPr>
          <w:rFonts w:hint="eastAsia" w:ascii="宋体" w:hAnsi="宋体" w:cs="宋体"/>
          <w:b/>
          <w:sz w:val="32"/>
          <w:szCs w:val="32"/>
        </w:rPr>
      </w:pPr>
    </w:p>
    <w:p w14:paraId="74A745D8">
      <w:pPr>
        <w:adjustRightInd/>
        <w:spacing w:line="360" w:lineRule="auto"/>
        <w:jc w:val="center"/>
        <w:rPr>
          <w:rFonts w:hint="eastAsia" w:ascii="宋体" w:hAnsi="宋体" w:cs="宋体"/>
          <w:b/>
          <w:sz w:val="32"/>
          <w:szCs w:val="32"/>
        </w:rPr>
      </w:pPr>
    </w:p>
    <w:p w14:paraId="502F730B">
      <w:pPr>
        <w:adjustRightInd/>
        <w:spacing w:line="360" w:lineRule="auto"/>
        <w:jc w:val="center"/>
        <w:rPr>
          <w:rFonts w:hint="eastAsia" w:ascii="宋体" w:hAnsi="宋体" w:cs="宋体"/>
          <w:b/>
          <w:sz w:val="32"/>
          <w:szCs w:val="32"/>
        </w:rPr>
      </w:pPr>
    </w:p>
    <w:p w14:paraId="652C9254">
      <w:pPr>
        <w:adjustRightInd/>
        <w:spacing w:line="360" w:lineRule="auto"/>
        <w:jc w:val="center"/>
        <w:outlineLvl w:val="0"/>
        <w:rPr>
          <w:rFonts w:hint="eastAsia" w:ascii="宋体" w:hAnsi="宋体" w:cs="宋体"/>
          <w:b/>
          <w:sz w:val="32"/>
          <w:szCs w:val="32"/>
        </w:rPr>
        <w:sectPr>
          <w:footerReference r:id="rId10" w:type="first"/>
          <w:footerReference r:id="rId9" w:type="default"/>
          <w:pgSz w:w="11906" w:h="16838"/>
          <w:pgMar w:top="1134" w:right="1417" w:bottom="1134" w:left="1417" w:header="851" w:footer="992" w:gutter="0"/>
          <w:pgNumType w:start="1"/>
          <w:cols w:space="720" w:num="1"/>
          <w:docGrid w:linePitch="312" w:charSpace="0"/>
        </w:sectPr>
      </w:pPr>
      <w:bookmarkStart w:id="13" w:name="_Toc2260"/>
    </w:p>
    <w:p w14:paraId="6039D400">
      <w:pPr>
        <w:adjustRightInd/>
        <w:spacing w:line="360" w:lineRule="auto"/>
        <w:jc w:val="center"/>
        <w:outlineLvl w:val="0"/>
        <w:rPr>
          <w:rFonts w:hint="eastAsia" w:ascii="宋体" w:hAnsi="宋体" w:cs="宋体"/>
          <w:b/>
          <w:sz w:val="32"/>
          <w:szCs w:val="32"/>
        </w:rPr>
      </w:pPr>
      <w:r>
        <w:rPr>
          <w:rFonts w:hint="eastAsia" w:ascii="宋体" w:hAnsi="宋体" w:cs="宋体"/>
          <w:b/>
          <w:sz w:val="32"/>
          <w:szCs w:val="32"/>
        </w:rPr>
        <w:t>第一章 采购公告</w:t>
      </w:r>
      <w:bookmarkEnd w:id="13"/>
    </w:p>
    <w:p w14:paraId="2586E31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42C289B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sz w:val="24"/>
          <w:u w:val="single"/>
        </w:rPr>
        <w:t>嵊州市三溪水库工程林木清理项目</w:t>
      </w:r>
      <w:r>
        <w:rPr>
          <w:rFonts w:hint="eastAsia" w:ascii="宋体" w:hAnsi="宋体" w:cs="宋体"/>
          <w:sz w:val="24"/>
        </w:rPr>
        <w:t>采购项目的潜在投标人应在乐采云平台（</w:t>
      </w:r>
      <w:r>
        <w:fldChar w:fldCharType="begin"/>
      </w:r>
      <w:r>
        <w:instrText xml:space="preserve"> HYPERLINK "https://www.zcygov.cn/）获取（下载）招标文件，并于2021年" </w:instrText>
      </w:r>
      <w:r>
        <w:fldChar w:fldCharType="separate"/>
      </w:r>
      <w:r>
        <w:rPr>
          <w:rStyle w:val="30"/>
          <w:rFonts w:hint="eastAsia" w:ascii="宋体" w:hAnsi="宋体" w:eastAsia="宋体" w:cs="宋体"/>
          <w:snapToGrid/>
          <w:color w:val="auto"/>
          <w:kern w:val="2"/>
          <w:sz w:val="24"/>
          <w:szCs w:val="24"/>
        </w:rPr>
        <w:t>https://www.lecaiyun.com/）获取（下载）采购文件，并于</w:t>
      </w:r>
      <w:r>
        <w:rPr>
          <w:rFonts w:hint="eastAsia" w:ascii="宋体" w:hAnsi="宋体" w:cs="宋体"/>
          <w:sz w:val="24"/>
          <w:u w:val="single"/>
        </w:rPr>
        <w:t xml:space="preserve">2025年 </w:t>
      </w:r>
      <w:r>
        <w:rPr>
          <w:rFonts w:hint="eastAsia" w:ascii="宋体" w:hAnsi="宋体" w:cs="宋体"/>
          <w:sz w:val="24"/>
          <w:u w:val="single"/>
          <w:lang w:val="en-US" w:eastAsia="zh-CN"/>
        </w:rPr>
        <w:t>3</w:t>
      </w:r>
      <w:r>
        <w:rPr>
          <w:rFonts w:hint="eastAsia" w:ascii="宋体" w:hAnsi="宋体" w:cs="宋体"/>
          <w:sz w:val="24"/>
          <w:u w:val="single"/>
        </w:rPr>
        <w:t xml:space="preserve"> 月 </w:t>
      </w:r>
      <w:r>
        <w:rPr>
          <w:rFonts w:hint="eastAsia" w:ascii="宋体" w:hAnsi="宋体" w:cs="宋体"/>
          <w:sz w:val="24"/>
          <w:u w:val="single"/>
          <w:lang w:val="en-US" w:eastAsia="zh-CN"/>
        </w:rPr>
        <w:t>13</w:t>
      </w:r>
      <w:r>
        <w:rPr>
          <w:rFonts w:hint="eastAsia" w:ascii="宋体" w:hAnsi="宋体" w:cs="宋体"/>
          <w:sz w:val="24"/>
          <w:u w:val="single"/>
        </w:rPr>
        <w:t xml:space="preserve"> 日09点</w:t>
      </w:r>
      <w:r>
        <w:rPr>
          <w:rFonts w:hint="eastAsia" w:ascii="宋体" w:hAnsi="宋体" w:cs="宋体"/>
          <w:sz w:val="24"/>
          <w:u w:val="single"/>
          <w:lang w:val="en-US" w:eastAsia="zh-CN"/>
        </w:rPr>
        <w:t>3</w:t>
      </w:r>
      <w:r>
        <w:rPr>
          <w:rFonts w:hint="eastAsia" w:ascii="宋体" w:hAnsi="宋体" w:cs="宋体"/>
          <w:sz w:val="24"/>
          <w:u w:val="single"/>
        </w:rPr>
        <w:t>0分00秒</w:t>
      </w:r>
      <w:r>
        <w:rPr>
          <w:rFonts w:hint="eastAsia" w:ascii="宋体" w:hAnsi="宋体" w:cs="宋体"/>
          <w:sz w:val="24"/>
          <w:u w:val="single"/>
        </w:rPr>
        <w:fldChar w:fldCharType="end"/>
      </w:r>
      <w:r>
        <w:rPr>
          <w:rFonts w:hint="eastAsia" w:ascii="宋体" w:hAnsi="宋体" w:cs="宋体"/>
          <w:sz w:val="24"/>
        </w:rPr>
        <w:t>（北京时间）前递交（上传）投标文件。</w:t>
      </w:r>
    </w:p>
    <w:p w14:paraId="3C2A6A08">
      <w:pPr>
        <w:spacing w:line="360" w:lineRule="auto"/>
        <w:rPr>
          <w:rFonts w:hint="eastAsia" w:ascii="宋体" w:hAnsi="宋体" w:cs="宋体"/>
          <w:b/>
          <w:sz w:val="24"/>
        </w:rPr>
      </w:pPr>
      <w:r>
        <w:rPr>
          <w:rFonts w:hint="eastAsia" w:ascii="宋体" w:hAnsi="宋体" w:cs="宋体"/>
          <w:b/>
          <w:sz w:val="24"/>
        </w:rPr>
        <w:t xml:space="preserve">一、项目基本情况                                            </w:t>
      </w:r>
    </w:p>
    <w:p w14:paraId="423276FE">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bCs/>
          <w:sz w:val="24"/>
        </w:rPr>
        <w:t>1.</w:t>
      </w:r>
      <w:r>
        <w:rPr>
          <w:rFonts w:hint="eastAsia" w:ascii="宋体" w:hAnsi="宋体" w:cs="宋体"/>
          <w:b/>
          <w:sz w:val="24"/>
        </w:rPr>
        <w:t>项目编号：</w:t>
      </w:r>
      <w:r>
        <w:rPr>
          <w:rFonts w:hint="eastAsia" w:ascii="宋体" w:hAnsi="宋体" w:cs="宋体"/>
          <w:sz w:val="24"/>
          <w:u w:val="single"/>
        </w:rPr>
        <w:t>DD-SZ2025N01</w:t>
      </w:r>
    </w:p>
    <w:p w14:paraId="250BD00F">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2.项目名称：</w:t>
      </w:r>
      <w:r>
        <w:rPr>
          <w:rFonts w:hint="eastAsia" w:ascii="宋体" w:hAnsi="宋体" w:cs="宋体"/>
          <w:sz w:val="24"/>
          <w:u w:val="single"/>
        </w:rPr>
        <w:t>嵊州市三溪水库工程林木清理项目</w:t>
      </w:r>
    </w:p>
    <w:p w14:paraId="5139847F">
      <w:pPr>
        <w:spacing w:line="360" w:lineRule="auto"/>
        <w:ind w:firstLine="480"/>
        <w:rPr>
          <w:rFonts w:hint="eastAsia" w:ascii="宋体" w:hAnsi="宋体" w:cs="宋体"/>
          <w:b/>
          <w:sz w:val="24"/>
        </w:rPr>
      </w:pPr>
      <w:r>
        <w:rPr>
          <w:rFonts w:hint="eastAsia" w:ascii="宋体" w:hAnsi="宋体" w:cs="宋体"/>
          <w:b/>
          <w:sz w:val="24"/>
        </w:rPr>
        <w:t>3.预算金额（元）：852000元</w:t>
      </w:r>
    </w:p>
    <w:p w14:paraId="269CED0E">
      <w:pPr>
        <w:spacing w:line="360" w:lineRule="auto"/>
        <w:ind w:firstLine="482" w:firstLineChars="200"/>
        <w:rPr>
          <w:rFonts w:hint="eastAsia" w:ascii="宋体" w:hAnsi="宋体" w:cs="宋体"/>
          <w:b/>
          <w:sz w:val="24"/>
        </w:rPr>
      </w:pPr>
      <w:r>
        <w:rPr>
          <w:rFonts w:hint="eastAsia" w:ascii="宋体" w:hAnsi="宋体" w:cs="宋体"/>
          <w:b/>
          <w:sz w:val="24"/>
        </w:rPr>
        <w:t>4.最高限价（元）：852000元</w:t>
      </w:r>
    </w:p>
    <w:p w14:paraId="6D3F01A8">
      <w:pPr>
        <w:spacing w:line="360" w:lineRule="auto"/>
        <w:ind w:firstLine="480"/>
        <w:rPr>
          <w:rFonts w:hint="eastAsia" w:ascii="宋体" w:hAnsi="宋体" w:cs="宋体"/>
          <w:b/>
          <w:sz w:val="24"/>
        </w:rPr>
      </w:pPr>
      <w:r>
        <w:rPr>
          <w:rFonts w:hint="eastAsia" w:ascii="宋体" w:hAnsi="宋体" w:cs="宋体"/>
          <w:b/>
          <w:sz w:val="24"/>
        </w:rPr>
        <w:t>5.采购需求：详见采购文件。</w:t>
      </w:r>
    </w:p>
    <w:p w14:paraId="252F867D">
      <w:pPr>
        <w:spacing w:line="360" w:lineRule="auto"/>
        <w:ind w:firstLine="480"/>
        <w:rPr>
          <w:rFonts w:hint="eastAsia" w:ascii="宋体" w:hAnsi="宋体" w:cs="宋体"/>
          <w:b/>
          <w:sz w:val="24"/>
        </w:rPr>
      </w:pPr>
      <w:r>
        <w:rPr>
          <w:rFonts w:hint="eastAsia" w:ascii="宋体" w:hAnsi="宋体" w:cs="宋体"/>
          <w:b/>
          <w:sz w:val="24"/>
        </w:rPr>
        <w:t>6.合同履约期限：详见采购文件。</w:t>
      </w:r>
    </w:p>
    <w:p w14:paraId="2B473803">
      <w:pPr>
        <w:spacing w:line="360" w:lineRule="auto"/>
        <w:ind w:firstLine="480"/>
        <w:rPr>
          <w:rFonts w:hint="eastAsia" w:ascii="宋体" w:hAnsi="宋体" w:cs="宋体"/>
          <w:b/>
          <w:sz w:val="24"/>
        </w:rPr>
      </w:pPr>
      <w:r>
        <w:rPr>
          <w:rFonts w:hint="eastAsia" w:ascii="宋体" w:hAnsi="宋体" w:cs="宋体"/>
          <w:b/>
          <w:sz w:val="24"/>
        </w:rPr>
        <w:t>7.本项目不接受联合体投标。</w:t>
      </w:r>
    </w:p>
    <w:p w14:paraId="663C9352">
      <w:pPr>
        <w:spacing w:line="500" w:lineRule="exact"/>
        <w:rPr>
          <w:rFonts w:hint="eastAsia" w:ascii="宋体" w:hAnsi="宋体" w:cs="宋体"/>
          <w:b/>
          <w:sz w:val="24"/>
        </w:rPr>
      </w:pPr>
      <w:r>
        <w:rPr>
          <w:rFonts w:hint="eastAsia" w:ascii="宋体" w:hAnsi="宋体" w:cs="宋体"/>
          <w:b/>
          <w:sz w:val="24"/>
        </w:rPr>
        <w:t>二、申请人的资格要求：</w:t>
      </w:r>
    </w:p>
    <w:p w14:paraId="3CEC8E86">
      <w:pPr>
        <w:adjustRightInd/>
        <w:spacing w:line="500" w:lineRule="exact"/>
        <w:ind w:firstLine="480" w:firstLineChars="200"/>
        <w:rPr>
          <w:rFonts w:hint="eastAsia" w:ascii="宋体" w:hAnsi="宋体" w:cs="宋体"/>
          <w:kern w:val="0"/>
          <w:sz w:val="24"/>
        </w:rPr>
      </w:pPr>
      <w:r>
        <w:rPr>
          <w:rFonts w:hint="eastAsia" w:ascii="宋体" w:hAnsi="宋体" w:cs="宋体"/>
          <w:kern w:val="0"/>
          <w:sz w:val="24"/>
        </w:rPr>
        <w:t>1.</w:t>
      </w:r>
      <w:r>
        <w:rPr>
          <w:rFonts w:hint="eastAsia" w:ascii="新宋体" w:hAnsi="新宋体" w:eastAsia="新宋体" w:cs="新宋体"/>
          <w:kern w:val="0"/>
          <w:sz w:val="24"/>
        </w:rPr>
        <w:t>具备有效营业执照的独立法人</w:t>
      </w:r>
      <w:r>
        <w:rPr>
          <w:rFonts w:hint="eastAsia" w:ascii="宋体" w:hAnsi="宋体" w:cs="宋体"/>
          <w:kern w:val="0"/>
          <w:sz w:val="24"/>
        </w:rPr>
        <w:t>。</w:t>
      </w:r>
    </w:p>
    <w:p w14:paraId="5A248D6F">
      <w:pPr>
        <w:adjustRightInd/>
        <w:spacing w:line="500" w:lineRule="exact"/>
        <w:ind w:firstLine="480" w:firstLineChars="200"/>
        <w:rPr>
          <w:rFonts w:hint="eastAsia" w:ascii="宋体" w:hAnsi="宋体" w:cs="宋体"/>
        </w:rPr>
      </w:pPr>
      <w:r>
        <w:rPr>
          <w:rFonts w:hint="eastAsia" w:ascii="宋体" w:hAnsi="宋体" w:cs="宋体"/>
          <w:kern w:val="0"/>
          <w:sz w:val="24"/>
        </w:rPr>
        <w:t>2.具有良好的商业信誉。</w:t>
      </w:r>
    </w:p>
    <w:p w14:paraId="4752C499">
      <w:pPr>
        <w:adjustRightInd/>
        <w:spacing w:line="500" w:lineRule="exact"/>
        <w:ind w:firstLine="480" w:firstLineChars="200"/>
        <w:rPr>
          <w:rFonts w:hint="eastAsia" w:ascii="宋体" w:hAnsi="宋体" w:cs="宋体"/>
          <w:kern w:val="0"/>
          <w:sz w:val="24"/>
        </w:rPr>
      </w:pPr>
      <w:r>
        <w:rPr>
          <w:rFonts w:hint="eastAsia" w:ascii="宋体" w:hAnsi="宋体" w:cs="宋体"/>
          <w:kern w:val="0"/>
          <w:sz w:val="24"/>
        </w:rPr>
        <w:t>3.具有履行合同所必需的设备和专业技术、售后保障等能力。</w:t>
      </w:r>
    </w:p>
    <w:p w14:paraId="4D4D034A">
      <w:pPr>
        <w:adjustRightInd/>
        <w:spacing w:line="500" w:lineRule="exact"/>
        <w:ind w:firstLine="480" w:firstLineChars="200"/>
        <w:rPr>
          <w:rFonts w:hint="eastAsia" w:ascii="宋体" w:hAnsi="宋体" w:cs="宋体"/>
          <w:kern w:val="0"/>
          <w:sz w:val="24"/>
        </w:rPr>
      </w:pPr>
      <w:r>
        <w:rPr>
          <w:rFonts w:hint="eastAsia" w:ascii="宋体" w:hAnsi="宋体" w:cs="宋体"/>
          <w:kern w:val="0"/>
          <w:sz w:val="24"/>
        </w:rPr>
        <w:t>4.有依法缴纳税收和社会保障资金的良好记录。</w:t>
      </w:r>
    </w:p>
    <w:p w14:paraId="1E840254">
      <w:pPr>
        <w:adjustRightInd/>
        <w:spacing w:line="500" w:lineRule="exact"/>
        <w:ind w:firstLine="480" w:firstLineChars="200"/>
        <w:rPr>
          <w:rFonts w:hint="eastAsia" w:ascii="宋体" w:hAnsi="宋体" w:cs="宋体"/>
          <w:kern w:val="0"/>
          <w:sz w:val="24"/>
        </w:rPr>
      </w:pPr>
      <w:r>
        <w:rPr>
          <w:rFonts w:hint="eastAsia" w:ascii="宋体" w:hAnsi="宋体" w:cs="宋体"/>
          <w:kern w:val="0"/>
          <w:sz w:val="24"/>
        </w:rPr>
        <w:t>5.参加采购活动前三年内，没有重大违法记录、严重失信行为和行贿记录。</w:t>
      </w:r>
    </w:p>
    <w:p w14:paraId="495A1F31">
      <w:pPr>
        <w:adjustRightInd/>
        <w:spacing w:line="500" w:lineRule="exact"/>
        <w:ind w:firstLine="480" w:firstLineChars="200"/>
        <w:rPr>
          <w:rFonts w:hint="eastAsia" w:ascii="宋体" w:hAnsi="宋体" w:cs="宋体"/>
          <w:kern w:val="0"/>
          <w:sz w:val="24"/>
        </w:rPr>
      </w:pPr>
      <w:r>
        <w:rPr>
          <w:rFonts w:hint="eastAsia" w:ascii="宋体" w:hAnsi="宋体" w:cs="宋体"/>
          <w:kern w:val="0"/>
          <w:sz w:val="24"/>
        </w:rPr>
        <w:t>6.法律、行政法规规定的其他条件。</w:t>
      </w:r>
    </w:p>
    <w:p w14:paraId="216B6A01">
      <w:pPr>
        <w:spacing w:line="500" w:lineRule="exact"/>
        <w:ind w:firstLine="480" w:firstLineChars="200"/>
        <w:rPr>
          <w:rFonts w:hint="eastAsia" w:ascii="宋体" w:hAnsi="宋体" w:cs="宋体"/>
          <w:sz w:val="24"/>
        </w:rPr>
      </w:pPr>
      <w:r>
        <w:rPr>
          <w:rFonts w:hint="eastAsia" w:ascii="宋体" w:hAnsi="宋体" w:cs="宋体"/>
          <w:sz w:val="24"/>
        </w:rPr>
        <w:t>7.本次采购接不受联合体投标。</w:t>
      </w:r>
    </w:p>
    <w:p w14:paraId="30CE5B9E">
      <w:pPr>
        <w:spacing w:line="500" w:lineRule="exact"/>
        <w:ind w:firstLine="480" w:firstLineChars="200"/>
        <w:rPr>
          <w:rFonts w:hint="eastAsia" w:ascii="宋体" w:hAnsi="宋体" w:cs="宋体"/>
          <w:sz w:val="24"/>
        </w:rPr>
      </w:pPr>
      <w:r>
        <w:rPr>
          <w:rFonts w:hint="eastAsia" w:ascii="宋体" w:hAnsi="宋体" w:cs="宋体"/>
          <w:sz w:val="24"/>
        </w:rPr>
        <w:t>8.</w:t>
      </w:r>
      <w:r>
        <w:rPr>
          <w:rFonts w:hint="eastAsia" w:ascii="宋体" w:hAnsi="宋体" w:cs="宋体"/>
          <w:sz w:val="24"/>
          <w:shd w:val="clear" w:color="auto" w:fill="FFFFFF"/>
        </w:rPr>
        <w:t>单位负责人为同一人或者存在直接控股、管理关系的不同供应商，不得参加同一合同项下的采购活动。</w:t>
      </w:r>
    </w:p>
    <w:p w14:paraId="779D792A">
      <w:pPr>
        <w:spacing w:line="500" w:lineRule="exact"/>
        <w:rPr>
          <w:rFonts w:hint="eastAsia" w:ascii="宋体" w:hAnsi="宋体" w:cs="宋体"/>
          <w:b/>
          <w:sz w:val="24"/>
        </w:rPr>
      </w:pPr>
      <w:r>
        <w:rPr>
          <w:rFonts w:hint="eastAsia" w:ascii="宋体" w:hAnsi="宋体" w:cs="宋体"/>
          <w:b/>
          <w:sz w:val="24"/>
        </w:rPr>
        <w:t xml:space="preserve">三、获取采购文件 </w:t>
      </w:r>
    </w:p>
    <w:p w14:paraId="6F3E2602">
      <w:pPr>
        <w:spacing w:line="500" w:lineRule="exact"/>
        <w:ind w:firstLine="482" w:firstLineChars="200"/>
        <w:rPr>
          <w:rFonts w:hint="eastAsia" w:ascii="宋体" w:hAnsi="宋体" w:cs="宋体"/>
          <w:sz w:val="24"/>
        </w:rPr>
      </w:pPr>
      <w:r>
        <w:rPr>
          <w:rFonts w:hint="eastAsia" w:ascii="宋体" w:hAnsi="宋体" w:cs="宋体"/>
          <w:b/>
          <w:sz w:val="24"/>
        </w:rPr>
        <w:t>1.时间：</w:t>
      </w:r>
      <w:r>
        <w:rPr>
          <w:rFonts w:hint="eastAsia" w:ascii="宋体" w:hAnsi="宋体" w:cs="宋体"/>
          <w:b/>
          <w:sz w:val="24"/>
          <w:u w:val="single"/>
        </w:rPr>
        <w:t xml:space="preserve"> </w:t>
      </w:r>
      <w:r>
        <w:rPr>
          <w:rFonts w:hint="eastAsia" w:ascii="宋体" w:hAnsi="宋体" w:cs="宋体"/>
          <w:sz w:val="24"/>
          <w:u w:val="single"/>
        </w:rPr>
        <w:t xml:space="preserve">/ </w:t>
      </w:r>
      <w:r>
        <w:rPr>
          <w:rFonts w:hint="eastAsia" w:ascii="宋体" w:hAnsi="宋体" w:cs="宋体"/>
          <w:sz w:val="24"/>
        </w:rPr>
        <w:t>至</w:t>
      </w:r>
      <w:r>
        <w:rPr>
          <w:rFonts w:hint="eastAsia" w:ascii="宋体" w:hAnsi="宋体" w:cs="宋体"/>
          <w:sz w:val="24"/>
          <w:u w:val="single"/>
        </w:rPr>
        <w:t xml:space="preserve">2025年 </w:t>
      </w:r>
      <w:r>
        <w:rPr>
          <w:rFonts w:hint="eastAsia" w:ascii="宋体" w:hAnsi="宋体" w:cs="宋体"/>
          <w:sz w:val="24"/>
          <w:u w:val="single"/>
          <w:lang w:val="en-US" w:eastAsia="zh-CN"/>
        </w:rPr>
        <w:t>3</w:t>
      </w:r>
      <w:r>
        <w:rPr>
          <w:rFonts w:hint="eastAsia" w:ascii="宋体" w:hAnsi="宋体" w:cs="宋体"/>
          <w:sz w:val="24"/>
          <w:u w:val="single"/>
        </w:rPr>
        <w:t xml:space="preserve"> 月 </w:t>
      </w:r>
      <w:r>
        <w:rPr>
          <w:rFonts w:hint="eastAsia" w:ascii="宋体" w:hAnsi="宋体" w:cs="宋体"/>
          <w:sz w:val="24"/>
          <w:u w:val="single"/>
          <w:lang w:val="en-US" w:eastAsia="zh-CN"/>
        </w:rPr>
        <w:t>13</w:t>
      </w:r>
      <w:r>
        <w:rPr>
          <w:rFonts w:hint="eastAsia" w:ascii="宋体" w:hAnsi="宋体" w:cs="宋体"/>
          <w:sz w:val="24"/>
          <w:u w:val="single"/>
        </w:rPr>
        <w:t xml:space="preserve"> 日</w:t>
      </w:r>
      <w:r>
        <w:rPr>
          <w:rFonts w:hint="eastAsia" w:ascii="宋体" w:hAnsi="宋体" w:cs="宋体"/>
          <w:sz w:val="24"/>
        </w:rPr>
        <w:t>，每天上午00:00至12:00 ，下午12:00至23:59（北京时间，线上获取法定节假日均可）。</w:t>
      </w:r>
    </w:p>
    <w:p w14:paraId="3E450E57">
      <w:pPr>
        <w:spacing w:line="500" w:lineRule="exact"/>
        <w:ind w:firstLine="482" w:firstLineChars="200"/>
        <w:rPr>
          <w:rFonts w:hint="eastAsia" w:ascii="宋体" w:hAnsi="宋体" w:cs="宋体"/>
          <w:sz w:val="24"/>
        </w:rPr>
      </w:pPr>
      <w:r>
        <w:rPr>
          <w:rFonts w:hint="eastAsia" w:ascii="宋体" w:hAnsi="宋体" w:cs="宋体"/>
          <w:b/>
          <w:sz w:val="24"/>
        </w:rPr>
        <w:t>2.地点（网址）：</w:t>
      </w:r>
      <w:r>
        <w:rPr>
          <w:rFonts w:hint="eastAsia" w:ascii="宋体" w:hAnsi="宋体" w:cs="宋体"/>
          <w:sz w:val="24"/>
        </w:rPr>
        <w:t xml:space="preserve">乐采云平台（https://www.lecaiyun.com/）。 </w:t>
      </w:r>
    </w:p>
    <w:p w14:paraId="7A4403EE">
      <w:pPr>
        <w:spacing w:line="500" w:lineRule="exact"/>
        <w:ind w:firstLine="482" w:firstLineChars="200"/>
        <w:rPr>
          <w:rFonts w:hint="eastAsia" w:ascii="宋体" w:hAnsi="宋体" w:cs="宋体"/>
          <w:sz w:val="24"/>
        </w:rPr>
      </w:pPr>
      <w:r>
        <w:rPr>
          <w:rFonts w:hint="eastAsia" w:ascii="宋体" w:hAnsi="宋体" w:cs="宋体"/>
          <w:b/>
          <w:sz w:val="24"/>
        </w:rPr>
        <w:t>3.方式：</w:t>
      </w:r>
      <w:r>
        <w:rPr>
          <w:rFonts w:hint="eastAsia" w:ascii="宋体" w:hAnsi="宋体" w:cs="宋体"/>
          <w:sz w:val="24"/>
        </w:rPr>
        <w:t xml:space="preserve">供应商登录乐采云平台https://www.lecaiyun.com/在线申请获取采购文件（进入“项目采购”应用，在获取采购文件菜单中选择项目，申请获取采购文件）。 </w:t>
      </w:r>
    </w:p>
    <w:p w14:paraId="1E57C9FC">
      <w:pPr>
        <w:spacing w:line="500" w:lineRule="exact"/>
        <w:ind w:firstLine="482" w:firstLineChars="200"/>
        <w:rPr>
          <w:rFonts w:hint="eastAsia" w:ascii="宋体" w:hAnsi="宋体" w:cs="宋体"/>
          <w:sz w:val="24"/>
        </w:rPr>
      </w:pPr>
      <w:r>
        <w:rPr>
          <w:rFonts w:hint="eastAsia" w:ascii="宋体" w:hAnsi="宋体" w:cs="宋体"/>
          <w:b/>
          <w:sz w:val="24"/>
        </w:rPr>
        <w:t>4.售价（元）：</w:t>
      </w:r>
      <w:r>
        <w:rPr>
          <w:rFonts w:hint="eastAsia" w:ascii="宋体" w:hAnsi="宋体" w:cs="宋体"/>
          <w:sz w:val="24"/>
        </w:rPr>
        <w:t xml:space="preserve">0 </w:t>
      </w:r>
      <w:r>
        <w:rPr>
          <w:rFonts w:hint="eastAsia" w:ascii="宋体" w:hAnsi="宋体" w:cs="宋体"/>
          <w:sz w:val="24"/>
        </w:rPr>
        <w:tab/>
      </w:r>
    </w:p>
    <w:p w14:paraId="28EC7A3A">
      <w:pPr>
        <w:spacing w:line="500" w:lineRule="exact"/>
        <w:rPr>
          <w:rFonts w:hint="eastAsia" w:ascii="宋体" w:hAnsi="宋体" w:cs="宋体"/>
          <w:b/>
          <w:sz w:val="24"/>
        </w:rPr>
      </w:pPr>
      <w:r>
        <w:rPr>
          <w:rFonts w:hint="eastAsia" w:ascii="宋体" w:hAnsi="宋体" w:cs="宋体"/>
          <w:b/>
          <w:sz w:val="24"/>
        </w:rPr>
        <w:t>四、提交投标文件截止时间、开标时间和地点</w:t>
      </w:r>
    </w:p>
    <w:p w14:paraId="1319C6F5">
      <w:pPr>
        <w:spacing w:line="500" w:lineRule="exact"/>
        <w:ind w:firstLine="482" w:firstLineChars="200"/>
        <w:rPr>
          <w:rFonts w:hint="eastAsia" w:ascii="宋体" w:hAnsi="宋体" w:cs="宋体"/>
          <w:sz w:val="24"/>
        </w:rPr>
      </w:pPr>
      <w:r>
        <w:rPr>
          <w:rFonts w:hint="eastAsia" w:ascii="宋体" w:hAnsi="宋体" w:cs="宋体"/>
          <w:b/>
          <w:sz w:val="24"/>
        </w:rPr>
        <w:t>1.提交投标文件截止时间：</w:t>
      </w:r>
      <w:r>
        <w:rPr>
          <w:rFonts w:hint="eastAsia" w:ascii="宋体" w:hAnsi="宋体" w:cs="宋体"/>
          <w:sz w:val="24"/>
          <w:u w:val="single"/>
        </w:rPr>
        <w:t xml:space="preserve">2025年 </w:t>
      </w:r>
      <w:r>
        <w:rPr>
          <w:rFonts w:hint="eastAsia" w:ascii="宋体" w:hAnsi="宋体" w:cs="宋体"/>
          <w:sz w:val="24"/>
          <w:u w:val="single"/>
          <w:lang w:val="en-US" w:eastAsia="zh-CN"/>
        </w:rPr>
        <w:t>3</w:t>
      </w:r>
      <w:r>
        <w:rPr>
          <w:rFonts w:hint="eastAsia" w:ascii="宋体" w:hAnsi="宋体" w:cs="宋体"/>
          <w:sz w:val="24"/>
          <w:u w:val="single"/>
        </w:rPr>
        <w:t xml:space="preserve"> 月 </w:t>
      </w:r>
      <w:r>
        <w:rPr>
          <w:rFonts w:hint="eastAsia" w:ascii="宋体" w:hAnsi="宋体" w:cs="宋体"/>
          <w:sz w:val="24"/>
          <w:u w:val="single"/>
          <w:lang w:val="en-US" w:eastAsia="zh-CN"/>
        </w:rPr>
        <w:t>13</w:t>
      </w:r>
      <w:r>
        <w:rPr>
          <w:rFonts w:hint="eastAsia" w:ascii="宋体" w:hAnsi="宋体" w:cs="宋体"/>
          <w:sz w:val="24"/>
          <w:u w:val="single"/>
        </w:rPr>
        <w:t xml:space="preserve"> 日09点</w:t>
      </w:r>
      <w:r>
        <w:rPr>
          <w:rFonts w:hint="eastAsia" w:ascii="宋体" w:hAnsi="宋体" w:cs="宋体"/>
          <w:sz w:val="24"/>
          <w:u w:val="single"/>
          <w:lang w:val="en-US" w:eastAsia="zh-CN"/>
        </w:rPr>
        <w:t>3</w:t>
      </w:r>
      <w:r>
        <w:rPr>
          <w:rFonts w:hint="eastAsia" w:ascii="宋体" w:hAnsi="宋体" w:cs="宋体"/>
          <w:sz w:val="24"/>
          <w:u w:val="single"/>
        </w:rPr>
        <w:t>0分</w:t>
      </w:r>
      <w:r>
        <w:rPr>
          <w:rFonts w:hint="eastAsia" w:ascii="宋体" w:hAnsi="宋体" w:cs="宋体"/>
          <w:bCs/>
          <w:sz w:val="24"/>
          <w:u w:val="single"/>
        </w:rPr>
        <w:t xml:space="preserve"> </w:t>
      </w:r>
      <w:r>
        <w:rPr>
          <w:rFonts w:hint="eastAsia" w:ascii="宋体" w:hAnsi="宋体" w:cs="宋体"/>
          <w:sz w:val="24"/>
        </w:rPr>
        <w:t>（北京时间）</w:t>
      </w:r>
    </w:p>
    <w:p w14:paraId="5EF26E35">
      <w:pPr>
        <w:spacing w:line="500" w:lineRule="exact"/>
        <w:ind w:firstLine="482" w:firstLineChars="200"/>
        <w:rPr>
          <w:rFonts w:hint="eastAsia" w:ascii="宋体" w:hAnsi="宋体" w:cs="宋体"/>
          <w:b/>
          <w:sz w:val="24"/>
        </w:rPr>
      </w:pPr>
      <w:r>
        <w:rPr>
          <w:rFonts w:hint="eastAsia" w:ascii="宋体" w:hAnsi="宋体" w:cs="宋体"/>
          <w:b/>
          <w:sz w:val="24"/>
        </w:rPr>
        <w:t>2.投标地点（网址）：</w:t>
      </w:r>
      <w:r>
        <w:rPr>
          <w:rFonts w:hint="eastAsia" w:ascii="宋体" w:hAnsi="宋体" w:cs="宋体"/>
          <w:sz w:val="24"/>
        </w:rPr>
        <w:t xml:space="preserve">乐采云平台（https://www.lecaiyun.com/） </w:t>
      </w:r>
    </w:p>
    <w:p w14:paraId="157AD2DB">
      <w:pPr>
        <w:spacing w:line="500" w:lineRule="exact"/>
        <w:ind w:firstLine="482" w:firstLineChars="200"/>
        <w:rPr>
          <w:rFonts w:hint="eastAsia" w:ascii="宋体" w:hAnsi="宋体" w:cs="宋体"/>
          <w:bCs/>
          <w:sz w:val="24"/>
          <w:u w:val="single"/>
        </w:rPr>
      </w:pPr>
      <w:r>
        <w:rPr>
          <w:rFonts w:hint="eastAsia" w:ascii="宋体" w:hAnsi="宋体" w:cs="宋体"/>
          <w:b/>
          <w:sz w:val="24"/>
        </w:rPr>
        <w:t>3.开标时间：</w:t>
      </w:r>
      <w:r>
        <w:rPr>
          <w:rFonts w:hint="eastAsia" w:ascii="宋体" w:hAnsi="宋体" w:cs="宋体"/>
          <w:sz w:val="24"/>
          <w:u w:val="single"/>
        </w:rPr>
        <w:t xml:space="preserve">2025年 </w:t>
      </w:r>
      <w:r>
        <w:rPr>
          <w:rFonts w:hint="eastAsia" w:ascii="宋体" w:hAnsi="宋体" w:cs="宋体"/>
          <w:sz w:val="24"/>
          <w:u w:val="single"/>
          <w:lang w:val="en-US" w:eastAsia="zh-CN"/>
        </w:rPr>
        <w:t>3</w:t>
      </w:r>
      <w:r>
        <w:rPr>
          <w:rFonts w:hint="eastAsia" w:ascii="宋体" w:hAnsi="宋体" w:cs="宋体"/>
          <w:sz w:val="24"/>
          <w:u w:val="single"/>
        </w:rPr>
        <w:t xml:space="preserve"> 月 </w:t>
      </w:r>
      <w:r>
        <w:rPr>
          <w:rFonts w:hint="eastAsia" w:ascii="宋体" w:hAnsi="宋体" w:cs="宋体"/>
          <w:sz w:val="24"/>
          <w:u w:val="single"/>
          <w:lang w:val="en-US" w:eastAsia="zh-CN"/>
        </w:rPr>
        <w:t>13</w:t>
      </w:r>
      <w:r>
        <w:rPr>
          <w:rFonts w:hint="eastAsia" w:ascii="宋体" w:hAnsi="宋体" w:cs="宋体"/>
          <w:sz w:val="24"/>
          <w:u w:val="single"/>
        </w:rPr>
        <w:t xml:space="preserve"> 日09点</w:t>
      </w:r>
      <w:r>
        <w:rPr>
          <w:rFonts w:hint="eastAsia" w:ascii="宋体" w:hAnsi="宋体" w:cs="宋体"/>
          <w:sz w:val="24"/>
          <w:u w:val="single"/>
          <w:lang w:val="en-US" w:eastAsia="zh-CN"/>
        </w:rPr>
        <w:t>3</w:t>
      </w:r>
      <w:r>
        <w:rPr>
          <w:rFonts w:hint="eastAsia" w:ascii="宋体" w:hAnsi="宋体" w:cs="宋体"/>
          <w:sz w:val="24"/>
          <w:u w:val="single"/>
        </w:rPr>
        <w:t>0分</w:t>
      </w:r>
      <w:r>
        <w:rPr>
          <w:rFonts w:hint="eastAsia" w:ascii="宋体" w:hAnsi="宋体" w:cs="宋体"/>
          <w:bCs/>
          <w:sz w:val="24"/>
          <w:u w:val="single"/>
        </w:rPr>
        <w:t xml:space="preserve"> </w:t>
      </w:r>
    </w:p>
    <w:p w14:paraId="23F7C8BE">
      <w:pPr>
        <w:spacing w:line="500" w:lineRule="exact"/>
        <w:ind w:firstLine="482" w:firstLineChars="200"/>
        <w:rPr>
          <w:rFonts w:hint="eastAsia" w:ascii="宋体" w:hAnsi="宋体" w:cs="宋体"/>
          <w:sz w:val="24"/>
        </w:rPr>
      </w:pPr>
      <w:r>
        <w:rPr>
          <w:rFonts w:hint="eastAsia" w:ascii="宋体" w:hAnsi="宋体" w:cs="宋体"/>
          <w:b/>
          <w:sz w:val="24"/>
        </w:rPr>
        <w:t>4.开标地点（网址）：</w:t>
      </w:r>
      <w:r>
        <w:rPr>
          <w:rFonts w:hint="eastAsia" w:ascii="宋体" w:hAnsi="宋体" w:cs="宋体"/>
          <w:sz w:val="24"/>
        </w:rPr>
        <w:t>乐采云平台（https://www.lecaiyun.com/）</w:t>
      </w:r>
    </w:p>
    <w:p w14:paraId="73DCE8CD">
      <w:pPr>
        <w:spacing w:line="500" w:lineRule="exact"/>
        <w:rPr>
          <w:rFonts w:hint="eastAsia" w:ascii="宋体" w:hAnsi="宋体" w:cs="宋体"/>
          <w:sz w:val="24"/>
        </w:rPr>
      </w:pPr>
      <w:r>
        <w:rPr>
          <w:rFonts w:hint="eastAsia" w:ascii="宋体" w:hAnsi="宋体" w:cs="宋体"/>
          <w:b/>
          <w:sz w:val="24"/>
        </w:rPr>
        <w:t xml:space="preserve">五、公告期限 </w:t>
      </w:r>
    </w:p>
    <w:p w14:paraId="7CDC011F">
      <w:pPr>
        <w:spacing w:line="500" w:lineRule="exact"/>
        <w:ind w:firstLine="480" w:firstLineChars="200"/>
        <w:rPr>
          <w:rFonts w:hint="eastAsia" w:ascii="宋体" w:hAnsi="宋体" w:cs="宋体"/>
          <w:sz w:val="24"/>
        </w:rPr>
      </w:pPr>
      <w:r>
        <w:rPr>
          <w:rFonts w:hint="eastAsia" w:ascii="宋体" w:hAnsi="宋体" w:cs="宋体"/>
          <w:sz w:val="24"/>
        </w:rPr>
        <w:t>自本公告发布之日起5个工作日。</w:t>
      </w:r>
    </w:p>
    <w:p w14:paraId="1F23FDD2">
      <w:pPr>
        <w:adjustRightInd/>
        <w:snapToGrid w:val="0"/>
        <w:spacing w:line="336" w:lineRule="auto"/>
        <w:rPr>
          <w:rFonts w:hint="eastAsia" w:ascii="宋体" w:hAnsi="宋体" w:cs="宋体"/>
          <w:b/>
          <w:bCs/>
          <w:sz w:val="24"/>
        </w:rPr>
      </w:pPr>
      <w:r>
        <w:rPr>
          <w:rFonts w:hint="eastAsia" w:ascii="宋体" w:hAnsi="宋体" w:cs="宋体"/>
          <w:b/>
          <w:bCs/>
          <w:sz w:val="24"/>
        </w:rPr>
        <w:t>六、投标保证金</w:t>
      </w:r>
    </w:p>
    <w:p w14:paraId="42CD28FF">
      <w:pPr>
        <w:adjustRightInd/>
        <w:snapToGrid w:val="0"/>
        <w:spacing w:line="336" w:lineRule="auto"/>
        <w:ind w:firstLine="480" w:firstLineChars="200"/>
        <w:rPr>
          <w:rFonts w:hint="eastAsia" w:ascii="宋体" w:hAnsi="宋体" w:cs="宋体"/>
          <w:sz w:val="24"/>
        </w:rPr>
      </w:pPr>
      <w:r>
        <w:rPr>
          <w:rFonts w:hint="eastAsia" w:ascii="宋体" w:hAnsi="宋体" w:cs="宋体"/>
          <w:sz w:val="24"/>
        </w:rPr>
        <w:t xml:space="preserve">投标保证金：人民币5000.00元（伍仟元整）；  </w:t>
      </w:r>
    </w:p>
    <w:p w14:paraId="53AA91F5">
      <w:pPr>
        <w:adjustRightInd/>
        <w:snapToGrid w:val="0"/>
        <w:spacing w:line="336" w:lineRule="auto"/>
        <w:ind w:firstLine="480" w:firstLineChars="200"/>
        <w:rPr>
          <w:rFonts w:hint="eastAsia" w:ascii="宋体" w:hAnsi="宋体" w:cs="宋体"/>
          <w:sz w:val="24"/>
        </w:rPr>
      </w:pPr>
      <w:r>
        <w:rPr>
          <w:rFonts w:hint="eastAsia" w:ascii="宋体" w:hAnsi="宋体" w:cs="宋体"/>
          <w:sz w:val="24"/>
        </w:rPr>
        <w:t xml:space="preserve">投标人应于2025年 </w:t>
      </w:r>
      <w:r>
        <w:rPr>
          <w:rFonts w:hint="eastAsia" w:ascii="宋体" w:hAnsi="宋体" w:cs="宋体"/>
          <w:sz w:val="24"/>
          <w:lang w:val="en-US" w:eastAsia="zh-CN"/>
        </w:rPr>
        <w:t>3</w:t>
      </w:r>
      <w:r>
        <w:rPr>
          <w:rFonts w:hint="eastAsia" w:ascii="宋体" w:hAnsi="宋体" w:cs="宋体"/>
          <w:sz w:val="24"/>
        </w:rPr>
        <w:t xml:space="preserve"> 月 </w:t>
      </w:r>
      <w:r>
        <w:rPr>
          <w:rFonts w:hint="eastAsia" w:ascii="宋体" w:hAnsi="宋体" w:cs="宋体"/>
          <w:sz w:val="24"/>
          <w:lang w:val="en-US" w:eastAsia="zh-CN"/>
        </w:rPr>
        <w:t>12</w:t>
      </w:r>
      <w:r>
        <w:rPr>
          <w:rFonts w:hint="eastAsia" w:ascii="宋体" w:hAnsi="宋体" w:cs="宋体"/>
          <w:sz w:val="24"/>
        </w:rPr>
        <w:t xml:space="preserve"> 日16：00时前将投标保证金以电汇、转账、网上银行交至大地工程咨询有限公司，投标保证金以到账时间为准。</w:t>
      </w:r>
      <w:r>
        <w:rPr>
          <w:rFonts w:hint="eastAsia" w:ascii="宋体" w:hAnsi="宋体" w:cs="宋体"/>
          <w:b/>
          <w:bCs/>
          <w:sz w:val="24"/>
        </w:rPr>
        <w:t>如因投标人自身原因，造成投标单位保证金未及时到账的，一律视为不响应招标文件，投标无效。投标人的投标保证金必须从其基本账户转出。</w:t>
      </w:r>
    </w:p>
    <w:p w14:paraId="51AE3D3E">
      <w:pPr>
        <w:widowControl/>
        <w:spacing w:line="500" w:lineRule="exact"/>
        <w:ind w:firstLine="480"/>
        <w:rPr>
          <w:rFonts w:hint="eastAsia" w:ascii="宋体" w:hAnsi="宋体" w:cs="宋体"/>
          <w:sz w:val="24"/>
        </w:rPr>
      </w:pPr>
      <w:r>
        <w:rPr>
          <w:rFonts w:hint="eastAsia" w:ascii="宋体" w:hAnsi="宋体" w:cs="宋体"/>
          <w:sz w:val="24"/>
        </w:rPr>
        <w:t>户  名：大地工程咨询有限公司</w:t>
      </w:r>
    </w:p>
    <w:p w14:paraId="24705A2D">
      <w:pPr>
        <w:autoSpaceDE w:val="0"/>
        <w:autoSpaceDN w:val="0"/>
        <w:adjustRightInd/>
        <w:spacing w:line="520" w:lineRule="exact"/>
        <w:ind w:firstLine="480" w:firstLineChars="200"/>
        <w:textAlignment w:val="bottom"/>
        <w:rPr>
          <w:rFonts w:hint="eastAsia" w:ascii="宋体" w:hAnsi="宋体" w:cs="宋体"/>
          <w:sz w:val="24"/>
        </w:rPr>
      </w:pPr>
      <w:r>
        <w:rPr>
          <w:rFonts w:hint="eastAsia" w:ascii="宋体" w:hAnsi="宋体" w:cs="宋体"/>
          <w:sz w:val="24"/>
        </w:rPr>
        <w:t>开户行：杭州银行江城支行</w:t>
      </w:r>
    </w:p>
    <w:p w14:paraId="05404459">
      <w:pPr>
        <w:autoSpaceDE w:val="0"/>
        <w:autoSpaceDN w:val="0"/>
        <w:adjustRightInd/>
        <w:spacing w:line="520" w:lineRule="exact"/>
        <w:ind w:firstLine="480" w:firstLineChars="200"/>
        <w:textAlignment w:val="bottom"/>
        <w:rPr>
          <w:rFonts w:hint="eastAsia" w:ascii="宋体" w:hAnsi="宋体" w:cs="宋体"/>
          <w:sz w:val="24"/>
        </w:rPr>
      </w:pPr>
      <w:r>
        <w:rPr>
          <w:rFonts w:hint="eastAsia" w:ascii="宋体" w:hAnsi="宋体" w:cs="宋体"/>
          <w:sz w:val="24"/>
        </w:rPr>
        <w:t>账  号：3301040160007930277</w:t>
      </w:r>
    </w:p>
    <w:p w14:paraId="0D8AAF33">
      <w:pPr>
        <w:spacing w:line="500" w:lineRule="exact"/>
        <w:ind w:firstLine="480" w:firstLineChars="200"/>
        <w:rPr>
          <w:rFonts w:hint="eastAsia" w:ascii="宋体" w:hAnsi="宋体" w:cs="宋体"/>
          <w:sz w:val="24"/>
        </w:rPr>
      </w:pPr>
      <w:r>
        <w:rPr>
          <w:rFonts w:hint="eastAsia" w:ascii="宋体" w:hAnsi="宋体" w:cs="宋体"/>
          <w:sz w:val="24"/>
        </w:rPr>
        <w:t>投标保证金的退还：未中标的投标人的投标保证金将在中标通知书发出之日起3个工作日内退还，中标供应商的投标保证金在中标供应商与招标人签订采购合同后5个工作日内退还。</w:t>
      </w:r>
    </w:p>
    <w:p w14:paraId="1C6FF918">
      <w:pPr>
        <w:spacing w:line="500" w:lineRule="exact"/>
        <w:rPr>
          <w:rFonts w:hint="eastAsia" w:ascii="宋体" w:hAnsi="宋体" w:cs="宋体"/>
          <w:b/>
          <w:sz w:val="24"/>
        </w:rPr>
      </w:pPr>
      <w:r>
        <w:rPr>
          <w:rFonts w:hint="eastAsia" w:ascii="宋体" w:hAnsi="宋体" w:cs="宋体"/>
          <w:b/>
          <w:sz w:val="24"/>
        </w:rPr>
        <w:t>七、其他补充事宜</w:t>
      </w:r>
    </w:p>
    <w:p w14:paraId="0EB3BEBA">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收到答复之日或答复期满后15个工作日内向依法向采购人主管部门投诉。</w:t>
      </w:r>
    </w:p>
    <w:p w14:paraId="20A8911B">
      <w:pPr>
        <w:spacing w:line="500" w:lineRule="exact"/>
        <w:ind w:firstLine="480" w:firstLineChars="200"/>
        <w:rPr>
          <w:rFonts w:hint="eastAsia" w:ascii="宋体" w:hAnsi="宋体" w:cs="宋体"/>
          <w:sz w:val="24"/>
        </w:rPr>
      </w:pPr>
      <w:r>
        <w:rPr>
          <w:rFonts w:hint="eastAsia" w:ascii="宋体" w:hAnsi="宋体" w:cs="宋体"/>
          <w:sz w:val="24"/>
          <w:highlight w:val="none"/>
        </w:rPr>
        <w:t>2.其他事项：供应商首次使用乐采云平台需要注册账号（注册的账号为政采云账号）。（1）电子招投标的说明：①电子招投标：本项目以数据电文形式，依托“乐采云平台（www.lecaiyun.com）”进行招投标活动，不接受纸质投标文件；②投标准备：注册账号--点击“商家入驻”，进行采购供应商资料填写；申领CA数字证书---申领流程详见“浙江政府采购网-下载专区-电子交易客户端-CA驱动和申领流程”；安装“乐采云电子交易客户端”----前往“浙江政府采购网-下载专区-电子交易客户端”进行下载并安装；③采购文件的获取：使用账号登录或者使用CA登录乐采云平台（www.lecaiyun.com）；进入“项目采购”应用，在获取采购文件菜单中选择项目，获取采购文件；④投标文件的制作：在“政采云电子交易客户端”中完成“填写基本信息”、“导入投标文件”、“标书关联”、“标书检查”、“电子签名”、“生成电子标书”等操作；⑤采购人、采购机构将依托乐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投标文件的传输递交：投标人在投标截止时间前将加密的投标文件上传至乐采云平台，还可以在投标当天9:30（北京时间）前以电子邮箱方式（邮箱：493720300@qq.com）递交备份投标文件1份。⑨投标文件的解密：投标人按照平台提示和采购文件的规定在半小时内完成在线解密。通过乐采云平台（www.lecaiyun.com）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没有在乐采云电子交易平台传输递交投标文件的，投标无效；⑩具体操作指南：详见乐采云平台“服务中心-帮助文档-项目采购-操作流程-电子招投标-政府采购项目电子交易管理操作指南-供应商”。</w:t>
      </w:r>
    </w:p>
    <w:p w14:paraId="7DD380BC">
      <w:pPr>
        <w:spacing w:line="500" w:lineRule="exact"/>
        <w:rPr>
          <w:rFonts w:hint="eastAsia" w:ascii="宋体" w:hAnsi="宋体" w:cs="宋体"/>
          <w:b/>
          <w:sz w:val="24"/>
        </w:rPr>
      </w:pPr>
      <w:r>
        <w:rPr>
          <w:rFonts w:hint="eastAsia" w:ascii="宋体" w:hAnsi="宋体" w:cs="宋体"/>
          <w:b/>
          <w:sz w:val="24"/>
        </w:rPr>
        <w:t>八、对本次采购提出询问、质疑、投诉，请按以下方式联系</w:t>
      </w:r>
    </w:p>
    <w:p w14:paraId="35FEBAE3">
      <w:pPr>
        <w:spacing w:line="500" w:lineRule="exact"/>
        <w:rPr>
          <w:rFonts w:hint="eastAsia" w:ascii="宋体" w:hAnsi="宋体" w:cs="宋体"/>
          <w:sz w:val="24"/>
        </w:rPr>
      </w:pPr>
      <w:r>
        <w:rPr>
          <w:rFonts w:hint="eastAsia" w:ascii="宋体" w:hAnsi="宋体" w:cs="宋体"/>
          <w:sz w:val="24"/>
        </w:rPr>
        <w:t xml:space="preserve">    1.采购人信息</w:t>
      </w:r>
    </w:p>
    <w:p w14:paraId="0854636C">
      <w:pPr>
        <w:spacing w:line="500" w:lineRule="exact"/>
        <w:rPr>
          <w:rFonts w:hint="eastAsia" w:ascii="宋体" w:hAnsi="宋体" w:cs="宋体"/>
          <w:sz w:val="24"/>
        </w:rPr>
      </w:pPr>
      <w:r>
        <w:rPr>
          <w:rFonts w:hint="eastAsia" w:ascii="宋体" w:hAnsi="宋体" w:cs="宋体"/>
          <w:sz w:val="24"/>
        </w:rPr>
        <w:t xml:space="preserve">    名    称：嵊州市水利水电发展有限公司</w:t>
      </w:r>
    </w:p>
    <w:p w14:paraId="2876C841">
      <w:pPr>
        <w:spacing w:line="500" w:lineRule="exact"/>
        <w:rPr>
          <w:rFonts w:hint="eastAsia" w:ascii="宋体" w:hAnsi="宋体" w:cs="宋体"/>
          <w:sz w:val="24"/>
        </w:rPr>
      </w:pPr>
      <w:r>
        <w:rPr>
          <w:rFonts w:hint="eastAsia" w:ascii="宋体" w:hAnsi="宋体" w:cs="宋体"/>
          <w:sz w:val="24"/>
        </w:rPr>
        <w:t xml:space="preserve">    地    址：嵊州市嵊州大道105号抽水机站       </w:t>
      </w:r>
    </w:p>
    <w:p w14:paraId="6FED2AEB">
      <w:pPr>
        <w:spacing w:line="500" w:lineRule="exact"/>
        <w:ind w:firstLine="480"/>
        <w:rPr>
          <w:rFonts w:hint="eastAsia" w:ascii="宋体" w:hAnsi="宋体" w:cs="宋体"/>
          <w:sz w:val="24"/>
        </w:rPr>
      </w:pPr>
      <w:r>
        <w:rPr>
          <w:rFonts w:hint="eastAsia" w:ascii="宋体" w:hAnsi="宋体" w:cs="宋体"/>
          <w:sz w:val="24"/>
        </w:rPr>
        <w:t>传    真： /</w:t>
      </w:r>
    </w:p>
    <w:p w14:paraId="78947A3F">
      <w:pPr>
        <w:spacing w:line="500" w:lineRule="exact"/>
        <w:ind w:firstLine="480" w:firstLineChars="200"/>
        <w:rPr>
          <w:rFonts w:hint="eastAsia" w:ascii="宋体" w:hAnsi="宋体" w:cs="宋体"/>
          <w:sz w:val="24"/>
        </w:rPr>
      </w:pPr>
      <w:r>
        <w:rPr>
          <w:rFonts w:hint="eastAsia" w:ascii="宋体" w:hAnsi="宋体" w:cs="宋体"/>
          <w:sz w:val="24"/>
        </w:rPr>
        <w:t xml:space="preserve">项目联系人（询问）：刑丹阳  </w:t>
      </w:r>
    </w:p>
    <w:p w14:paraId="7322ACE8">
      <w:pPr>
        <w:spacing w:line="500" w:lineRule="exact"/>
        <w:ind w:firstLine="480" w:firstLineChars="200"/>
        <w:rPr>
          <w:rFonts w:hint="eastAsia" w:ascii="宋体" w:hAnsi="宋体" w:cs="宋体"/>
          <w:sz w:val="24"/>
        </w:rPr>
      </w:pPr>
      <w:r>
        <w:rPr>
          <w:rFonts w:hint="eastAsia" w:ascii="宋体" w:hAnsi="宋体" w:cs="宋体"/>
          <w:sz w:val="24"/>
        </w:rPr>
        <w:t>项目联系方式（询问）：0575-</w:t>
      </w:r>
      <w:r>
        <w:rPr>
          <w:rFonts w:ascii="宋体" w:hAnsi="宋体" w:cs="宋体"/>
          <w:sz w:val="24"/>
        </w:rPr>
        <w:t>83114820</w:t>
      </w:r>
    </w:p>
    <w:p w14:paraId="14504163">
      <w:pPr>
        <w:spacing w:line="500" w:lineRule="exact"/>
        <w:rPr>
          <w:rFonts w:hint="eastAsia" w:ascii="宋体" w:hAnsi="宋体" w:cs="宋体"/>
          <w:sz w:val="24"/>
        </w:rPr>
      </w:pPr>
      <w:r>
        <w:rPr>
          <w:rFonts w:hint="eastAsia" w:ascii="宋体" w:hAnsi="宋体" w:cs="宋体"/>
          <w:sz w:val="24"/>
        </w:rPr>
        <w:t xml:space="preserve">    2.采购代理机构信息            </w:t>
      </w:r>
    </w:p>
    <w:p w14:paraId="65E9253D">
      <w:pPr>
        <w:spacing w:line="500" w:lineRule="exact"/>
        <w:ind w:firstLine="480"/>
        <w:rPr>
          <w:rFonts w:hint="eastAsia" w:ascii="宋体" w:hAnsi="宋体" w:cs="宋体"/>
          <w:sz w:val="24"/>
        </w:rPr>
      </w:pPr>
      <w:r>
        <w:rPr>
          <w:rFonts w:hint="eastAsia" w:ascii="宋体" w:hAnsi="宋体" w:cs="宋体"/>
          <w:sz w:val="24"/>
        </w:rPr>
        <w:t xml:space="preserve">名    称：大地工程咨询有限公司 </w:t>
      </w:r>
    </w:p>
    <w:p w14:paraId="3C4690CB">
      <w:pPr>
        <w:spacing w:line="500" w:lineRule="exact"/>
        <w:ind w:firstLine="480"/>
        <w:rPr>
          <w:rFonts w:hint="eastAsia" w:ascii="宋体" w:hAnsi="宋体" w:cs="宋体"/>
          <w:sz w:val="24"/>
        </w:rPr>
      </w:pPr>
      <w:r>
        <w:rPr>
          <w:rFonts w:hint="eastAsia" w:ascii="宋体" w:hAnsi="宋体" w:cs="宋体"/>
          <w:sz w:val="24"/>
        </w:rPr>
        <w:t>地    址： 浙江省杭州市拱墅区上塘路988号宸融大厦19楼1901室</w:t>
      </w:r>
    </w:p>
    <w:p w14:paraId="7A2D8A58">
      <w:pPr>
        <w:spacing w:line="500" w:lineRule="exact"/>
        <w:rPr>
          <w:rFonts w:hint="eastAsia" w:ascii="宋体" w:hAnsi="宋体" w:cs="宋体"/>
          <w:sz w:val="24"/>
        </w:rPr>
      </w:pPr>
      <w:r>
        <w:rPr>
          <w:rFonts w:hint="eastAsia" w:ascii="宋体" w:hAnsi="宋体" w:cs="宋体"/>
          <w:sz w:val="24"/>
        </w:rPr>
        <w:t xml:space="preserve">    传    真：/             </w:t>
      </w:r>
    </w:p>
    <w:p w14:paraId="40214090">
      <w:pPr>
        <w:spacing w:line="500" w:lineRule="exact"/>
        <w:rPr>
          <w:rFonts w:hint="eastAsia" w:ascii="宋体" w:hAnsi="宋体" w:cs="宋体"/>
          <w:sz w:val="24"/>
        </w:rPr>
      </w:pPr>
      <w:r>
        <w:rPr>
          <w:rFonts w:hint="eastAsia" w:ascii="宋体" w:hAnsi="宋体" w:cs="宋体"/>
          <w:sz w:val="24"/>
        </w:rPr>
        <w:t xml:space="preserve">    项目联系人（询问）：童佳威      </w:t>
      </w:r>
    </w:p>
    <w:p w14:paraId="56B6B20C">
      <w:pPr>
        <w:spacing w:line="500" w:lineRule="exact"/>
        <w:rPr>
          <w:rFonts w:hint="eastAsia" w:ascii="宋体" w:hAnsi="宋体" w:cs="宋体"/>
          <w:sz w:val="24"/>
        </w:rPr>
      </w:pPr>
      <w:r>
        <w:rPr>
          <w:rFonts w:hint="eastAsia" w:ascii="宋体" w:hAnsi="宋体" w:cs="宋体"/>
          <w:sz w:val="24"/>
        </w:rPr>
        <w:t xml:space="preserve">    项目联系方式（询问）：13858558585、15267998838</w:t>
      </w:r>
    </w:p>
    <w:p w14:paraId="39D9591E">
      <w:pPr>
        <w:spacing w:line="500" w:lineRule="exact"/>
        <w:ind w:firstLine="480" w:firstLineChars="200"/>
        <w:rPr>
          <w:rFonts w:hint="eastAsia" w:ascii="宋体" w:hAnsi="宋体" w:cs="宋体"/>
          <w:sz w:val="24"/>
        </w:rPr>
      </w:pPr>
      <w:r>
        <w:rPr>
          <w:rFonts w:hint="eastAsia" w:ascii="宋体" w:hAnsi="宋体" w:cs="宋体"/>
          <w:sz w:val="24"/>
        </w:rPr>
        <w:t xml:space="preserve">  </w:t>
      </w:r>
    </w:p>
    <w:p w14:paraId="623C96CF">
      <w:pPr>
        <w:spacing w:line="500" w:lineRule="exact"/>
        <w:ind w:firstLine="480" w:firstLineChars="200"/>
        <w:rPr>
          <w:rFonts w:hint="eastAsia" w:ascii="宋体" w:hAnsi="宋体" w:cs="宋体"/>
          <w:sz w:val="24"/>
        </w:rPr>
      </w:pPr>
      <w:r>
        <w:rPr>
          <w:rFonts w:hint="eastAsia" w:ascii="宋体" w:hAnsi="宋体" w:cs="宋体"/>
          <w:sz w:val="24"/>
        </w:rPr>
        <w:t>若对项目采购电子交易系统操作有疑问，可登录乐采云（https://www.lecaiyun.com/），点击右侧咨询小采，获取采小蜜智能服务管家帮助，或拨打乐采云服务热线95763获取热线服务帮助。</w:t>
      </w:r>
    </w:p>
    <w:p w14:paraId="497264E8">
      <w:pPr>
        <w:spacing w:line="500" w:lineRule="exact"/>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514CE070">
      <w:pPr>
        <w:adjustRightInd/>
        <w:spacing w:line="360" w:lineRule="auto"/>
        <w:jc w:val="center"/>
        <w:rPr>
          <w:rFonts w:hint="eastAsia" w:ascii="宋体" w:hAnsi="宋体" w:cs="宋体"/>
          <w:b/>
          <w:sz w:val="32"/>
          <w:szCs w:val="32"/>
        </w:rPr>
      </w:pPr>
      <w:bookmarkStart w:id="14" w:name="_Toc32071"/>
    </w:p>
    <w:p w14:paraId="0D4B0E72">
      <w:pPr>
        <w:rPr>
          <w:rFonts w:hint="eastAsia" w:ascii="宋体" w:hAnsi="宋体" w:cs="宋体"/>
          <w:b/>
          <w:sz w:val="32"/>
          <w:szCs w:val="32"/>
        </w:rPr>
      </w:pPr>
      <w:bookmarkStart w:id="15" w:name="_Toc15391"/>
      <w:r>
        <w:rPr>
          <w:rFonts w:hint="eastAsia" w:ascii="宋体" w:hAnsi="宋体" w:cs="宋体"/>
          <w:b/>
          <w:sz w:val="32"/>
          <w:szCs w:val="32"/>
        </w:rPr>
        <w:br w:type="page"/>
      </w:r>
    </w:p>
    <w:p w14:paraId="1375D228">
      <w:pPr>
        <w:adjustRightInd/>
        <w:spacing w:line="360" w:lineRule="auto"/>
        <w:jc w:val="center"/>
        <w:outlineLvl w:val="0"/>
        <w:rPr>
          <w:rFonts w:hint="eastAsia" w:ascii="宋体" w:hAnsi="宋体" w:cs="宋体"/>
          <w:b/>
          <w:sz w:val="32"/>
          <w:szCs w:val="32"/>
        </w:rPr>
      </w:pPr>
      <w:r>
        <w:rPr>
          <w:rFonts w:hint="eastAsia" w:ascii="宋体" w:hAnsi="宋体" w:cs="宋体"/>
          <w:b/>
          <w:sz w:val="32"/>
          <w:szCs w:val="32"/>
        </w:rPr>
        <w:t>第二章 投标人须知</w:t>
      </w:r>
      <w:bookmarkEnd w:id="14"/>
      <w:bookmarkEnd w:id="15"/>
    </w:p>
    <w:p w14:paraId="2A0BF87D">
      <w:pPr>
        <w:snapToGrid w:val="0"/>
        <w:spacing w:line="360" w:lineRule="auto"/>
        <w:jc w:val="center"/>
        <w:rPr>
          <w:rFonts w:hint="eastAsia" w:ascii="宋体" w:hAnsi="宋体" w:cs="宋体"/>
          <w:b/>
          <w:sz w:val="32"/>
          <w:szCs w:val="20"/>
        </w:rPr>
      </w:pPr>
      <w:r>
        <w:rPr>
          <w:rFonts w:hint="eastAsia" w:ascii="宋体" w:hAnsi="宋体" w:cs="宋体"/>
          <w:b/>
          <w:sz w:val="32"/>
          <w:szCs w:val="20"/>
        </w:rPr>
        <w:t>一、前附表</w:t>
      </w:r>
    </w:p>
    <w:tbl>
      <w:tblPr>
        <w:tblStyle w:val="26"/>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13" w:type="dxa"/>
          <w:bottom w:w="113" w:type="dxa"/>
          <w:right w:w="283" w:type="dxa"/>
        </w:tblCellMar>
      </w:tblPr>
      <w:tblGrid>
        <w:gridCol w:w="952"/>
        <w:gridCol w:w="8388"/>
      </w:tblGrid>
      <w:tr w14:paraId="37ED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283" w:type="dxa"/>
          </w:tblCellMar>
        </w:tblPrEx>
        <w:trPr>
          <w:trHeight w:val="331" w:hRule="atLeast"/>
          <w:jc w:val="center"/>
        </w:trPr>
        <w:tc>
          <w:tcPr>
            <w:tcW w:w="952" w:type="dxa"/>
            <w:vAlign w:val="center"/>
          </w:tcPr>
          <w:p w14:paraId="2848907A">
            <w:pPr>
              <w:adjustRightInd/>
              <w:spacing w:before="120" w:beforeLines="50" w:after="72" w:afterLines="30" w:line="520" w:lineRule="exact"/>
              <w:jc w:val="center"/>
              <w:rPr>
                <w:rFonts w:hint="eastAsia" w:ascii="宋体" w:hAnsi="宋体" w:cs="宋体"/>
                <w:b/>
                <w:bCs/>
                <w:sz w:val="24"/>
              </w:rPr>
            </w:pPr>
            <w:r>
              <w:rPr>
                <w:rFonts w:hint="eastAsia" w:ascii="宋体" w:hAnsi="宋体" w:cs="宋体"/>
                <w:b/>
                <w:bCs/>
                <w:sz w:val="24"/>
              </w:rPr>
              <w:t>序号</w:t>
            </w:r>
          </w:p>
        </w:tc>
        <w:tc>
          <w:tcPr>
            <w:tcW w:w="8388" w:type="dxa"/>
            <w:vAlign w:val="center"/>
          </w:tcPr>
          <w:p w14:paraId="02DB7396">
            <w:pPr>
              <w:adjustRightInd/>
              <w:spacing w:before="120" w:beforeLines="50" w:after="72" w:afterLines="30" w:line="520" w:lineRule="exact"/>
              <w:jc w:val="center"/>
              <w:rPr>
                <w:rFonts w:hint="eastAsia" w:ascii="宋体" w:hAnsi="宋体" w:cs="宋体"/>
                <w:b/>
                <w:bCs/>
                <w:sz w:val="24"/>
              </w:rPr>
            </w:pPr>
            <w:r>
              <w:rPr>
                <w:rFonts w:hint="eastAsia" w:ascii="宋体" w:hAnsi="宋体" w:cs="宋体"/>
                <w:b/>
                <w:bCs/>
                <w:sz w:val="24"/>
              </w:rPr>
              <w:t>内　　　　容</w:t>
            </w:r>
          </w:p>
        </w:tc>
      </w:tr>
      <w:tr w14:paraId="4940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283" w:type="dxa"/>
          </w:tblCellMar>
        </w:tblPrEx>
        <w:trPr>
          <w:trHeight w:val="732" w:hRule="atLeast"/>
          <w:jc w:val="center"/>
        </w:trPr>
        <w:tc>
          <w:tcPr>
            <w:tcW w:w="952" w:type="dxa"/>
            <w:vAlign w:val="center"/>
          </w:tcPr>
          <w:p w14:paraId="403A4FFE">
            <w:pPr>
              <w:adjustRightInd/>
              <w:spacing w:line="520" w:lineRule="exact"/>
              <w:jc w:val="center"/>
              <w:rPr>
                <w:rFonts w:hint="eastAsia" w:ascii="宋体" w:hAnsi="宋体" w:cs="宋体"/>
                <w:sz w:val="24"/>
              </w:rPr>
            </w:pPr>
            <w:r>
              <w:rPr>
                <w:rFonts w:hint="eastAsia" w:ascii="宋体" w:hAnsi="宋体" w:cs="宋体"/>
                <w:sz w:val="24"/>
              </w:rPr>
              <w:t>1</w:t>
            </w:r>
          </w:p>
        </w:tc>
        <w:tc>
          <w:tcPr>
            <w:tcW w:w="8388" w:type="dxa"/>
            <w:vAlign w:val="center"/>
          </w:tcPr>
          <w:p w14:paraId="181B8942">
            <w:pPr>
              <w:pStyle w:val="4"/>
              <w:numPr>
                <w:ilvl w:val="0"/>
                <w:numId w:val="0"/>
              </w:numPr>
              <w:shd w:val="clear" w:color="auto" w:fill="FFFFFF"/>
              <w:adjustRightInd/>
              <w:spacing w:before="0" w:after="0" w:line="520" w:lineRule="exact"/>
              <w:ind w:left="358" w:hanging="357" w:hangingChars="149"/>
              <w:rPr>
                <w:rFonts w:hint="eastAsia" w:ascii="宋体" w:hAnsi="宋体" w:eastAsia="宋体" w:cs="宋体"/>
                <w:b w:val="0"/>
                <w:sz w:val="24"/>
                <w:szCs w:val="24"/>
              </w:rPr>
            </w:pPr>
            <w:r>
              <w:rPr>
                <w:rFonts w:hint="eastAsia" w:ascii="宋体" w:hAnsi="宋体" w:eastAsia="宋体" w:cs="宋体"/>
                <w:b w:val="0"/>
                <w:sz w:val="24"/>
                <w:szCs w:val="24"/>
              </w:rPr>
              <w:t>项目名称</w:t>
            </w:r>
            <w:r>
              <w:rPr>
                <w:rFonts w:hint="eastAsia" w:ascii="宋体" w:hAnsi="宋体" w:eastAsia="宋体" w:cs="宋体"/>
                <w:bCs/>
                <w:sz w:val="24"/>
                <w:szCs w:val="24"/>
              </w:rPr>
              <w:t>：</w:t>
            </w:r>
            <w:r>
              <w:rPr>
                <w:rFonts w:hint="eastAsia" w:ascii="宋体" w:hAnsi="宋体" w:eastAsia="宋体" w:cs="宋体"/>
                <w:b w:val="0"/>
                <w:sz w:val="24"/>
                <w:szCs w:val="24"/>
              </w:rPr>
              <w:t>嵊州市三溪水库工程林木清理项目</w:t>
            </w:r>
          </w:p>
          <w:p w14:paraId="736D757A">
            <w:pPr>
              <w:adjustRightInd/>
              <w:spacing w:line="520" w:lineRule="exact"/>
              <w:rPr>
                <w:rFonts w:hint="eastAsia" w:ascii="宋体" w:hAnsi="宋体" w:cs="宋体"/>
                <w:sz w:val="24"/>
              </w:rPr>
            </w:pPr>
            <w:r>
              <w:rPr>
                <w:rFonts w:hint="eastAsia" w:ascii="宋体" w:hAnsi="宋体" w:cs="宋体"/>
                <w:sz w:val="24"/>
              </w:rPr>
              <w:t>项目的实施范围及内容：详见第三部分采购项目内容及要求</w:t>
            </w:r>
          </w:p>
        </w:tc>
      </w:tr>
      <w:tr w14:paraId="2B28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283" w:type="dxa"/>
          </w:tblCellMar>
        </w:tblPrEx>
        <w:trPr>
          <w:trHeight w:val="475" w:hRule="atLeast"/>
          <w:jc w:val="center"/>
        </w:trPr>
        <w:tc>
          <w:tcPr>
            <w:tcW w:w="952" w:type="dxa"/>
            <w:vAlign w:val="center"/>
          </w:tcPr>
          <w:p w14:paraId="525DEF6F">
            <w:pPr>
              <w:adjustRightInd/>
              <w:spacing w:line="520" w:lineRule="exact"/>
              <w:jc w:val="center"/>
              <w:rPr>
                <w:rFonts w:hint="eastAsia" w:ascii="宋体" w:hAnsi="宋体" w:cs="宋体"/>
                <w:sz w:val="24"/>
              </w:rPr>
            </w:pPr>
            <w:r>
              <w:rPr>
                <w:rFonts w:hint="eastAsia" w:ascii="宋体" w:hAnsi="宋体" w:cs="宋体"/>
                <w:sz w:val="24"/>
              </w:rPr>
              <w:t>2</w:t>
            </w:r>
          </w:p>
        </w:tc>
        <w:tc>
          <w:tcPr>
            <w:tcW w:w="8388" w:type="dxa"/>
            <w:vAlign w:val="center"/>
          </w:tcPr>
          <w:p w14:paraId="78B74D96">
            <w:pPr>
              <w:autoSpaceDE w:val="0"/>
              <w:autoSpaceDN w:val="0"/>
              <w:adjustRightInd/>
              <w:spacing w:line="520" w:lineRule="exact"/>
              <w:textAlignment w:val="bottom"/>
              <w:rPr>
                <w:rFonts w:hint="eastAsia" w:ascii="宋体" w:hAnsi="宋体" w:cs="宋体"/>
                <w:sz w:val="24"/>
              </w:rPr>
            </w:pPr>
            <w:r>
              <w:rPr>
                <w:rFonts w:hint="eastAsia" w:ascii="宋体" w:hAnsi="宋体" w:cs="宋体"/>
                <w:bCs/>
                <w:sz w:val="24"/>
              </w:rPr>
              <w:t>投标有效期：</w:t>
            </w:r>
            <w:r>
              <w:rPr>
                <w:rFonts w:hint="eastAsia" w:ascii="宋体" w:hAnsi="宋体" w:cs="宋体"/>
                <w:sz w:val="24"/>
              </w:rPr>
              <w:t>自投标截止日起90天。</w:t>
            </w:r>
          </w:p>
        </w:tc>
      </w:tr>
      <w:tr w14:paraId="70F6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283" w:type="dxa"/>
          </w:tblCellMar>
        </w:tblPrEx>
        <w:trPr>
          <w:trHeight w:val="475" w:hRule="atLeast"/>
          <w:jc w:val="center"/>
        </w:trPr>
        <w:tc>
          <w:tcPr>
            <w:tcW w:w="952" w:type="dxa"/>
            <w:vAlign w:val="center"/>
          </w:tcPr>
          <w:p w14:paraId="49C30739">
            <w:pPr>
              <w:adjustRightInd/>
              <w:spacing w:line="520" w:lineRule="exact"/>
              <w:jc w:val="center"/>
              <w:rPr>
                <w:rFonts w:hint="eastAsia" w:ascii="宋体" w:hAnsi="宋体" w:cs="宋体"/>
                <w:sz w:val="24"/>
              </w:rPr>
            </w:pPr>
            <w:r>
              <w:rPr>
                <w:rFonts w:hint="eastAsia" w:ascii="宋体" w:hAnsi="宋体" w:cs="宋体"/>
                <w:sz w:val="24"/>
              </w:rPr>
              <w:t>3</w:t>
            </w:r>
          </w:p>
        </w:tc>
        <w:tc>
          <w:tcPr>
            <w:tcW w:w="8388" w:type="dxa"/>
            <w:vAlign w:val="center"/>
          </w:tcPr>
          <w:p w14:paraId="59F8E308">
            <w:pPr>
              <w:adjustRightInd/>
              <w:snapToGrid w:val="0"/>
              <w:spacing w:line="336" w:lineRule="auto"/>
              <w:ind w:firstLine="482" w:firstLineChars="200"/>
              <w:rPr>
                <w:rFonts w:hint="eastAsia" w:ascii="宋体" w:hAnsi="宋体" w:cs="宋体"/>
                <w:sz w:val="24"/>
              </w:rPr>
            </w:pPr>
            <w:r>
              <w:rPr>
                <w:rFonts w:hint="eastAsia" w:ascii="宋体" w:hAnsi="宋体" w:cs="宋体"/>
                <w:b/>
                <w:sz w:val="24"/>
              </w:rPr>
              <w:t>投标保证金：</w:t>
            </w:r>
            <w:r>
              <w:rPr>
                <w:rFonts w:hint="eastAsia" w:ascii="宋体" w:hAnsi="宋体" w:cs="宋体"/>
                <w:sz w:val="24"/>
              </w:rPr>
              <w:t xml:space="preserve">人民币5000.00元（伍仟元整）；  </w:t>
            </w:r>
          </w:p>
          <w:p w14:paraId="3C2A9521">
            <w:pPr>
              <w:adjustRightInd/>
              <w:snapToGrid w:val="0"/>
              <w:spacing w:line="336" w:lineRule="auto"/>
              <w:ind w:firstLine="480" w:firstLineChars="200"/>
              <w:rPr>
                <w:rFonts w:hint="eastAsia" w:ascii="宋体" w:hAnsi="宋体" w:cs="宋体"/>
                <w:sz w:val="24"/>
              </w:rPr>
            </w:pPr>
            <w:r>
              <w:rPr>
                <w:rFonts w:hint="eastAsia" w:ascii="宋体" w:hAnsi="宋体" w:cs="宋体"/>
                <w:sz w:val="24"/>
              </w:rPr>
              <w:t xml:space="preserve">投标人应于2025年 </w:t>
            </w:r>
            <w:r>
              <w:rPr>
                <w:rFonts w:hint="eastAsia" w:ascii="宋体" w:hAnsi="宋体" w:cs="宋体"/>
                <w:sz w:val="24"/>
                <w:lang w:val="en-US" w:eastAsia="zh-CN"/>
              </w:rPr>
              <w:t>3</w:t>
            </w:r>
            <w:r>
              <w:rPr>
                <w:rFonts w:hint="eastAsia" w:ascii="宋体" w:hAnsi="宋体" w:cs="宋体"/>
                <w:sz w:val="24"/>
              </w:rPr>
              <w:t xml:space="preserve"> 月 </w:t>
            </w:r>
            <w:r>
              <w:rPr>
                <w:rFonts w:hint="eastAsia" w:ascii="宋体" w:hAnsi="宋体" w:cs="宋体"/>
                <w:sz w:val="24"/>
                <w:lang w:val="en-US" w:eastAsia="zh-CN"/>
              </w:rPr>
              <w:t>12</w:t>
            </w:r>
            <w:r>
              <w:rPr>
                <w:rFonts w:hint="eastAsia" w:ascii="宋体" w:hAnsi="宋体" w:cs="宋体"/>
                <w:sz w:val="24"/>
              </w:rPr>
              <w:t xml:space="preserve"> 日16：00时前将投标保证金以电汇、转账、网上银行交至大地工程咨询有限公司，投标保证金以到账时间为准。</w:t>
            </w:r>
            <w:r>
              <w:rPr>
                <w:rFonts w:hint="eastAsia" w:ascii="宋体" w:hAnsi="宋体" w:cs="宋体"/>
                <w:b/>
                <w:bCs/>
                <w:sz w:val="24"/>
              </w:rPr>
              <w:t>如因投标人自身原因，造成投标单位保证金未及时到账的，一律视为不响应招标文件，投标无效。投标人的投标保证金必须从其基本账户转出。</w:t>
            </w:r>
          </w:p>
          <w:p w14:paraId="48A7EA0E">
            <w:pPr>
              <w:widowControl/>
              <w:spacing w:line="500" w:lineRule="exact"/>
              <w:ind w:firstLine="480"/>
              <w:rPr>
                <w:rFonts w:hint="eastAsia" w:ascii="宋体" w:hAnsi="宋体" w:cs="宋体"/>
                <w:sz w:val="24"/>
              </w:rPr>
            </w:pPr>
            <w:r>
              <w:rPr>
                <w:rFonts w:hint="eastAsia" w:ascii="宋体" w:hAnsi="宋体" w:cs="宋体"/>
                <w:sz w:val="24"/>
              </w:rPr>
              <w:t>户  名：大地工程咨询有限公司</w:t>
            </w:r>
          </w:p>
          <w:p w14:paraId="6CCAF778">
            <w:pPr>
              <w:widowControl/>
              <w:spacing w:line="500" w:lineRule="exact"/>
              <w:ind w:firstLine="480"/>
              <w:rPr>
                <w:rFonts w:hint="eastAsia" w:ascii="宋体" w:hAnsi="宋体" w:cs="宋体"/>
                <w:sz w:val="24"/>
              </w:rPr>
            </w:pPr>
            <w:r>
              <w:rPr>
                <w:rFonts w:hint="eastAsia" w:ascii="宋体" w:hAnsi="宋体" w:cs="宋体"/>
                <w:sz w:val="24"/>
              </w:rPr>
              <w:t>开户行：杭州银行江城支行</w:t>
            </w:r>
          </w:p>
          <w:p w14:paraId="4184B55F">
            <w:pPr>
              <w:widowControl/>
              <w:spacing w:line="500" w:lineRule="exact"/>
              <w:ind w:firstLine="480"/>
              <w:rPr>
                <w:rFonts w:hint="eastAsia" w:ascii="宋体" w:hAnsi="宋体" w:cs="宋体"/>
                <w:sz w:val="24"/>
              </w:rPr>
            </w:pPr>
            <w:r>
              <w:rPr>
                <w:rFonts w:hint="eastAsia" w:ascii="宋体" w:hAnsi="宋体" w:cs="宋体"/>
                <w:sz w:val="24"/>
              </w:rPr>
              <w:t>账  号：3301040160007930277</w:t>
            </w:r>
          </w:p>
          <w:p w14:paraId="1B2EE43E">
            <w:pPr>
              <w:spacing w:line="500" w:lineRule="exact"/>
              <w:ind w:firstLine="480" w:firstLineChars="200"/>
              <w:rPr>
                <w:rFonts w:hint="eastAsia" w:ascii="宋体" w:hAnsi="宋体" w:cs="宋体"/>
                <w:b/>
                <w:sz w:val="24"/>
              </w:rPr>
            </w:pPr>
            <w:r>
              <w:rPr>
                <w:rFonts w:hint="eastAsia" w:ascii="宋体" w:hAnsi="宋体" w:cs="宋体"/>
                <w:sz w:val="24"/>
              </w:rPr>
              <w:t>投标保证金的退还：未中标的投标人的投标保证金将在中标通知书发出之日起3个工作日内退还，中标供应商的投标保证金在中标供应商与招标人签订采购合同后5个工作日内退还。</w:t>
            </w:r>
          </w:p>
        </w:tc>
      </w:tr>
      <w:tr w14:paraId="268A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283" w:type="dxa"/>
          </w:tblCellMar>
        </w:tblPrEx>
        <w:trPr>
          <w:trHeight w:val="751" w:hRule="atLeast"/>
          <w:jc w:val="center"/>
        </w:trPr>
        <w:tc>
          <w:tcPr>
            <w:tcW w:w="952" w:type="dxa"/>
            <w:vAlign w:val="center"/>
          </w:tcPr>
          <w:p w14:paraId="480E39BB">
            <w:pPr>
              <w:adjustRightInd/>
              <w:spacing w:line="520" w:lineRule="exact"/>
              <w:jc w:val="center"/>
              <w:rPr>
                <w:rFonts w:hint="eastAsia" w:ascii="宋体" w:hAnsi="宋体" w:cs="宋体"/>
                <w:sz w:val="24"/>
              </w:rPr>
            </w:pPr>
            <w:r>
              <w:rPr>
                <w:rFonts w:hint="eastAsia" w:ascii="宋体" w:hAnsi="宋体" w:cs="宋体"/>
                <w:sz w:val="24"/>
              </w:rPr>
              <w:t>4</w:t>
            </w:r>
          </w:p>
        </w:tc>
        <w:tc>
          <w:tcPr>
            <w:tcW w:w="8388" w:type="dxa"/>
            <w:vAlign w:val="center"/>
          </w:tcPr>
          <w:p w14:paraId="64C9A34F">
            <w:pPr>
              <w:adjustRightInd/>
              <w:spacing w:line="520" w:lineRule="exact"/>
              <w:rPr>
                <w:rFonts w:hint="eastAsia" w:ascii="宋体" w:hAnsi="宋体" w:cs="宋体"/>
                <w:sz w:val="24"/>
              </w:rPr>
            </w:pPr>
            <w:r>
              <w:rPr>
                <w:rFonts w:hint="eastAsia" w:ascii="宋体" w:hAnsi="宋体" w:cs="宋体"/>
                <w:b/>
                <w:bCs/>
                <w:sz w:val="24"/>
              </w:rPr>
              <w:t>放弃投标函：报名后不参加投标的供应商，须在投标截止时间前三个工作日向采购代理机构提供书面说明并加盖公章。</w:t>
            </w:r>
          </w:p>
        </w:tc>
      </w:tr>
      <w:tr w14:paraId="1565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283" w:type="dxa"/>
          </w:tblCellMar>
        </w:tblPrEx>
        <w:trPr>
          <w:trHeight w:val="477" w:hRule="atLeast"/>
          <w:jc w:val="center"/>
        </w:trPr>
        <w:tc>
          <w:tcPr>
            <w:tcW w:w="952" w:type="dxa"/>
            <w:vAlign w:val="center"/>
          </w:tcPr>
          <w:p w14:paraId="3A06C920">
            <w:pPr>
              <w:adjustRightInd/>
              <w:spacing w:line="520" w:lineRule="exact"/>
              <w:jc w:val="center"/>
              <w:rPr>
                <w:rFonts w:hint="eastAsia" w:ascii="宋体" w:hAnsi="宋体" w:cs="宋体"/>
                <w:sz w:val="24"/>
              </w:rPr>
            </w:pPr>
            <w:r>
              <w:rPr>
                <w:rFonts w:hint="eastAsia" w:ascii="宋体" w:hAnsi="宋体" w:cs="宋体"/>
                <w:sz w:val="24"/>
              </w:rPr>
              <w:t>5</w:t>
            </w:r>
          </w:p>
        </w:tc>
        <w:tc>
          <w:tcPr>
            <w:tcW w:w="8388" w:type="dxa"/>
            <w:vAlign w:val="center"/>
          </w:tcPr>
          <w:p w14:paraId="315E9ACE">
            <w:pPr>
              <w:adjustRightInd/>
              <w:spacing w:line="520" w:lineRule="exact"/>
              <w:rPr>
                <w:rFonts w:hint="eastAsia" w:ascii="宋体" w:hAnsi="宋体" w:cs="宋体"/>
                <w:sz w:val="24"/>
              </w:rPr>
            </w:pPr>
            <w:r>
              <w:rPr>
                <w:rFonts w:hint="eastAsia" w:ascii="宋体" w:hAnsi="宋体" w:cs="宋体"/>
                <w:b/>
                <w:bCs/>
                <w:sz w:val="24"/>
              </w:rPr>
              <w:t>投标文件组成：</w:t>
            </w:r>
            <w:r>
              <w:rPr>
                <w:rFonts w:hint="eastAsia" w:ascii="宋体" w:hAnsi="宋体" w:cs="宋体"/>
                <w:sz w:val="24"/>
              </w:rPr>
              <w:t>“资格文件”、“资信技术文件”、“报价文件”三部分组成。</w:t>
            </w:r>
          </w:p>
        </w:tc>
      </w:tr>
      <w:tr w14:paraId="3A17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283" w:type="dxa"/>
          </w:tblCellMar>
        </w:tblPrEx>
        <w:trPr>
          <w:trHeight w:val="1029" w:hRule="atLeast"/>
          <w:jc w:val="center"/>
        </w:trPr>
        <w:tc>
          <w:tcPr>
            <w:tcW w:w="952" w:type="dxa"/>
            <w:vAlign w:val="center"/>
          </w:tcPr>
          <w:p w14:paraId="774ECC28">
            <w:pPr>
              <w:adjustRightInd/>
              <w:spacing w:line="520" w:lineRule="exact"/>
              <w:jc w:val="center"/>
              <w:rPr>
                <w:rFonts w:hint="eastAsia" w:ascii="宋体" w:hAnsi="宋体" w:cs="宋体"/>
                <w:sz w:val="24"/>
              </w:rPr>
            </w:pPr>
            <w:r>
              <w:rPr>
                <w:rFonts w:hint="eastAsia" w:ascii="宋体" w:hAnsi="宋体" w:cs="宋体"/>
                <w:sz w:val="24"/>
              </w:rPr>
              <w:t>6</w:t>
            </w:r>
          </w:p>
        </w:tc>
        <w:tc>
          <w:tcPr>
            <w:tcW w:w="8388" w:type="dxa"/>
            <w:vAlign w:val="center"/>
          </w:tcPr>
          <w:p w14:paraId="24FB0D8C">
            <w:pPr>
              <w:spacing w:line="440" w:lineRule="exact"/>
              <w:ind w:left="-57" w:leftChars="-27" w:right="-176" w:rightChars="-84" w:firstLine="480" w:firstLineChars="200"/>
              <w:rPr>
                <w:rFonts w:hint="eastAsia" w:ascii="宋体" w:hAnsi="宋体" w:cs="宋体"/>
                <w:snapToGrid w:val="0"/>
                <w:kern w:val="28"/>
                <w:sz w:val="24"/>
              </w:rPr>
            </w:pPr>
            <w:r>
              <w:rPr>
                <w:rFonts w:hint="eastAsia" w:ascii="宋体" w:hAnsi="宋体" w:cs="宋体"/>
                <w:snapToGrid w:val="0"/>
                <w:color w:val="000000" w:themeColor="text1"/>
                <w:kern w:val="28"/>
                <w:sz w:val="24"/>
                <w14:textFill>
                  <w14:solidFill>
                    <w14:schemeClr w14:val="tx1"/>
                  </w14:solidFill>
                </w14:textFill>
              </w:rPr>
              <w:t>备份投标</w:t>
            </w:r>
            <w:r>
              <w:rPr>
                <w:rFonts w:hint="eastAsia" w:ascii="宋体" w:hAnsi="宋体" w:cs="宋体"/>
                <w:snapToGrid w:val="0"/>
                <w:kern w:val="28"/>
                <w:sz w:val="24"/>
              </w:rPr>
              <w:t>文件（</w:t>
            </w:r>
            <w:r>
              <w:rPr>
                <w:rFonts w:hint="eastAsia" w:ascii="宋体" w:hAnsi="宋体" w:cs="宋体"/>
                <w:b/>
                <w:bCs/>
                <w:snapToGrid w:val="0"/>
                <w:kern w:val="28"/>
                <w:sz w:val="24"/>
              </w:rPr>
              <w:t>备份投标文件须在“乐采云投标客户端”制作生成</w:t>
            </w:r>
            <w:r>
              <w:rPr>
                <w:rFonts w:hint="eastAsia" w:ascii="宋体" w:hAnsi="宋体" w:cs="宋体"/>
                <w:snapToGrid w:val="0"/>
                <w:kern w:val="28"/>
                <w:sz w:val="24"/>
              </w:rPr>
              <w:t>）</w:t>
            </w:r>
          </w:p>
          <w:p w14:paraId="4E4386CE">
            <w:pPr>
              <w:spacing w:line="440" w:lineRule="exact"/>
              <w:ind w:left="-57" w:leftChars="-27" w:right="-176" w:rightChars="-84" w:firstLine="480" w:firstLineChars="200"/>
              <w:rPr>
                <w:rFonts w:hint="eastAsia" w:ascii="宋体" w:hAnsi="宋体" w:cs="宋体"/>
                <w:snapToGrid w:val="0"/>
                <w:kern w:val="28"/>
                <w:sz w:val="24"/>
              </w:rPr>
            </w:pPr>
            <w:r>
              <w:rPr>
                <w:rFonts w:hint="eastAsia" w:ascii="宋体" w:hAnsi="宋体" w:cs="宋体"/>
                <w:snapToGrid w:val="0"/>
                <w:kern w:val="28"/>
                <w:sz w:val="24"/>
              </w:rPr>
              <w:t>1.使用前提：在解密截止时间前，投标人自行在线解密操作失败,又未能及时联系技术人员帮助解密，或者投标人寻求技术人员帮助仍无法完成解密。</w:t>
            </w:r>
          </w:p>
          <w:p w14:paraId="0F97699A">
            <w:pPr>
              <w:spacing w:line="440" w:lineRule="exact"/>
              <w:ind w:left="-57" w:leftChars="-27" w:right="-176" w:rightChars="-84" w:firstLine="480" w:firstLineChars="200"/>
              <w:rPr>
                <w:rFonts w:hint="eastAsia" w:ascii="宋体" w:hAnsi="宋体" w:cs="宋体"/>
                <w:snapToGrid w:val="0"/>
                <w:kern w:val="28"/>
                <w:sz w:val="24"/>
              </w:rPr>
            </w:pPr>
            <w:r>
              <w:rPr>
                <w:rFonts w:hint="eastAsia" w:ascii="宋体" w:hAnsi="宋体" w:cs="宋体"/>
                <w:snapToGrid w:val="0"/>
                <w:kern w:val="28"/>
                <w:sz w:val="24"/>
              </w:rPr>
              <w:t>2.送达地点：供应商须将备份投标文件发送至代理机构电子邮箱（电子邮箱：493720300@qq.com）。</w:t>
            </w:r>
          </w:p>
          <w:p w14:paraId="3EBAE77A">
            <w:pPr>
              <w:spacing w:line="440" w:lineRule="exact"/>
              <w:ind w:left="-57" w:leftChars="-27" w:right="-176" w:rightChars="-84" w:firstLine="480" w:firstLineChars="200"/>
              <w:rPr>
                <w:rFonts w:hint="eastAsia" w:ascii="宋体" w:hAnsi="宋体" w:cs="宋体"/>
                <w:snapToGrid w:val="0"/>
                <w:kern w:val="28"/>
                <w:sz w:val="24"/>
              </w:rPr>
            </w:pPr>
            <w:r>
              <w:rPr>
                <w:rFonts w:hint="eastAsia" w:ascii="宋体" w:hAnsi="宋体" w:cs="宋体"/>
                <w:snapToGrid w:val="0"/>
                <w:kern w:val="28"/>
                <w:sz w:val="24"/>
              </w:rPr>
              <w:t>3.递交截止时间：投标当天9:30（北京时间）。</w:t>
            </w:r>
          </w:p>
          <w:p w14:paraId="234F0572">
            <w:pPr>
              <w:spacing w:line="440" w:lineRule="exact"/>
              <w:ind w:left="-57" w:leftChars="-27" w:right="-176" w:rightChars="-84" w:firstLine="480" w:firstLineChars="200"/>
              <w:rPr>
                <w:rFonts w:hint="eastAsia" w:ascii="宋体" w:hAnsi="宋体" w:cs="宋体"/>
                <w:snapToGrid w:val="0"/>
                <w:kern w:val="28"/>
                <w:sz w:val="24"/>
              </w:rPr>
            </w:pPr>
            <w:r>
              <w:rPr>
                <w:rFonts w:hint="eastAsia" w:ascii="宋体" w:hAnsi="宋体" w:cs="宋体"/>
                <w:snapToGrid w:val="0"/>
                <w:kern w:val="28"/>
                <w:sz w:val="24"/>
              </w:rPr>
              <w:t>4.未按上述要求递交备份投标文件或所提供的备份投标文件不符合要求的视同放弃投标，仅提交备份投标文件的，投标无效。</w:t>
            </w:r>
          </w:p>
          <w:p w14:paraId="29909CE3">
            <w:pPr>
              <w:spacing w:line="440" w:lineRule="exact"/>
              <w:ind w:left="-57" w:leftChars="-27" w:right="-176" w:rightChars="-84" w:firstLine="480" w:firstLineChars="200"/>
              <w:rPr>
                <w:rFonts w:hint="eastAsia" w:ascii="宋体" w:hAnsi="宋体" w:cs="宋体"/>
                <w:snapToGrid w:val="0"/>
                <w:kern w:val="28"/>
                <w:sz w:val="24"/>
              </w:rPr>
            </w:pPr>
            <w:r>
              <w:rPr>
                <w:rFonts w:hint="eastAsia" w:ascii="宋体" w:hAnsi="宋体" w:cs="宋体"/>
                <w:snapToGrid w:val="0"/>
                <w:kern w:val="28"/>
                <w:sz w:val="24"/>
              </w:rPr>
              <w:t>5.投标人未按时完成解密的，并符合备份投标文件使用前提的，投标人应提供备份投标文件，否则视为放弃投标。</w:t>
            </w:r>
          </w:p>
          <w:p w14:paraId="2BDF8C54">
            <w:pPr>
              <w:autoSpaceDE w:val="0"/>
              <w:autoSpaceDN w:val="0"/>
              <w:adjustRightInd/>
              <w:spacing w:line="520" w:lineRule="exact"/>
              <w:textAlignment w:val="bottom"/>
              <w:rPr>
                <w:rFonts w:hint="eastAsia" w:ascii="宋体" w:hAnsi="宋体" w:cs="宋体"/>
                <w:b/>
                <w:sz w:val="24"/>
              </w:rPr>
            </w:pPr>
            <w:r>
              <w:rPr>
                <w:rFonts w:hint="eastAsia" w:ascii="宋体" w:hAnsi="宋体" w:cs="宋体"/>
                <w:b/>
                <w:sz w:val="24"/>
              </w:rPr>
              <w:t>采购人、采购机构不强制或变相强制投标人提交备份投标文件。</w:t>
            </w:r>
          </w:p>
        </w:tc>
      </w:tr>
      <w:tr w14:paraId="5630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283" w:type="dxa"/>
          </w:tblCellMar>
        </w:tblPrEx>
        <w:trPr>
          <w:trHeight w:val="474" w:hRule="atLeast"/>
          <w:jc w:val="center"/>
        </w:trPr>
        <w:tc>
          <w:tcPr>
            <w:tcW w:w="952" w:type="dxa"/>
            <w:vAlign w:val="center"/>
          </w:tcPr>
          <w:p w14:paraId="2912E52A">
            <w:pPr>
              <w:adjustRightInd/>
              <w:spacing w:line="520" w:lineRule="exact"/>
              <w:jc w:val="center"/>
              <w:rPr>
                <w:rFonts w:hint="eastAsia" w:ascii="宋体" w:hAnsi="宋体" w:cs="宋体"/>
                <w:sz w:val="24"/>
              </w:rPr>
            </w:pPr>
            <w:r>
              <w:rPr>
                <w:rFonts w:hint="eastAsia" w:ascii="宋体" w:hAnsi="宋体" w:cs="宋体"/>
                <w:sz w:val="24"/>
              </w:rPr>
              <w:t>7</w:t>
            </w:r>
          </w:p>
        </w:tc>
        <w:tc>
          <w:tcPr>
            <w:tcW w:w="8388" w:type="dxa"/>
            <w:vAlign w:val="center"/>
          </w:tcPr>
          <w:p w14:paraId="54EE5499">
            <w:pPr>
              <w:autoSpaceDE w:val="0"/>
              <w:autoSpaceDN w:val="0"/>
              <w:adjustRightInd/>
              <w:spacing w:line="520" w:lineRule="exact"/>
              <w:textAlignment w:val="bottom"/>
              <w:rPr>
                <w:rFonts w:hint="eastAsia" w:ascii="宋体" w:hAnsi="宋体" w:cs="宋体"/>
                <w:b/>
                <w:sz w:val="24"/>
              </w:rPr>
            </w:pPr>
            <w:r>
              <w:rPr>
                <w:rFonts w:hint="eastAsia" w:ascii="宋体" w:hAnsi="宋体" w:cs="宋体"/>
                <w:b/>
                <w:sz w:val="24"/>
              </w:rPr>
              <w:t>开标截止时间：</w:t>
            </w:r>
            <w:r>
              <w:rPr>
                <w:rFonts w:hint="eastAsia" w:ascii="宋体" w:hAnsi="宋体" w:cs="宋体"/>
                <w:sz w:val="24"/>
              </w:rPr>
              <w:t xml:space="preserve">2024年 </w:t>
            </w:r>
            <w:r>
              <w:rPr>
                <w:rFonts w:hint="eastAsia" w:ascii="宋体" w:hAnsi="宋体" w:cs="宋体"/>
                <w:sz w:val="24"/>
                <w:lang w:val="en-US" w:eastAsia="zh-CN"/>
              </w:rPr>
              <w:t>3</w:t>
            </w:r>
            <w:r>
              <w:rPr>
                <w:rFonts w:hint="eastAsia" w:ascii="宋体" w:hAnsi="宋体" w:cs="宋体"/>
                <w:sz w:val="24"/>
              </w:rPr>
              <w:t xml:space="preserve"> 月 </w:t>
            </w:r>
            <w:r>
              <w:rPr>
                <w:rFonts w:hint="eastAsia" w:ascii="宋体" w:hAnsi="宋体" w:cs="宋体"/>
                <w:sz w:val="24"/>
                <w:lang w:val="en-US" w:eastAsia="zh-CN"/>
              </w:rPr>
              <w:t>13</w:t>
            </w:r>
            <w:r>
              <w:rPr>
                <w:rFonts w:hint="eastAsia" w:ascii="宋体" w:hAnsi="宋体" w:cs="宋体"/>
                <w:sz w:val="24"/>
              </w:rPr>
              <w:t xml:space="preserve"> 日09:</w:t>
            </w:r>
            <w:r>
              <w:rPr>
                <w:rFonts w:hint="eastAsia" w:ascii="宋体" w:hAnsi="宋体" w:cs="宋体"/>
                <w:sz w:val="24"/>
                <w:lang w:val="en-US" w:eastAsia="zh-CN"/>
              </w:rPr>
              <w:t>3</w:t>
            </w:r>
            <w:r>
              <w:rPr>
                <w:rFonts w:hint="eastAsia" w:ascii="宋体" w:hAnsi="宋体" w:cs="宋体"/>
                <w:sz w:val="24"/>
              </w:rPr>
              <w:t>0时整。</w:t>
            </w:r>
          </w:p>
        </w:tc>
      </w:tr>
      <w:tr w14:paraId="3B3C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283" w:type="dxa"/>
          </w:tblCellMar>
        </w:tblPrEx>
        <w:trPr>
          <w:trHeight w:val="649" w:hRule="atLeast"/>
          <w:jc w:val="center"/>
        </w:trPr>
        <w:tc>
          <w:tcPr>
            <w:tcW w:w="952" w:type="dxa"/>
            <w:vAlign w:val="center"/>
          </w:tcPr>
          <w:p w14:paraId="16AD55B1">
            <w:pPr>
              <w:adjustRightInd/>
              <w:spacing w:line="520" w:lineRule="exact"/>
              <w:jc w:val="center"/>
              <w:rPr>
                <w:rFonts w:hint="eastAsia" w:ascii="宋体" w:hAnsi="宋体" w:cs="宋体"/>
                <w:sz w:val="24"/>
              </w:rPr>
            </w:pPr>
            <w:r>
              <w:rPr>
                <w:rFonts w:hint="eastAsia" w:ascii="宋体" w:hAnsi="宋体" w:cs="宋体"/>
                <w:sz w:val="24"/>
              </w:rPr>
              <w:t>8</w:t>
            </w:r>
          </w:p>
        </w:tc>
        <w:tc>
          <w:tcPr>
            <w:tcW w:w="8388" w:type="dxa"/>
            <w:vAlign w:val="center"/>
          </w:tcPr>
          <w:p w14:paraId="12BD2E09">
            <w:pPr>
              <w:autoSpaceDE w:val="0"/>
              <w:autoSpaceDN w:val="0"/>
              <w:adjustRightInd/>
              <w:spacing w:line="520" w:lineRule="exact"/>
              <w:textAlignment w:val="bottom"/>
              <w:rPr>
                <w:rFonts w:hint="eastAsia" w:ascii="宋体" w:hAnsi="宋体" w:cs="宋体"/>
                <w:sz w:val="24"/>
              </w:rPr>
            </w:pPr>
            <w:r>
              <w:rPr>
                <w:rFonts w:hint="eastAsia" w:ascii="宋体" w:hAnsi="宋体" w:cs="宋体"/>
                <w:b/>
                <w:sz w:val="24"/>
              </w:rPr>
              <w:t>联系方式：</w:t>
            </w:r>
            <w:r>
              <w:rPr>
                <w:rFonts w:hint="eastAsia" w:ascii="宋体" w:hAnsi="宋体" w:cs="宋体"/>
                <w:sz w:val="24"/>
              </w:rPr>
              <w:t>嵊州市水利水电发展有限公司      刑丹阳：0575-</w:t>
            </w:r>
            <w:r>
              <w:rPr>
                <w:rFonts w:ascii="宋体" w:hAnsi="宋体" w:cs="宋体"/>
                <w:sz w:val="24"/>
              </w:rPr>
              <w:t>83114820</w:t>
            </w:r>
          </w:p>
          <w:p w14:paraId="7E9BD4B9">
            <w:pPr>
              <w:autoSpaceDE w:val="0"/>
              <w:autoSpaceDN w:val="0"/>
              <w:adjustRightInd/>
              <w:spacing w:line="520" w:lineRule="exact"/>
              <w:ind w:firstLine="1200" w:firstLineChars="500"/>
              <w:textAlignment w:val="bottom"/>
              <w:rPr>
                <w:rFonts w:hint="eastAsia" w:ascii="宋体" w:hAnsi="宋体" w:cs="宋体"/>
                <w:sz w:val="24"/>
              </w:rPr>
            </w:pPr>
            <w:r>
              <w:rPr>
                <w:rFonts w:hint="eastAsia" w:ascii="宋体" w:hAnsi="宋体" w:cs="宋体"/>
                <w:sz w:val="24"/>
              </w:rPr>
              <w:t xml:space="preserve">大地工程咨询有限公司   </w:t>
            </w:r>
            <w:r>
              <w:rPr>
                <w:rFonts w:hint="eastAsia" w:ascii="宋体" w:hAnsi="宋体" w:cs="宋体"/>
                <w:sz w:val="24"/>
                <w:lang w:val="en-US" w:eastAsia="zh-CN"/>
              </w:rPr>
              <w:t xml:space="preserve">   </w:t>
            </w:r>
            <w:r>
              <w:rPr>
                <w:rFonts w:hint="eastAsia" w:ascii="宋体" w:hAnsi="宋体" w:cs="宋体"/>
                <w:sz w:val="24"/>
              </w:rPr>
              <w:t xml:space="preserve">童佳威：13858558585、15267998838 </w:t>
            </w:r>
          </w:p>
        </w:tc>
      </w:tr>
      <w:tr w14:paraId="5B8F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283" w:type="dxa"/>
          </w:tblCellMar>
        </w:tblPrEx>
        <w:trPr>
          <w:trHeight w:val="703" w:hRule="atLeast"/>
          <w:jc w:val="center"/>
        </w:trPr>
        <w:tc>
          <w:tcPr>
            <w:tcW w:w="952" w:type="dxa"/>
            <w:vAlign w:val="center"/>
          </w:tcPr>
          <w:p w14:paraId="266BBDC0">
            <w:pPr>
              <w:adjustRightInd/>
              <w:spacing w:line="520" w:lineRule="exact"/>
              <w:jc w:val="center"/>
              <w:rPr>
                <w:rFonts w:hint="eastAsia" w:ascii="宋体" w:hAnsi="宋体" w:cs="宋体"/>
                <w:sz w:val="24"/>
              </w:rPr>
            </w:pPr>
            <w:r>
              <w:rPr>
                <w:rFonts w:hint="eastAsia" w:ascii="宋体" w:hAnsi="宋体" w:cs="宋体"/>
                <w:sz w:val="24"/>
              </w:rPr>
              <w:t>9</w:t>
            </w:r>
          </w:p>
        </w:tc>
        <w:tc>
          <w:tcPr>
            <w:tcW w:w="8388" w:type="dxa"/>
            <w:vAlign w:val="center"/>
          </w:tcPr>
          <w:p w14:paraId="0E5B31BD">
            <w:pPr>
              <w:autoSpaceDE w:val="0"/>
              <w:autoSpaceDN w:val="0"/>
              <w:adjustRightInd/>
              <w:spacing w:line="360" w:lineRule="auto"/>
              <w:textAlignment w:val="bottom"/>
            </w:pPr>
            <w:r>
              <w:rPr>
                <w:rFonts w:hint="eastAsia" w:ascii="宋体" w:hAnsi="宋体" w:cs="宋体"/>
                <w:b/>
                <w:sz w:val="24"/>
              </w:rPr>
              <w:t>现场踏勘：不组织统一现场踏勘，投标人自行联系采购人进行现场踏勘。</w:t>
            </w:r>
          </w:p>
        </w:tc>
      </w:tr>
      <w:tr w14:paraId="33CE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283" w:type="dxa"/>
          </w:tblCellMar>
        </w:tblPrEx>
        <w:trPr>
          <w:trHeight w:val="90" w:hRule="atLeast"/>
          <w:jc w:val="center"/>
        </w:trPr>
        <w:tc>
          <w:tcPr>
            <w:tcW w:w="952" w:type="dxa"/>
            <w:vAlign w:val="center"/>
          </w:tcPr>
          <w:p w14:paraId="39DCDDC8">
            <w:pPr>
              <w:tabs>
                <w:tab w:val="left" w:pos="573"/>
              </w:tabs>
              <w:autoSpaceDE w:val="0"/>
              <w:autoSpaceDN w:val="0"/>
              <w:adjustRightInd/>
              <w:spacing w:line="520" w:lineRule="exact"/>
              <w:jc w:val="center"/>
              <w:textAlignment w:val="bottom"/>
              <w:rPr>
                <w:rFonts w:hint="eastAsia" w:ascii="宋体" w:hAnsi="宋体" w:cs="宋体"/>
                <w:b/>
                <w:sz w:val="24"/>
              </w:rPr>
            </w:pPr>
            <w:r>
              <w:rPr>
                <w:rFonts w:hint="eastAsia" w:ascii="宋体" w:hAnsi="宋体" w:cs="宋体"/>
                <w:bCs/>
                <w:sz w:val="24"/>
              </w:rPr>
              <w:t>10</w:t>
            </w:r>
          </w:p>
        </w:tc>
        <w:tc>
          <w:tcPr>
            <w:tcW w:w="8388" w:type="dxa"/>
            <w:vAlign w:val="center"/>
          </w:tcPr>
          <w:p w14:paraId="693510B4">
            <w:pPr>
              <w:spacing w:line="440" w:lineRule="exact"/>
              <w:ind w:right="-176" w:rightChars="-84"/>
            </w:pPr>
            <w:r>
              <w:rPr>
                <w:rFonts w:hint="eastAsia" w:ascii="宋体" w:hAnsi="宋体" w:cs="宋体"/>
                <w:b/>
                <w:bCs/>
                <w:sz w:val="24"/>
              </w:rPr>
              <w:t>固定残值：</w:t>
            </w:r>
            <w:r>
              <w:rPr>
                <w:rFonts w:hint="eastAsia" w:ascii="宋体" w:hAnsi="宋体" w:cs="宋体"/>
                <w:snapToGrid w:val="0"/>
                <w:kern w:val="28"/>
                <w:sz w:val="24"/>
              </w:rPr>
              <w:t>本项目残值为固定残值，残值</w:t>
            </w:r>
            <w:r>
              <w:rPr>
                <w:rFonts w:hint="eastAsia" w:ascii="宋体" w:hAnsi="宋体" w:cs="宋体"/>
                <w:snapToGrid w:val="0"/>
                <w:kern w:val="28"/>
                <w:sz w:val="24"/>
                <w:highlight w:val="none"/>
              </w:rPr>
              <w:t>评估价为677840元（详见评估报告，仅供参考），具体由投标人自行勘查现场及评估，在投标人中标获得处置权后由中标人自行处置(其中松木处置要参照疫木管理规定，按照林业主管部门的要求统一运到市林业局指点加工点处理），一切处置费用由投标人自行承担。本项目预算价已扣除固定残值。</w:t>
            </w:r>
          </w:p>
        </w:tc>
      </w:tr>
      <w:tr w14:paraId="3FA6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283" w:type="dxa"/>
          </w:tblCellMar>
        </w:tblPrEx>
        <w:trPr>
          <w:trHeight w:val="955" w:hRule="atLeast"/>
          <w:jc w:val="center"/>
        </w:trPr>
        <w:tc>
          <w:tcPr>
            <w:tcW w:w="952" w:type="dxa"/>
            <w:vAlign w:val="center"/>
          </w:tcPr>
          <w:p w14:paraId="1CF95656">
            <w:pPr>
              <w:tabs>
                <w:tab w:val="left" w:pos="573"/>
              </w:tabs>
              <w:autoSpaceDE w:val="0"/>
              <w:autoSpaceDN w:val="0"/>
              <w:adjustRightInd/>
              <w:spacing w:line="520" w:lineRule="exact"/>
              <w:jc w:val="center"/>
              <w:textAlignment w:val="bottom"/>
              <w:rPr>
                <w:rFonts w:hint="eastAsia" w:ascii="宋体" w:hAnsi="宋体" w:cs="宋体"/>
                <w:bCs/>
                <w:sz w:val="24"/>
              </w:rPr>
            </w:pPr>
            <w:r>
              <w:rPr>
                <w:rFonts w:hint="eastAsia" w:ascii="宋体" w:hAnsi="宋体" w:cs="宋体"/>
                <w:bCs/>
                <w:sz w:val="24"/>
              </w:rPr>
              <w:t>11</w:t>
            </w:r>
          </w:p>
        </w:tc>
        <w:tc>
          <w:tcPr>
            <w:tcW w:w="8388" w:type="dxa"/>
            <w:vAlign w:val="center"/>
          </w:tcPr>
          <w:p w14:paraId="2471DFE2">
            <w:pPr>
              <w:autoSpaceDE w:val="0"/>
              <w:autoSpaceDN w:val="0"/>
              <w:adjustRightInd/>
              <w:spacing w:line="520" w:lineRule="exact"/>
              <w:textAlignment w:val="bottom"/>
              <w:rPr>
                <w:rFonts w:hint="eastAsia" w:ascii="宋体" w:hAnsi="宋体" w:cs="宋体"/>
                <w:b/>
                <w:sz w:val="24"/>
              </w:rPr>
            </w:pPr>
            <w:r>
              <w:rPr>
                <w:rStyle w:val="40"/>
                <w:rFonts w:hint="eastAsia" w:ascii="宋体" w:hAnsi="宋体"/>
                <w:sz w:val="24"/>
              </w:rPr>
              <w:t>中标人须向采购人缴纳合同价的1%作为履约保证金，林木清理完成并验收合格后15天内无息退还。（履约保证金可以用转帐、支票、汇票、保函（银行/保险）等非现金形式缴纳）</w:t>
            </w:r>
          </w:p>
        </w:tc>
      </w:tr>
      <w:tr w14:paraId="6312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283" w:type="dxa"/>
          </w:tblCellMar>
        </w:tblPrEx>
        <w:trPr>
          <w:trHeight w:val="499" w:hRule="atLeast"/>
          <w:jc w:val="center"/>
        </w:trPr>
        <w:tc>
          <w:tcPr>
            <w:tcW w:w="952" w:type="dxa"/>
            <w:vAlign w:val="center"/>
          </w:tcPr>
          <w:p w14:paraId="79840B0C">
            <w:pPr>
              <w:adjustRightInd/>
              <w:spacing w:line="520" w:lineRule="exact"/>
              <w:jc w:val="center"/>
              <w:rPr>
                <w:rFonts w:hint="eastAsia" w:ascii="宋体" w:hAnsi="宋体" w:cs="宋体"/>
                <w:sz w:val="24"/>
              </w:rPr>
            </w:pPr>
            <w:r>
              <w:rPr>
                <w:rFonts w:hint="eastAsia" w:ascii="宋体" w:hAnsi="宋体" w:cs="宋体"/>
                <w:sz w:val="24"/>
              </w:rPr>
              <w:t>12</w:t>
            </w:r>
          </w:p>
        </w:tc>
        <w:tc>
          <w:tcPr>
            <w:tcW w:w="8388" w:type="dxa"/>
            <w:vAlign w:val="center"/>
          </w:tcPr>
          <w:p w14:paraId="59A8D168">
            <w:pPr>
              <w:spacing w:line="440" w:lineRule="exact"/>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中标人须向采购代理机构按如下规定交纳中标服务费，并在投标报价中自行考虑：</w:t>
            </w:r>
          </w:p>
          <w:p w14:paraId="3C765AF9">
            <w:pPr>
              <w:autoSpaceDE w:val="0"/>
              <w:autoSpaceDN w:val="0"/>
              <w:adjustRightInd/>
              <w:spacing w:line="520" w:lineRule="exact"/>
              <w:textAlignment w:val="bottom"/>
              <w:rPr>
                <w:rFonts w:hint="eastAsia" w:ascii="宋体" w:hAnsi="宋体" w:cs="宋体"/>
                <w:sz w:val="24"/>
              </w:rPr>
            </w:pPr>
            <w:r>
              <w:rPr>
                <w:rFonts w:hint="eastAsia" w:ascii="宋体" w:hAnsi="宋体" w:cs="宋体"/>
                <w:sz w:val="24"/>
              </w:rPr>
              <w:t>①本项目代理服务费按照下列表格计算，其他费用按实收取</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2801"/>
              <w:gridCol w:w="1726"/>
              <w:gridCol w:w="1727"/>
              <w:gridCol w:w="1728"/>
            </w:tblGrid>
            <w:tr w14:paraId="1E41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158" w:hRule="atLeast"/>
              </w:trPr>
              <w:tc>
                <w:tcPr>
                  <w:tcW w:w="2821" w:type="dxa"/>
                  <w:shd w:val="clear" w:color="auto" w:fill="FFFFFF"/>
                  <w:tcMar>
                    <w:top w:w="20" w:type="dxa"/>
                    <w:left w:w="100" w:type="dxa"/>
                    <w:bottom w:w="20" w:type="dxa"/>
                    <w:right w:w="100" w:type="dxa"/>
                  </w:tcMar>
                  <w:vAlign w:val="center"/>
                </w:tcPr>
                <w:p w14:paraId="238CD448">
                  <w:pPr>
                    <w:wordWrap w:val="0"/>
                    <w:spacing w:line="360" w:lineRule="auto"/>
                    <w:rPr>
                      <w:rFonts w:hint="eastAsia" w:ascii="宋体" w:hAnsi="宋体" w:cs="Arial"/>
                      <w:color w:val="333333"/>
                      <w:szCs w:val="21"/>
                    </w:rPr>
                  </w:pPr>
                  <w:r>
                    <w:rPr>
                      <w:rFonts w:ascii="宋体" w:hAnsi="宋体" w:cs="Arial"/>
                      <w:color w:val="333333"/>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-1905</wp:posOffset>
                            </wp:positionV>
                            <wp:extent cx="1793240" cy="742315"/>
                            <wp:effectExtent l="1905" t="4445" r="14605" b="15240"/>
                            <wp:wrapNone/>
                            <wp:docPr id="6" name="直接连接符 6"/>
                            <wp:cNvGraphicFramePr/>
                            <a:graphic xmlns:a="http://schemas.openxmlformats.org/drawingml/2006/main">
                              <a:graphicData uri="http://schemas.microsoft.com/office/word/2010/wordprocessingShape">
                                <wps:wsp>
                                  <wps:cNvCnPr/>
                                  <wps:spPr>
                                    <a:xfrm>
                                      <a:off x="0" y="0"/>
                                      <a:ext cx="1793240" cy="74231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85pt;margin-top:-0.15pt;height:58.45pt;width:141.2pt;z-index:251659264;mso-width-relative:page;mso-height-relative:page;" filled="f" stroked="t" coordsize="21600,21600" o:gfxdata="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CqsnNUAAAAIAQAADwAAAAAAAAABACAAAAAiAAAAZHJzL2Rvd25yZXYueG1sUEsBAhQAFAAAAAgA&#10;h07iQBV4N4zvAQAA3QMAAA4AAAAAAAAAAQAgAAAAJAEAAGRycy9lMm9Eb2MueG1sUEsFBgAAAAAG&#10;AAYAWQEAAIUFAAAAAA==&#10;">
                            <v:fill on="f" focussize="0,0"/>
                            <v:stroke weight="0.5pt" color="#000000" joinstyle="round"/>
                            <v:imagedata o:title=""/>
                            <o:lock v:ext="edit" aspectratio="f"/>
                          </v:line>
                        </w:pict>
                      </mc:Fallback>
                    </mc:AlternateContent>
                  </w:r>
                  <w:r>
                    <w:rPr>
                      <w:rFonts w:hint="eastAsia" w:ascii="宋体" w:hAnsi="宋体" w:cs="Arial"/>
                      <w:bCs/>
                      <w:color w:val="333333"/>
                    </w:rPr>
                    <w:t xml:space="preserve">      </w:t>
                  </w:r>
                  <w:r>
                    <w:rPr>
                      <w:rFonts w:hint="eastAsia" w:ascii="宋体" w:hAnsi="宋体" w:cs="Arial"/>
                      <w:bCs/>
                      <w:color w:val="333333"/>
                      <w:szCs w:val="21"/>
                    </w:rPr>
                    <w:t xml:space="preserve">      </w:t>
                  </w:r>
                  <w:r>
                    <w:rPr>
                      <w:rFonts w:ascii="宋体" w:hAnsi="宋体" w:cs="Arial"/>
                      <w:bCs/>
                      <w:color w:val="333333"/>
                      <w:szCs w:val="21"/>
                    </w:rPr>
                    <w:t>服务费率类型</w:t>
                  </w:r>
                </w:p>
                <w:p w14:paraId="6CB88F1E">
                  <w:pPr>
                    <w:rPr>
                      <w:rFonts w:hint="eastAsia" w:ascii="宋体" w:hAnsi="宋体" w:cs="Arial"/>
                      <w:bCs/>
                      <w:color w:val="333333"/>
                      <w:szCs w:val="21"/>
                    </w:rPr>
                  </w:pPr>
                </w:p>
                <w:p w14:paraId="7F575E3E">
                  <w:pPr>
                    <w:rPr>
                      <w:rFonts w:hint="eastAsia" w:ascii="宋体" w:hAnsi="宋体" w:cs="Arial"/>
                      <w:szCs w:val="21"/>
                    </w:rPr>
                  </w:pPr>
                  <w:r>
                    <w:rPr>
                      <w:rFonts w:ascii="宋体" w:hAnsi="宋体" w:cs="Arial"/>
                      <w:bCs/>
                      <w:color w:val="333333"/>
                      <w:szCs w:val="21"/>
                    </w:rPr>
                    <w:t>中标金额（万元）</w:t>
                  </w:r>
                </w:p>
              </w:tc>
              <w:tc>
                <w:tcPr>
                  <w:tcW w:w="1738" w:type="dxa"/>
                  <w:shd w:val="clear" w:color="auto" w:fill="FFFFFF"/>
                  <w:tcMar>
                    <w:top w:w="20" w:type="dxa"/>
                    <w:left w:w="100" w:type="dxa"/>
                    <w:bottom w:w="20" w:type="dxa"/>
                    <w:right w:w="100" w:type="dxa"/>
                  </w:tcMar>
                  <w:vAlign w:val="center"/>
                </w:tcPr>
                <w:p w14:paraId="55C7638A">
                  <w:pPr>
                    <w:wordWrap w:val="0"/>
                    <w:spacing w:line="360" w:lineRule="auto"/>
                    <w:jc w:val="center"/>
                    <w:rPr>
                      <w:rFonts w:hint="eastAsia" w:ascii="宋体" w:hAnsi="宋体" w:cs="Arial"/>
                      <w:color w:val="333333"/>
                    </w:rPr>
                  </w:pPr>
                  <w:r>
                    <w:rPr>
                      <w:rFonts w:ascii="宋体" w:hAnsi="宋体" w:cs="Arial"/>
                      <w:bCs/>
                      <w:color w:val="333333"/>
                    </w:rPr>
                    <w:t>货物招标</w:t>
                  </w:r>
                </w:p>
              </w:tc>
              <w:tc>
                <w:tcPr>
                  <w:tcW w:w="1739" w:type="dxa"/>
                  <w:shd w:val="clear" w:color="auto" w:fill="FFFFFF"/>
                  <w:tcMar>
                    <w:top w:w="20" w:type="dxa"/>
                    <w:left w:w="100" w:type="dxa"/>
                    <w:bottom w:w="20" w:type="dxa"/>
                    <w:right w:w="100" w:type="dxa"/>
                  </w:tcMar>
                  <w:vAlign w:val="center"/>
                </w:tcPr>
                <w:p w14:paraId="5D427814">
                  <w:pPr>
                    <w:wordWrap w:val="0"/>
                    <w:spacing w:line="360" w:lineRule="auto"/>
                    <w:jc w:val="center"/>
                    <w:rPr>
                      <w:rFonts w:hint="eastAsia" w:ascii="宋体" w:hAnsi="宋体" w:cs="Arial"/>
                      <w:color w:val="333333"/>
                    </w:rPr>
                  </w:pPr>
                  <w:r>
                    <w:rPr>
                      <w:rFonts w:ascii="宋体" w:hAnsi="宋体" w:cs="Arial"/>
                      <w:bCs/>
                      <w:color w:val="333333"/>
                    </w:rPr>
                    <w:t>服务招标</w:t>
                  </w:r>
                </w:p>
              </w:tc>
              <w:tc>
                <w:tcPr>
                  <w:tcW w:w="1739" w:type="dxa"/>
                  <w:shd w:val="clear" w:color="auto" w:fill="FFFFFF"/>
                  <w:tcMar>
                    <w:top w:w="20" w:type="dxa"/>
                    <w:left w:w="100" w:type="dxa"/>
                    <w:bottom w:w="20" w:type="dxa"/>
                    <w:right w:w="100" w:type="dxa"/>
                  </w:tcMar>
                  <w:vAlign w:val="center"/>
                </w:tcPr>
                <w:p w14:paraId="5A057407">
                  <w:pPr>
                    <w:wordWrap w:val="0"/>
                    <w:spacing w:line="360" w:lineRule="auto"/>
                    <w:jc w:val="center"/>
                    <w:rPr>
                      <w:rFonts w:hint="eastAsia" w:ascii="宋体" w:hAnsi="宋体" w:cs="Arial"/>
                      <w:color w:val="333333"/>
                    </w:rPr>
                  </w:pPr>
                  <w:r>
                    <w:rPr>
                      <w:rFonts w:ascii="宋体" w:hAnsi="宋体" w:cs="Arial"/>
                      <w:bCs/>
                      <w:color w:val="333333"/>
                    </w:rPr>
                    <w:t>工程招标</w:t>
                  </w:r>
                </w:p>
              </w:tc>
            </w:tr>
            <w:tr w14:paraId="6971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821" w:type="dxa"/>
                  <w:shd w:val="clear" w:color="auto" w:fill="FFFFFF"/>
                  <w:tcMar>
                    <w:top w:w="20" w:type="dxa"/>
                    <w:left w:w="100" w:type="dxa"/>
                    <w:bottom w:w="20" w:type="dxa"/>
                    <w:right w:w="100" w:type="dxa"/>
                  </w:tcMar>
                  <w:vAlign w:val="center"/>
                </w:tcPr>
                <w:p w14:paraId="3F7A6BCF">
                  <w:pPr>
                    <w:wordWrap w:val="0"/>
                    <w:spacing w:line="360" w:lineRule="auto"/>
                    <w:rPr>
                      <w:rFonts w:hint="eastAsia" w:ascii="宋体" w:hAnsi="宋体" w:cs="Arial"/>
                      <w:color w:val="333333"/>
                    </w:rPr>
                  </w:pPr>
                  <w:r>
                    <w:rPr>
                      <w:rFonts w:ascii="宋体" w:hAnsi="宋体" w:cs="Arial"/>
                      <w:color w:val="333333"/>
                    </w:rPr>
                    <w:t>100以下</w:t>
                  </w:r>
                </w:p>
              </w:tc>
              <w:tc>
                <w:tcPr>
                  <w:tcW w:w="1738" w:type="dxa"/>
                  <w:shd w:val="clear" w:color="auto" w:fill="FFFFFF"/>
                  <w:tcMar>
                    <w:top w:w="20" w:type="dxa"/>
                    <w:left w:w="100" w:type="dxa"/>
                    <w:bottom w:w="20" w:type="dxa"/>
                    <w:right w:w="100" w:type="dxa"/>
                  </w:tcMar>
                  <w:vAlign w:val="center"/>
                </w:tcPr>
                <w:p w14:paraId="5686C109">
                  <w:pPr>
                    <w:wordWrap w:val="0"/>
                    <w:spacing w:line="360" w:lineRule="auto"/>
                    <w:jc w:val="center"/>
                    <w:rPr>
                      <w:rFonts w:hint="eastAsia" w:ascii="宋体" w:hAnsi="宋体" w:cs="Arial"/>
                      <w:color w:val="333333"/>
                    </w:rPr>
                  </w:pPr>
                  <w:r>
                    <w:rPr>
                      <w:rFonts w:ascii="宋体" w:hAnsi="宋体" w:cs="Arial"/>
                      <w:color w:val="333333"/>
                    </w:rPr>
                    <w:t>1.5%</w:t>
                  </w:r>
                </w:p>
              </w:tc>
              <w:tc>
                <w:tcPr>
                  <w:tcW w:w="1739" w:type="dxa"/>
                  <w:shd w:val="clear" w:color="auto" w:fill="FFFFFF"/>
                  <w:tcMar>
                    <w:top w:w="20" w:type="dxa"/>
                    <w:left w:w="100" w:type="dxa"/>
                    <w:bottom w:w="20" w:type="dxa"/>
                    <w:right w:w="100" w:type="dxa"/>
                  </w:tcMar>
                  <w:vAlign w:val="center"/>
                </w:tcPr>
                <w:p w14:paraId="0AA85223">
                  <w:pPr>
                    <w:wordWrap w:val="0"/>
                    <w:spacing w:line="360" w:lineRule="auto"/>
                    <w:jc w:val="center"/>
                    <w:rPr>
                      <w:rFonts w:hint="eastAsia" w:ascii="宋体" w:hAnsi="宋体" w:cs="Arial"/>
                      <w:color w:val="333333"/>
                    </w:rPr>
                  </w:pPr>
                  <w:r>
                    <w:rPr>
                      <w:rFonts w:ascii="宋体" w:hAnsi="宋体" w:cs="Arial"/>
                      <w:color w:val="333333"/>
                    </w:rPr>
                    <w:t>1.5%</w:t>
                  </w:r>
                </w:p>
              </w:tc>
              <w:tc>
                <w:tcPr>
                  <w:tcW w:w="1739" w:type="dxa"/>
                  <w:shd w:val="clear" w:color="auto" w:fill="FFFFFF"/>
                  <w:tcMar>
                    <w:top w:w="20" w:type="dxa"/>
                    <w:left w:w="100" w:type="dxa"/>
                    <w:bottom w:w="20" w:type="dxa"/>
                    <w:right w:w="100" w:type="dxa"/>
                  </w:tcMar>
                  <w:vAlign w:val="center"/>
                </w:tcPr>
                <w:p w14:paraId="7663B059">
                  <w:pPr>
                    <w:wordWrap w:val="0"/>
                    <w:spacing w:line="360" w:lineRule="auto"/>
                    <w:jc w:val="center"/>
                    <w:rPr>
                      <w:rFonts w:hint="eastAsia" w:ascii="宋体" w:hAnsi="宋体" w:cs="Arial"/>
                      <w:color w:val="333333"/>
                    </w:rPr>
                  </w:pPr>
                  <w:r>
                    <w:rPr>
                      <w:rFonts w:ascii="宋体" w:hAnsi="宋体" w:cs="Arial"/>
                      <w:color w:val="333333"/>
                    </w:rPr>
                    <w:t>1.0%</w:t>
                  </w:r>
                </w:p>
              </w:tc>
            </w:tr>
            <w:tr w14:paraId="1F21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821" w:type="dxa"/>
                  <w:shd w:val="clear" w:color="auto" w:fill="FFFFFF"/>
                  <w:tcMar>
                    <w:top w:w="20" w:type="dxa"/>
                    <w:left w:w="100" w:type="dxa"/>
                    <w:bottom w:w="20" w:type="dxa"/>
                    <w:right w:w="100" w:type="dxa"/>
                  </w:tcMar>
                  <w:vAlign w:val="center"/>
                </w:tcPr>
                <w:p w14:paraId="3A2D219F">
                  <w:pPr>
                    <w:wordWrap w:val="0"/>
                    <w:spacing w:line="360" w:lineRule="auto"/>
                    <w:rPr>
                      <w:rFonts w:hint="eastAsia" w:ascii="宋体" w:hAnsi="宋体" w:cs="Arial"/>
                      <w:color w:val="333333"/>
                    </w:rPr>
                  </w:pPr>
                  <w:r>
                    <w:rPr>
                      <w:rFonts w:ascii="宋体" w:hAnsi="宋体" w:cs="Arial"/>
                      <w:color w:val="333333"/>
                    </w:rPr>
                    <w:t>100-500</w:t>
                  </w:r>
                </w:p>
              </w:tc>
              <w:tc>
                <w:tcPr>
                  <w:tcW w:w="1738" w:type="dxa"/>
                  <w:shd w:val="clear" w:color="auto" w:fill="FFFFFF"/>
                  <w:tcMar>
                    <w:top w:w="20" w:type="dxa"/>
                    <w:left w:w="100" w:type="dxa"/>
                    <w:bottom w:w="20" w:type="dxa"/>
                    <w:right w:w="100" w:type="dxa"/>
                  </w:tcMar>
                  <w:vAlign w:val="center"/>
                </w:tcPr>
                <w:p w14:paraId="706FB084">
                  <w:pPr>
                    <w:wordWrap w:val="0"/>
                    <w:spacing w:line="360" w:lineRule="auto"/>
                    <w:jc w:val="center"/>
                    <w:rPr>
                      <w:rFonts w:hint="eastAsia" w:ascii="宋体" w:hAnsi="宋体" w:cs="Arial"/>
                      <w:color w:val="333333"/>
                    </w:rPr>
                  </w:pPr>
                  <w:r>
                    <w:rPr>
                      <w:rFonts w:ascii="宋体" w:hAnsi="宋体" w:cs="Arial"/>
                      <w:color w:val="333333"/>
                    </w:rPr>
                    <w:t>1.1%</w:t>
                  </w:r>
                </w:p>
              </w:tc>
              <w:tc>
                <w:tcPr>
                  <w:tcW w:w="1739" w:type="dxa"/>
                  <w:shd w:val="clear" w:color="auto" w:fill="FFFFFF"/>
                  <w:tcMar>
                    <w:top w:w="20" w:type="dxa"/>
                    <w:left w:w="100" w:type="dxa"/>
                    <w:bottom w:w="20" w:type="dxa"/>
                    <w:right w:w="100" w:type="dxa"/>
                  </w:tcMar>
                  <w:vAlign w:val="center"/>
                </w:tcPr>
                <w:p w14:paraId="07D3BD67">
                  <w:pPr>
                    <w:wordWrap w:val="0"/>
                    <w:spacing w:line="360" w:lineRule="auto"/>
                    <w:jc w:val="center"/>
                    <w:rPr>
                      <w:rFonts w:hint="eastAsia" w:ascii="宋体" w:hAnsi="宋体" w:cs="Arial"/>
                      <w:color w:val="333333"/>
                    </w:rPr>
                  </w:pPr>
                  <w:r>
                    <w:rPr>
                      <w:rFonts w:ascii="宋体" w:hAnsi="宋体" w:cs="Arial"/>
                      <w:color w:val="333333"/>
                    </w:rPr>
                    <w:t>0.8%</w:t>
                  </w:r>
                </w:p>
              </w:tc>
              <w:tc>
                <w:tcPr>
                  <w:tcW w:w="1739" w:type="dxa"/>
                  <w:shd w:val="clear" w:color="auto" w:fill="FFFFFF"/>
                  <w:tcMar>
                    <w:top w:w="20" w:type="dxa"/>
                    <w:left w:w="100" w:type="dxa"/>
                    <w:bottom w:w="20" w:type="dxa"/>
                    <w:right w:w="100" w:type="dxa"/>
                  </w:tcMar>
                  <w:vAlign w:val="center"/>
                </w:tcPr>
                <w:p w14:paraId="6115DF39">
                  <w:pPr>
                    <w:wordWrap w:val="0"/>
                    <w:spacing w:line="360" w:lineRule="auto"/>
                    <w:jc w:val="center"/>
                    <w:rPr>
                      <w:rFonts w:hint="eastAsia" w:ascii="宋体" w:hAnsi="宋体" w:cs="Arial"/>
                      <w:color w:val="333333"/>
                    </w:rPr>
                  </w:pPr>
                  <w:r>
                    <w:rPr>
                      <w:rFonts w:ascii="宋体" w:hAnsi="宋体" w:cs="Arial"/>
                      <w:color w:val="333333"/>
                    </w:rPr>
                    <w:t>0.7%</w:t>
                  </w:r>
                </w:p>
              </w:tc>
            </w:tr>
            <w:tr w14:paraId="5180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821" w:type="dxa"/>
                  <w:shd w:val="clear" w:color="auto" w:fill="FFFFFF"/>
                  <w:tcMar>
                    <w:top w:w="20" w:type="dxa"/>
                    <w:left w:w="100" w:type="dxa"/>
                    <w:bottom w:w="20" w:type="dxa"/>
                    <w:right w:w="100" w:type="dxa"/>
                  </w:tcMar>
                  <w:vAlign w:val="center"/>
                </w:tcPr>
                <w:p w14:paraId="634B6C77">
                  <w:pPr>
                    <w:wordWrap w:val="0"/>
                    <w:spacing w:line="360" w:lineRule="auto"/>
                    <w:rPr>
                      <w:rFonts w:hint="eastAsia" w:ascii="宋体" w:hAnsi="宋体" w:cs="Arial"/>
                      <w:color w:val="333333"/>
                    </w:rPr>
                  </w:pPr>
                  <w:r>
                    <w:rPr>
                      <w:rFonts w:ascii="宋体" w:hAnsi="宋体" w:cs="Arial"/>
                      <w:color w:val="333333"/>
                    </w:rPr>
                    <w:t>500-1000</w:t>
                  </w:r>
                </w:p>
              </w:tc>
              <w:tc>
                <w:tcPr>
                  <w:tcW w:w="1738" w:type="dxa"/>
                  <w:shd w:val="clear" w:color="auto" w:fill="FFFFFF"/>
                  <w:tcMar>
                    <w:top w:w="20" w:type="dxa"/>
                    <w:left w:w="100" w:type="dxa"/>
                    <w:bottom w:w="20" w:type="dxa"/>
                    <w:right w:w="100" w:type="dxa"/>
                  </w:tcMar>
                  <w:vAlign w:val="center"/>
                </w:tcPr>
                <w:p w14:paraId="5F8CF363">
                  <w:pPr>
                    <w:wordWrap w:val="0"/>
                    <w:spacing w:line="360" w:lineRule="auto"/>
                    <w:jc w:val="center"/>
                    <w:rPr>
                      <w:rFonts w:hint="eastAsia" w:ascii="宋体" w:hAnsi="宋体" w:cs="Arial"/>
                      <w:color w:val="333333"/>
                    </w:rPr>
                  </w:pPr>
                  <w:r>
                    <w:rPr>
                      <w:rFonts w:ascii="宋体" w:hAnsi="宋体" w:cs="Arial"/>
                      <w:color w:val="333333"/>
                    </w:rPr>
                    <w:t>0.8%</w:t>
                  </w:r>
                </w:p>
              </w:tc>
              <w:tc>
                <w:tcPr>
                  <w:tcW w:w="1739" w:type="dxa"/>
                  <w:shd w:val="clear" w:color="auto" w:fill="FFFFFF"/>
                  <w:tcMar>
                    <w:top w:w="20" w:type="dxa"/>
                    <w:left w:w="100" w:type="dxa"/>
                    <w:bottom w:w="20" w:type="dxa"/>
                    <w:right w:w="100" w:type="dxa"/>
                  </w:tcMar>
                  <w:vAlign w:val="center"/>
                </w:tcPr>
                <w:p w14:paraId="3D61F4DB">
                  <w:pPr>
                    <w:wordWrap w:val="0"/>
                    <w:spacing w:line="360" w:lineRule="auto"/>
                    <w:jc w:val="center"/>
                    <w:rPr>
                      <w:rFonts w:hint="eastAsia" w:ascii="宋体" w:hAnsi="宋体" w:cs="Arial"/>
                      <w:color w:val="333333"/>
                    </w:rPr>
                  </w:pPr>
                  <w:r>
                    <w:rPr>
                      <w:rFonts w:ascii="宋体" w:hAnsi="宋体" w:cs="Arial"/>
                      <w:color w:val="333333"/>
                    </w:rPr>
                    <w:t>0.45%</w:t>
                  </w:r>
                </w:p>
              </w:tc>
              <w:tc>
                <w:tcPr>
                  <w:tcW w:w="1739" w:type="dxa"/>
                  <w:shd w:val="clear" w:color="auto" w:fill="FFFFFF"/>
                  <w:tcMar>
                    <w:top w:w="20" w:type="dxa"/>
                    <w:left w:w="100" w:type="dxa"/>
                    <w:bottom w:w="20" w:type="dxa"/>
                    <w:right w:w="100" w:type="dxa"/>
                  </w:tcMar>
                  <w:vAlign w:val="center"/>
                </w:tcPr>
                <w:p w14:paraId="71FB51DE">
                  <w:pPr>
                    <w:wordWrap w:val="0"/>
                    <w:spacing w:line="360" w:lineRule="auto"/>
                    <w:jc w:val="center"/>
                    <w:rPr>
                      <w:rFonts w:hint="eastAsia" w:ascii="宋体" w:hAnsi="宋体" w:cs="Arial"/>
                      <w:color w:val="333333"/>
                    </w:rPr>
                  </w:pPr>
                  <w:r>
                    <w:rPr>
                      <w:rFonts w:ascii="宋体" w:hAnsi="宋体" w:cs="Arial"/>
                      <w:color w:val="333333"/>
                    </w:rPr>
                    <w:t>0.55%</w:t>
                  </w:r>
                </w:p>
              </w:tc>
            </w:tr>
            <w:tr w14:paraId="6A2C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821" w:type="dxa"/>
                  <w:shd w:val="clear" w:color="auto" w:fill="FFFFFF"/>
                  <w:tcMar>
                    <w:top w:w="20" w:type="dxa"/>
                    <w:left w:w="100" w:type="dxa"/>
                    <w:bottom w:w="20" w:type="dxa"/>
                    <w:right w:w="100" w:type="dxa"/>
                  </w:tcMar>
                  <w:vAlign w:val="center"/>
                </w:tcPr>
                <w:p w14:paraId="4FF1D86D">
                  <w:pPr>
                    <w:wordWrap w:val="0"/>
                    <w:spacing w:line="360" w:lineRule="auto"/>
                    <w:rPr>
                      <w:rFonts w:hint="eastAsia" w:ascii="宋体" w:hAnsi="宋体" w:cs="Arial"/>
                      <w:color w:val="333333"/>
                    </w:rPr>
                  </w:pPr>
                  <w:r>
                    <w:rPr>
                      <w:rFonts w:ascii="宋体" w:hAnsi="宋体" w:cs="Arial"/>
                      <w:color w:val="333333"/>
                    </w:rPr>
                    <w:t>1000-5000</w:t>
                  </w:r>
                </w:p>
              </w:tc>
              <w:tc>
                <w:tcPr>
                  <w:tcW w:w="1738" w:type="dxa"/>
                  <w:shd w:val="clear" w:color="auto" w:fill="FFFFFF"/>
                  <w:tcMar>
                    <w:top w:w="20" w:type="dxa"/>
                    <w:left w:w="100" w:type="dxa"/>
                    <w:bottom w:w="20" w:type="dxa"/>
                    <w:right w:w="100" w:type="dxa"/>
                  </w:tcMar>
                  <w:vAlign w:val="center"/>
                </w:tcPr>
                <w:p w14:paraId="0C08AF28">
                  <w:pPr>
                    <w:wordWrap w:val="0"/>
                    <w:spacing w:line="360" w:lineRule="auto"/>
                    <w:jc w:val="center"/>
                    <w:rPr>
                      <w:rFonts w:hint="eastAsia" w:ascii="宋体" w:hAnsi="宋体" w:cs="Arial"/>
                      <w:color w:val="333333"/>
                    </w:rPr>
                  </w:pPr>
                  <w:r>
                    <w:rPr>
                      <w:rFonts w:ascii="宋体" w:hAnsi="宋体" w:cs="Arial"/>
                      <w:color w:val="333333"/>
                    </w:rPr>
                    <w:t>0.5%</w:t>
                  </w:r>
                </w:p>
              </w:tc>
              <w:tc>
                <w:tcPr>
                  <w:tcW w:w="1739" w:type="dxa"/>
                  <w:shd w:val="clear" w:color="auto" w:fill="FFFFFF"/>
                  <w:tcMar>
                    <w:top w:w="20" w:type="dxa"/>
                    <w:left w:w="100" w:type="dxa"/>
                    <w:bottom w:w="20" w:type="dxa"/>
                    <w:right w:w="100" w:type="dxa"/>
                  </w:tcMar>
                  <w:vAlign w:val="center"/>
                </w:tcPr>
                <w:p w14:paraId="4434580A">
                  <w:pPr>
                    <w:wordWrap w:val="0"/>
                    <w:spacing w:line="360" w:lineRule="auto"/>
                    <w:jc w:val="center"/>
                    <w:rPr>
                      <w:rFonts w:hint="eastAsia" w:ascii="宋体" w:hAnsi="宋体" w:cs="Arial"/>
                      <w:color w:val="333333"/>
                    </w:rPr>
                  </w:pPr>
                  <w:r>
                    <w:rPr>
                      <w:rFonts w:ascii="宋体" w:hAnsi="宋体" w:cs="Arial"/>
                      <w:color w:val="333333"/>
                    </w:rPr>
                    <w:t>0.25%</w:t>
                  </w:r>
                </w:p>
              </w:tc>
              <w:tc>
                <w:tcPr>
                  <w:tcW w:w="1739" w:type="dxa"/>
                  <w:shd w:val="clear" w:color="auto" w:fill="FFFFFF"/>
                  <w:tcMar>
                    <w:top w:w="20" w:type="dxa"/>
                    <w:left w:w="100" w:type="dxa"/>
                    <w:bottom w:w="20" w:type="dxa"/>
                    <w:right w:w="100" w:type="dxa"/>
                  </w:tcMar>
                  <w:vAlign w:val="center"/>
                </w:tcPr>
                <w:p w14:paraId="27224E8D">
                  <w:pPr>
                    <w:wordWrap w:val="0"/>
                    <w:spacing w:line="360" w:lineRule="auto"/>
                    <w:jc w:val="center"/>
                    <w:rPr>
                      <w:rFonts w:hint="eastAsia" w:ascii="宋体" w:hAnsi="宋体" w:cs="Arial"/>
                      <w:color w:val="333333"/>
                    </w:rPr>
                  </w:pPr>
                  <w:r>
                    <w:rPr>
                      <w:rFonts w:ascii="宋体" w:hAnsi="宋体" w:cs="Arial"/>
                      <w:color w:val="333333"/>
                    </w:rPr>
                    <w:t>0.35%</w:t>
                  </w:r>
                </w:p>
              </w:tc>
            </w:tr>
            <w:tr w14:paraId="6013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trPr>
              <w:tc>
                <w:tcPr>
                  <w:tcW w:w="2821" w:type="dxa"/>
                  <w:shd w:val="clear" w:color="auto" w:fill="FFFFFF"/>
                  <w:tcMar>
                    <w:top w:w="20" w:type="dxa"/>
                    <w:left w:w="100" w:type="dxa"/>
                    <w:bottom w:w="20" w:type="dxa"/>
                    <w:right w:w="100" w:type="dxa"/>
                  </w:tcMar>
                  <w:vAlign w:val="center"/>
                </w:tcPr>
                <w:p w14:paraId="3F79B824">
                  <w:pPr>
                    <w:wordWrap w:val="0"/>
                    <w:spacing w:line="360" w:lineRule="auto"/>
                    <w:rPr>
                      <w:rFonts w:hint="eastAsia" w:ascii="宋体" w:hAnsi="宋体" w:cs="Arial"/>
                      <w:color w:val="333333"/>
                    </w:rPr>
                  </w:pPr>
                  <w:r>
                    <w:rPr>
                      <w:rFonts w:ascii="宋体" w:hAnsi="宋体" w:cs="Arial"/>
                      <w:color w:val="333333"/>
                    </w:rPr>
                    <w:t>5000-10000</w:t>
                  </w:r>
                </w:p>
              </w:tc>
              <w:tc>
                <w:tcPr>
                  <w:tcW w:w="1738" w:type="dxa"/>
                  <w:shd w:val="clear" w:color="auto" w:fill="FFFFFF"/>
                  <w:tcMar>
                    <w:top w:w="20" w:type="dxa"/>
                    <w:left w:w="100" w:type="dxa"/>
                    <w:bottom w:w="20" w:type="dxa"/>
                    <w:right w:w="100" w:type="dxa"/>
                  </w:tcMar>
                  <w:vAlign w:val="center"/>
                </w:tcPr>
                <w:p w14:paraId="3B9A230E">
                  <w:pPr>
                    <w:wordWrap w:val="0"/>
                    <w:spacing w:line="360" w:lineRule="auto"/>
                    <w:jc w:val="center"/>
                    <w:rPr>
                      <w:rFonts w:hint="eastAsia" w:ascii="宋体" w:hAnsi="宋体" w:cs="Arial"/>
                      <w:color w:val="333333"/>
                    </w:rPr>
                  </w:pPr>
                  <w:r>
                    <w:rPr>
                      <w:rFonts w:ascii="宋体" w:hAnsi="宋体" w:cs="Arial"/>
                      <w:color w:val="333333"/>
                    </w:rPr>
                    <w:t>0.25%</w:t>
                  </w:r>
                </w:p>
              </w:tc>
              <w:tc>
                <w:tcPr>
                  <w:tcW w:w="1739" w:type="dxa"/>
                  <w:shd w:val="clear" w:color="auto" w:fill="FFFFFF"/>
                  <w:tcMar>
                    <w:top w:w="20" w:type="dxa"/>
                    <w:left w:w="100" w:type="dxa"/>
                    <w:bottom w:w="20" w:type="dxa"/>
                    <w:right w:w="100" w:type="dxa"/>
                  </w:tcMar>
                  <w:vAlign w:val="center"/>
                </w:tcPr>
                <w:p w14:paraId="233FB218">
                  <w:pPr>
                    <w:wordWrap w:val="0"/>
                    <w:spacing w:line="360" w:lineRule="auto"/>
                    <w:jc w:val="center"/>
                    <w:rPr>
                      <w:rFonts w:hint="eastAsia" w:ascii="宋体" w:hAnsi="宋体" w:cs="Arial"/>
                      <w:color w:val="333333"/>
                    </w:rPr>
                  </w:pPr>
                  <w:r>
                    <w:rPr>
                      <w:rFonts w:ascii="宋体" w:hAnsi="宋体" w:cs="Arial"/>
                      <w:color w:val="333333"/>
                    </w:rPr>
                    <w:t>0.1%</w:t>
                  </w:r>
                </w:p>
              </w:tc>
              <w:tc>
                <w:tcPr>
                  <w:tcW w:w="1739" w:type="dxa"/>
                  <w:shd w:val="clear" w:color="auto" w:fill="FFFFFF"/>
                  <w:tcMar>
                    <w:top w:w="20" w:type="dxa"/>
                    <w:left w:w="100" w:type="dxa"/>
                    <w:bottom w:w="20" w:type="dxa"/>
                    <w:right w:w="100" w:type="dxa"/>
                  </w:tcMar>
                  <w:vAlign w:val="center"/>
                </w:tcPr>
                <w:p w14:paraId="5DA00CAC">
                  <w:pPr>
                    <w:wordWrap w:val="0"/>
                    <w:spacing w:line="360" w:lineRule="auto"/>
                    <w:jc w:val="center"/>
                    <w:rPr>
                      <w:rFonts w:hint="eastAsia" w:ascii="宋体" w:hAnsi="宋体" w:cs="Arial"/>
                      <w:color w:val="333333"/>
                    </w:rPr>
                  </w:pPr>
                  <w:r>
                    <w:rPr>
                      <w:rFonts w:ascii="宋体" w:hAnsi="宋体" w:cs="Arial"/>
                      <w:color w:val="333333"/>
                    </w:rPr>
                    <w:t>0.2%</w:t>
                  </w:r>
                </w:p>
              </w:tc>
            </w:tr>
          </w:tbl>
          <w:p w14:paraId="5501DB54">
            <w:pPr>
              <w:spacing w:line="440" w:lineRule="exact"/>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②中标服务费的交纳方式：</w:t>
            </w:r>
          </w:p>
          <w:p w14:paraId="43481768">
            <w:pPr>
              <w:spacing w:line="440" w:lineRule="exact"/>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用银行支票、汇票、电汇、现金等付款方式直接交纳中标服务费。</w:t>
            </w:r>
          </w:p>
          <w:p w14:paraId="3FB6CE38">
            <w:pPr>
              <w:spacing w:line="440" w:lineRule="exact"/>
              <w:rPr>
                <w:rFonts w:hint="eastAsia" w:ascii="宋体" w:hAnsi="宋体" w:cs="宋体"/>
                <w:sz w:val="24"/>
              </w:rPr>
            </w:pPr>
            <w:r>
              <w:rPr>
                <w:rFonts w:hint="eastAsia" w:ascii="宋体" w:hAnsi="宋体" w:cs="宋体"/>
                <w:snapToGrid w:val="0"/>
                <w:color w:val="000000" w:themeColor="text1"/>
                <w:kern w:val="28"/>
                <w:sz w:val="24"/>
                <w14:textFill>
                  <w14:solidFill>
                    <w14:schemeClr w14:val="tx1"/>
                  </w14:solidFill>
                </w14:textFill>
              </w:rPr>
              <w:t>③中标服务费的交纳时间：领取中标通知书时交纳。</w:t>
            </w:r>
          </w:p>
        </w:tc>
      </w:tr>
      <w:tr w14:paraId="799E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283" w:type="dxa"/>
          </w:tblCellMar>
        </w:tblPrEx>
        <w:trPr>
          <w:trHeight w:val="499" w:hRule="atLeast"/>
          <w:jc w:val="center"/>
        </w:trPr>
        <w:tc>
          <w:tcPr>
            <w:tcW w:w="952" w:type="dxa"/>
            <w:vAlign w:val="center"/>
          </w:tcPr>
          <w:p w14:paraId="44C5E177">
            <w:pPr>
              <w:adjustRightInd/>
              <w:spacing w:line="520" w:lineRule="exact"/>
              <w:jc w:val="center"/>
              <w:rPr>
                <w:rFonts w:hint="eastAsia" w:ascii="宋体" w:hAnsi="宋体" w:cs="宋体"/>
                <w:sz w:val="24"/>
              </w:rPr>
            </w:pPr>
            <w:r>
              <w:rPr>
                <w:rFonts w:hint="eastAsia" w:ascii="宋体" w:hAnsi="宋体" w:cs="宋体"/>
                <w:sz w:val="24"/>
              </w:rPr>
              <w:t>13</w:t>
            </w:r>
          </w:p>
        </w:tc>
        <w:tc>
          <w:tcPr>
            <w:tcW w:w="8388" w:type="dxa"/>
            <w:vAlign w:val="center"/>
          </w:tcPr>
          <w:p w14:paraId="7667726F">
            <w:pPr>
              <w:autoSpaceDE w:val="0"/>
              <w:autoSpaceDN w:val="0"/>
              <w:adjustRightInd/>
              <w:spacing w:line="520" w:lineRule="exact"/>
              <w:textAlignment w:val="bottom"/>
              <w:rPr>
                <w:rFonts w:hint="eastAsia" w:ascii="宋体" w:hAnsi="宋体" w:cs="宋体"/>
                <w:sz w:val="24"/>
              </w:rPr>
            </w:pPr>
            <w:r>
              <w:rPr>
                <w:rFonts w:hint="eastAsia" w:ascii="宋体" w:hAnsi="宋体" w:cs="宋体"/>
                <w:snapToGrid w:val="0"/>
                <w:color w:val="000000" w:themeColor="text1"/>
                <w:kern w:val="28"/>
                <w:sz w:val="24"/>
                <w14:textFill>
                  <w14:solidFill>
                    <w14:schemeClr w14:val="tx1"/>
                  </w14:solidFill>
                </w14:textFill>
              </w:rPr>
              <w:t>在领取中标通知书时中标供应商需根据采购人要求提供纸质投标文件（与电子投标文件一致）至少三份，递交至代理机构，如与电子投标文件不符将影响中标供应商领取中标通知书。</w:t>
            </w:r>
          </w:p>
        </w:tc>
      </w:tr>
      <w:tr w14:paraId="442F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283" w:type="dxa"/>
          </w:tblCellMar>
        </w:tblPrEx>
        <w:trPr>
          <w:trHeight w:val="477" w:hRule="atLeast"/>
          <w:jc w:val="center"/>
        </w:trPr>
        <w:tc>
          <w:tcPr>
            <w:tcW w:w="952" w:type="dxa"/>
            <w:vAlign w:val="center"/>
          </w:tcPr>
          <w:p w14:paraId="40A0D9CA">
            <w:pPr>
              <w:adjustRightInd/>
              <w:spacing w:line="520" w:lineRule="exact"/>
              <w:jc w:val="center"/>
              <w:rPr>
                <w:rFonts w:hint="eastAsia" w:ascii="宋体" w:hAnsi="宋体" w:cs="宋体"/>
                <w:sz w:val="24"/>
              </w:rPr>
            </w:pPr>
            <w:r>
              <w:rPr>
                <w:rFonts w:hint="eastAsia" w:ascii="宋体" w:hAnsi="宋体" w:cs="宋体"/>
                <w:sz w:val="24"/>
              </w:rPr>
              <w:t>14</w:t>
            </w:r>
          </w:p>
        </w:tc>
        <w:tc>
          <w:tcPr>
            <w:tcW w:w="8388" w:type="dxa"/>
            <w:vAlign w:val="center"/>
          </w:tcPr>
          <w:p w14:paraId="75CFE921">
            <w:pPr>
              <w:adjustRightInd/>
              <w:spacing w:line="520" w:lineRule="exact"/>
              <w:rPr>
                <w:rFonts w:hint="eastAsia" w:ascii="宋体" w:hAnsi="宋体" w:cs="宋体"/>
                <w:sz w:val="24"/>
              </w:rPr>
            </w:pPr>
            <w:r>
              <w:rPr>
                <w:rFonts w:hint="eastAsia" w:ascii="宋体" w:hAnsi="宋体" w:cs="宋体"/>
                <w:sz w:val="24"/>
              </w:rPr>
              <w:t>解释：凡涉及本采购文件的解释权属于采购单位及采购代理机构。</w:t>
            </w:r>
          </w:p>
        </w:tc>
      </w:tr>
      <w:tr w14:paraId="28EB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283" w:type="dxa"/>
          </w:tblCellMar>
        </w:tblPrEx>
        <w:trPr>
          <w:trHeight w:val="1228" w:hRule="atLeast"/>
          <w:jc w:val="center"/>
        </w:trPr>
        <w:tc>
          <w:tcPr>
            <w:tcW w:w="9340" w:type="dxa"/>
            <w:gridSpan w:val="2"/>
            <w:vAlign w:val="center"/>
          </w:tcPr>
          <w:p w14:paraId="703B2AF5">
            <w:pPr>
              <w:adjustRightInd/>
              <w:spacing w:line="520" w:lineRule="exact"/>
              <w:rPr>
                <w:rFonts w:hint="eastAsia" w:ascii="宋体" w:hAnsi="宋体" w:cs="宋体"/>
                <w:sz w:val="24"/>
              </w:rPr>
            </w:pPr>
            <w:r>
              <w:rPr>
                <w:rFonts w:hint="eastAsia" w:ascii="宋体" w:hAnsi="宋体" w:cs="宋体"/>
                <w:sz w:val="24"/>
              </w:rPr>
              <w:t>注：中标人放弃中标资格或因质疑、投诉被取消中标资格或不能履行合同的，本项目重新组织采购。</w:t>
            </w:r>
          </w:p>
        </w:tc>
      </w:tr>
    </w:tbl>
    <w:p w14:paraId="7D8DF18D">
      <w:pPr>
        <w:tabs>
          <w:tab w:val="left" w:pos="358"/>
        </w:tabs>
        <w:spacing w:line="460" w:lineRule="exact"/>
        <w:jc w:val="center"/>
        <w:rPr>
          <w:rFonts w:hint="eastAsia" w:ascii="仿宋" w:hAnsi="仿宋" w:eastAsia="仿宋" w:cs="仿宋"/>
          <w:sz w:val="32"/>
          <w:szCs w:val="32"/>
        </w:rPr>
      </w:pPr>
      <w:bookmarkStart w:id="16" w:name="_Toc54978890"/>
      <w:bookmarkStart w:id="17" w:name="_Toc10076"/>
      <w:bookmarkStart w:id="18" w:name="_Toc872"/>
      <w:bookmarkStart w:id="19" w:name="_Toc31687"/>
      <w:bookmarkStart w:id="20" w:name="_Toc12075"/>
    </w:p>
    <w:p w14:paraId="6110595E">
      <w:pPr>
        <w:pStyle w:val="2"/>
        <w:tabs>
          <w:tab w:val="left" w:pos="358"/>
          <w:tab w:val="clear" w:pos="432"/>
        </w:tabs>
        <w:spacing w:line="460" w:lineRule="exact"/>
        <w:ind w:left="0" w:firstLine="0"/>
        <w:jc w:val="center"/>
        <w:rPr>
          <w:rFonts w:hint="eastAsia" w:ascii="仿宋" w:eastAsia="仿宋" w:cs="仿宋"/>
        </w:rPr>
        <w:sectPr>
          <w:headerReference r:id="rId11" w:type="default"/>
          <w:footerReference r:id="rId12" w:type="default"/>
          <w:pgSz w:w="11906" w:h="16838"/>
          <w:pgMar w:top="1247" w:right="1179" w:bottom="1230" w:left="998" w:header="862" w:footer="1066" w:gutter="0"/>
          <w:pgNumType w:start="1"/>
          <w:cols w:space="0" w:num="1"/>
          <w:docGrid w:linePitch="312" w:charSpace="0"/>
        </w:sectPr>
      </w:pPr>
    </w:p>
    <w:p w14:paraId="32FC9D9F">
      <w:pPr>
        <w:pStyle w:val="2"/>
        <w:tabs>
          <w:tab w:val="left" w:pos="358"/>
          <w:tab w:val="clear" w:pos="432"/>
        </w:tabs>
        <w:spacing w:line="460" w:lineRule="exact"/>
        <w:ind w:left="0" w:firstLine="0"/>
        <w:jc w:val="center"/>
        <w:rPr>
          <w:rFonts w:hint="eastAsia" w:ascii="仿宋" w:eastAsia="仿宋" w:cs="仿宋"/>
        </w:rPr>
      </w:pPr>
      <w:r>
        <w:rPr>
          <w:rFonts w:hint="eastAsia" w:ascii="仿宋" w:eastAsia="仿宋" w:cs="仿宋"/>
        </w:rPr>
        <w:t>二、总则</w:t>
      </w:r>
      <w:bookmarkEnd w:id="16"/>
    </w:p>
    <w:p w14:paraId="2037BA6D">
      <w:pPr>
        <w:adjustRightInd/>
        <w:spacing w:line="520" w:lineRule="exact"/>
        <w:ind w:firstLine="420"/>
        <w:rPr>
          <w:rFonts w:hint="eastAsia" w:cs="宋体" w:asciiTheme="minorEastAsia" w:hAnsiTheme="minorEastAsia" w:eastAsiaTheme="minorEastAsia"/>
          <w:sz w:val="24"/>
        </w:rPr>
      </w:pPr>
      <w:bookmarkStart w:id="21" w:name="_Toc82338240"/>
      <w:bookmarkStart w:id="22" w:name="_Toc82873323"/>
      <w:r>
        <w:rPr>
          <w:rFonts w:hint="eastAsia" w:cs="宋体" w:asciiTheme="minorEastAsia" w:hAnsiTheme="minorEastAsia" w:eastAsiaTheme="minorEastAsia"/>
          <w:sz w:val="24"/>
        </w:rPr>
        <w:t>1、实施依据</w:t>
      </w:r>
    </w:p>
    <w:p w14:paraId="14F79D06">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本次招标工作是根据招标投标有关法律、法规、规章、文件的规定组织和实施。</w:t>
      </w:r>
    </w:p>
    <w:p w14:paraId="7A4FB635">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2、定义</w:t>
      </w:r>
    </w:p>
    <w:p w14:paraId="5F0E16F3">
      <w:pPr>
        <w:adjustRightInd/>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2.1 “采购人”系指采购公告中载明的本项目的采购人。</w:t>
      </w:r>
    </w:p>
    <w:p w14:paraId="3A934052">
      <w:pPr>
        <w:adjustRightInd/>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 “采购机构”系指采购公告中载明的本项目的采购代理机构。</w:t>
      </w:r>
    </w:p>
    <w:p w14:paraId="3E174DAD">
      <w:pPr>
        <w:adjustRightInd/>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2.3 “投标人”系指是指响应招标、参加投标竞争的法人、其他组织或者自然人。</w:t>
      </w:r>
    </w:p>
    <w:p w14:paraId="1F0BAF0E">
      <w:pPr>
        <w:adjustRightInd/>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2.4 “负责人”系指法人企业的法定负责人，或其他组织为法律、行政法规规定代表单位行使职权的主要负责人，或自然人本人。</w:t>
      </w:r>
    </w:p>
    <w:p w14:paraId="1E477152">
      <w:pPr>
        <w:adjustRightInd/>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格式见附件）。</w:t>
      </w:r>
    </w:p>
    <w:p w14:paraId="35D32A56">
      <w:pPr>
        <w:adjustRightInd/>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2.6“电子交易平台”是指本项目采购活动所依托的乐采云平台（https://www.lecaiyun.com/）。</w:t>
      </w:r>
    </w:p>
    <w:p w14:paraId="010BED07">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2.7 “▲”系指实质性指标要求条款，“★”系指主要性能指标要求条款。如任意一条打“▲”的指标出现负偏离视为实质性不响应招标文件要求，作无效投标处理；如任意一条打“★”的指标出现负偏离按评分标准规定处理。</w:t>
      </w:r>
    </w:p>
    <w:p w14:paraId="4190D978">
      <w:pPr>
        <w:adjustRightInd/>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sz w:val="24"/>
        </w:rPr>
        <w:sym w:font="Wingdings" w:char="F0FE"/>
      </w:r>
      <w:r>
        <w:rPr>
          <w:rFonts w:hint="eastAsia" w:cs="宋体" w:asciiTheme="minorEastAsia" w:hAnsiTheme="minorEastAsia" w:eastAsiaTheme="minorEastAsia"/>
          <w:sz w:val="24"/>
        </w:rPr>
        <w:t>” 系指适用本项目的要求，“</w:t>
      </w:r>
      <w:r>
        <w:rPr>
          <w:rFonts w:ascii="Segoe UI Symbol" w:hAnsi="Segoe UI Symbol" w:cs="Segoe UI Symbol" w:eastAsiaTheme="minorEastAsia"/>
          <w:sz w:val="24"/>
        </w:rPr>
        <w:t>☐</w:t>
      </w:r>
      <w:r>
        <w:rPr>
          <w:rFonts w:hint="eastAsia" w:ascii="宋体" w:hAnsi="宋体" w:cs="宋体"/>
          <w:sz w:val="24"/>
        </w:rPr>
        <w:t>”</w:t>
      </w:r>
      <w:r>
        <w:rPr>
          <w:rFonts w:hint="eastAsia" w:cs="宋体" w:asciiTheme="minorEastAsia" w:hAnsiTheme="minorEastAsia" w:eastAsiaTheme="minorEastAsia"/>
          <w:sz w:val="24"/>
        </w:rPr>
        <w:t xml:space="preserve"> 系指不适用本项目的要求。</w:t>
      </w:r>
    </w:p>
    <w:p w14:paraId="6CF3A5B6">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投标联合体：是指两个以上供应商组成联合体，以一个投标人的身份参加投标；</w:t>
      </w:r>
    </w:p>
    <w:p w14:paraId="5A29299B">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货物和服务：是指按采购文件要求的货物和服务；</w:t>
      </w:r>
    </w:p>
    <w:p w14:paraId="782E0E20">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3、投标人须知前附表规定接受联合体投标的，应遵守以下规定：</w:t>
      </w:r>
      <w:r>
        <w:rPr>
          <w:rFonts w:hint="eastAsia" w:cs="宋体" w:asciiTheme="minorEastAsia" w:hAnsiTheme="minorEastAsia" w:eastAsiaTheme="minorEastAsia"/>
          <w:b/>
          <w:sz w:val="24"/>
        </w:rPr>
        <w:t>（本项目不适用）</w:t>
      </w:r>
    </w:p>
    <w:p w14:paraId="19E0D445">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3.1两个以上供应商可以组成一个联合体，以一个供应商的身份共同项目参加投标；</w:t>
      </w:r>
    </w:p>
    <w:p w14:paraId="613C0B3E">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3.2组成联合体参加本项目投标的，投标人须在购买采购文件时向采购代理机构作出相关书面说明，否则投标无效；</w:t>
      </w:r>
    </w:p>
    <w:p w14:paraId="578841DB">
      <w:pPr>
        <w:adjustRightInd/>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3.3以联合体形式参加本项目投标的，联合体的各成员均应当具备相关法律法规规定的条件，联合体各方中至少应当有一方符合采购人规定的特定条件</w:t>
      </w:r>
      <w:r>
        <w:rPr>
          <w:rFonts w:hint="eastAsia" w:cs="宋体" w:asciiTheme="minorEastAsia" w:hAnsiTheme="minorEastAsia" w:eastAsiaTheme="minorEastAsia"/>
          <w:kern w:val="0"/>
          <w:sz w:val="24"/>
        </w:rPr>
        <w:t>，但同一专业的投标人组成的联合体以资质最低的一方为依据；</w:t>
      </w:r>
    </w:p>
    <w:p w14:paraId="215363D3">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3.4联合体各方之间须签订投标联合协议，明确约定联合体各方承担的工作和相应的责任，在投标联合协议中指定本项目主办人，并将投标联合协议作为投标文件组成的一部分；本项目的主体、关键性工作须由主办人完成，并在投标联合协议中进行说明；</w:t>
      </w:r>
    </w:p>
    <w:p w14:paraId="17295365">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3.5联合体各方签订投标联合协议后，不得再以自己名义单独在本项目中参加投标，也不得组成新的联合体参加本项目投标；</w:t>
      </w:r>
    </w:p>
    <w:p w14:paraId="277116F2">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3.6联合体各方共同与采购人签订采购</w:t>
      </w:r>
      <w:r>
        <w:rPr>
          <w:rFonts w:hint="eastAsia" w:cs="宋体" w:asciiTheme="minorEastAsia" w:hAnsiTheme="minorEastAsia" w:eastAsiaTheme="minorEastAsia"/>
          <w:color w:val="000000" w:themeColor="text1"/>
          <w:sz w:val="24"/>
          <w14:textFill>
            <w14:solidFill>
              <w14:schemeClr w14:val="tx1"/>
            </w14:solidFill>
          </w14:textFill>
        </w:rPr>
        <w:t>合同，</w:t>
      </w:r>
      <w:r>
        <w:rPr>
          <w:rFonts w:hint="eastAsia" w:cs="宋体" w:asciiTheme="minorEastAsia" w:hAnsiTheme="minorEastAsia" w:eastAsiaTheme="minorEastAsia"/>
          <w:b/>
          <w:bCs/>
          <w:color w:val="000000" w:themeColor="text1"/>
          <w:sz w:val="24"/>
          <w14:textFill>
            <w14:solidFill>
              <w14:schemeClr w14:val="tx1"/>
            </w14:solidFill>
          </w14:textFill>
        </w:rPr>
        <w:t>采购人分别支付货款</w:t>
      </w:r>
      <w:r>
        <w:rPr>
          <w:rFonts w:hint="eastAsia" w:cs="宋体" w:asciiTheme="minorEastAsia" w:hAnsiTheme="minorEastAsia" w:eastAsiaTheme="minorEastAsia"/>
          <w:color w:val="000000" w:themeColor="text1"/>
          <w:sz w:val="24"/>
          <w14:textFill>
            <w14:solidFill>
              <w14:schemeClr w14:val="tx1"/>
            </w14:solidFill>
          </w14:textFill>
        </w:rPr>
        <w:t>，就采购</w:t>
      </w:r>
      <w:r>
        <w:rPr>
          <w:rFonts w:hint="eastAsia" w:cs="宋体" w:asciiTheme="minorEastAsia" w:hAnsiTheme="minorEastAsia" w:eastAsiaTheme="minorEastAsia"/>
          <w:sz w:val="24"/>
        </w:rPr>
        <w:t>合同约定的事项对采购人承担连带责任；</w:t>
      </w:r>
    </w:p>
    <w:p w14:paraId="3889FFCE">
      <w:pPr>
        <w:adjustRightInd/>
        <w:spacing w:line="520" w:lineRule="exact"/>
        <w:ind w:firstLine="42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4、费用</w:t>
      </w:r>
    </w:p>
    <w:p w14:paraId="21275D07">
      <w:pPr>
        <w:adjustRightInd/>
        <w:spacing w:line="520" w:lineRule="exact"/>
        <w:ind w:firstLine="420"/>
        <w:rPr>
          <w:rFonts w:hint="eastAsia" w:cs="宋体" w:asciiTheme="minorEastAsia" w:hAnsiTheme="minorEastAsia" w:eastAsiaTheme="minorEastAsia"/>
          <w:b/>
          <w:bCs/>
          <w:sz w:val="24"/>
        </w:rPr>
      </w:pPr>
      <w:r>
        <w:rPr>
          <w:rFonts w:hint="eastAsia" w:cs="宋体" w:asciiTheme="minorEastAsia" w:hAnsiTheme="minorEastAsia" w:eastAsiaTheme="minorEastAsia"/>
          <w:sz w:val="24"/>
        </w:rPr>
        <w:t>无论招投标过程中的做法和结果如何，投标人自行承担招投标活动中所发生的全部费用。</w:t>
      </w:r>
    </w:p>
    <w:p w14:paraId="7E288B30">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5、保密</w:t>
      </w:r>
    </w:p>
    <w:p w14:paraId="7470B2BC">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参与招标投标活动的各方应对采购文件和投标文件中的商业和技术等秘密保密，违者应对此造成的后果承担法律责任。</w:t>
      </w:r>
    </w:p>
    <w:p w14:paraId="2285D1B5">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6、语言文字</w:t>
      </w:r>
    </w:p>
    <w:p w14:paraId="02CAC687">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除专用术语外，与招标投标有关的语言使用中文。专用术语应附有中文注释。</w:t>
      </w:r>
    </w:p>
    <w:p w14:paraId="382EDE3E">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7、计量单位</w:t>
      </w:r>
    </w:p>
    <w:p w14:paraId="7910C903">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所有计量均采用中华人民共和国法定计量单位。</w:t>
      </w:r>
    </w:p>
    <w:p w14:paraId="13FC7CCA">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8、踏勘现场</w:t>
      </w:r>
    </w:p>
    <w:p w14:paraId="584C1F3B">
      <w:pPr>
        <w:adjustRightInd/>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8.1投标人须知前附表规定组织踏勘现场的，采购人按投标人须知前附表规定的时间、地点组织投标人踏勘项目现场。</w:t>
      </w:r>
    </w:p>
    <w:p w14:paraId="7B571011">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8.2投标人踏勘现场发生的费用自理。</w:t>
      </w:r>
    </w:p>
    <w:p w14:paraId="5610631F">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8.3除采购人的原因外，投标人自行负责在踏勘现场中所发生的人员伤亡和财产损失。</w:t>
      </w:r>
    </w:p>
    <w:p w14:paraId="4DB77B58">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8.4采购人在踏勘现场中介绍的场地和相关的周边环境情况，供投标人在编制投标文件时参考，采购人不对投标人据此作出的判断和决策负责。</w:t>
      </w:r>
    </w:p>
    <w:p w14:paraId="1303CC11">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9、转包与分包</w:t>
      </w:r>
    </w:p>
    <w:p w14:paraId="13B86DA3">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本项目不允许转包及分包。</w:t>
      </w:r>
    </w:p>
    <w:p w14:paraId="2552C84E">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10、偏离</w:t>
      </w:r>
    </w:p>
    <w:p w14:paraId="73DB13C0">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投标文件应完全响应采购文件规定的实质性内容和条件。</w:t>
      </w:r>
    </w:p>
    <w:p w14:paraId="3691AE87">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11、其他</w:t>
      </w:r>
    </w:p>
    <w:p w14:paraId="0DE13B9A">
      <w:pPr>
        <w:adjustRightInd/>
        <w:spacing w:line="520" w:lineRule="exact"/>
        <w:ind w:firstLine="420"/>
        <w:rPr>
          <w:rFonts w:hint="eastAsia" w:cs="宋体" w:asciiTheme="minorEastAsia" w:hAnsiTheme="minorEastAsia" w:eastAsiaTheme="minorEastAsia"/>
          <w:b/>
          <w:bCs/>
          <w:sz w:val="24"/>
          <w:u w:val="single"/>
        </w:rPr>
      </w:pPr>
      <w:r>
        <w:rPr>
          <w:rFonts w:hint="eastAsia" w:cs="宋体" w:asciiTheme="minorEastAsia" w:hAnsiTheme="minorEastAsia" w:eastAsiaTheme="minorEastAsia"/>
          <w:sz w:val="24"/>
        </w:rPr>
        <w:t>11.1▲</w:t>
      </w:r>
      <w:r>
        <w:rPr>
          <w:rFonts w:hint="eastAsia" w:cs="宋体" w:asciiTheme="minorEastAsia" w:hAnsiTheme="minorEastAsia" w:eastAsiaTheme="minorEastAsia"/>
          <w:b/>
          <w:bCs/>
          <w:sz w:val="24"/>
          <w:u w:val="single"/>
        </w:rPr>
        <w:t>投标人对所投标项内的产品或服务必须按采购数量全部进行报价。</w:t>
      </w:r>
    </w:p>
    <w:p w14:paraId="7882D09F">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bCs/>
          <w:sz w:val="24"/>
        </w:rPr>
        <w:t>11.2</w:t>
      </w:r>
      <w:r>
        <w:rPr>
          <w:rFonts w:hint="eastAsia" w:cs="宋体" w:asciiTheme="minorEastAsia" w:hAnsiTheme="minorEastAsia" w:eastAsiaTheme="minorEastAsia"/>
          <w:sz w:val="24"/>
        </w:rPr>
        <w:t>投标截止后投标人不足3家或者通过资格审查或符合性审查的投标人不足3家的，除采购任务取消情形外，按照以下方式处理：</w:t>
      </w:r>
    </w:p>
    <w:p w14:paraId="4D8A58A6">
      <w:pPr>
        <w:adjustRightInd/>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11.2.1采购文件存在不合理条款或者招标程序不符合规定的，采购人、采购代理机构改正后依法重新招标；</w:t>
      </w:r>
    </w:p>
    <w:p w14:paraId="4F77BFEE">
      <w:pPr>
        <w:adjustRightInd/>
        <w:spacing w:line="520" w:lineRule="exact"/>
        <w:ind w:firstLine="420"/>
        <w:rPr>
          <w:rFonts w:hint="eastAsia" w:cs="宋体" w:asciiTheme="minorEastAsia" w:hAnsiTheme="minorEastAsia" w:eastAsiaTheme="minorEastAsia"/>
          <w:sz w:val="24"/>
          <w:u w:val="thick"/>
        </w:rPr>
      </w:pPr>
      <w:r>
        <w:rPr>
          <w:rFonts w:hint="eastAsia" w:cs="宋体" w:asciiTheme="minorEastAsia" w:hAnsiTheme="minorEastAsia" w:eastAsiaTheme="minorEastAsia"/>
          <w:sz w:val="24"/>
        </w:rPr>
        <w:t>11.2.2采购文件没有不合理条款、招标程序符合规定，需要采用其他采购方式采购的，采购人应当依法报相关部门批准。</w:t>
      </w:r>
    </w:p>
    <w:p w14:paraId="400AEF51">
      <w:pPr>
        <w:adjustRightInd/>
        <w:spacing w:line="520" w:lineRule="exact"/>
        <w:ind w:firstLine="420"/>
        <w:rPr>
          <w:rFonts w:hint="eastAsia" w:cs="宋体" w:asciiTheme="minorEastAsia" w:hAnsiTheme="minorEastAsia" w:eastAsiaTheme="minorEastAsia"/>
          <w:bCs/>
          <w:sz w:val="24"/>
        </w:rPr>
      </w:pPr>
      <w:r>
        <w:rPr>
          <w:rFonts w:hint="eastAsia" w:cs="宋体" w:asciiTheme="minorEastAsia" w:hAnsiTheme="minorEastAsia" w:eastAsiaTheme="minorEastAsia"/>
          <w:sz w:val="24"/>
        </w:rPr>
        <w:t>11.3</w:t>
      </w:r>
      <w:r>
        <w:rPr>
          <w:rFonts w:hint="eastAsia" w:cs="宋体" w:asciiTheme="minorEastAsia" w:hAnsiTheme="minorEastAsia" w:eastAsiaTheme="minorEastAsia"/>
          <w:bCs/>
          <w:sz w:val="24"/>
        </w:rPr>
        <w:t>采购文件中如有描述歧义或前后不一致的地方，评标委员会有权按公平、合理的原则进行评判，但对同一条款的评判适用于每个投标人。</w:t>
      </w:r>
    </w:p>
    <w:p w14:paraId="7E8BD8CE">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bCs/>
          <w:sz w:val="24"/>
        </w:rPr>
        <w:t>11.4投标文件的响应内容必须真实、明确、准确。否则，评标委员会将对其作出不利的评审。</w:t>
      </w:r>
    </w:p>
    <w:p w14:paraId="560943A1">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bCs/>
          <w:sz w:val="24"/>
        </w:rPr>
        <w:t>11.5投标人</w:t>
      </w:r>
      <w:r>
        <w:rPr>
          <w:rFonts w:hint="eastAsia" w:cs="宋体" w:asciiTheme="minorEastAsia" w:hAnsiTheme="minorEastAsia" w:eastAsiaTheme="minorEastAsia"/>
          <w:sz w:val="24"/>
        </w:rPr>
        <w:t>为履行合同引起的相关人员的差旅费、食宿费以及其它不可预知的费用由投标人自理。合同实施过程中，须与采购人、投标人双方积极配合。</w:t>
      </w:r>
    </w:p>
    <w:p w14:paraId="3C746DCD">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11.6项目资金已落实。</w:t>
      </w:r>
    </w:p>
    <w:p w14:paraId="59A5240B">
      <w:pPr>
        <w:pStyle w:val="2"/>
        <w:tabs>
          <w:tab w:val="left" w:pos="358"/>
          <w:tab w:val="clear" w:pos="432"/>
        </w:tabs>
        <w:spacing w:line="520" w:lineRule="exact"/>
        <w:jc w:val="center"/>
        <w:rPr>
          <w:rFonts w:hint="eastAsia" w:cs="宋体" w:asciiTheme="minorEastAsia" w:hAnsiTheme="minorEastAsia" w:eastAsiaTheme="minorEastAsia"/>
        </w:rPr>
      </w:pPr>
      <w:bookmarkStart w:id="23" w:name="_Toc54978891"/>
      <w:bookmarkStart w:id="24" w:name="_Toc35261572"/>
      <w:r>
        <w:rPr>
          <w:rFonts w:hint="eastAsia" w:cs="宋体" w:asciiTheme="minorEastAsia" w:hAnsiTheme="minorEastAsia" w:eastAsiaTheme="minorEastAsia"/>
        </w:rPr>
        <w:t>三、采购文件</w:t>
      </w:r>
      <w:bookmarkEnd w:id="21"/>
      <w:bookmarkEnd w:id="22"/>
      <w:bookmarkEnd w:id="23"/>
      <w:bookmarkEnd w:id="24"/>
      <w:r>
        <w:rPr>
          <w:rFonts w:hint="eastAsia" w:cs="宋体" w:asciiTheme="minorEastAsia" w:hAnsiTheme="minorEastAsia" w:eastAsiaTheme="minorEastAsia"/>
        </w:rPr>
        <w:t>的构成、澄清、修改</w:t>
      </w:r>
    </w:p>
    <w:p w14:paraId="2F649A48">
      <w:pPr>
        <w:adjustRightInd/>
        <w:spacing w:line="520" w:lineRule="exact"/>
        <w:ind w:firstLine="420"/>
        <w:rPr>
          <w:rFonts w:hint="eastAsia" w:cs="宋体" w:asciiTheme="minorEastAsia" w:hAnsiTheme="minorEastAsia" w:eastAsiaTheme="minorEastAsia"/>
          <w:b/>
          <w:bCs/>
          <w:sz w:val="24"/>
        </w:rPr>
      </w:pPr>
      <w:bookmarkStart w:id="25" w:name="_Toc82338241"/>
      <w:bookmarkStart w:id="26" w:name="_Toc82873324"/>
      <w:r>
        <w:rPr>
          <w:rFonts w:hint="eastAsia" w:cs="宋体" w:asciiTheme="minorEastAsia" w:hAnsiTheme="minorEastAsia" w:eastAsiaTheme="minorEastAsia"/>
          <w:b/>
          <w:bCs/>
          <w:sz w:val="24"/>
        </w:rPr>
        <w:t>3.1、采购文件组成</w:t>
      </w:r>
    </w:p>
    <w:p w14:paraId="417F7F4B">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3.1.1第一章 采购公告</w:t>
      </w:r>
    </w:p>
    <w:p w14:paraId="5343307E">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3.1.2第二章 投标人须知</w:t>
      </w:r>
    </w:p>
    <w:p w14:paraId="53A84038">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3.1.3第三章 采购需求</w:t>
      </w:r>
    </w:p>
    <w:p w14:paraId="78B47424">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3.1.4第四章 评标办法</w:t>
      </w:r>
    </w:p>
    <w:p w14:paraId="3DD87414">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3.1.5第五章 主要合同条款</w:t>
      </w:r>
    </w:p>
    <w:p w14:paraId="33E9E56E">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3.1.6第六章 投标文件格式</w:t>
      </w:r>
    </w:p>
    <w:p w14:paraId="2F136F59">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3.1.7补充文件（如有）</w:t>
      </w:r>
    </w:p>
    <w:p w14:paraId="17A380A0">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3.1.8与本项目有关的</w:t>
      </w:r>
      <w:r>
        <w:rPr>
          <w:rFonts w:hint="eastAsia" w:cs="宋体" w:asciiTheme="minorEastAsia" w:hAnsiTheme="minorEastAsia" w:eastAsiaTheme="minorEastAsia"/>
          <w:bCs/>
          <w:sz w:val="24"/>
        </w:rPr>
        <w:t>澄清或者修改的内容为采购文件的组成部分</w:t>
      </w:r>
      <w:r>
        <w:rPr>
          <w:rFonts w:hint="eastAsia" w:cs="宋体" w:asciiTheme="minorEastAsia" w:hAnsiTheme="minorEastAsia" w:eastAsiaTheme="minorEastAsia"/>
          <w:sz w:val="24"/>
        </w:rPr>
        <w:t>。</w:t>
      </w:r>
    </w:p>
    <w:p w14:paraId="768A450D">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采购文件的解释权归采购人、采购组织机构所有。</w:t>
      </w:r>
    </w:p>
    <w:p w14:paraId="3187F624">
      <w:pPr>
        <w:adjustRightInd/>
        <w:spacing w:line="520" w:lineRule="exact"/>
        <w:ind w:firstLine="42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3.2、采购文件的澄清</w:t>
      </w:r>
    </w:p>
    <w:p w14:paraId="47FA84A4">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3.2.1投标人在获取采购文件后，若有问题需要澄清或认为有必要与采购人进行技术交流，应于前附表规定的时间前，将问题发电子邮件至493720300@qq.com（电子邮件与书面文件有不一致的，以书面文件为准）。截止期后的疑问将不予受理、答复。</w:t>
      </w:r>
    </w:p>
    <w:p w14:paraId="70BF5EF1">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3.2.2 投标人要求解释或澄清的问题应以书面形式送达，并加盖公章、写明日期。</w:t>
      </w:r>
    </w:p>
    <w:p w14:paraId="78AA3BCF">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3.2.3 所有要求解释或澄清的问题都予以解答，答疑内容与补充内容以更正（澄清）公告形式告知所有购买采购文件的投标人。</w:t>
      </w:r>
    </w:p>
    <w:p w14:paraId="35C56292">
      <w:pPr>
        <w:adjustRightInd/>
        <w:spacing w:line="520" w:lineRule="exact"/>
        <w:ind w:firstLine="42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3.3、采购文件的修改</w:t>
      </w:r>
    </w:p>
    <w:p w14:paraId="706343F1">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3.3.1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投标人；不足15日的，采购人或者采购代理机构应当顺延提交投标文件的截止时间。</w:t>
      </w:r>
    </w:p>
    <w:p w14:paraId="2B326AA4">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3.3.2 采购文件的修改将以更正（澄清）公告通知所有购买采购文件的投标人，并对其具有约束力。投标人应及时关注浙江政府采购网、嵊州市公共资源交易网上该项目的公告信息。</w:t>
      </w:r>
    </w:p>
    <w:p w14:paraId="4831D33E">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3.3.3 在更正（澄清）公告发布后，如果投标人认为编制投标文件的时间不充分的，必须在公告发布之日的24小时内通知采购人和采购代理机构。否则，视同投标人有充足时间编制投标文件。</w:t>
      </w:r>
    </w:p>
    <w:p w14:paraId="3A81DE2C">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3.3.4采购文件澄清、答复、修改、补充的内容为采购文件的组成部分。当采购文件与采购文件的答复、澄清、修改、补充通知就同一内容的表述不一致时，以最后发出的更正（澄清）公告为准。</w:t>
      </w:r>
    </w:p>
    <w:p w14:paraId="23350000">
      <w:pPr>
        <w:snapToGrid w:val="0"/>
        <w:spacing w:line="520" w:lineRule="exact"/>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3.3.5采购文件的澄清、答复、修改或补充都应该通过本代理机构以法定形式发布，除此以外的发布不属于采购文件的组成部分。</w:t>
      </w:r>
    </w:p>
    <w:p w14:paraId="434DB473">
      <w:pPr>
        <w:pStyle w:val="32"/>
        <w:spacing w:line="520" w:lineRule="exact"/>
        <w:rPr>
          <w:rFonts w:asciiTheme="minorEastAsia" w:hAnsiTheme="minorEastAsia" w:eastAsiaTheme="minorEastAsia"/>
        </w:rPr>
      </w:pPr>
    </w:p>
    <w:bookmarkEnd w:id="25"/>
    <w:bookmarkEnd w:id="26"/>
    <w:p w14:paraId="17107F50">
      <w:pPr>
        <w:pStyle w:val="2"/>
        <w:tabs>
          <w:tab w:val="left" w:pos="358"/>
          <w:tab w:val="clear" w:pos="432"/>
        </w:tabs>
        <w:spacing w:line="520" w:lineRule="exact"/>
        <w:jc w:val="center"/>
        <w:rPr>
          <w:rFonts w:hint="eastAsia" w:cs="宋体" w:asciiTheme="minorEastAsia" w:hAnsiTheme="minorEastAsia" w:eastAsiaTheme="minorEastAsia"/>
        </w:rPr>
      </w:pPr>
      <w:bookmarkStart w:id="27" w:name="_Toc54978892"/>
      <w:bookmarkStart w:id="28" w:name="_Toc450482498"/>
      <w:bookmarkStart w:id="29" w:name="_Toc35261573"/>
      <w:bookmarkStart w:id="30" w:name="_Toc82338242"/>
      <w:bookmarkStart w:id="31" w:name="_Toc82873325"/>
      <w:r>
        <w:rPr>
          <w:rFonts w:hint="eastAsia" w:cs="宋体" w:asciiTheme="minorEastAsia" w:hAnsiTheme="minorEastAsia" w:eastAsiaTheme="minorEastAsia"/>
        </w:rPr>
        <w:t>四、投标文件</w:t>
      </w:r>
      <w:bookmarkEnd w:id="27"/>
      <w:bookmarkEnd w:id="28"/>
      <w:bookmarkEnd w:id="29"/>
    </w:p>
    <w:p w14:paraId="6EF0EA3D">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4.1、投标文件</w:t>
      </w:r>
    </w:p>
    <w:p w14:paraId="2B571F9F">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4.1.1 投标人应仔细阅读采购文件规定的所有内容，以保证能全面准确理解采购文件，并按照采购文件要求，详细编制投标文件，投标文件内容必须针对本次招标响应。</w:t>
      </w:r>
    </w:p>
    <w:p w14:paraId="4864DB2C">
      <w:pPr>
        <w:adjustRightInd/>
        <w:spacing w:line="520" w:lineRule="exact"/>
        <w:ind w:firstLine="420"/>
        <w:rPr>
          <w:rFonts w:hint="eastAsia" w:cs="宋体" w:asciiTheme="minorEastAsia" w:hAnsiTheme="minorEastAsia" w:eastAsiaTheme="minorEastAsia"/>
          <w:bCs/>
          <w:sz w:val="24"/>
        </w:rPr>
      </w:pPr>
      <w:r>
        <w:rPr>
          <w:rFonts w:hint="eastAsia" w:cs="宋体" w:asciiTheme="minorEastAsia" w:hAnsiTheme="minorEastAsia" w:eastAsiaTheme="minorEastAsia"/>
          <w:sz w:val="24"/>
        </w:rPr>
        <w:t>4.1.2投标人必须按采购文件的要求提供相关资料，并对采购文件中提出的所有内容要求给予实质性响应，须保证投标文件的准确、真实、明确</w:t>
      </w:r>
      <w:r>
        <w:rPr>
          <w:rFonts w:hint="eastAsia" w:cs="宋体" w:asciiTheme="minorEastAsia" w:hAnsiTheme="minorEastAsia" w:eastAsiaTheme="minorEastAsia"/>
          <w:bCs/>
          <w:sz w:val="24"/>
        </w:rPr>
        <w:t>。投标文件响应内容对采购文件要求如有偏离均应填写偏离表，如不填写，采购人有权视作投标文件完全响应采购文件要求。</w:t>
      </w:r>
    </w:p>
    <w:p w14:paraId="6038FA9A">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4.2、投标文件组成</w:t>
      </w:r>
    </w:p>
    <w:p w14:paraId="13CAC991">
      <w:pPr>
        <w:tabs>
          <w:tab w:val="left" w:pos="399"/>
        </w:tabs>
        <w:adjustRightInd/>
        <w:spacing w:line="520" w:lineRule="exact"/>
        <w:ind w:firstLine="420"/>
        <w:rPr>
          <w:rFonts w:hint="eastAsia" w:cs="宋体" w:asciiTheme="minorEastAsia" w:hAnsiTheme="minorEastAsia" w:eastAsiaTheme="minorEastAsia"/>
          <w:bCs/>
          <w:sz w:val="24"/>
          <w:highlight w:val="none"/>
        </w:rPr>
      </w:pPr>
      <w:bookmarkStart w:id="32" w:name="OLE_LINK1"/>
      <w:r>
        <w:rPr>
          <w:rFonts w:hint="eastAsia" w:cs="宋体" w:asciiTheme="minorEastAsia" w:hAnsiTheme="minorEastAsia" w:eastAsiaTheme="minorEastAsia"/>
          <w:bCs/>
          <w:sz w:val="24"/>
          <w:highlight w:val="none"/>
        </w:rPr>
        <w:t>4.2.1资格证明文件</w:t>
      </w:r>
    </w:p>
    <w:p w14:paraId="65A37E9D">
      <w:pPr>
        <w:tabs>
          <w:tab w:val="left" w:pos="399"/>
        </w:tabs>
        <w:adjustRightInd/>
        <w:spacing w:line="520" w:lineRule="exact"/>
        <w:ind w:firstLine="420"/>
        <w:rPr>
          <w:rFonts w:hint="eastAsia"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1）提供投标人营业执照扫描件；</w:t>
      </w:r>
    </w:p>
    <w:p w14:paraId="4C3D3D0D">
      <w:pPr>
        <w:tabs>
          <w:tab w:val="left" w:pos="399"/>
        </w:tabs>
        <w:adjustRightInd/>
        <w:spacing w:line="520" w:lineRule="exact"/>
        <w:ind w:firstLine="420"/>
        <w:rPr>
          <w:rFonts w:hint="eastAsia"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2）符合参加采购活动应当具备的一般条件的承诺函（格式见附件）；</w:t>
      </w:r>
    </w:p>
    <w:p w14:paraId="645C0AC4">
      <w:pPr>
        <w:tabs>
          <w:tab w:val="left" w:pos="399"/>
        </w:tabs>
        <w:adjustRightInd/>
        <w:spacing w:line="520" w:lineRule="exact"/>
        <w:ind w:firstLine="420"/>
        <w:rPr>
          <w:rFonts w:hint="eastAsia"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3）具有履行合同所必需的设备和专业技术能力的承诺函（格式见附件）；</w:t>
      </w:r>
    </w:p>
    <w:p w14:paraId="3A15E263">
      <w:pPr>
        <w:tabs>
          <w:tab w:val="left" w:pos="399"/>
        </w:tabs>
        <w:adjustRightInd/>
        <w:spacing w:line="520" w:lineRule="exact"/>
        <w:ind w:firstLine="420"/>
        <w:rPr>
          <w:rFonts w:hint="eastAsia"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4）开标时提供《采购活动现场确认声明书》（投标文件解密结束后，发送至邮箱493720300@qq.com即可）。</w:t>
      </w:r>
    </w:p>
    <w:p w14:paraId="749AB9FE">
      <w:pPr>
        <w:tabs>
          <w:tab w:val="left" w:pos="399"/>
        </w:tabs>
        <w:adjustRightInd/>
        <w:spacing w:line="520" w:lineRule="exact"/>
        <w:ind w:firstLine="420"/>
        <w:rPr>
          <w:rFonts w:hint="eastAsia"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4.2.2资信技术文件</w:t>
      </w:r>
    </w:p>
    <w:p w14:paraId="6EDE30CB">
      <w:pPr>
        <w:tabs>
          <w:tab w:val="left" w:pos="399"/>
        </w:tabs>
        <w:adjustRightInd/>
        <w:spacing w:line="520" w:lineRule="exact"/>
        <w:ind w:firstLine="420"/>
        <w:rPr>
          <w:rFonts w:hint="eastAsia"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1）投标声明书（格式见附件）；</w:t>
      </w:r>
    </w:p>
    <w:p w14:paraId="5D02CEC2">
      <w:pPr>
        <w:tabs>
          <w:tab w:val="left" w:pos="399"/>
        </w:tabs>
        <w:adjustRightInd/>
        <w:spacing w:line="520" w:lineRule="exact"/>
        <w:ind w:firstLine="420"/>
        <w:rPr>
          <w:rFonts w:hint="eastAsia"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2）营业执照扫描件；</w:t>
      </w:r>
    </w:p>
    <w:p w14:paraId="4FC2E1C9">
      <w:pPr>
        <w:tabs>
          <w:tab w:val="left" w:pos="399"/>
        </w:tabs>
        <w:adjustRightInd/>
        <w:spacing w:line="520" w:lineRule="exact"/>
        <w:ind w:firstLine="420"/>
        <w:rPr>
          <w:rFonts w:hint="eastAsia"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3）法定代表人授权委托书或法定代表人身份证明（格式见附件）；</w:t>
      </w:r>
    </w:p>
    <w:p w14:paraId="025CB8C9">
      <w:pPr>
        <w:tabs>
          <w:tab w:val="left" w:pos="399"/>
        </w:tabs>
        <w:adjustRightInd/>
        <w:spacing w:line="520" w:lineRule="exact"/>
        <w:ind w:firstLine="420"/>
        <w:rPr>
          <w:rFonts w:hint="eastAsia"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4）商务需求响应表、技术需求响应表（格式见附件）；</w:t>
      </w:r>
    </w:p>
    <w:p w14:paraId="3A29A58D">
      <w:pPr>
        <w:tabs>
          <w:tab w:val="left" w:pos="399"/>
        </w:tabs>
        <w:adjustRightInd/>
        <w:spacing w:line="520" w:lineRule="exact"/>
        <w:ind w:firstLine="420"/>
        <w:rPr>
          <w:rFonts w:hint="eastAsia"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5）项目小组人员名单（格式见附件）；</w:t>
      </w:r>
    </w:p>
    <w:p w14:paraId="6AC0E458">
      <w:pPr>
        <w:tabs>
          <w:tab w:val="left" w:pos="399"/>
        </w:tabs>
        <w:adjustRightInd/>
        <w:spacing w:line="520" w:lineRule="exact"/>
        <w:ind w:firstLine="420"/>
        <w:rPr>
          <w:rFonts w:hint="eastAsia"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6）资信技术评分标准相应的技术服务方案。</w:t>
      </w:r>
    </w:p>
    <w:p w14:paraId="0504F7D0">
      <w:pPr>
        <w:tabs>
          <w:tab w:val="left" w:pos="399"/>
        </w:tabs>
        <w:adjustRightInd/>
        <w:spacing w:line="520" w:lineRule="exact"/>
        <w:ind w:firstLine="420"/>
        <w:rPr>
          <w:rFonts w:hint="eastAsia"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7）廉政承诺书；</w:t>
      </w:r>
    </w:p>
    <w:p w14:paraId="2AA392FF">
      <w:pPr>
        <w:tabs>
          <w:tab w:val="left" w:pos="399"/>
        </w:tabs>
        <w:adjustRightInd/>
        <w:spacing w:line="520" w:lineRule="exact"/>
        <w:ind w:firstLine="420"/>
        <w:rPr>
          <w:rFonts w:hint="eastAsia"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8）投标人认为需要提供的与投标评标有关的其他资料。</w:t>
      </w:r>
    </w:p>
    <w:p w14:paraId="33EF9ABD">
      <w:pPr>
        <w:tabs>
          <w:tab w:val="left" w:pos="399"/>
        </w:tabs>
        <w:adjustRightInd/>
        <w:spacing w:line="520" w:lineRule="exact"/>
        <w:ind w:firstLine="420"/>
        <w:rPr>
          <w:rFonts w:hint="eastAsia"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4.2.3报价文件</w:t>
      </w:r>
    </w:p>
    <w:p w14:paraId="0A10022E">
      <w:pPr>
        <w:tabs>
          <w:tab w:val="left" w:pos="399"/>
        </w:tabs>
        <w:adjustRightInd/>
        <w:spacing w:line="520" w:lineRule="exact"/>
        <w:ind w:firstLine="42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1）开标一览表（格式见</w:t>
      </w:r>
      <w:bookmarkStart w:id="102" w:name="_GoBack"/>
      <w:bookmarkEnd w:id="102"/>
      <w:r>
        <w:rPr>
          <w:rFonts w:hint="eastAsia" w:cs="宋体" w:asciiTheme="minorEastAsia" w:hAnsiTheme="minorEastAsia" w:eastAsiaTheme="minorEastAsia"/>
          <w:bCs/>
          <w:sz w:val="24"/>
        </w:rPr>
        <w:t>附件）；</w:t>
      </w:r>
    </w:p>
    <w:p w14:paraId="2330570F">
      <w:pPr>
        <w:tabs>
          <w:tab w:val="left" w:pos="399"/>
        </w:tabs>
        <w:adjustRightInd/>
        <w:spacing w:line="520" w:lineRule="exact"/>
        <w:ind w:firstLine="42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2）投标报价明细表（格式见附件）；</w:t>
      </w:r>
    </w:p>
    <w:p w14:paraId="4B488A9E">
      <w:pPr>
        <w:tabs>
          <w:tab w:val="left" w:pos="399"/>
        </w:tabs>
        <w:adjustRightInd/>
        <w:spacing w:line="520" w:lineRule="exact"/>
        <w:ind w:firstLine="42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3）投标人针对报价需要说明的其他文件和说明，格式自拟。</w:t>
      </w:r>
      <w:bookmarkEnd w:id="32"/>
    </w:p>
    <w:p w14:paraId="38FAA531">
      <w:pPr>
        <w:tabs>
          <w:tab w:val="left" w:pos="399"/>
        </w:tabs>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b/>
          <w:bCs/>
          <w:sz w:val="24"/>
        </w:rPr>
        <w:t>4.2.4投标时提供的人员、业绩、荣誉、资质、项目案例等，必须为投标人本身所具有。</w:t>
      </w:r>
    </w:p>
    <w:p w14:paraId="02A021D2">
      <w:pPr>
        <w:adjustRightInd/>
        <w:spacing w:line="520" w:lineRule="exact"/>
        <w:ind w:firstLine="482" w:firstLineChars="200"/>
        <w:rPr>
          <w:rFonts w:hint="eastAsia" w:cs="宋体" w:asciiTheme="minorEastAsia" w:hAnsiTheme="minorEastAsia" w:eastAsiaTheme="minorEastAsia"/>
          <w:b/>
          <w:sz w:val="24"/>
        </w:rPr>
      </w:pPr>
      <w:r>
        <w:rPr>
          <w:rFonts w:hint="eastAsia" w:cs="宋体" w:asciiTheme="minorEastAsia" w:hAnsiTheme="minorEastAsia" w:eastAsiaTheme="minorEastAsia"/>
          <w:b/>
          <w:bCs/>
          <w:sz w:val="24"/>
        </w:rPr>
        <w:t>4.2.5注意事项：</w:t>
      </w:r>
      <w:r>
        <w:rPr>
          <w:rFonts w:hint="eastAsia" w:cs="宋体" w:asciiTheme="minorEastAsia" w:hAnsiTheme="minorEastAsia" w:eastAsiaTheme="minorEastAsia"/>
          <w:b/>
          <w:sz w:val="24"/>
        </w:rPr>
        <w:t>投标文件含有采购人不能接受的附加条件的，投标无效；</w:t>
      </w:r>
    </w:p>
    <w:p w14:paraId="543E20AC">
      <w:pPr>
        <w:adjustRightInd/>
        <w:spacing w:line="520" w:lineRule="exact"/>
        <w:ind w:firstLine="482" w:firstLineChars="200"/>
        <w:rPr>
          <w:rFonts w:hint="eastAsia" w:cs="宋体" w:asciiTheme="minorEastAsia" w:hAnsiTheme="minorEastAsia" w:eastAsiaTheme="minorEastAsia"/>
          <w:b/>
          <w:bCs/>
          <w:sz w:val="24"/>
        </w:rPr>
      </w:pPr>
      <w:r>
        <w:rPr>
          <w:rFonts w:hint="eastAsia" w:cs="宋体" w:asciiTheme="minorEastAsia" w:hAnsiTheme="minorEastAsia" w:eastAsiaTheme="minorEastAsia"/>
          <w:b/>
          <w:sz w:val="24"/>
        </w:rPr>
        <w:t>4.2.6投标人提供虚假材料投标的，投标无效。</w:t>
      </w:r>
    </w:p>
    <w:p w14:paraId="6E7846D8">
      <w:pPr>
        <w:adjustRightInd/>
        <w:spacing w:line="520" w:lineRule="exact"/>
        <w:ind w:firstLine="482" w:firstLineChars="20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4.3、投标文件的编制</w:t>
      </w:r>
    </w:p>
    <w:p w14:paraId="1742AD94">
      <w:pPr>
        <w:adjustRightInd/>
        <w:spacing w:line="520" w:lineRule="exact"/>
        <w:ind w:firstLine="482" w:firstLineChars="200"/>
        <w:rPr>
          <w:rFonts w:hint="eastAsia" w:cs="宋体" w:asciiTheme="minorEastAsia" w:hAnsiTheme="minorEastAsia" w:eastAsiaTheme="minorEastAsia"/>
          <w:sz w:val="24"/>
        </w:rPr>
      </w:pPr>
      <w:r>
        <w:rPr>
          <w:rFonts w:hint="eastAsia" w:cs="宋体" w:asciiTheme="minorEastAsia" w:hAnsiTheme="minorEastAsia" w:eastAsiaTheme="minorEastAsia"/>
          <w:b/>
          <w:bCs/>
          <w:kern w:val="0"/>
          <w:sz w:val="24"/>
        </w:rPr>
        <w:t>4.3.1</w:t>
      </w:r>
      <w:r>
        <w:rPr>
          <w:rFonts w:hint="eastAsia" w:cs="宋体" w:asciiTheme="minorEastAsia" w:hAnsiTheme="minorEastAsia" w:eastAsiaTheme="minorEastAsia"/>
          <w:b/>
          <w:bCs/>
          <w:kern w:val="0"/>
          <w:sz w:val="24"/>
          <w:lang w:val="zh-CN"/>
        </w:rPr>
        <w:t>投标文件分为资格</w:t>
      </w:r>
      <w:r>
        <w:rPr>
          <w:rFonts w:hint="eastAsia" w:cs="宋体" w:asciiTheme="minorEastAsia" w:hAnsiTheme="minorEastAsia" w:eastAsiaTheme="minorEastAsia"/>
          <w:b/>
          <w:bCs/>
          <w:kern w:val="0"/>
          <w:sz w:val="24"/>
        </w:rPr>
        <w:t>证明</w:t>
      </w:r>
      <w:r>
        <w:rPr>
          <w:rFonts w:hint="eastAsia" w:cs="宋体" w:asciiTheme="minorEastAsia" w:hAnsiTheme="minorEastAsia" w:eastAsiaTheme="minorEastAsia"/>
          <w:b/>
          <w:bCs/>
          <w:kern w:val="0"/>
          <w:sz w:val="24"/>
          <w:lang w:val="zh-CN"/>
        </w:rPr>
        <w:t>文件、资信技术文件、报价文件三部分。各投标人在编制投标文件时请按照采购文件第六部分规定的格式进行，混乱的编排导致投标文件被误读或评标委员会查找不到有效文件是投标人的风险。</w:t>
      </w:r>
    </w:p>
    <w:p w14:paraId="7409C9D3">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4.3.2本项目通过“乐采云平台（www.lecaiyun.com）”实行在线投标响应（电子投标）。供应商应通过“乐采云电子交易客户端”，并按照本采购文件和“乐采云平台”的要求编制并加密投标文件。</w:t>
      </w:r>
    </w:p>
    <w:p w14:paraId="3690934C">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4.3.3投标供应商应当按照本章4.2款中规定的内容及顺序在“乐采云电子交易客户端”编制投标文件。</w:t>
      </w:r>
      <w:r>
        <w:rPr>
          <w:rFonts w:hint="eastAsia" w:cs="宋体" w:asciiTheme="minorEastAsia" w:hAnsiTheme="minorEastAsia" w:eastAsiaTheme="minorEastAsia"/>
          <w:b/>
          <w:bCs/>
          <w:sz w:val="24"/>
        </w:rPr>
        <w:t>其中《资格证明文件》和《资信技术文件》中不得出现本项目投标报价，否则作无效投标。</w:t>
      </w:r>
    </w:p>
    <w:p w14:paraId="636F96F6">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4.3.4本文件《第六章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投标文件格式》未提供格式的，请各投标供应商自行拟定格式，并加盖单位公章并由法定代表人或其授权代表签署（签字或盖章），否则视为未提供。</w:t>
      </w:r>
    </w:p>
    <w:p w14:paraId="4AFF38BA">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4.3.5投标文件应当对采购文件规定的内容进行明确，对采购文件规定的实质性内容应当作出响应。</w:t>
      </w:r>
    </w:p>
    <w:p w14:paraId="3C301DD9">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4.3.6投标文件由于字迹模糊或表达不清引起的后果由投标人负责。</w:t>
      </w:r>
    </w:p>
    <w:p w14:paraId="1CF5E55A">
      <w:pPr>
        <w:adjustRightInd/>
        <w:snapToGrid w:val="0"/>
        <w:spacing w:line="520" w:lineRule="exact"/>
        <w:ind w:firstLine="480" w:firstLineChars="200"/>
        <w:jc w:val="left"/>
        <w:outlineLvl w:val="2"/>
        <w:rPr>
          <w:rFonts w:hint="eastAsia" w:cs="宋体" w:asciiTheme="minorEastAsia" w:hAnsiTheme="minorEastAsia" w:eastAsiaTheme="minorEastAsia"/>
          <w:sz w:val="24"/>
        </w:rPr>
      </w:pPr>
      <w:r>
        <w:rPr>
          <w:rFonts w:hint="eastAsia" w:cs="宋体" w:asciiTheme="minorEastAsia" w:hAnsiTheme="minorEastAsia" w:eastAsiaTheme="minorEastAsia"/>
          <w:sz w:val="24"/>
        </w:rPr>
        <w:t>4.3.7投标供应商没有按照本章节“4.2、投标文件组成”要求提供全部资料，或者没有仔细阅读采购文件，或者没有对采购文件在各方面的要求作出实质性响应是投标供应商的风险，由此造成的一切后果由投标供应商自行承担。</w:t>
      </w:r>
    </w:p>
    <w:p w14:paraId="206C672B">
      <w:pPr>
        <w:adjustRightInd/>
        <w:snapToGrid w:val="0"/>
        <w:spacing w:line="520" w:lineRule="exact"/>
        <w:jc w:val="left"/>
        <w:outlineLvl w:val="2"/>
        <w:rPr>
          <w:rFonts w:hint="eastAsia" w:cs="宋体" w:asciiTheme="minorEastAsia" w:hAnsiTheme="minorEastAsia" w:eastAsiaTheme="minorEastAsia"/>
          <w:b/>
          <w:sz w:val="24"/>
        </w:rPr>
      </w:pPr>
      <w:r>
        <w:rPr>
          <w:rFonts w:hint="eastAsia" w:cs="宋体" w:asciiTheme="minorEastAsia" w:hAnsiTheme="minorEastAsia" w:eastAsiaTheme="minorEastAsia"/>
          <w:b/>
          <w:bCs/>
          <w:sz w:val="24"/>
        </w:rPr>
        <w:t>5</w:t>
      </w: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投标文件的签署、盖章</w:t>
      </w:r>
    </w:p>
    <w:p w14:paraId="79BE9C4F">
      <w:pPr>
        <w:adjustRightInd/>
        <w:snapToGrid w:val="0"/>
        <w:spacing w:line="520" w:lineRule="exact"/>
        <w:ind w:firstLine="482" w:firstLineChars="20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5.1投标文件按照采购文件第六部分格式要求进行签署、盖章。投标人的投标文件未按照采购文件要求签署、盖章的，其投标无效。</w:t>
      </w:r>
    </w:p>
    <w:p w14:paraId="207F6BAD">
      <w:pPr>
        <w:adjustRightInd/>
        <w:snapToGrid w:val="0"/>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5.2为确保网上操作合法、有效和安全，投标人应当在投标截止时间前完成在“乐采云平台”的身份认证，确保在电子投标过程中能够对相关数据电文进行加密和使用电子签名。</w:t>
      </w:r>
    </w:p>
    <w:p w14:paraId="535291C1">
      <w:pPr>
        <w:adjustRightInd/>
        <w:snapToGrid w:val="0"/>
        <w:spacing w:line="520" w:lineRule="exact"/>
        <w:ind w:firstLine="480" w:firstLineChars="200"/>
        <w:jc w:val="left"/>
        <w:outlineLvl w:val="2"/>
        <w:rPr>
          <w:rFonts w:hint="eastAsia" w:cs="宋体" w:asciiTheme="minorEastAsia" w:hAnsiTheme="minorEastAsia" w:eastAsiaTheme="minorEastAsia"/>
          <w:sz w:val="24"/>
        </w:rPr>
      </w:pPr>
      <w:r>
        <w:rPr>
          <w:rFonts w:hint="eastAsia" w:cs="宋体" w:asciiTheme="minorEastAsia" w:hAnsiTheme="minorEastAsia" w:eastAsiaTheme="minorEastAsia"/>
          <w:sz w:val="24"/>
        </w:rPr>
        <w:t>5.3采购文件对投标文件签署、盖章的要求适用于电子签名。</w:t>
      </w:r>
    </w:p>
    <w:p w14:paraId="21AE8503">
      <w:pPr>
        <w:adjustRightInd/>
        <w:snapToGrid w:val="0"/>
        <w:spacing w:line="520" w:lineRule="exact"/>
        <w:jc w:val="left"/>
        <w:outlineLvl w:val="2"/>
        <w:rPr>
          <w:rFonts w:hint="eastAsia" w:cs="宋体" w:asciiTheme="minorEastAsia" w:hAnsiTheme="minorEastAsia" w:eastAsiaTheme="minorEastAsia"/>
          <w:b/>
          <w:sz w:val="24"/>
        </w:rPr>
      </w:pPr>
      <w:r>
        <w:rPr>
          <w:rFonts w:hint="eastAsia" w:cs="宋体" w:asciiTheme="minorEastAsia" w:hAnsiTheme="minorEastAsia" w:eastAsiaTheme="minorEastAsia"/>
          <w:b/>
          <w:bCs/>
          <w:sz w:val="24"/>
        </w:rPr>
        <w:t>6.投</w:t>
      </w:r>
      <w:r>
        <w:rPr>
          <w:rFonts w:hint="eastAsia" w:cs="宋体" w:asciiTheme="minorEastAsia" w:hAnsiTheme="minorEastAsia" w:eastAsiaTheme="minorEastAsia"/>
          <w:b/>
          <w:sz w:val="24"/>
        </w:rPr>
        <w:t>标文件的提交、补充、修改、撤回</w:t>
      </w:r>
    </w:p>
    <w:p w14:paraId="3F318D25">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6.1、投标文件的上传、递交</w:t>
      </w:r>
    </w:p>
    <w:p w14:paraId="6B00A219">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6.1.1电子加密投标文件的上传、递交：</w:t>
      </w:r>
    </w:p>
    <w:p w14:paraId="12579B3C">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6.1.1.1投标供应商应在投标截止时间前将“电子加密投标文件”成功上传递交至“乐采云平台”，否则投标无效。</w:t>
      </w:r>
    </w:p>
    <w:p w14:paraId="45EB13E7">
      <w:pPr>
        <w:adjustRightInd/>
        <w:spacing w:line="520" w:lineRule="exact"/>
        <w:ind w:firstLine="42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6.1.1.2“电子加密投标文件”成功上传递交后，供应商可自行打印投标文件接收回执。</w:t>
      </w:r>
    </w:p>
    <w:p w14:paraId="66676D37">
      <w:pPr>
        <w:adjustRightInd/>
        <w:spacing w:line="520" w:lineRule="exact"/>
        <w:ind w:firstLine="420"/>
        <w:rPr>
          <w:rFonts w:hint="eastAsia"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6.1.2备份投标文件的密封包装、递交：</w:t>
      </w:r>
    </w:p>
    <w:p w14:paraId="28D5D131">
      <w:pPr>
        <w:adjustRightInd/>
        <w:spacing w:line="520" w:lineRule="exact"/>
        <w:ind w:firstLine="42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6.1.2.1投标供应商在“乐采云平台”完成“电子加密投标文件”的上传递交后，还可以（电子邮箱形式）在投标当天9:30（北京时间）前递交“备份投标文件”（一份），备份投标文件须在“乐采云投标客户端”制作生成；</w:t>
      </w:r>
    </w:p>
    <w:p w14:paraId="2DC70218">
      <w:pPr>
        <w:adjustRightInd/>
        <w:spacing w:line="520" w:lineRule="exact"/>
        <w:ind w:firstLine="42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6.1.2.2通过“乐采云平台”成功上传递交的“电子加密投标文件”已按时解密的，“备份投标文件”自动失效。投标截止时间前，投标供应商仅递交了“备份投标文件”而未将“电子加密投标文件”成功上传至“乐采云平台”的，投标无效。</w:t>
      </w:r>
    </w:p>
    <w:p w14:paraId="46A81C86">
      <w:pPr>
        <w:adjustRightInd/>
        <w:spacing w:line="520" w:lineRule="exact"/>
        <w:ind w:firstLine="42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6.2、解密和异常情况处理</w:t>
      </w:r>
    </w:p>
    <w:p w14:paraId="3A5B174C">
      <w:pPr>
        <w:adjustRightInd/>
        <w:spacing w:line="520" w:lineRule="exact"/>
        <w:ind w:firstLine="42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6.2.1开标后，采购组织机构将向各投标供应商发出“电子加密投标文件”的解密通知，各投标供应商代表应当在接到解密通知后30分钟内自行完成“电子加密投标文件”的在线解密。</w:t>
      </w:r>
    </w:p>
    <w:p w14:paraId="5399978C">
      <w:pPr>
        <w:adjustRightInd/>
        <w:spacing w:line="520" w:lineRule="exact"/>
        <w:ind w:firstLine="42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6.2.2通过“乐采云平台”成功上传递交的“电子加密投标文件”无法按时解密，投标供应商如按规定递交了“备份投标文件”的，以“备份投标文件”为依据（由采购组织机构按“乐采云平台”操作规范将“备份投标文件”上传至“乐采云平台”，上传成功后，“电子加密投标文件”自动失效），否则视为投标文件撤回。</w:t>
      </w:r>
    </w:p>
    <w:p w14:paraId="4657C700">
      <w:pPr>
        <w:adjustRightInd/>
        <w:spacing w:line="520" w:lineRule="exact"/>
        <w:ind w:firstLine="42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6.2.3投标截止时间前，投标供应商仅递交了“备份投标文件”而未将电子加密投标文件上传至“乐采云平台”的，投标无效。</w:t>
      </w:r>
    </w:p>
    <w:p w14:paraId="307A2F7B">
      <w:pPr>
        <w:adjustRightInd/>
        <w:spacing w:line="520" w:lineRule="exact"/>
        <w:ind w:firstLine="42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6.3、投标文件的修改和撤回</w:t>
      </w:r>
    </w:p>
    <w:p w14:paraId="5A7C4B69">
      <w:pPr>
        <w:adjustRightInd/>
        <w:spacing w:line="520" w:lineRule="exact"/>
        <w:ind w:firstLine="42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6.3.1投标人在投标截止时间前，可以对所递交的投标文件进行补充、修改或者撤回。补充或者修改投标文件的，应当先行撤回原文件，补充、修改后重新上传、递交。投标截止时间前未完成上传、递交的，视为撤回投标文件。投标截止时间后递交的投标文件，“乐采云平台”将予以拒收。</w:t>
      </w:r>
    </w:p>
    <w:p w14:paraId="6D65F127">
      <w:pPr>
        <w:adjustRightInd/>
        <w:spacing w:line="520" w:lineRule="exact"/>
        <w:ind w:firstLine="42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6.3.2投标截止时间后，投标供应商不得撤回、修改投标文件。</w:t>
      </w:r>
    </w:p>
    <w:p w14:paraId="7AE16897">
      <w:pPr>
        <w:adjustRightInd/>
        <w:spacing w:line="520" w:lineRule="exact"/>
        <w:ind w:firstLine="42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6.4、备选投标方案</w:t>
      </w:r>
    </w:p>
    <w:p w14:paraId="347659C6">
      <w:pPr>
        <w:adjustRightInd/>
        <w:spacing w:line="520" w:lineRule="exact"/>
        <w:ind w:firstLine="480" w:firstLineChars="20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投标人不得提交备选投标方案，否则，投标文件将被判定为无效标。（与“电子加密投标文件”同时生成的“备份投标文件”不是投标备选（替代）方案）</w:t>
      </w:r>
    </w:p>
    <w:p w14:paraId="3B5ED094">
      <w:pPr>
        <w:numPr>
          <w:ilvl w:val="0"/>
          <w:numId w:val="4"/>
        </w:numPr>
        <w:adjustRightInd/>
        <w:spacing w:line="520" w:lineRule="exact"/>
        <w:ind w:firstLine="482" w:firstLineChars="200"/>
        <w:rPr>
          <w:rFonts w:hint="eastAsia"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备份投标文件</w:t>
      </w:r>
    </w:p>
    <w:p w14:paraId="3F749AD4">
      <w:pPr>
        <w:adjustRightInd/>
        <w:spacing w:line="520" w:lineRule="exact"/>
        <w:ind w:firstLine="480" w:firstLineChars="200"/>
        <w:rPr>
          <w:rFonts w:hint="eastAsia" w:cs="宋体" w:asciiTheme="minorEastAsia" w:hAnsiTheme="minorEastAsia" w:eastAsiaTheme="minorEastAsia"/>
          <w:snapToGrid w:val="0"/>
          <w:sz w:val="24"/>
          <w:highlight w:val="none"/>
        </w:rPr>
      </w:pPr>
      <w:r>
        <w:rPr>
          <w:rFonts w:hint="eastAsia" w:cs="宋体" w:asciiTheme="minorEastAsia" w:hAnsiTheme="minorEastAsia" w:eastAsiaTheme="minorEastAsia"/>
          <w:sz w:val="24"/>
          <w:highlight w:val="none"/>
        </w:rPr>
        <w:t>7.1</w:t>
      </w:r>
      <w:r>
        <w:rPr>
          <w:rFonts w:hint="eastAsia" w:cs="宋体" w:asciiTheme="minorEastAsia" w:hAnsiTheme="minorEastAsia" w:eastAsiaTheme="minorEastAsia"/>
          <w:snapToGrid w:val="0"/>
          <w:sz w:val="24"/>
          <w:highlight w:val="none"/>
        </w:rPr>
        <w:t>投标人在电子交易平台传输递交投标文件后，还可以（电子邮箱形式）在投标当天9:30（北京时间）前递交“备份投标文件”（一份），备份投标文件须在“乐采云投标客户端”制作生成</w:t>
      </w:r>
      <w:r>
        <w:rPr>
          <w:rFonts w:hint="eastAsia" w:cs="宋体" w:asciiTheme="minorEastAsia" w:hAnsiTheme="minorEastAsia" w:eastAsiaTheme="minorEastAsia"/>
          <w:b/>
          <w:bCs/>
          <w:snapToGrid w:val="0"/>
          <w:sz w:val="24"/>
          <w:highlight w:val="none"/>
        </w:rPr>
        <w:t>，</w:t>
      </w:r>
      <w:r>
        <w:rPr>
          <w:rFonts w:hint="eastAsia" w:cs="宋体" w:asciiTheme="minorEastAsia" w:hAnsiTheme="minorEastAsia" w:eastAsiaTheme="minorEastAsia"/>
          <w:snapToGrid w:val="0"/>
          <w:sz w:val="24"/>
          <w:highlight w:val="none"/>
        </w:rPr>
        <w:t>但采购人、采购机构不强制或变相强制投标人提交备份投标文件。</w:t>
      </w:r>
    </w:p>
    <w:p w14:paraId="7764816B">
      <w:pPr>
        <w:adjustRightInd/>
        <w:spacing w:line="520" w:lineRule="exact"/>
        <w:ind w:firstLine="480" w:firstLineChars="200"/>
        <w:rPr>
          <w:rFonts w:hint="eastAsia" w:cs="宋体" w:asciiTheme="minorEastAsia" w:hAnsiTheme="minorEastAsia" w:eastAsiaTheme="minorEastAsia"/>
          <w:b/>
          <w:snapToGrid w:val="0"/>
          <w:sz w:val="24"/>
          <w:highlight w:val="none"/>
        </w:rPr>
      </w:pPr>
      <w:r>
        <w:rPr>
          <w:rFonts w:hint="eastAsia" w:cs="宋体" w:asciiTheme="minorEastAsia" w:hAnsiTheme="minorEastAsia" w:eastAsiaTheme="minorEastAsia"/>
          <w:snapToGrid w:val="0"/>
          <w:sz w:val="24"/>
          <w:highlight w:val="none"/>
        </w:rPr>
        <w:t>7.2备份投标文件须在“乐采云投标客户端”制作生成，</w:t>
      </w:r>
      <w:r>
        <w:rPr>
          <w:rFonts w:hint="eastAsia" w:cs="宋体" w:asciiTheme="minorEastAsia" w:hAnsiTheme="minorEastAsia" w:eastAsiaTheme="minorEastAsia"/>
          <w:b/>
          <w:snapToGrid w:val="0"/>
          <w:sz w:val="24"/>
          <w:highlight w:val="none"/>
        </w:rPr>
        <w:t>不符合上述的备份投标文件将被视为无效或者被拒绝接收。</w:t>
      </w:r>
    </w:p>
    <w:p w14:paraId="65C5CDDF">
      <w:pPr>
        <w:adjustRightInd/>
        <w:spacing w:line="520" w:lineRule="exact"/>
        <w:ind w:firstLine="480" w:firstLineChars="200"/>
        <w:rPr>
          <w:rFonts w:hint="eastAsia" w:cs="宋体" w:asciiTheme="minorEastAsia" w:hAnsiTheme="minorEastAsia" w:eastAsiaTheme="minorEastAsia"/>
          <w:snapToGrid w:val="0"/>
          <w:sz w:val="24"/>
          <w:highlight w:val="none"/>
        </w:rPr>
      </w:pPr>
      <w:r>
        <w:rPr>
          <w:rFonts w:hint="eastAsia" w:cs="宋体" w:asciiTheme="minorEastAsia" w:hAnsiTheme="minorEastAsia" w:eastAsiaTheme="minorEastAsia"/>
          <w:snapToGrid w:val="0"/>
          <w:sz w:val="24"/>
          <w:highlight w:val="none"/>
        </w:rPr>
        <w:t>7.3备份投标文件须在投标当天9:30（北京时间）之前送达</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napToGrid w:val="0"/>
          <w:sz w:val="24"/>
          <w:highlight w:val="none"/>
        </w:rPr>
        <w:t>采购机构将拒绝接受逾期送达的备份投标文件。过程中，电子备份投标文件发生泄露、遗失、损坏或延期送达等情况的，由投标人自行负责。</w:t>
      </w:r>
    </w:p>
    <w:p w14:paraId="7077C258">
      <w:pPr>
        <w:adjustRightInd/>
        <w:spacing w:line="520" w:lineRule="exact"/>
        <w:ind w:firstLine="482" w:firstLineChars="200"/>
        <w:rPr>
          <w:rFonts w:hint="eastAsia" w:cs="宋体" w:asciiTheme="minorEastAsia" w:hAnsiTheme="minorEastAsia" w:eastAsiaTheme="minorEastAsia"/>
          <w:b/>
          <w:snapToGrid w:val="0"/>
          <w:sz w:val="24"/>
        </w:rPr>
      </w:pPr>
      <w:r>
        <w:rPr>
          <w:rFonts w:hint="eastAsia" w:cs="宋体" w:asciiTheme="minorEastAsia" w:hAnsiTheme="minorEastAsia" w:eastAsiaTheme="minorEastAsia"/>
          <w:b/>
          <w:snapToGrid w:val="0"/>
          <w:sz w:val="24"/>
        </w:rPr>
        <w:t>7.6投标人仅提交备份投标文件，没有在电子交易平台传输递交投标文件的，投标无效。</w:t>
      </w:r>
    </w:p>
    <w:p w14:paraId="3D679E1C">
      <w:pPr>
        <w:adjustRightInd/>
        <w:snapToGrid w:val="0"/>
        <w:spacing w:line="520" w:lineRule="exact"/>
        <w:ind w:firstLine="482" w:firstLineChars="200"/>
        <w:jc w:val="left"/>
        <w:outlineLvl w:val="2"/>
        <w:rPr>
          <w:rFonts w:hint="eastAsia" w:cs="宋体" w:asciiTheme="minorEastAsia" w:hAnsiTheme="minorEastAsia" w:eastAsiaTheme="minorEastAsia"/>
          <w:b/>
          <w:sz w:val="24"/>
        </w:rPr>
      </w:pPr>
      <w:r>
        <w:rPr>
          <w:rFonts w:hint="eastAsia" w:cs="宋体" w:asciiTheme="minorEastAsia" w:hAnsiTheme="minorEastAsia" w:eastAsiaTheme="minorEastAsia"/>
          <w:b/>
          <w:snapToGrid w:val="0"/>
          <w:sz w:val="24"/>
        </w:rPr>
        <w:t>8.</w:t>
      </w:r>
      <w:r>
        <w:rPr>
          <w:rFonts w:hint="eastAsia" w:cs="宋体" w:asciiTheme="minorEastAsia" w:hAnsiTheme="minorEastAsia" w:eastAsiaTheme="minorEastAsia"/>
          <w:b/>
          <w:sz w:val="24"/>
        </w:rPr>
        <w:t>投标有效期</w:t>
      </w:r>
    </w:p>
    <w:p w14:paraId="4B2960A1">
      <w:pPr>
        <w:adjustRightInd/>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8.1投标有效期为从提交投标文件的截止之日起90天。▲投标人的投标文件中承诺的投标有效期少于采购文件中载明的投标有效期的，投标无效。</w:t>
      </w:r>
    </w:p>
    <w:p w14:paraId="0D6CCCC5">
      <w:pPr>
        <w:adjustRightInd/>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8.2投标文件合格投递后，自投标截止日期起，在投标有效期内有效。</w:t>
      </w:r>
    </w:p>
    <w:p w14:paraId="21F85199">
      <w:pPr>
        <w:adjustRightInd/>
        <w:spacing w:line="520" w:lineRule="exact"/>
        <w:ind w:firstLine="42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8.3在原定投标有效期满之前，如果出现特殊情况，采购机构可以以书面形式通知投标人延长投标有效期。投标人同意延长的，不得要求或被允许修改其投标文件，投标人拒绝延长的，其投标无效。</w:t>
      </w:r>
    </w:p>
    <w:p w14:paraId="4E5F1E9E">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 xml:space="preserve"> 8.4</w:t>
      </w:r>
      <w:r>
        <w:rPr>
          <w:rFonts w:hint="eastAsia" w:cs="宋体" w:asciiTheme="minorEastAsia" w:hAnsiTheme="minorEastAsia" w:eastAsiaTheme="minorEastAsia"/>
          <w:snapToGrid w:val="0"/>
          <w:kern w:val="0"/>
          <w:sz w:val="24"/>
        </w:rPr>
        <w:t>中标人的投标文件自开标之日起至合同履行完毕止均应保持有效。</w:t>
      </w:r>
    </w:p>
    <w:p w14:paraId="32266A8B">
      <w:pPr>
        <w:adjustRightInd/>
        <w:spacing w:line="520" w:lineRule="exact"/>
        <w:ind w:firstLine="42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9、投标报价</w:t>
      </w:r>
    </w:p>
    <w:p w14:paraId="06D2137E">
      <w:pPr>
        <w:adjustRightInd/>
        <w:spacing w:line="520" w:lineRule="exact"/>
        <w:ind w:firstLine="420"/>
        <w:rPr>
          <w:rFonts w:hint="eastAsia" w:cs="宋体" w:asciiTheme="minorEastAsia" w:hAnsiTheme="minorEastAsia" w:eastAsiaTheme="minorEastAsia"/>
          <w:b/>
          <w:sz w:val="24"/>
          <w:u w:val="thick"/>
        </w:rPr>
      </w:pPr>
      <w:r>
        <w:rPr>
          <w:rFonts w:hint="eastAsia" w:cs="宋体" w:asciiTheme="minorEastAsia" w:hAnsiTheme="minorEastAsia" w:eastAsiaTheme="minorEastAsia"/>
          <w:sz w:val="24"/>
        </w:rPr>
        <w:t>9.1 ▲</w:t>
      </w:r>
      <w:r>
        <w:rPr>
          <w:rFonts w:hint="eastAsia" w:cs="宋体" w:asciiTheme="minorEastAsia" w:hAnsiTheme="minorEastAsia" w:eastAsiaTheme="minorEastAsia"/>
          <w:b/>
          <w:sz w:val="24"/>
          <w:u w:val="thick"/>
        </w:rPr>
        <w:t>本次投标报价为人民币报价</w:t>
      </w:r>
      <w:r>
        <w:rPr>
          <w:rFonts w:hint="eastAsia" w:cs="宋体" w:asciiTheme="minorEastAsia" w:hAnsiTheme="minorEastAsia" w:eastAsiaTheme="minorEastAsia"/>
          <w:b/>
          <w:bCs/>
          <w:sz w:val="24"/>
          <w:u w:val="thick"/>
        </w:rPr>
        <w:t>。</w:t>
      </w:r>
    </w:p>
    <w:p w14:paraId="444276B4">
      <w:pPr>
        <w:adjustRightInd/>
        <w:spacing w:line="520" w:lineRule="exact"/>
        <w:ind w:firstLine="42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rPr>
        <w:t>9.2投标人的投标报价为含税总价，投标报价是履行合同的最终价格。采购范围内相应服务的全部内容，包括完</w:t>
      </w:r>
      <w:r>
        <w:rPr>
          <w:rFonts w:hint="eastAsia" w:cs="宋体" w:asciiTheme="minorEastAsia" w:hAnsiTheme="minorEastAsia" w:eastAsiaTheme="minorEastAsia"/>
          <w:sz w:val="24"/>
          <w:highlight w:val="none"/>
        </w:rPr>
        <w:t>成嵊州市三溪水库工程林木清理项目（详见本招标文件第三章内容）和合同条款约定的一切费用。投标人报价应包括完成该项目所涉及的一切人员工资、机械、劳保福利、保险、设备、高温补贴、管理费、利润、税金等，投标人的投标报价为整个采购项目的总报价，如有漏项，视同已包含在其总项目中，合同总价不做调整</w:t>
      </w:r>
      <w:r>
        <w:rPr>
          <w:rFonts w:hint="eastAsia" w:cs="宋体" w:asciiTheme="minorEastAsia" w:hAnsiTheme="minorEastAsia" w:eastAsiaTheme="minorEastAsia"/>
          <w:sz w:val="24"/>
          <w:highlight w:val="none"/>
          <w:lang w:bidi="ar"/>
        </w:rPr>
        <w:t>。投标人的报价应按采购文件要求的格式、顺序编制。</w:t>
      </w:r>
    </w:p>
    <w:p w14:paraId="44D0BE7E">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bCs/>
          <w:sz w:val="24"/>
          <w:highlight w:val="none"/>
        </w:rPr>
        <w:t xml:space="preserve">9.3 </w:t>
      </w:r>
      <w:r>
        <w:rPr>
          <w:rFonts w:hint="eastAsia" w:cs="宋体" w:asciiTheme="minorEastAsia" w:hAnsiTheme="minorEastAsia" w:eastAsiaTheme="minorEastAsia"/>
          <w:sz w:val="24"/>
          <w:highlight w:val="none"/>
        </w:rPr>
        <w:t>投标报价应按不同费用类别</w:t>
      </w:r>
      <w:r>
        <w:rPr>
          <w:rFonts w:hint="eastAsia" w:cs="宋体" w:asciiTheme="minorEastAsia" w:hAnsiTheme="minorEastAsia" w:eastAsiaTheme="minorEastAsia"/>
          <w:sz w:val="24"/>
        </w:rPr>
        <w:t>分开填写，具体详见“投标文件格式”。</w:t>
      </w:r>
    </w:p>
    <w:p w14:paraId="1728BF38">
      <w:pPr>
        <w:adjustRightInd/>
        <w:spacing w:line="520" w:lineRule="exact"/>
        <w:ind w:firstLine="420"/>
        <w:rPr>
          <w:rFonts w:hint="eastAsia" w:cs="宋体" w:asciiTheme="minorEastAsia" w:hAnsiTheme="minorEastAsia" w:eastAsiaTheme="minorEastAsia"/>
          <w:b/>
          <w:sz w:val="24"/>
          <w:u w:val="thick"/>
        </w:rPr>
      </w:pPr>
      <w:r>
        <w:rPr>
          <w:rFonts w:hint="eastAsia" w:cs="宋体" w:asciiTheme="minorEastAsia" w:hAnsiTheme="minorEastAsia" w:eastAsiaTheme="minorEastAsia"/>
          <w:sz w:val="24"/>
        </w:rPr>
        <w:t>9.4 ▲</w:t>
      </w:r>
      <w:r>
        <w:rPr>
          <w:rFonts w:hint="eastAsia" w:cs="宋体" w:asciiTheme="minorEastAsia" w:hAnsiTheme="minorEastAsia" w:eastAsiaTheme="minorEastAsia"/>
          <w:b/>
          <w:sz w:val="24"/>
          <w:u w:val="thick"/>
        </w:rPr>
        <w:t>所投标项只允许有一个报价，不接受有选择报价的投标文件。</w:t>
      </w:r>
    </w:p>
    <w:p w14:paraId="113C79D9">
      <w:pPr>
        <w:adjustRightInd/>
        <w:spacing w:line="520" w:lineRule="exact"/>
        <w:ind w:firstLine="42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10、投标文件的式样</w:t>
      </w:r>
    </w:p>
    <w:p w14:paraId="581B3DA4">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10.1 投标人通过“乐采云”平台制作电子投标文件，投标文件制作详见“供应商-采购项目电子交易操作指南”。</w:t>
      </w:r>
    </w:p>
    <w:p w14:paraId="2818A52E">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10.2 投标文件是电子投标文件，包括“电子加密投标文件”和“备份投标文件”，在投标文件编制完成后同时生成。</w:t>
      </w:r>
    </w:p>
    <w:p w14:paraId="54859F11">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10.2.1“电子加密投标文件”是指通过“乐采云电子交易客户端”完成投标文件编制后生成并加密的数据电文形式的投标文件。</w:t>
      </w:r>
    </w:p>
    <w:p w14:paraId="25342259">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10.2.2“备份投标文件”是指与“电子加密投标文件”同时生成的数据电文形式的电子文件（备份标书，用于供应商标书解密异常时应急使用），其他方式编制的备份投标文件视为无效备份投标文件。</w:t>
      </w:r>
    </w:p>
    <w:p w14:paraId="5C167BA2">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10.2.3一份电子加密标书（后缀格式为.jmbs），一份备份标书文件（后缀格式为.bfbs）</w:t>
      </w:r>
    </w:p>
    <w:p w14:paraId="6591E4BE">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10.2.4每份电子投标文件应包括资格证明文件、资信技术文件、报价文件三部分内容。</w:t>
      </w:r>
    </w:p>
    <w:p w14:paraId="290146A2">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10.3 投标文件中投标函、</w:t>
      </w:r>
      <w:r>
        <w:rPr>
          <w:rFonts w:hint="eastAsia" w:cs="宋体" w:asciiTheme="minorEastAsia" w:hAnsiTheme="minorEastAsia" w:eastAsiaTheme="minorEastAsia"/>
          <w:sz w:val="24"/>
          <w:lang w:val="zh-CN"/>
        </w:rPr>
        <w:t>法定代表人授权委托书</w:t>
      </w:r>
      <w:r>
        <w:rPr>
          <w:rFonts w:hint="eastAsia" w:cs="宋体" w:asciiTheme="minorEastAsia" w:hAnsiTheme="minorEastAsia" w:eastAsiaTheme="minorEastAsia"/>
          <w:sz w:val="24"/>
        </w:rPr>
        <w:t>的格式、签字、盖章及内容均应符合采购文件格式要求，否则投标文件无效。</w:t>
      </w:r>
    </w:p>
    <w:p w14:paraId="30FF8720">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10.4投标人应根据“乐采云供应商项目采购-电子招投标操作指南”及本采购文件规定编制电子投标文件并进行关联定位，以便评标委员会在评标时，点击评分项，可直接定位到该评分项内容。</w:t>
      </w:r>
    </w:p>
    <w:p w14:paraId="55EF9B09">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如对采购文件的某项要求，投标人的投标响应文件未能提供相应的内容与其对应，则评标委员会在评审时会提示投标人未对此项招标要求提供相应内容。由此产生的评分影响由投标人自行承担。</w:t>
      </w:r>
    </w:p>
    <w:p w14:paraId="641B7BE3">
      <w:pPr>
        <w:pStyle w:val="32"/>
        <w:spacing w:line="520" w:lineRule="exact"/>
        <w:rPr>
          <w:rFonts w:asciiTheme="minorEastAsia" w:hAnsiTheme="minorEastAsia" w:eastAsiaTheme="minorEastAsia"/>
        </w:rPr>
      </w:pPr>
    </w:p>
    <w:bookmarkEnd w:id="30"/>
    <w:bookmarkEnd w:id="31"/>
    <w:p w14:paraId="0D6CA895">
      <w:pPr>
        <w:pStyle w:val="2"/>
        <w:tabs>
          <w:tab w:val="left" w:pos="358"/>
          <w:tab w:val="clear" w:pos="432"/>
        </w:tabs>
        <w:spacing w:line="520" w:lineRule="exact"/>
        <w:ind w:firstLine="420"/>
        <w:jc w:val="center"/>
        <w:rPr>
          <w:rFonts w:hint="eastAsia" w:cs="宋体" w:asciiTheme="minorEastAsia" w:hAnsiTheme="minorEastAsia" w:eastAsiaTheme="minorEastAsia"/>
        </w:rPr>
      </w:pPr>
      <w:bookmarkStart w:id="33" w:name="_Toc82873326"/>
      <w:bookmarkStart w:id="34" w:name="_Toc35261575"/>
      <w:bookmarkStart w:id="35" w:name="_Toc54978894"/>
      <w:bookmarkStart w:id="36" w:name="_Toc82338243"/>
      <w:bookmarkStart w:id="37" w:name="_Toc450482500"/>
      <w:r>
        <w:rPr>
          <w:rFonts w:hint="eastAsia" w:cs="宋体" w:asciiTheme="minorEastAsia" w:hAnsiTheme="minorEastAsia" w:eastAsiaTheme="minorEastAsia"/>
        </w:rPr>
        <w:t>五、开标、资格审查与信用信息查询</w:t>
      </w:r>
      <w:bookmarkEnd w:id="33"/>
      <w:bookmarkEnd w:id="34"/>
      <w:bookmarkEnd w:id="35"/>
      <w:bookmarkEnd w:id="36"/>
      <w:bookmarkEnd w:id="37"/>
    </w:p>
    <w:p w14:paraId="1C8C0BF0">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5.1．开标</w:t>
      </w:r>
    </w:p>
    <w:p w14:paraId="43B2A551">
      <w:pPr>
        <w:adjustRightInd/>
        <w:spacing w:line="520" w:lineRule="exact"/>
        <w:ind w:firstLine="420"/>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 xml:space="preserve">5.1.1 </w:t>
      </w:r>
      <w:r>
        <w:rPr>
          <w:rFonts w:hint="eastAsia" w:cs="宋体" w:asciiTheme="minorEastAsia" w:hAnsiTheme="minorEastAsia" w:eastAsiaTheme="minorEastAsia"/>
          <w:kern w:val="0"/>
          <w:sz w:val="24"/>
        </w:rPr>
        <w:t>采购机构按照采购文件规定的时间通过电子交易平台组织开标，所有投标人均应当准时在线参加。投标人不足3家的，不得开标。</w:t>
      </w:r>
    </w:p>
    <w:p w14:paraId="377CF7EE">
      <w:pPr>
        <w:autoSpaceDE w:val="0"/>
        <w:autoSpaceDN w:val="0"/>
        <w:adjustRightInd/>
        <w:spacing w:line="520" w:lineRule="exact"/>
        <w:ind w:firstLine="480" w:firstLineChars="200"/>
        <w:contextualSpacing/>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5.1.2</w:t>
      </w:r>
      <w:r>
        <w:rPr>
          <w:rFonts w:hint="eastAsia" w:cs="宋体" w:asciiTheme="minorEastAsia" w:hAnsiTheme="minorEastAsia" w:eastAsiaTheme="minorEastAsia"/>
          <w:kern w:val="0"/>
          <w:sz w:val="24"/>
        </w:rPr>
        <w:t>开标时，电子交易平台按开标时间自动提取所有投标文件。采购机构依托电子交易平台发起开始解密指令，投标人按照平台提示和采购文件的规定在半小时内完成在线解密。</w:t>
      </w:r>
    </w:p>
    <w:p w14:paraId="504047B1">
      <w:pPr>
        <w:autoSpaceDE w:val="0"/>
        <w:autoSpaceDN w:val="0"/>
        <w:adjustRightInd/>
        <w:spacing w:line="520" w:lineRule="exact"/>
        <w:ind w:firstLine="482" w:firstLineChars="200"/>
        <w:contextualSpacing/>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5.1.3投标文件未按时解密，投标人提供了备份投标文件的，以备份投标文件作为依据，否则视为投标文件撤回。投标文件已按时解密的，备份投标文件自动失效。</w:t>
      </w:r>
    </w:p>
    <w:p w14:paraId="4D0B3029">
      <w:pPr>
        <w:adjustRightInd/>
        <w:snapToGrid w:val="0"/>
        <w:spacing w:line="520" w:lineRule="exact"/>
        <w:ind w:firstLine="480" w:firstLineChars="200"/>
        <w:jc w:val="left"/>
        <w:outlineLvl w:val="2"/>
        <w:rPr>
          <w:rFonts w:hint="eastAsia" w:cs="宋体" w:asciiTheme="minorEastAsia" w:hAnsiTheme="minorEastAsia" w:eastAsiaTheme="minorEastAsia"/>
          <w:sz w:val="24"/>
        </w:rPr>
      </w:pPr>
      <w:r>
        <w:rPr>
          <w:rFonts w:hint="eastAsia" w:cs="宋体" w:asciiTheme="minorEastAsia" w:hAnsiTheme="minorEastAsia" w:eastAsiaTheme="minorEastAsia"/>
          <w:sz w:val="24"/>
        </w:rPr>
        <w:t>5.1.4开评标期间，投标人代表应在线操作，并关注乐采云有关信息公布、澄清等情况。投标人代表不参加开标程序的，事后不得对采购相关人员、开标过程和开标结果提出异议。</w:t>
      </w:r>
    </w:p>
    <w:p w14:paraId="41436D16">
      <w:pPr>
        <w:adjustRightInd/>
        <w:snapToGrid w:val="0"/>
        <w:spacing w:line="520" w:lineRule="exact"/>
        <w:ind w:firstLine="241" w:firstLineChars="100"/>
        <w:jc w:val="left"/>
        <w:outlineLvl w:val="2"/>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5.2资格审查</w:t>
      </w:r>
    </w:p>
    <w:p w14:paraId="52BCB6D0">
      <w:pPr>
        <w:adjustRightInd/>
        <w:spacing w:line="520" w:lineRule="exact"/>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5.2.1开标后，采购人或采购机构将依法对投标人的资格进行审查。</w:t>
      </w:r>
    </w:p>
    <w:p w14:paraId="2CBE30E4">
      <w:pPr>
        <w:adjustRightInd/>
        <w:snapToGrid w:val="0"/>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5.2.2</w:t>
      </w:r>
      <w:r>
        <w:rPr>
          <w:rFonts w:hint="eastAsia" w:cs="宋体" w:asciiTheme="minorEastAsia" w:hAnsiTheme="minorEastAsia" w:eastAsiaTheme="minorEastAsia"/>
          <w:sz w:val="24"/>
        </w:rPr>
        <w:t>采购人或采购机构依据法律法规和采购文件的规定，对投标人的资格进行审查。</w:t>
      </w:r>
    </w:p>
    <w:p w14:paraId="176660D0">
      <w:pPr>
        <w:pStyle w:val="39"/>
        <w:adjustRightInd/>
        <w:spacing w:before="0" w:line="520" w:lineRule="exact"/>
        <w:ind w:firstLine="480"/>
        <w:rPr>
          <w:rFonts w:hint="eastAsia" w:cs="宋体" w:asciiTheme="minorEastAsia" w:hAnsiTheme="minorEastAsia" w:eastAsiaTheme="minorEastAsia"/>
          <w:szCs w:val="24"/>
        </w:rPr>
      </w:pPr>
      <w:r>
        <w:rPr>
          <w:rFonts w:hint="eastAsia" w:cs="宋体" w:asciiTheme="minorEastAsia" w:hAnsiTheme="minorEastAsia" w:eastAsiaTheme="minorEastAsia"/>
          <w:kern w:val="0"/>
          <w:szCs w:val="24"/>
        </w:rPr>
        <w:t>5.2.3投标人未按照采购文件要求提供与</w:t>
      </w:r>
      <w:r>
        <w:rPr>
          <w:rFonts w:hint="eastAsia" w:cs="宋体" w:asciiTheme="minorEastAsia" w:hAnsiTheme="minorEastAsia" w:eastAsiaTheme="minorEastAsia"/>
          <w:szCs w:val="24"/>
        </w:rPr>
        <w:t>资格条件相应的</w:t>
      </w:r>
      <w:r>
        <w:rPr>
          <w:rFonts w:hint="eastAsia" w:cs="宋体" w:asciiTheme="minorEastAsia" w:hAnsiTheme="minorEastAsia" w:eastAsiaTheme="minorEastAsia"/>
          <w:kern w:val="0"/>
          <w:szCs w:val="24"/>
        </w:rPr>
        <w:t>有效资格证明材料的，视为</w:t>
      </w:r>
      <w:r>
        <w:rPr>
          <w:rFonts w:hint="eastAsia" w:cs="宋体" w:asciiTheme="minorEastAsia" w:hAnsiTheme="minorEastAsia" w:eastAsiaTheme="minorEastAsia"/>
          <w:szCs w:val="24"/>
        </w:rPr>
        <w:t>投标人不具备采购文件中规定的资格要求，其投标无效。</w:t>
      </w:r>
    </w:p>
    <w:p w14:paraId="4D9CD810">
      <w:pPr>
        <w:adjustRightInd/>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5.2.</w:t>
      </w:r>
      <w:r>
        <w:rPr>
          <w:rFonts w:hint="eastAsia" w:cs="宋体" w:asciiTheme="minorEastAsia" w:hAnsiTheme="minorEastAsia" w:eastAsiaTheme="minorEastAsia"/>
          <w:sz w:val="24"/>
        </w:rPr>
        <w:t>4对未通过资格审查的投标人，采购人或采购机构告知其未通过的原因。</w:t>
      </w:r>
    </w:p>
    <w:p w14:paraId="1519C91D">
      <w:pPr>
        <w:adjustRightInd/>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5.2.</w:t>
      </w:r>
      <w:r>
        <w:rPr>
          <w:rFonts w:hint="eastAsia" w:cs="宋体" w:asciiTheme="minorEastAsia" w:hAnsiTheme="minorEastAsia" w:eastAsiaTheme="minorEastAsia"/>
          <w:sz w:val="24"/>
        </w:rPr>
        <w:t>5合格投标人不足3家的，不再评标。</w:t>
      </w:r>
    </w:p>
    <w:p w14:paraId="19451536">
      <w:pPr>
        <w:pStyle w:val="39"/>
        <w:adjustRightInd/>
        <w:spacing w:before="0" w:line="520" w:lineRule="exact"/>
        <w:ind w:firstLine="482"/>
        <w:rPr>
          <w:rFonts w:hint="eastAsia" w:cs="宋体" w:asciiTheme="minorEastAsia" w:hAnsiTheme="minorEastAsia" w:eastAsiaTheme="minorEastAsia"/>
          <w:b/>
          <w:bCs/>
          <w:kern w:val="0"/>
          <w:szCs w:val="24"/>
        </w:rPr>
      </w:pPr>
      <w:r>
        <w:rPr>
          <w:rFonts w:hint="eastAsia" w:cs="宋体" w:asciiTheme="minorEastAsia" w:hAnsiTheme="minorEastAsia" w:eastAsiaTheme="minorEastAsia"/>
          <w:b/>
          <w:bCs/>
          <w:szCs w:val="24"/>
        </w:rPr>
        <w:t>5.3</w:t>
      </w:r>
      <w:r>
        <w:rPr>
          <w:rFonts w:hint="eastAsia" w:cs="宋体" w:asciiTheme="minorEastAsia" w:hAnsiTheme="minorEastAsia" w:eastAsiaTheme="minorEastAsia"/>
          <w:b/>
          <w:bCs/>
          <w:kern w:val="0"/>
          <w:szCs w:val="24"/>
        </w:rPr>
        <w:t>信用信息查询</w:t>
      </w:r>
    </w:p>
    <w:p w14:paraId="0A4B6A86">
      <w:pPr>
        <w:pStyle w:val="39"/>
        <w:adjustRightInd/>
        <w:spacing w:before="0" w:line="520" w:lineRule="exact"/>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5.3.1信用信息查询渠道及截止时间：采购机构将在资格审查时通过“信用中国”网站(www.creditchina.gov.cn)、中国政府采购网(www.ccgp.gov.cn)渠道查询投标人接受资格时的信用记录。</w:t>
      </w:r>
    </w:p>
    <w:p w14:paraId="0A42491C">
      <w:pPr>
        <w:pStyle w:val="39"/>
        <w:adjustRightInd/>
        <w:spacing w:before="0" w:line="520" w:lineRule="exact"/>
        <w:ind w:firstLine="480"/>
        <w:rPr>
          <w:rFonts w:hint="eastAsia" w:cs="宋体" w:asciiTheme="minorEastAsia" w:hAnsiTheme="minorEastAsia" w:eastAsiaTheme="minorEastAsia"/>
          <w:kern w:val="0"/>
          <w:szCs w:val="24"/>
        </w:rPr>
      </w:pPr>
      <w:bookmarkStart w:id="38" w:name="_Hlk125840869"/>
      <w:r>
        <w:rPr>
          <w:rFonts w:hint="eastAsia" w:cs="宋体" w:asciiTheme="minorEastAsia" w:hAnsiTheme="minorEastAsia" w:eastAsiaTheme="minorEastAsia"/>
          <w:kern w:val="0"/>
          <w:szCs w:val="24"/>
        </w:rPr>
        <w:t>5.3.2信用信息查询记录和证据留存的具体方式：现场查询的投标人的信用记录、查询结果经确认后将与采购文件一起存档。</w:t>
      </w:r>
    </w:p>
    <w:p w14:paraId="2BFB7404">
      <w:pPr>
        <w:pStyle w:val="39"/>
        <w:adjustRightInd/>
        <w:spacing w:before="0" w:line="520" w:lineRule="exact"/>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5.3.3信用信息的使用规则：经查询列入失信被执行人名单、重大税收违法案件当事人名单、政府采购严重违法失信行为记录名单的投标人将被拒绝参与采购活动。</w:t>
      </w:r>
    </w:p>
    <w:p w14:paraId="689E83CF">
      <w:pPr>
        <w:pStyle w:val="39"/>
        <w:adjustRightInd/>
        <w:spacing w:before="0" w:line="520" w:lineRule="exact"/>
        <w:ind w:firstLine="480"/>
        <w:rPr>
          <w:rFonts w:hint="eastAsia" w:cs="宋体" w:asciiTheme="minorEastAsia" w:hAnsiTheme="minorEastAsia" w:eastAsiaTheme="minorEastAsia"/>
          <w:szCs w:val="24"/>
          <w:lang w:val="zh-CN"/>
        </w:rPr>
      </w:pPr>
      <w:r>
        <w:rPr>
          <w:rFonts w:hint="eastAsia" w:cs="宋体" w:asciiTheme="minorEastAsia" w:hAnsiTheme="minorEastAsia" w:eastAsiaTheme="minorEastAsia"/>
          <w:kern w:val="0"/>
          <w:szCs w:val="24"/>
        </w:rPr>
        <w:t>5.3.4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cs="宋体" w:asciiTheme="minorEastAsia" w:hAnsiTheme="minorEastAsia" w:eastAsiaTheme="minorEastAsia"/>
          <w:szCs w:val="24"/>
        </w:rPr>
        <w:t>。</w:t>
      </w:r>
      <w:bookmarkEnd w:id="38"/>
    </w:p>
    <w:p w14:paraId="24338B8B">
      <w:pPr>
        <w:adjustRightInd/>
        <w:spacing w:line="520" w:lineRule="exact"/>
        <w:ind w:firstLine="42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6、开标程序</w:t>
      </w:r>
    </w:p>
    <w:p w14:paraId="687D2A30">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6.1开标第一阶段</w:t>
      </w:r>
    </w:p>
    <w:p w14:paraId="24C85359">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6、1.1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乐采云平台”操作规范将备份投标文件上传至“采购云平台”，上传成功后，“电子加密投标文件”自动失效；</w:t>
      </w:r>
    </w:p>
    <w:p w14:paraId="343243FE">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61.2投标文件解密结束，通过邮件形式发送各投标人组织签署《采购活动现场确认声明书》；</w:t>
      </w:r>
    </w:p>
    <w:p w14:paraId="076725C4">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6.1.3开启投标文件，进入资格审查；</w:t>
      </w:r>
    </w:p>
    <w:p w14:paraId="1B20966A">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6.1.4开启资格审查通过的投标供应商的资信技术文件进入符合性审查、资信技术评审；</w:t>
      </w:r>
    </w:p>
    <w:p w14:paraId="4C371B8D">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6.1.5第一阶段开标结束。</w:t>
      </w:r>
    </w:p>
    <w:p w14:paraId="7928CF27">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备注：开标程序的第一阶段结束后，采购人或采购代理机构将对依法对投标供应商的资格进行审查，资格审查结束后进入符合性审查和资信技术的评审工作。</w:t>
      </w:r>
    </w:p>
    <w:p w14:paraId="2DA010B1">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5.2开标第二阶段</w:t>
      </w:r>
    </w:p>
    <w:p w14:paraId="70AD2426">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6.2.1符合性审查、资信技术评审结束后，举行开标程序第二阶段会议。首先通过发送邮件形式公布符合性审查、资信技术评审无效供应商名称及理由；公布经资信技术评审后有效投标人的名单，同时公布其资信技术部分得分情况。</w:t>
      </w:r>
    </w:p>
    <w:p w14:paraId="3D50BB71">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6.2.2开启符合性审查、资信技术评审有效投标人的《报价文件》，通过发送邮件形式公布开标一览表有关内容，同时当场制作开标记录表，供应商通过发送邮件形式签字确认（不予确认的应说明理由，否则视为无异议）。报价文件开标结束后，由评标委员会对报价的合理性、准确性等进行审查核实。</w:t>
      </w:r>
    </w:p>
    <w:p w14:paraId="5D33BEC8">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6.2.3评审结束后，通过发送邮件形式公布中标（成交）候选供应商名单，及采购人最终确定中标或成交供应商名单的时间和公告方式等。</w:t>
      </w:r>
    </w:p>
    <w:p w14:paraId="252AEB9B">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6.2.4如遇“乐采云平台”电子化开标或评审程序调整的，或者乐采云系统提供数据电文交互功能的，按其规定执行。</w:t>
      </w:r>
    </w:p>
    <w:p w14:paraId="7A9D50D4">
      <w:pPr>
        <w:pStyle w:val="32"/>
        <w:spacing w:line="520" w:lineRule="exact"/>
        <w:rPr>
          <w:rFonts w:asciiTheme="minorEastAsia" w:hAnsiTheme="minorEastAsia" w:eastAsiaTheme="minorEastAsia"/>
        </w:rPr>
      </w:pPr>
    </w:p>
    <w:p w14:paraId="0032C5B6">
      <w:pPr>
        <w:adjustRightInd/>
        <w:spacing w:line="520" w:lineRule="exact"/>
        <w:jc w:val="center"/>
        <w:rPr>
          <w:rFonts w:hint="eastAsia"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六、评标</w:t>
      </w:r>
    </w:p>
    <w:p w14:paraId="36D791C9">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6.1 评标组织</w:t>
      </w:r>
    </w:p>
    <w:p w14:paraId="0700AE7B">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评标委员会由招标采购单位依法组建，负责评标活动。评标委员会由采购人代表和有关技术、经济等方面的专家组成，成员人数应当为五人及以上单数。</w:t>
      </w:r>
    </w:p>
    <w:p w14:paraId="40325A1C">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6.2评标纪律</w:t>
      </w:r>
    </w:p>
    <w:p w14:paraId="66B7AB34">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本次评标工作将在严格保密的情况下进行，评标委员会成员名单在定标前将保密。</w:t>
      </w:r>
    </w:p>
    <w:p w14:paraId="2F2FCB39">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6.3评标办法</w:t>
      </w:r>
    </w:p>
    <w:p w14:paraId="579421AC">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采用综合评分法，详见采购文件第四章“评标办法”。</w:t>
      </w:r>
    </w:p>
    <w:p w14:paraId="68DCA6C3">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6.4 评标程序</w:t>
      </w:r>
    </w:p>
    <w:p w14:paraId="73F67A87">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6.4.1投标文件初审。初审分为资格性检查和符合性检查。</w:t>
      </w:r>
    </w:p>
    <w:p w14:paraId="51C77844">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6.4.1.1资格性检查。</w:t>
      </w:r>
    </w:p>
    <w:p w14:paraId="6C5D9FD8">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开标后，采购人或采购代理机构将依据法律法规和供应商资格条件对投标人的基本资格条件、特定资格条件进行审查。</w:t>
      </w:r>
    </w:p>
    <w:p w14:paraId="5ECA04D2">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投标人未按照采购文件中供应商资格条件要求提供相应的有效资格证明材料的，视为投标人不具备采购文件中规定的资格要求，其资格审查不通过。</w:t>
      </w:r>
    </w:p>
    <w:p w14:paraId="0727E71A">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6.4.1.2符合性检查。依据采购文件的规定，从投标文件的有效性、完整性和对采购文件的响应程度进行审查，以确定是否对采购文件的实质性要求作出响应。具体审查内容见投标须知6.3.1条“无效投标的认定”。</w:t>
      </w:r>
    </w:p>
    <w:p w14:paraId="20D978C2">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评标委员会决定投标文件的响应性只根据投标文件本身的内容，而不寻求外部证据。</w:t>
      </w:r>
    </w:p>
    <w:p w14:paraId="51FA79AD">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如果投标文件没有实质上响应采购文件的要求，评标委员会将判定无效，投标人不得通过修改或撤销不合要求的偏离或保留而使其投标成为实质性响应的投标。</w:t>
      </w:r>
    </w:p>
    <w:p w14:paraId="111ABB77">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6.4.1.3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14:paraId="499680FF">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投标供应商的澄清、说明或者补正应当由法定代表人或其授权的代表签字（或加盖公章）后扫描上传提交。</w:t>
      </w:r>
    </w:p>
    <w:p w14:paraId="2DDF9C64">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授权代表对澄清、说明或者补正内容未签字确认的，将自行承担由此可能导致的对其不利的评审结果，评标委员会按少数服从多数原则对相关内容进行评判。</w:t>
      </w:r>
    </w:p>
    <w:p w14:paraId="767F756D">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除邮件交互外，如乐采云平台提供信息发布、澄清说明、数据交换等操作方式的，或者乐采云系统平台有新的操作流程的，按其规定。</w:t>
      </w:r>
    </w:p>
    <w:p w14:paraId="12C8D348">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6.4.1.4修正原则</w:t>
      </w:r>
    </w:p>
    <w:p w14:paraId="3D5E2E39">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投标文件报价出现前后不一致的，按照下列规定修正：</w:t>
      </w:r>
    </w:p>
    <w:p w14:paraId="61201BF8">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投标文件中开标一览表(报价表)内容与投标文件中相应内容不一致的，以开标一览表(报价表)为准；</w:t>
      </w:r>
    </w:p>
    <w:p w14:paraId="27DDDC13">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大写金额和小写金额不一致的，以大写金额为准；</w:t>
      </w:r>
    </w:p>
    <w:p w14:paraId="05509CB9">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3)</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单价金额小数点或者百分比有明显错位的，以开标一览表的总价为准，并修改单价；</w:t>
      </w:r>
    </w:p>
    <w:p w14:paraId="00991431">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总价金额与按单价汇总金额不一致的，以单价金额计算结果为准。</w:t>
      </w:r>
    </w:p>
    <w:p w14:paraId="0BA84B02">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同时出现两种以上不一致的，按照前款规定的顺序修正。投标人的澄清、说明或者补正应当采用书面形式，并加盖公章，或者由法定代表人或其授权的代表签字。投标人的澄清、说明或者补正不得超出投标文件的范围或者改变投标文件的实质性内容，投标人不确认的，其投标无效。</w:t>
      </w:r>
    </w:p>
    <w:p w14:paraId="52524FD6">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6.4.1.5比较与评价。</w:t>
      </w:r>
    </w:p>
    <w:p w14:paraId="3ACDAE5B">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按采购文件中规定的评标方法和标准，对资格性检查和符合性检查合格的投标文件进行商务和技术评估，综合比较与评价。</w:t>
      </w:r>
    </w:p>
    <w:p w14:paraId="7FA6A089">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6.4.1.6按采购文件中规定的评标方法和标准，对投标人进行排序，并推荐中标候选人。</w:t>
      </w:r>
    </w:p>
    <w:p w14:paraId="3669B2EA">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6.4.1.7编写评标报告。</w:t>
      </w:r>
    </w:p>
    <w:p w14:paraId="10017A53">
      <w:pPr>
        <w:adjustRightInd/>
        <w:spacing w:line="520" w:lineRule="exact"/>
        <w:ind w:firstLine="42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6.5无效投标的认定</w:t>
      </w:r>
    </w:p>
    <w:p w14:paraId="23BE884A">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评审时，对投标人的资信技术文件、报价文件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扫描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5F7F32F5">
      <w:pPr>
        <w:adjustRightInd/>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6.5.1如发现下列情形之一的，投标文件将被视为无效投标：</w:t>
      </w:r>
    </w:p>
    <w:p w14:paraId="2DD2C40F">
      <w:pPr>
        <w:adjustRightInd/>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1）投标人不具备采购文件中规定的资格要求的（投标人未提供有效的资格文件的，视为投标人不具备采购文件中规定的资格要求）；</w:t>
      </w:r>
    </w:p>
    <w:p w14:paraId="09B8523D">
      <w:pPr>
        <w:adjustRightInd/>
        <w:spacing w:line="520" w:lineRule="exact"/>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2）未按时上传或按时解密电子投标文件的</w:t>
      </w:r>
    </w:p>
    <w:p w14:paraId="7F379904">
      <w:pPr>
        <w:adjustRightInd/>
        <w:spacing w:line="520" w:lineRule="exact"/>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3）电子投标文件解密失败的，且未在规定时间内提交有效备份投标文件的；</w:t>
      </w:r>
    </w:p>
    <w:p w14:paraId="12F62AC3">
      <w:pPr>
        <w:adjustRightInd/>
        <w:spacing w:line="520" w:lineRule="exact"/>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4）电子投标文件未按规定要求提供电子签章的；</w:t>
      </w:r>
    </w:p>
    <w:p w14:paraId="08D33B82">
      <w:pPr>
        <w:adjustRightInd/>
        <w:spacing w:line="520" w:lineRule="exact"/>
        <w:ind w:firstLine="480" w:firstLineChars="200"/>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rPr>
        <w:t>5）投标文件没有投标人的法定代表人或法定代表人授权委托人签字、投标文件应盖公章而</w:t>
      </w:r>
      <w:r>
        <w:rPr>
          <w:rFonts w:hint="eastAsia" w:cs="宋体" w:asciiTheme="minorEastAsia" w:hAnsiTheme="minorEastAsia" w:eastAsiaTheme="minorEastAsia"/>
          <w:kern w:val="0"/>
          <w:sz w:val="24"/>
          <w:highlight w:val="none"/>
        </w:rPr>
        <w:t>未盖公章或盖非公司公章、未有效授权、法定代表人授权书填写不完整或有涂改的；</w:t>
      </w:r>
    </w:p>
    <w:p w14:paraId="2A9E9457">
      <w:pPr>
        <w:adjustRightInd/>
        <w:spacing w:line="520" w:lineRule="exact"/>
        <w:ind w:firstLine="480" w:firstLineChars="200"/>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6）不响应采购文件标注“</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rPr>
        <w:t>”条款要求的；</w:t>
      </w:r>
    </w:p>
    <w:p w14:paraId="20AD843B">
      <w:pPr>
        <w:adjustRightInd/>
        <w:spacing w:line="520" w:lineRule="exact"/>
        <w:ind w:firstLine="480" w:firstLineChars="200"/>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7）投标文件载明的招标项目合同期超过采购文件规定期限的；</w:t>
      </w:r>
    </w:p>
    <w:p w14:paraId="3BB68EDF">
      <w:pPr>
        <w:adjustRightInd/>
        <w:spacing w:line="520" w:lineRule="exact"/>
        <w:ind w:firstLine="480" w:firstLineChars="200"/>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8）投标文件未响应采购文件规定的付款方式的；</w:t>
      </w:r>
    </w:p>
    <w:p w14:paraId="6593C6C5">
      <w:pPr>
        <w:adjustRightInd/>
        <w:spacing w:line="520" w:lineRule="exact"/>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9）投标报价超出预算或最高限价，采购人无法接受的；</w:t>
      </w:r>
    </w:p>
    <w:p w14:paraId="713D5186">
      <w:pPr>
        <w:adjustRightInd/>
        <w:spacing w:line="520" w:lineRule="exact"/>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10）报价明显低于其他通过符合性审查投标人的报价，有可能影响产品质量或者不能诚信履约的，未能按要求提供书面说明或者提交相关证明材料，不能证明其报价合理性的；</w:t>
      </w:r>
    </w:p>
    <w:p w14:paraId="7AD4DB97">
      <w:pPr>
        <w:adjustRightInd/>
        <w:spacing w:line="520" w:lineRule="exact"/>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11）投标人提交两份或多份内容不同的报价响应文件，或在一份报价响应文件中对同一内容报有两个或多个报价，且未声明哪一个为最终报价的；</w:t>
      </w:r>
    </w:p>
    <w:p w14:paraId="395A07CA">
      <w:pPr>
        <w:adjustRightInd/>
        <w:spacing w:line="520" w:lineRule="exact"/>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12）投标人对根据修正原则修正后的报价不确认的；</w:t>
      </w:r>
    </w:p>
    <w:p w14:paraId="4DE9AE58">
      <w:pPr>
        <w:adjustRightInd/>
        <w:spacing w:line="520" w:lineRule="exact"/>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13）投标人提供虚假材料投标的；</w:t>
      </w:r>
    </w:p>
    <w:p w14:paraId="18D23745">
      <w:pPr>
        <w:adjustRightInd/>
        <w:spacing w:line="520" w:lineRule="exact"/>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14）投标人有恶意串通、妨碍其他投标人的竞争行为、损害采购人或者其他投标人的合法权益情形的；</w:t>
      </w:r>
    </w:p>
    <w:p w14:paraId="539F089D">
      <w:pPr>
        <w:adjustRightInd/>
        <w:spacing w:line="520" w:lineRule="exact"/>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15）资信技术文件出现投标报价的；</w:t>
      </w:r>
    </w:p>
    <w:p w14:paraId="171A51DE">
      <w:pPr>
        <w:adjustRightInd/>
        <w:spacing w:line="520" w:lineRule="exact"/>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16）投标文件附有采购人不能接受的条款；</w:t>
      </w:r>
    </w:p>
    <w:p w14:paraId="67C37B87">
      <w:pPr>
        <w:adjustRightInd/>
        <w:spacing w:line="520" w:lineRule="exact"/>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17）投标人仅提交备份投标文件，没有在电子交易平台传输递交投标文件的，投标无效；</w:t>
      </w:r>
    </w:p>
    <w:p w14:paraId="5166C7A1">
      <w:pPr>
        <w:adjustRightInd/>
        <w:spacing w:line="520" w:lineRule="exact"/>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18）不满足采购文件规定的实质性要求的；</w:t>
      </w:r>
    </w:p>
    <w:p w14:paraId="6F05404E">
      <w:pPr>
        <w:adjustRightInd/>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19）国家和省另有规定属无</w:t>
      </w:r>
      <w:r>
        <w:rPr>
          <w:rFonts w:hint="eastAsia" w:cs="宋体" w:asciiTheme="minorEastAsia" w:hAnsiTheme="minorEastAsia" w:eastAsiaTheme="minorEastAsia"/>
          <w:sz w:val="24"/>
        </w:rPr>
        <w:t>效投标文件的。</w:t>
      </w:r>
    </w:p>
    <w:p w14:paraId="3780E1DA">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6.3.2有下列情形之一的，视为投标人串通投标，其投标无效：</w:t>
      </w:r>
    </w:p>
    <w:p w14:paraId="6665493A">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1）不同投标人的投标文件由同一单位或者个人编制；</w:t>
      </w:r>
    </w:p>
    <w:p w14:paraId="56B71886">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2）不同投标人委托同一单位或者个人办理投标事宜；</w:t>
      </w:r>
    </w:p>
    <w:p w14:paraId="4934C072">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3）不同投标人的投标文件载明的项目管理成员或者联系人员为同一人；</w:t>
      </w:r>
    </w:p>
    <w:p w14:paraId="07C7A13F">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4）不同投标人的投标文件异常一致或者投标报价呈规律性差异；</w:t>
      </w:r>
    </w:p>
    <w:p w14:paraId="10819A79">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5）不同投标人的投标文件相互混装。</w:t>
      </w:r>
    </w:p>
    <w:p w14:paraId="570FCA5B">
      <w:pPr>
        <w:adjustRightInd/>
        <w:snapToGrid w:val="0"/>
        <w:spacing w:line="520" w:lineRule="exact"/>
        <w:jc w:val="left"/>
        <w:outlineLvl w:val="2"/>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 xml:space="preserve">                          </w:t>
      </w:r>
    </w:p>
    <w:p w14:paraId="13D2D9F5">
      <w:pPr>
        <w:adjustRightInd/>
        <w:snapToGrid w:val="0"/>
        <w:spacing w:line="520" w:lineRule="exact"/>
        <w:jc w:val="center"/>
        <w:outlineLvl w:val="2"/>
        <w:rPr>
          <w:rFonts w:hint="eastAsia"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七、  定标</w:t>
      </w:r>
    </w:p>
    <w:p w14:paraId="1B0037C4">
      <w:pPr>
        <w:pStyle w:val="39"/>
        <w:adjustRightInd/>
        <w:snapToGrid w:val="0"/>
        <w:spacing w:before="0" w:line="520" w:lineRule="exact"/>
        <w:ind w:firstLine="482"/>
        <w:rPr>
          <w:rFonts w:hint="eastAsia" w:cs="宋体" w:asciiTheme="minorEastAsia" w:hAnsiTheme="minorEastAsia" w:eastAsiaTheme="minorEastAsia"/>
          <w:b/>
          <w:szCs w:val="24"/>
        </w:rPr>
      </w:pPr>
      <w:r>
        <w:rPr>
          <w:rFonts w:hint="eastAsia" w:cs="宋体" w:asciiTheme="minorEastAsia" w:hAnsiTheme="minorEastAsia" w:eastAsiaTheme="minorEastAsia"/>
          <w:b/>
          <w:szCs w:val="24"/>
        </w:rPr>
        <w:t>7.1确定中标人</w:t>
      </w:r>
    </w:p>
    <w:p w14:paraId="726810AC">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7.1.1采购代理机构应当自评审结束之日起2个工作日内将评审报告送交采购人。</w:t>
      </w:r>
    </w:p>
    <w:p w14:paraId="1D5498B6">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51734C44">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采购人在收到评标报告5个工作日内未按评标报告推荐的中标候选人顺序确定中标人，又不能说明合法理由的，视同按评标报告推荐的顺序确定排名第一的中标候选人为中标人。</w:t>
      </w:r>
    </w:p>
    <w:p w14:paraId="4F41B7DA">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采购人或者采购代理机构应当自中标人确定之日起2个工作日内，在省级以上财政部门指定的媒体上公告中标结果。</w:t>
      </w:r>
    </w:p>
    <w:p w14:paraId="2736F64C">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公告期限为1个工作日。</w:t>
      </w:r>
    </w:p>
    <w:p w14:paraId="02937BC2">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7.2 除国务院财政部门规定的情形外，采购人、采购代理机构不得以任何理由组织重新评审。采购人、采购代理机构按照国务院财政部门的规定组织重新评审的，应当书面报告本级人民政府财政部门。</w:t>
      </w:r>
    </w:p>
    <w:p w14:paraId="6EFF7327">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7.3中标通知书发出后，采购人不得违法改变中标结果，中标人无正当理由不得放弃中标。 </w:t>
      </w:r>
    </w:p>
    <w:p w14:paraId="58F1896B">
      <w:pPr>
        <w:adjustRightInd/>
        <w:snapToGrid w:val="0"/>
        <w:spacing w:line="520" w:lineRule="exact"/>
        <w:ind w:firstLine="482" w:firstLineChars="200"/>
        <w:jc w:val="left"/>
        <w:outlineLvl w:val="2"/>
        <w:rPr>
          <w:rFonts w:hint="eastAsia" w:cs="宋体" w:asciiTheme="minorEastAsia" w:hAnsiTheme="minorEastAsia" w:eastAsiaTheme="minorEastAsia"/>
          <w:b/>
          <w:sz w:val="24"/>
        </w:rPr>
      </w:pPr>
      <w:r>
        <w:rPr>
          <w:rFonts w:hint="eastAsia" w:cs="宋体" w:asciiTheme="minorEastAsia" w:hAnsiTheme="minorEastAsia" w:eastAsiaTheme="minorEastAsia"/>
          <w:b/>
          <w:sz w:val="24"/>
        </w:rPr>
        <w:t>7.2. 中标通知与中标结果公告</w:t>
      </w:r>
    </w:p>
    <w:p w14:paraId="4531AE27">
      <w:pPr>
        <w:adjustRightInd/>
        <w:snapToGrid w:val="0"/>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7.2.1自中标人确定之日起2个工作日内，采购机构通过电子交易平台向中标人发出中标通知书，同时编制发布采购结果公告。采购机构也可以以纸质形式进行中标通知。</w:t>
      </w:r>
    </w:p>
    <w:p w14:paraId="1DF2F7AB">
      <w:pPr>
        <w:widowControl/>
        <w:shd w:val="clear" w:color="auto" w:fill="FFFFFF"/>
        <w:adjustRightInd/>
        <w:spacing w:line="520" w:lineRule="exact"/>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7.2.2中标结果公告内容包括采购人及其委托的采购机构的名称、地址、联系方式，项目名称和项目编号，中标人名称、地址和中标金额，主要中标标的的名称、规格型号、数量、单价、服务要求，开标记录、</w:t>
      </w:r>
      <w:bookmarkStart w:id="39" w:name="_Hlk101184471"/>
      <w:r>
        <w:rPr>
          <w:rFonts w:hint="eastAsia" w:cs="宋体" w:asciiTheme="minorEastAsia" w:hAnsiTheme="minorEastAsia" w:eastAsiaTheme="minorEastAsia"/>
          <w:sz w:val="24"/>
        </w:rPr>
        <w:t>资格审查情况、评审专家抽取规则、符合性审查情况、</w:t>
      </w:r>
      <w:bookmarkEnd w:id="39"/>
      <w:r>
        <w:rPr>
          <w:rFonts w:hint="eastAsia" w:cs="宋体" w:asciiTheme="minorEastAsia" w:hAnsiTheme="minorEastAsia" w:eastAsiaTheme="minorEastAsia"/>
          <w:sz w:val="24"/>
        </w:rPr>
        <w:t>未中标情况说明、中标公告期限以及评审专家名单、评分汇总及明细。</w:t>
      </w:r>
    </w:p>
    <w:p w14:paraId="0D142B5F">
      <w:pPr>
        <w:adjustRightInd/>
        <w:snapToGrid w:val="0"/>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7.2.3公告期限为1个工作日。</w:t>
      </w:r>
    </w:p>
    <w:p w14:paraId="59D0A397">
      <w:pPr>
        <w:pStyle w:val="32"/>
        <w:spacing w:line="520" w:lineRule="exact"/>
        <w:rPr>
          <w:rFonts w:asciiTheme="minorEastAsia" w:hAnsiTheme="minorEastAsia" w:eastAsiaTheme="minorEastAsia"/>
        </w:rPr>
      </w:pPr>
    </w:p>
    <w:p w14:paraId="3420CE05">
      <w:pPr>
        <w:adjustRightInd/>
        <w:spacing w:line="520" w:lineRule="exact"/>
        <w:jc w:val="center"/>
        <w:rPr>
          <w:rFonts w:hint="eastAsia"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八、废标</w:t>
      </w:r>
    </w:p>
    <w:p w14:paraId="698C5A73">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8.1根据相关法律法规，出现下列情形之一的，应予以废标：</w:t>
      </w:r>
    </w:p>
    <w:p w14:paraId="4876D64D">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8.1.1符合专业条件的供应商或者对采购文件作实质响应的供应商不足三家的；</w:t>
      </w:r>
    </w:p>
    <w:p w14:paraId="120830BA">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8.1.2出现影响采购公正的违法、违规行为的；</w:t>
      </w:r>
    </w:p>
    <w:p w14:paraId="5F42007F">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8.1.3所有投标人的报价均超过了采购预算，采购人不能支付的；</w:t>
      </w:r>
    </w:p>
    <w:p w14:paraId="0219F96F">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8.1.4因重大变故，采购任务取消的。</w:t>
      </w:r>
    </w:p>
    <w:p w14:paraId="3982BD04">
      <w:pPr>
        <w:adjustRightInd/>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8.2采购过程中出现以下情形，导致电子交易平台无法正常运行，或者无法保证电子交易的公平、公正和安全时，采购组织机构可中止电子交易活动：</w:t>
      </w:r>
    </w:p>
    <w:p w14:paraId="679A03F1">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8.2.1电子交易平台发生故障而无法登录访问的； </w:t>
      </w:r>
    </w:p>
    <w:p w14:paraId="1A961BF4">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8.2.2电子交易平台应用或数据库出现错误，不能进行正常操作的；</w:t>
      </w:r>
    </w:p>
    <w:p w14:paraId="0BBB2C98">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8.2.3电子交易平台发现严重安全漏洞，有潜在泄密危险的；</w:t>
      </w:r>
    </w:p>
    <w:p w14:paraId="26AA8B9A">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8.2.4病毒发作导致不能进行正常操作的； </w:t>
      </w:r>
    </w:p>
    <w:p w14:paraId="77BA5840">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8.2.5其他无法保证电子交易的公平、公正和安全的情况。</w:t>
      </w:r>
    </w:p>
    <w:p w14:paraId="42D89020">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091E05A7">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8.2.6 废标后，采购人应当将废标理由通知所有投标人并重新组织招标；或者经主管部门批准，采取其他方式组织采购。</w:t>
      </w:r>
    </w:p>
    <w:p w14:paraId="5FCB8BF7">
      <w:pPr>
        <w:pStyle w:val="32"/>
        <w:spacing w:line="520" w:lineRule="exact"/>
        <w:rPr>
          <w:rFonts w:asciiTheme="minorEastAsia" w:hAnsiTheme="minorEastAsia" w:eastAsiaTheme="minorEastAsia"/>
        </w:rPr>
      </w:pPr>
    </w:p>
    <w:p w14:paraId="1EC57AB1">
      <w:pPr>
        <w:pStyle w:val="2"/>
        <w:tabs>
          <w:tab w:val="left" w:pos="358"/>
          <w:tab w:val="clear" w:pos="432"/>
        </w:tabs>
        <w:spacing w:line="520" w:lineRule="exact"/>
        <w:jc w:val="center"/>
        <w:rPr>
          <w:rFonts w:hint="eastAsia" w:cs="宋体" w:asciiTheme="minorEastAsia" w:hAnsiTheme="minorEastAsia" w:eastAsiaTheme="minorEastAsia"/>
        </w:rPr>
      </w:pPr>
      <w:bookmarkStart w:id="40" w:name="_Toc450482502"/>
      <w:bookmarkStart w:id="41" w:name="_Toc35261577"/>
      <w:bookmarkStart w:id="42" w:name="_Toc54978896"/>
      <w:r>
        <w:rPr>
          <w:rFonts w:hint="eastAsia" w:cs="宋体" w:asciiTheme="minorEastAsia" w:hAnsiTheme="minorEastAsia" w:eastAsiaTheme="minorEastAsia"/>
        </w:rPr>
        <w:t>九、合同授予</w:t>
      </w:r>
      <w:bookmarkEnd w:id="40"/>
      <w:r>
        <w:rPr>
          <w:rFonts w:hint="eastAsia" w:cs="宋体" w:asciiTheme="minorEastAsia" w:hAnsiTheme="minorEastAsia" w:eastAsiaTheme="minorEastAsia"/>
        </w:rPr>
        <w:t>及签订</w:t>
      </w:r>
      <w:bookmarkEnd w:id="41"/>
      <w:bookmarkEnd w:id="42"/>
    </w:p>
    <w:p w14:paraId="1900AAB9">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9.1合同授予</w:t>
      </w:r>
    </w:p>
    <w:p w14:paraId="49A24D8E">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9.1.1本项目的合同将授予按本须知第7.1.1款所确定的中标人。</w:t>
      </w:r>
    </w:p>
    <w:p w14:paraId="72860BF6">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9.1.2 中标或者成交供应商拒绝与采购人签订合同的，采购人可以按照评审报告推荐的中标或者成交候选人名单排序，确定下一候选人为中标或者成交供应商，也可以重新开展采购活动。</w:t>
      </w:r>
    </w:p>
    <w:p w14:paraId="1B85D23B">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9.2签订合同</w:t>
      </w:r>
    </w:p>
    <w:p w14:paraId="77DEF0A1">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9.2.1 中标人应按中标通知书规定的时间与采购人签订合同。如中标人为联合体的，由联合体成员各方法定代表人或其授权代表与采购人代表签订合同。中标人在领取中标通知书时须向采购人提供一份关于本项目在实施过程中的相关人员的通讯录作为合同附件。</w:t>
      </w:r>
    </w:p>
    <w:p w14:paraId="3EC25077">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9.2.2 中标人如不遵守采购文件或投标文件各项条款的邀约与要约，或在接到中标通知书后借故拖延，拒签合同的，采购人将依据国家和采购文件有关规定要求中标人予以赔偿，同时采购人可根据相关规定另行选择中标人；</w:t>
      </w:r>
    </w:p>
    <w:p w14:paraId="3F95C85C">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9.2.3 采购文件、中标人的投标文件及投标修改文件、评标过程中有关澄清文件及经投标人法定代表人或授权代表签字确认的询标回复和承诺及中标通知书均作为合同组成部分。</w:t>
      </w:r>
    </w:p>
    <w:p w14:paraId="7034572C">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9.3投标保证金</w:t>
      </w:r>
    </w:p>
    <w:p w14:paraId="23012673">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9.3.1投</w:t>
      </w:r>
      <w:r>
        <w:rPr>
          <w:rFonts w:hint="eastAsia" w:cs="宋体" w:asciiTheme="minorEastAsia" w:hAnsiTheme="minorEastAsia" w:eastAsiaTheme="minorEastAsia"/>
          <w:sz w:val="24"/>
          <w:highlight w:val="none"/>
        </w:rPr>
        <w:t>标保证金：人民币5000.00元（伍仟元整），违反国企</w:t>
      </w:r>
      <w:r>
        <w:rPr>
          <w:rFonts w:hint="eastAsia" w:cs="宋体" w:asciiTheme="minorEastAsia" w:hAnsiTheme="minorEastAsia" w:eastAsiaTheme="minorEastAsia"/>
          <w:sz w:val="24"/>
        </w:rPr>
        <w:t>采购相关规定给采购人造成损失的，投标人应当承担赔偿责任。</w:t>
      </w:r>
    </w:p>
    <w:p w14:paraId="7E2CE02B">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9.3.2 发生下列任何情况之一时，投标保证金将不予退还；</w:t>
      </w:r>
    </w:p>
    <w:p w14:paraId="1AA0BC06">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（1）投标人在投标有效期内撤回投标文件的；</w:t>
      </w:r>
    </w:p>
    <w:p w14:paraId="2359E2F6">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（2）中标供应商无正当理由未按中标通知书的规定与采购人签订合同的；</w:t>
      </w:r>
    </w:p>
    <w:p w14:paraId="4A64B45C">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（3）投标人在投标过程中弄虚作假，提供虚假材料的；</w:t>
      </w:r>
    </w:p>
    <w:p w14:paraId="146801B8">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（4）将中标项目转让给他人或者在投标文件中未说明且未经采购人同意，将中标项目分包给他人的；</w:t>
      </w:r>
    </w:p>
    <w:p w14:paraId="7516B094">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（5）其他严重扰乱招投标程序的。</w:t>
      </w:r>
    </w:p>
    <w:p w14:paraId="02811B93">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10.3履约保证金</w:t>
      </w:r>
    </w:p>
    <w:p w14:paraId="2E0B88FB">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10.3.1中标人按“投标人须知前附表”规定的缴纳履约保证金。</w:t>
      </w:r>
    </w:p>
    <w:p w14:paraId="0B92CFF8">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10.3.2履约保证金有效期按“投标人须知前附表”规定。</w:t>
      </w:r>
    </w:p>
    <w:p w14:paraId="1A410BDA">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10.3.3履约保证金有效期结束后，中标人凭保证金收据无息退还。</w:t>
      </w:r>
    </w:p>
    <w:p w14:paraId="4C706ADC">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10.3.4如投标人有下列情况，投标人将承担赔偿责任，赔偿金额为项目预算金额的2%，如实际损失超过前述金额的，投标人需赔偿超过前述金额部分的实际损失。</w:t>
      </w:r>
    </w:p>
    <w:p w14:paraId="0FC04A66">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10.3.4.1投标人在投标截止时间后撤销投标文件的；</w:t>
      </w:r>
    </w:p>
    <w:p w14:paraId="5EF2E1AD">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10.3.4.2投标人未按规定签订合同或转让中标的；</w:t>
      </w:r>
    </w:p>
    <w:p w14:paraId="26C893A6">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10.3.4.3其他投标人违反相关法律法规规定，给采购人造成损失的。</w:t>
      </w:r>
    </w:p>
    <w:p w14:paraId="77D50D0F">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10.4采购代理服务费</w:t>
      </w:r>
    </w:p>
    <w:p w14:paraId="4362FCC6">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本次采购代理服务费按“投标人须知前附表”规定收取。</w:t>
      </w:r>
      <w:bookmarkStart w:id="43" w:name="_Toc180555950"/>
      <w:bookmarkStart w:id="44" w:name="_Toc248065069"/>
      <w:bookmarkStart w:id="45" w:name="_Toc226337791"/>
    </w:p>
    <w:p w14:paraId="47880960">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10.5诚实信用</w:t>
      </w:r>
      <w:bookmarkEnd w:id="43"/>
      <w:bookmarkEnd w:id="44"/>
      <w:bookmarkEnd w:id="45"/>
    </w:p>
    <w:p w14:paraId="48DC92B9">
      <w:pPr>
        <w:adjustRightInd/>
        <w:spacing w:line="520" w:lineRule="exact"/>
        <w:ind w:firstLine="420"/>
        <w:rPr>
          <w:rFonts w:hint="eastAsia" w:cs="宋体" w:asciiTheme="minorEastAsia" w:hAnsiTheme="minorEastAsia" w:eastAsiaTheme="minorEastAsia"/>
          <w:sz w:val="24"/>
        </w:rPr>
      </w:pPr>
      <w:bookmarkStart w:id="46" w:name="_Toc226337792"/>
      <w:bookmarkStart w:id="47" w:name="_Toc180555951"/>
      <w:bookmarkStart w:id="48" w:name="_Toc248065070"/>
      <w:r>
        <w:rPr>
          <w:rFonts w:hint="eastAsia" w:cs="宋体" w:asciiTheme="minorEastAsia" w:hAnsiTheme="minorEastAsia" w:eastAsiaTheme="minorEastAsia"/>
          <w:sz w:val="24"/>
        </w:rPr>
        <w:t>10.5.1投标人在本招标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投标人之间串通投标（递交投标文件之前或之后），人为地使投标丧失竞争性，损害采购人从公开竞争中所能获得的权益。</w:t>
      </w:r>
    </w:p>
    <w:p w14:paraId="50F59DCB">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10.5.2如果采购人有证据表明投标人在本招标项目的竞争中存在腐败、欺诈、失信记录或其他严重违背诚信原则的行为，则将拒绝其投标，或中标无效。</w:t>
      </w:r>
    </w:p>
    <w:p w14:paraId="79B365BC">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10.5.3如果中标人没有按照采购文件和中标通知书的规定签订合同，报嵊州市采购监督管理部门按照采购的有关规定进行处理。</w:t>
      </w:r>
      <w:bookmarkEnd w:id="46"/>
      <w:bookmarkEnd w:id="47"/>
      <w:bookmarkEnd w:id="48"/>
    </w:p>
    <w:p w14:paraId="7252DA33">
      <w:pPr>
        <w:pStyle w:val="32"/>
        <w:spacing w:line="520" w:lineRule="exact"/>
        <w:rPr>
          <w:rFonts w:asciiTheme="minorEastAsia" w:hAnsiTheme="minorEastAsia" w:eastAsiaTheme="minorEastAsia"/>
        </w:rPr>
      </w:pPr>
    </w:p>
    <w:p w14:paraId="6F89CEEF">
      <w:pPr>
        <w:pStyle w:val="2"/>
        <w:tabs>
          <w:tab w:val="left" w:pos="358"/>
          <w:tab w:val="clear" w:pos="432"/>
        </w:tabs>
        <w:spacing w:line="520" w:lineRule="exact"/>
        <w:jc w:val="center"/>
        <w:rPr>
          <w:rFonts w:hint="eastAsia" w:cs="宋体" w:asciiTheme="minorEastAsia" w:hAnsiTheme="minorEastAsia" w:eastAsiaTheme="minorEastAsia"/>
        </w:rPr>
      </w:pPr>
      <w:bookmarkStart w:id="49" w:name="_Toc35261578"/>
      <w:bookmarkStart w:id="50" w:name="_Toc54978897"/>
      <w:r>
        <w:rPr>
          <w:rFonts w:hint="eastAsia" w:cs="宋体" w:asciiTheme="minorEastAsia" w:hAnsiTheme="minorEastAsia" w:eastAsiaTheme="minorEastAsia"/>
        </w:rPr>
        <w:t>十、询问、质疑、投诉</w:t>
      </w:r>
      <w:bookmarkEnd w:id="49"/>
      <w:bookmarkEnd w:id="50"/>
    </w:p>
    <w:p w14:paraId="14D4A322">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根据相关法律法规的规定，采购供应商（投标人，下同）可以依法提起质疑和投诉。</w:t>
      </w:r>
    </w:p>
    <w:p w14:paraId="3C831004">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质疑函范本、投诉书范本请到浙江政府采购网下载专区下载。</w:t>
      </w:r>
    </w:p>
    <w:p w14:paraId="0B0A39EE">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11.1供应商询问</w:t>
      </w:r>
    </w:p>
    <w:p w14:paraId="225D1616">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供应商对采购活动事项有疑问的，可以向采购机构提出询问，采购人或者采购代理机构应当在3个工作日内对供应商依法提出的询问作出答复，但答复的内容不得涉及商业秘密。</w:t>
      </w:r>
    </w:p>
    <w:p w14:paraId="68250D6D">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11.2供应商质疑</w:t>
      </w:r>
    </w:p>
    <w:p w14:paraId="7080FAB7">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11.2.1投标人认为采购文件、采购过程、中标或者成交结果使自己的权益受到损害的，可以在知道或者应知其权益受到损害之日起7个工作日内，以书面形式向采购人、采购代理机构提出质疑。</w:t>
      </w:r>
    </w:p>
    <w:p w14:paraId="1F1F42CE">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本项目要求投标人在法定质疑期内一次性提出针对同一采购程序环节的质疑。</w:t>
      </w:r>
    </w:p>
    <w:p w14:paraId="0D52AA49">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11.2.2提出质疑的投标人（以下简称质疑人）应当是参与所质疑项目采购活动的投标人。</w:t>
      </w:r>
    </w:p>
    <w:p w14:paraId="375B7701">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潜在投标人已依法获取其可质疑的采购文件的，可以对该文件提出质疑。对采购文件提出质疑的，应当在获取采购文件或者采购文件公告期限届满之日起7个工作日内提出。</w:t>
      </w:r>
    </w:p>
    <w:p w14:paraId="4AF13BF4">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11.2.3投标人提出质疑应当提交质疑函和必要的证明材料。质疑函应当包括下列内容：</w:t>
      </w:r>
    </w:p>
    <w:p w14:paraId="2395CA45">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（一）投标人的姓名或者名称、地址、邮编、联系人及联系电话；</w:t>
      </w:r>
    </w:p>
    <w:p w14:paraId="447D8F9C">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（二）质疑项目的名称、编号；</w:t>
      </w:r>
    </w:p>
    <w:p w14:paraId="1FFB25A5">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（三）具体、明确的质疑事项和与质疑事项相关的请求；</w:t>
      </w:r>
    </w:p>
    <w:p w14:paraId="00DFF9D8">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（四）事实依据；</w:t>
      </w:r>
    </w:p>
    <w:p w14:paraId="2B809136">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（五）必要的法律依据；</w:t>
      </w:r>
    </w:p>
    <w:p w14:paraId="7E4F91DE">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（六）提出质疑的日期。</w:t>
      </w:r>
    </w:p>
    <w:p w14:paraId="4D9BE167">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投标人为自然人的，应当由本人签字；投标人为法人或者其他组织的，应当由法定代表人、主要负责人，或者其授权代表签字或者盖章，并加盖公章。</w:t>
      </w:r>
    </w:p>
    <w:p w14:paraId="7023164A">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11.2.4采购人、采购代理机构在收到法定质疑期内发出的质疑函后7个工作日内作出答复，并以书面形式通知质疑人和其他有关投标人。质疑答复的内容不得涉及商业秘密。</w:t>
      </w:r>
    </w:p>
    <w:p w14:paraId="0D1B07FA">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11.3供应商投诉</w:t>
      </w:r>
    </w:p>
    <w:p w14:paraId="610DB54B">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质疑供应商对采购机构的答复不满意或者采购机构未在规定的时间内作出答复的，可以在答复期满后十五个工作日内向同级采购监督管理部门提出投诉。</w:t>
      </w:r>
    </w:p>
    <w:p w14:paraId="65F0F647">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11.4采购结束</w:t>
      </w:r>
    </w:p>
    <w:p w14:paraId="6825018B">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11.4.1中标人与采购人签订合同生效后即为采购结束。</w:t>
      </w:r>
    </w:p>
    <w:p w14:paraId="6EB92615">
      <w:pPr>
        <w:adjustRightInd/>
        <w:spacing w:line="520" w:lineRule="exact"/>
        <w:ind w:firstLine="420"/>
        <w:rPr>
          <w:rFonts w:hint="eastAsia" w:cs="宋体" w:asciiTheme="minorEastAsia" w:hAnsiTheme="minorEastAsia" w:eastAsiaTheme="minorEastAsia"/>
          <w:sz w:val="24"/>
        </w:rPr>
      </w:pPr>
      <w:r>
        <w:rPr>
          <w:rFonts w:hint="eastAsia" w:cs="宋体" w:asciiTheme="minorEastAsia" w:hAnsiTheme="minorEastAsia" w:eastAsiaTheme="minorEastAsia"/>
          <w:sz w:val="24"/>
        </w:rPr>
        <w:t>11.4.2本项目的投标文件不予退回。</w:t>
      </w:r>
    </w:p>
    <w:p w14:paraId="4FF6E5BE">
      <w:pPr>
        <w:pStyle w:val="32"/>
        <w:spacing w:line="520" w:lineRule="exact"/>
        <w:rPr>
          <w:rFonts w:asciiTheme="minorEastAsia" w:hAnsiTheme="minorEastAsia" w:eastAsiaTheme="minorEastAsia"/>
        </w:rPr>
      </w:pPr>
    </w:p>
    <w:p w14:paraId="4DD89C70">
      <w:pPr>
        <w:adjustRightInd/>
        <w:snapToGrid w:val="0"/>
        <w:spacing w:line="520" w:lineRule="exact"/>
        <w:jc w:val="center"/>
        <w:outlineLvl w:val="1"/>
        <w:rPr>
          <w:rFonts w:hint="eastAsia" w:cs="宋体" w:asciiTheme="minorEastAsia" w:hAnsiTheme="minorEastAsia" w:eastAsiaTheme="minorEastAsia"/>
          <w:b/>
          <w:sz w:val="32"/>
          <w:szCs w:val="32"/>
        </w:rPr>
      </w:pPr>
      <w:r>
        <w:rPr>
          <w:rFonts w:hint="eastAsia" w:cs="宋体" w:asciiTheme="minorEastAsia" w:hAnsiTheme="minorEastAsia" w:eastAsiaTheme="minorEastAsia"/>
          <w:b/>
          <w:sz w:val="32"/>
          <w:szCs w:val="32"/>
        </w:rPr>
        <w:t>十一、电子交易活动的中止</w:t>
      </w:r>
    </w:p>
    <w:p w14:paraId="09F65C8B">
      <w:pPr>
        <w:adjustRightInd/>
        <w:snapToGrid w:val="0"/>
        <w:spacing w:line="520" w:lineRule="exact"/>
        <w:jc w:val="left"/>
        <w:outlineLvl w:val="2"/>
        <w:rPr>
          <w:rFonts w:hint="eastAsia" w:cs="宋体" w:asciiTheme="minorEastAsia" w:hAnsiTheme="minorEastAsia" w:eastAsiaTheme="minorEastAsia"/>
          <w:b/>
          <w:sz w:val="24"/>
        </w:rPr>
      </w:pPr>
      <w:r>
        <w:rPr>
          <w:rFonts w:hint="eastAsia" w:cs="宋体" w:asciiTheme="minorEastAsia" w:hAnsiTheme="minorEastAsia" w:eastAsiaTheme="minorEastAsia"/>
          <w:b/>
          <w:sz w:val="24"/>
        </w:rPr>
        <w:t xml:space="preserve">   12.1电子交易活动的中止。</w:t>
      </w:r>
    </w:p>
    <w:p w14:paraId="4B48EA88">
      <w:pPr>
        <w:adjustRightInd/>
        <w:snapToGrid w:val="0"/>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采购过程中出现以下情形，导致电子交易平台无法正常运行，或者无法保证电子交易的公平、公正和安全时，采购机构可中止电子交易活动：</w:t>
      </w:r>
    </w:p>
    <w:p w14:paraId="475A396C">
      <w:pPr>
        <w:adjustRightInd/>
        <w:snapToGrid w:val="0"/>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12.1.1电子交易平台发生故障而无法登录访问的； </w:t>
      </w:r>
    </w:p>
    <w:p w14:paraId="6B59D227">
      <w:pPr>
        <w:adjustRightInd/>
        <w:snapToGrid w:val="0"/>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12.1.2电子交易平台应用或数据库出现错误，不能进行正常操作的；</w:t>
      </w:r>
    </w:p>
    <w:p w14:paraId="6FE00DEA">
      <w:pPr>
        <w:adjustRightInd/>
        <w:snapToGrid w:val="0"/>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12.1.3电子交易平台发现严重安全漏洞，有潜在泄密危险的；</w:t>
      </w:r>
    </w:p>
    <w:p w14:paraId="0182ABA5">
      <w:pPr>
        <w:adjustRightInd/>
        <w:snapToGrid w:val="0"/>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12.1.4病毒发作导致不能进行正常操作的；</w:t>
      </w:r>
    </w:p>
    <w:p w14:paraId="0CFF8022">
      <w:pPr>
        <w:adjustRightInd/>
        <w:snapToGrid w:val="0"/>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12.1.5其他无法保证电子交易的公平、公正和安全的情况。</w:t>
      </w:r>
    </w:p>
    <w:p w14:paraId="40E34BC1">
      <w:pPr>
        <w:widowControl/>
        <w:adjustRightInd/>
        <w:snapToGrid w:val="0"/>
        <w:spacing w:line="520" w:lineRule="exact"/>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6ADE0151">
      <w:pPr>
        <w:pStyle w:val="32"/>
        <w:spacing w:line="520" w:lineRule="exact"/>
        <w:rPr>
          <w:rFonts w:asciiTheme="minorEastAsia" w:hAnsiTheme="minorEastAsia" w:eastAsiaTheme="minorEastAsia"/>
        </w:rPr>
      </w:pPr>
    </w:p>
    <w:p w14:paraId="61E56C9F">
      <w:pPr>
        <w:adjustRightInd/>
        <w:snapToGrid w:val="0"/>
        <w:spacing w:line="520" w:lineRule="exact"/>
        <w:jc w:val="center"/>
        <w:outlineLvl w:val="1"/>
        <w:rPr>
          <w:rFonts w:hint="eastAsia"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十二、验收</w:t>
      </w:r>
    </w:p>
    <w:p w14:paraId="3984F4B1">
      <w:pPr>
        <w:adjustRightInd/>
        <w:snapToGrid w:val="0"/>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13.1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CABF77A">
      <w:pPr>
        <w:adjustRightInd/>
        <w:snapToGrid w:val="0"/>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13.2采购人可以邀请第三方机构参与验收。第三方机构的意见作为验收书的参考资料一并存档。</w:t>
      </w:r>
    </w:p>
    <w:p w14:paraId="2C41E09C">
      <w:pPr>
        <w:adjustRightInd/>
        <w:snapToGrid w:val="0"/>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13.3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52799D">
      <w:pPr>
        <w:adjustRightInd/>
        <w:snapToGrid w:val="0"/>
        <w:spacing w:line="52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13.4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本级</w:t>
      </w:r>
      <w:bookmarkStart w:id="51" w:name="_Hlt68403820"/>
      <w:bookmarkEnd w:id="51"/>
      <w:bookmarkStart w:id="52" w:name="_Hlt74714665"/>
      <w:bookmarkEnd w:id="52"/>
      <w:bookmarkStart w:id="53" w:name="_Hlt75236290"/>
      <w:bookmarkEnd w:id="53"/>
      <w:bookmarkStart w:id="54" w:name="_Hlt74707468"/>
      <w:bookmarkEnd w:id="54"/>
      <w:bookmarkStart w:id="55" w:name="_Hlt68073093"/>
      <w:bookmarkEnd w:id="55"/>
      <w:bookmarkStart w:id="56" w:name="_Hlt68072990"/>
      <w:bookmarkEnd w:id="56"/>
      <w:bookmarkStart w:id="57" w:name="_Hlt75236011"/>
      <w:bookmarkEnd w:id="57"/>
      <w:bookmarkStart w:id="58" w:name="_Hlt68072998"/>
      <w:bookmarkEnd w:id="58"/>
      <w:bookmarkStart w:id="59" w:name="_Hlt68057669"/>
      <w:bookmarkEnd w:id="59"/>
      <w:bookmarkStart w:id="60" w:name="_Hlt74729768"/>
      <w:bookmarkEnd w:id="60"/>
      <w:bookmarkStart w:id="61" w:name="_Hlt75236101"/>
      <w:bookmarkEnd w:id="61"/>
      <w:bookmarkStart w:id="62" w:name="_Hlt74730295"/>
      <w:bookmarkEnd w:id="62"/>
      <w:r>
        <w:rPr>
          <w:rFonts w:hint="eastAsia" w:cs="宋体" w:asciiTheme="minorEastAsia" w:hAnsiTheme="minorEastAsia" w:eastAsiaTheme="minorEastAsia"/>
          <w:sz w:val="24"/>
        </w:rPr>
        <w:t>相关主管部门。</w:t>
      </w:r>
    </w:p>
    <w:p w14:paraId="55107E09">
      <w:pPr>
        <w:snapToGrid w:val="0"/>
        <w:spacing w:line="360" w:lineRule="auto"/>
        <w:jc w:val="center"/>
        <w:outlineLvl w:val="0"/>
        <w:rPr>
          <w:rFonts w:hint="eastAsia" w:ascii="宋体" w:hAnsi="宋体" w:cs="宋体"/>
          <w:snapToGrid w:val="0"/>
          <w:kern w:val="0"/>
          <w:sz w:val="24"/>
          <w:highlight w:val="red"/>
          <w:shd w:val="clear" w:color="auto" w:fill="F4B083" w:themeFill="accent2" w:themeFillTint="99"/>
        </w:rPr>
      </w:pPr>
    </w:p>
    <w:p w14:paraId="74BFFECD">
      <w:pPr>
        <w:rPr>
          <w:rFonts w:hint="eastAsia" w:ascii="宋体" w:hAnsi="宋体" w:cs="宋体"/>
          <w:b/>
          <w:bCs/>
          <w:sz w:val="32"/>
          <w:szCs w:val="32"/>
        </w:rPr>
      </w:pPr>
      <w:r>
        <w:rPr>
          <w:rFonts w:hint="eastAsia" w:ascii="宋体" w:hAnsi="宋体" w:cs="宋体"/>
          <w:b/>
          <w:bCs/>
          <w:sz w:val="32"/>
          <w:szCs w:val="32"/>
        </w:rPr>
        <w:br w:type="page"/>
      </w:r>
    </w:p>
    <w:p w14:paraId="049EEF05">
      <w:pPr>
        <w:jc w:val="center"/>
        <w:rPr>
          <w:rFonts w:hint="eastAsia" w:ascii="宋体" w:hAnsi="宋体" w:cs="宋体"/>
          <w:b/>
          <w:bCs/>
          <w:sz w:val="32"/>
          <w:szCs w:val="32"/>
        </w:rPr>
      </w:pPr>
      <w:r>
        <w:rPr>
          <w:rFonts w:hint="eastAsia" w:ascii="宋体" w:hAnsi="宋体" w:cs="宋体"/>
          <w:b/>
          <w:bCs/>
          <w:sz w:val="32"/>
          <w:szCs w:val="32"/>
        </w:rPr>
        <w:t xml:space="preserve">第三章 </w:t>
      </w:r>
      <w:bookmarkEnd w:id="17"/>
      <w:r>
        <w:rPr>
          <w:rFonts w:hint="eastAsia" w:ascii="宋体" w:hAnsi="宋体" w:cs="宋体"/>
          <w:b/>
          <w:bCs/>
          <w:sz w:val="32"/>
          <w:szCs w:val="32"/>
        </w:rPr>
        <w:t>采购需求</w:t>
      </w:r>
      <w:bookmarkEnd w:id="18"/>
      <w:bookmarkEnd w:id="19"/>
      <w:bookmarkEnd w:id="20"/>
    </w:p>
    <w:p w14:paraId="60443FB2">
      <w:pPr>
        <w:widowControl/>
        <w:spacing w:line="360" w:lineRule="auto"/>
        <w:ind w:firstLine="420" w:firstLineChars="200"/>
        <w:jc w:val="left"/>
        <w:outlineLvl w:val="1"/>
        <w:rPr>
          <w:rFonts w:hint="eastAsia" w:ascii="宋体" w:hAnsi="宋体" w:cs="宋体"/>
        </w:rPr>
      </w:pPr>
      <w:r>
        <w:rPr>
          <w:rFonts w:hint="eastAsia" w:ascii="宋体" w:hAnsi="宋体" w:cs="宋体"/>
        </w:rPr>
        <w:t xml:space="preserve"> </w:t>
      </w:r>
    </w:p>
    <w:p w14:paraId="2DFBB79E">
      <w:pPr>
        <w:adjustRightInd/>
        <w:snapToGrid w:val="0"/>
        <w:spacing w:line="520" w:lineRule="exact"/>
        <w:ind w:firstLine="482" w:firstLineChars="200"/>
        <w:rPr>
          <w:rFonts w:hint="eastAsia" w:ascii="宋体" w:hAnsi="宋体" w:cs="宋体"/>
          <w:sz w:val="24"/>
        </w:rPr>
      </w:pPr>
      <w:bookmarkStart w:id="63" w:name="_Toc13466"/>
      <w:r>
        <w:rPr>
          <w:rFonts w:hint="eastAsia" w:ascii="宋体" w:hAnsi="宋体" w:cs="宋体"/>
          <w:b/>
          <w:bCs/>
          <w:sz w:val="24"/>
        </w:rPr>
        <w:t>一、项目内容</w:t>
      </w:r>
    </w:p>
    <w:p w14:paraId="2CC006F6">
      <w:pPr>
        <w:adjustRightInd/>
        <w:snapToGrid w:val="0"/>
        <w:spacing w:line="520" w:lineRule="exact"/>
        <w:ind w:firstLine="480" w:firstLineChars="200"/>
        <w:rPr>
          <w:rFonts w:hint="eastAsia" w:ascii="宋体" w:hAnsi="宋体" w:cs="宋体"/>
          <w:sz w:val="24"/>
        </w:rPr>
      </w:pPr>
      <w:r>
        <w:rPr>
          <w:rFonts w:hint="eastAsia" w:ascii="宋体" w:hAnsi="宋体" w:cs="宋体"/>
          <w:sz w:val="24"/>
        </w:rPr>
        <w:t>本项目位于石璜镇乡（镇、街道、林场）楼家村,溪西村，对约定范围内所有林木采伐、松木采伐、林地清理等。</w:t>
      </w:r>
    </w:p>
    <w:p w14:paraId="5DD7C7AF">
      <w:pPr>
        <w:adjustRightInd/>
        <w:snapToGrid w:val="0"/>
        <w:spacing w:line="520" w:lineRule="exact"/>
        <w:ind w:firstLine="480" w:firstLineChars="200"/>
        <w:rPr>
          <w:rFonts w:hint="eastAsia" w:ascii="宋体" w:hAnsi="宋体" w:cs="宋体"/>
          <w:sz w:val="24"/>
        </w:rPr>
      </w:pPr>
      <w:r>
        <w:rPr>
          <w:rFonts w:hint="eastAsia" w:ascii="宋体" w:hAnsi="宋体" w:cs="宋体"/>
          <w:sz w:val="24"/>
        </w:rPr>
        <w:t>采用皆伐方式，在规定期限对约定范围内所有林木进行清理，并对伐除的林木、清理的枝桠以及伐桩进行管理、处理。</w:t>
      </w:r>
    </w:p>
    <w:p w14:paraId="3A1466E1">
      <w:pPr>
        <w:adjustRightInd/>
        <w:snapToGrid w:val="0"/>
        <w:spacing w:line="520" w:lineRule="exact"/>
        <w:ind w:firstLine="482" w:firstLineChars="200"/>
        <w:rPr>
          <w:rFonts w:hint="eastAsia" w:ascii="宋体" w:hAnsi="宋体" w:cs="宋体"/>
          <w:b/>
          <w:bCs/>
          <w:sz w:val="24"/>
        </w:rPr>
      </w:pPr>
      <w:r>
        <w:rPr>
          <w:rFonts w:hint="eastAsia" w:ascii="宋体" w:hAnsi="宋体" w:cs="宋体"/>
          <w:b/>
          <w:bCs/>
          <w:sz w:val="24"/>
        </w:rPr>
        <w:t>二、林木清理范围与规模</w:t>
      </w:r>
    </w:p>
    <w:p w14:paraId="3BBBAB91">
      <w:pPr>
        <w:adjustRightInd/>
        <w:snapToGrid w:val="0"/>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项目范围拟使用用地集体林地占69.1521公顷，国有林地占1.8624公顷，合计71.0145公顷，林地以乔木林地为主。林地内设计林木采伐蓄积4044.8立方米（其中：马尾松蓄积1471.2立方米，其他硬阔类蓄积2564.6立方米，木荷蓄积9立方米）。具体由承包人自行踏勘现场为准。</w:t>
      </w:r>
    </w:p>
    <w:p w14:paraId="29B1ADBF">
      <w:pPr>
        <w:adjustRightInd/>
        <w:snapToGrid w:val="0"/>
        <w:spacing w:line="520" w:lineRule="exact"/>
        <w:ind w:firstLine="482" w:firstLineChars="200"/>
        <w:rPr>
          <w:rFonts w:hint="eastAsia" w:ascii="宋体" w:hAnsi="宋体" w:cs="宋体"/>
          <w:b/>
          <w:bCs/>
          <w:sz w:val="24"/>
          <w:highlight w:val="none"/>
        </w:rPr>
      </w:pPr>
      <w:r>
        <w:rPr>
          <w:rFonts w:hint="eastAsia" w:ascii="宋体" w:hAnsi="宋体" w:cs="宋体"/>
          <w:b/>
          <w:bCs/>
          <w:sz w:val="24"/>
          <w:highlight w:val="none"/>
        </w:rPr>
        <w:t>三、工期（服务期限）要求</w:t>
      </w:r>
    </w:p>
    <w:p w14:paraId="20634A96">
      <w:pPr>
        <w:adjustRightInd/>
        <w:snapToGrid w:val="0"/>
        <w:spacing w:line="520" w:lineRule="exact"/>
        <w:ind w:firstLine="480" w:firstLineChars="200"/>
        <w:rPr>
          <w:rFonts w:hint="eastAsia" w:ascii="宋体" w:hAnsi="宋体" w:cs="宋体"/>
          <w:sz w:val="24"/>
          <w:highlight w:val="none"/>
        </w:rPr>
      </w:pPr>
      <w:bookmarkStart w:id="64" w:name="_Hlk190972219"/>
      <w:r>
        <w:rPr>
          <w:rFonts w:hint="eastAsia" w:ascii="宋体" w:hAnsi="宋体" w:cs="宋体"/>
          <w:sz w:val="24"/>
          <w:highlight w:val="none"/>
        </w:rPr>
        <w:t>合同签订后54个月内全部完成（具体时间满足工程建设要求，确保在水库蓄水验收前，完成全部林木的清理）</w:t>
      </w:r>
      <w:bookmarkEnd w:id="64"/>
      <w:r>
        <w:rPr>
          <w:rFonts w:hint="eastAsia" w:ascii="宋体" w:hAnsi="宋体" w:cs="宋体"/>
          <w:sz w:val="24"/>
          <w:highlight w:val="none"/>
        </w:rPr>
        <w:t>。</w:t>
      </w:r>
    </w:p>
    <w:p w14:paraId="1C3119F0">
      <w:pPr>
        <w:adjustRightInd/>
        <w:snapToGrid w:val="0"/>
        <w:spacing w:line="520" w:lineRule="exact"/>
        <w:ind w:firstLine="482" w:firstLineChars="200"/>
        <w:rPr>
          <w:rFonts w:hint="eastAsia" w:ascii="宋体" w:hAnsi="宋体" w:cs="宋体"/>
          <w:b/>
          <w:bCs/>
          <w:sz w:val="24"/>
          <w:highlight w:val="none"/>
        </w:rPr>
      </w:pPr>
      <w:r>
        <w:rPr>
          <w:rFonts w:hint="eastAsia" w:ascii="宋体" w:hAnsi="宋体" w:cs="宋体"/>
          <w:b/>
          <w:bCs/>
          <w:sz w:val="24"/>
          <w:highlight w:val="none"/>
        </w:rPr>
        <w:t>四、质量要求</w:t>
      </w:r>
    </w:p>
    <w:p w14:paraId="22BCBD91">
      <w:pPr>
        <w:adjustRightInd/>
        <w:snapToGrid w:val="0"/>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林木</w:t>
      </w:r>
      <w:r>
        <w:rPr>
          <w:rFonts w:ascii="宋体" w:hAnsi="宋体" w:cs="宋体"/>
          <w:sz w:val="24"/>
          <w:highlight w:val="none"/>
        </w:rPr>
        <w:t>清理</w:t>
      </w:r>
      <w:r>
        <w:rPr>
          <w:rFonts w:hint="eastAsia" w:ascii="宋体" w:hAnsi="宋体" w:cs="宋体"/>
          <w:sz w:val="24"/>
          <w:highlight w:val="none"/>
        </w:rPr>
        <w:t>后达到水库蓄水验收标准，确保在水库蓄水验收前通过验收。</w:t>
      </w:r>
    </w:p>
    <w:p w14:paraId="3DC1320D">
      <w:pPr>
        <w:adjustRightInd/>
        <w:snapToGrid w:val="0"/>
        <w:spacing w:line="520" w:lineRule="exact"/>
        <w:ind w:firstLine="482" w:firstLineChars="200"/>
        <w:rPr>
          <w:rFonts w:hint="eastAsia" w:ascii="宋体" w:hAnsi="宋体" w:cs="宋体"/>
          <w:sz w:val="24"/>
        </w:rPr>
      </w:pPr>
      <w:r>
        <w:rPr>
          <w:rFonts w:hint="eastAsia" w:ascii="宋体" w:hAnsi="宋体" w:cs="宋体"/>
          <w:b/>
          <w:bCs/>
          <w:sz w:val="24"/>
        </w:rPr>
        <w:t>五、技术要求</w:t>
      </w:r>
    </w:p>
    <w:p w14:paraId="37A9F66A">
      <w:pPr>
        <w:adjustRightInd/>
        <w:snapToGrid w:val="0"/>
        <w:spacing w:line="520" w:lineRule="exact"/>
        <w:ind w:firstLine="480" w:firstLineChars="200"/>
        <w:rPr>
          <w:rFonts w:hint="eastAsia" w:ascii="宋体" w:hAnsi="宋体" w:cs="宋体"/>
          <w:sz w:val="24"/>
        </w:rPr>
      </w:pPr>
      <w:r>
        <w:rPr>
          <w:rFonts w:hint="eastAsia" w:ascii="宋体" w:hAnsi="宋体" w:cs="宋体"/>
          <w:sz w:val="24"/>
        </w:rPr>
        <w:t>1、林木清理要求</w:t>
      </w:r>
    </w:p>
    <w:p w14:paraId="0E5F043F">
      <w:pPr>
        <w:adjustRightInd/>
        <w:snapToGrid w:val="0"/>
        <w:spacing w:line="520" w:lineRule="exact"/>
        <w:ind w:firstLine="480" w:firstLineChars="200"/>
        <w:rPr>
          <w:rFonts w:hint="eastAsia" w:ascii="宋体" w:hAnsi="宋体" w:cs="宋体"/>
          <w:sz w:val="24"/>
        </w:rPr>
      </w:pPr>
      <w:r>
        <w:rPr>
          <w:rFonts w:hint="eastAsia" w:ascii="宋体" w:hAnsi="宋体" w:cs="宋体"/>
          <w:sz w:val="24"/>
        </w:rPr>
        <w:t>（1）严格执行采伐管理相关规定，不超越范围采伐，采伐时尽可能不损伤红线范围以外的林木。</w:t>
      </w:r>
    </w:p>
    <w:p w14:paraId="6E32A027">
      <w:pPr>
        <w:adjustRightInd/>
        <w:snapToGrid w:val="0"/>
        <w:spacing w:line="520" w:lineRule="exact"/>
        <w:ind w:firstLine="480" w:firstLineChars="200"/>
        <w:rPr>
          <w:rFonts w:hint="eastAsia" w:ascii="宋体" w:hAnsi="宋体" w:cs="宋体"/>
          <w:sz w:val="24"/>
        </w:rPr>
      </w:pPr>
      <w:r>
        <w:rPr>
          <w:rFonts w:hint="eastAsia" w:ascii="宋体" w:hAnsi="宋体" w:cs="宋体"/>
          <w:sz w:val="24"/>
        </w:rPr>
        <w:t>（2）合理处置采伐剩余物，禁止就地违规焚烧，防治森林火灾和环境污染。</w:t>
      </w:r>
    </w:p>
    <w:p w14:paraId="2736EC02">
      <w:pPr>
        <w:adjustRightInd/>
        <w:snapToGrid w:val="0"/>
        <w:spacing w:line="520" w:lineRule="exact"/>
        <w:ind w:firstLine="480" w:firstLineChars="200"/>
        <w:rPr>
          <w:rFonts w:hint="eastAsia" w:ascii="宋体" w:hAnsi="宋体" w:cs="宋体"/>
          <w:sz w:val="24"/>
        </w:rPr>
      </w:pPr>
      <w:r>
        <w:rPr>
          <w:rFonts w:hint="eastAsia" w:ascii="宋体" w:hAnsi="宋体" w:cs="宋体"/>
          <w:sz w:val="24"/>
        </w:rPr>
        <w:t>（3）遵守劳动安全相关规定，杜绝人伤事故的发生。</w:t>
      </w:r>
    </w:p>
    <w:p w14:paraId="0108DBAD">
      <w:pPr>
        <w:adjustRightInd/>
        <w:snapToGrid w:val="0"/>
        <w:spacing w:line="520" w:lineRule="exact"/>
        <w:ind w:firstLine="480" w:firstLineChars="200"/>
        <w:rPr>
          <w:rFonts w:hint="eastAsia" w:ascii="宋体" w:hAnsi="宋体" w:cs="宋体"/>
          <w:sz w:val="24"/>
        </w:rPr>
      </w:pPr>
      <w:r>
        <w:rPr>
          <w:rFonts w:hint="eastAsia" w:ascii="宋体" w:hAnsi="宋体" w:cs="宋体"/>
          <w:sz w:val="24"/>
        </w:rPr>
        <w:t>（4）林木清理过程中，应按照《中华人民共和国消防法》、《消防监督检查规定》、《浙江省消防条例》的相关规定，注意防火安全。</w:t>
      </w:r>
    </w:p>
    <w:p w14:paraId="4BE0323F">
      <w:pPr>
        <w:adjustRightInd/>
        <w:snapToGrid w:val="0"/>
        <w:spacing w:line="520" w:lineRule="exact"/>
        <w:ind w:firstLine="480" w:firstLineChars="200"/>
        <w:rPr>
          <w:rFonts w:hint="eastAsia" w:ascii="宋体" w:hAnsi="宋体" w:cs="宋体"/>
          <w:sz w:val="24"/>
        </w:rPr>
      </w:pPr>
      <w:r>
        <w:rPr>
          <w:rFonts w:hint="eastAsia" w:ascii="宋体" w:hAnsi="宋体" w:cs="宋体"/>
          <w:sz w:val="24"/>
        </w:rPr>
        <w:t>2、采伐要求</w:t>
      </w:r>
    </w:p>
    <w:p w14:paraId="72F46FC7">
      <w:pPr>
        <w:adjustRightInd/>
        <w:snapToGrid w:val="0"/>
        <w:spacing w:line="520" w:lineRule="exact"/>
        <w:ind w:firstLine="482" w:firstLineChars="200"/>
        <w:rPr>
          <w:rFonts w:hint="eastAsia" w:ascii="宋体" w:hAnsi="宋体" w:cs="宋体"/>
          <w:sz w:val="24"/>
        </w:rPr>
      </w:pPr>
      <w:r>
        <w:rPr>
          <w:rFonts w:hint="eastAsia" w:ascii="宋体" w:hAnsi="宋体" w:cs="宋体"/>
          <w:b/>
          <w:bCs/>
          <w:sz w:val="24"/>
        </w:rPr>
        <w:t>（1）林木采伐</w:t>
      </w:r>
    </w:p>
    <w:p w14:paraId="2671293E">
      <w:pPr>
        <w:adjustRightInd/>
        <w:snapToGrid w:val="0"/>
        <w:spacing w:line="520" w:lineRule="exact"/>
        <w:ind w:firstLine="480" w:firstLineChars="200"/>
        <w:rPr>
          <w:rFonts w:hint="eastAsia" w:ascii="宋体" w:hAnsi="宋体" w:cs="宋体"/>
          <w:sz w:val="24"/>
        </w:rPr>
      </w:pPr>
      <w:r>
        <w:rPr>
          <w:rFonts w:hint="eastAsia" w:ascii="宋体" w:hAnsi="宋体" w:cs="宋体"/>
          <w:sz w:val="24"/>
        </w:rPr>
        <w:t>对项目指定范围周边土地区域进行划分，包片分段进行实施，采取人工采伐和机械采伐相结合的方式，严格按照</w:t>
      </w:r>
      <w:r>
        <w:rPr>
          <w:rFonts w:hint="eastAsia" w:ascii="宋体" w:hAnsi="宋体" w:cs="宋体"/>
          <w:sz w:val="24"/>
          <w:shd w:val="clear" w:color="auto" w:fill="FFFFFF"/>
        </w:rPr>
        <w:t>林木采伐标准、清运处置及环保</w:t>
      </w:r>
      <w:r>
        <w:rPr>
          <w:rFonts w:hint="eastAsia" w:ascii="宋体" w:hAnsi="宋体" w:cs="宋体"/>
          <w:sz w:val="24"/>
          <w:highlight w:val="none"/>
          <w:shd w:val="clear" w:color="auto" w:fill="FFFFFF"/>
        </w:rPr>
        <w:t>要求，包括</w:t>
      </w:r>
      <w:r>
        <w:rPr>
          <w:rFonts w:hint="eastAsia" w:ascii="宋体" w:hAnsi="宋体" w:cs="宋体"/>
          <w:b/>
          <w:bCs/>
          <w:sz w:val="24"/>
          <w:highlight w:val="none"/>
          <w:shd w:val="clear" w:color="auto" w:fill="FFFFFF"/>
        </w:rPr>
        <w:t>乔木、竹、灌木、红树林</w:t>
      </w:r>
      <w:r>
        <w:rPr>
          <w:rFonts w:hint="eastAsia" w:ascii="宋体" w:hAnsi="宋体" w:cs="宋体"/>
          <w:sz w:val="24"/>
          <w:highlight w:val="none"/>
          <w:shd w:val="clear" w:color="auto" w:fill="FFFFFF"/>
        </w:rPr>
        <w:t>等</w:t>
      </w:r>
      <w:r>
        <w:rPr>
          <w:rFonts w:hint="eastAsia" w:ascii="宋体" w:hAnsi="宋体" w:cs="宋体"/>
          <w:sz w:val="24"/>
          <w:highlight w:val="none"/>
        </w:rPr>
        <w:t>，</w:t>
      </w:r>
      <w:r>
        <w:rPr>
          <w:rFonts w:hint="eastAsia" w:ascii="宋体" w:hAnsi="宋体" w:cs="宋体"/>
          <w:sz w:val="24"/>
        </w:rPr>
        <w:t>规范、安全、有时效性的开展，确保林木采伐无死角、无遗漏、全覆盖。</w:t>
      </w:r>
    </w:p>
    <w:p w14:paraId="5E48046A">
      <w:pPr>
        <w:adjustRightInd/>
        <w:snapToGrid w:val="0"/>
        <w:spacing w:line="520" w:lineRule="exact"/>
        <w:ind w:firstLine="482" w:firstLineChars="200"/>
        <w:rPr>
          <w:rFonts w:hint="eastAsia" w:ascii="宋体" w:hAnsi="宋体" w:cs="宋体"/>
          <w:sz w:val="24"/>
        </w:rPr>
      </w:pPr>
      <w:r>
        <w:rPr>
          <w:rFonts w:hint="eastAsia" w:ascii="宋体" w:hAnsi="宋体" w:cs="宋体"/>
          <w:b/>
          <w:bCs/>
          <w:sz w:val="24"/>
        </w:rPr>
        <w:t>（2）松木采伐</w:t>
      </w:r>
    </w:p>
    <w:p w14:paraId="0BDE4EFF">
      <w:pPr>
        <w:adjustRightInd/>
        <w:snapToGrid w:val="0"/>
        <w:spacing w:line="520" w:lineRule="exact"/>
        <w:ind w:firstLine="480" w:firstLineChars="200"/>
        <w:rPr>
          <w:rFonts w:hint="eastAsia" w:ascii="宋体" w:hAnsi="宋体" w:cs="宋体"/>
          <w:sz w:val="24"/>
        </w:rPr>
      </w:pPr>
      <w:r>
        <w:rPr>
          <w:rFonts w:ascii="宋体" w:hAnsi="宋体" w:cs="宋体"/>
          <w:sz w:val="24"/>
        </w:rPr>
        <w:t>清理范围内松树清理率达到100％，清理下山的松木严格按照嵊市林防指办〔2024]5号</w:t>
      </w:r>
      <w:r>
        <w:rPr>
          <w:rFonts w:hint="eastAsia" w:ascii="宋体" w:hAnsi="宋体" w:cs="宋体"/>
          <w:sz w:val="24"/>
        </w:rPr>
        <w:t>文件、</w:t>
      </w:r>
      <w:r>
        <w:rPr>
          <w:rFonts w:ascii="宋体" w:hAnsi="宋体" w:cs="宋体"/>
          <w:sz w:val="24"/>
        </w:rPr>
        <w:t>《松材线虫病疫区和疫木管理办法》进行管理，清理质量要求严格执行《松材线虫病防治技术方案（202</w:t>
      </w:r>
      <w:r>
        <w:rPr>
          <w:rFonts w:hint="eastAsia" w:ascii="宋体" w:hAnsi="宋体" w:cs="宋体"/>
          <w:sz w:val="24"/>
        </w:rPr>
        <w:t>4</w:t>
      </w:r>
      <w:r>
        <w:rPr>
          <w:rFonts w:ascii="宋体" w:hAnsi="宋体" w:cs="宋体"/>
          <w:sz w:val="24"/>
        </w:rPr>
        <w:t>年版）》相关规定：</w:t>
      </w:r>
    </w:p>
    <w:p w14:paraId="6A89431B">
      <w:pPr>
        <w:adjustRightInd/>
        <w:snapToGrid w:val="0"/>
        <w:spacing w:line="520" w:lineRule="exact"/>
        <w:ind w:firstLine="480" w:firstLineChars="200"/>
        <w:rPr>
          <w:rFonts w:hint="eastAsia" w:ascii="宋体" w:hAnsi="宋体" w:cs="宋体"/>
          <w:sz w:val="24"/>
        </w:rPr>
      </w:pPr>
      <w:r>
        <w:rPr>
          <w:rFonts w:ascii="宋体" w:hAnsi="宋体" w:cs="宋体"/>
          <w:sz w:val="24"/>
        </w:rPr>
        <w:t>1）伐桩处理：林木经清理后，残留树高度不应超过地面0.3m</w:t>
      </w:r>
      <w:r>
        <w:rPr>
          <w:rFonts w:ascii="宋体" w:hAnsi="宋体" w:cs="宋体"/>
          <w:color w:val="FF0000"/>
          <w:sz w:val="24"/>
        </w:rPr>
        <w:t>；</w:t>
      </w:r>
      <w:r>
        <w:rPr>
          <w:rFonts w:ascii="宋体" w:hAnsi="宋体" w:cs="宋体"/>
          <w:sz w:val="24"/>
        </w:rPr>
        <w:t>松树伐除后，按照《松材线虫病防治技术方案（202</w:t>
      </w:r>
      <w:r>
        <w:rPr>
          <w:rFonts w:hint="eastAsia" w:ascii="宋体" w:hAnsi="宋体" w:cs="宋体"/>
          <w:sz w:val="24"/>
        </w:rPr>
        <w:t>4</w:t>
      </w:r>
      <w:r>
        <w:rPr>
          <w:rFonts w:ascii="宋体" w:hAnsi="宋体" w:cs="宋体"/>
          <w:sz w:val="24"/>
        </w:rPr>
        <w:t>年版）》相关规定处理。</w:t>
      </w:r>
    </w:p>
    <w:p w14:paraId="2EE06509">
      <w:pPr>
        <w:adjustRightInd/>
        <w:snapToGrid w:val="0"/>
        <w:spacing w:line="520" w:lineRule="exact"/>
        <w:ind w:firstLine="480" w:firstLineChars="200"/>
        <w:rPr>
          <w:rFonts w:hint="eastAsia" w:ascii="宋体" w:hAnsi="宋体" w:cs="宋体"/>
          <w:sz w:val="24"/>
        </w:rPr>
      </w:pPr>
      <w:r>
        <w:rPr>
          <w:rFonts w:ascii="宋体" w:hAnsi="宋体" w:cs="宋体"/>
          <w:sz w:val="24"/>
        </w:rPr>
        <w:t>2）枝桠处理：清理迹地范围内，清理收集所有直径大于1cm的松树枝桠，随疫木主干运到指定的疫木定点加工企业进行除害处理，或就近采取粉碎（粉碎物最大粒径不得超过1厘米）、烧毁等除害措施。</w:t>
      </w:r>
    </w:p>
    <w:p w14:paraId="7190D844">
      <w:pPr>
        <w:adjustRightInd/>
        <w:snapToGrid w:val="0"/>
        <w:spacing w:line="520" w:lineRule="exact"/>
        <w:ind w:firstLine="480" w:firstLineChars="200"/>
        <w:rPr>
          <w:rFonts w:hint="eastAsia" w:ascii="宋体" w:hAnsi="宋体" w:cs="宋体"/>
          <w:sz w:val="24"/>
        </w:rPr>
      </w:pPr>
      <w:r>
        <w:rPr>
          <w:rFonts w:ascii="宋体" w:hAnsi="宋体" w:cs="宋体"/>
          <w:sz w:val="24"/>
        </w:rPr>
        <w:t>3）</w:t>
      </w:r>
      <w:r>
        <w:rPr>
          <w:rFonts w:hint="eastAsia" w:ascii="宋体" w:hAnsi="宋体" w:cs="宋体"/>
          <w:sz w:val="24"/>
        </w:rPr>
        <w:t>松</w:t>
      </w:r>
      <w:r>
        <w:rPr>
          <w:rFonts w:ascii="宋体" w:hAnsi="宋体" w:cs="宋体"/>
          <w:sz w:val="24"/>
        </w:rPr>
        <w:t>木处理：伐除的松木必须运到指定的疫木定点企业进行安全除害处理，或就近采取粉碎（粉碎物最大粒径不得超过1厘米）、烧毁等除害措施。</w:t>
      </w:r>
    </w:p>
    <w:p w14:paraId="5CC5AC47">
      <w:pPr>
        <w:adjustRightInd/>
        <w:snapToGrid w:val="0"/>
        <w:spacing w:line="520" w:lineRule="exact"/>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中标人</w:t>
      </w:r>
      <w:r>
        <w:rPr>
          <w:rFonts w:ascii="宋体" w:hAnsi="宋体" w:cs="宋体"/>
          <w:sz w:val="24"/>
        </w:rPr>
        <w:t>在进场前，要把清理队伍人员和要进入的山场告知采购人，经采购人同意，才可进场清理。清理采伐完工后，由</w:t>
      </w:r>
      <w:r>
        <w:rPr>
          <w:rFonts w:hint="eastAsia" w:ascii="宋体" w:hAnsi="宋体" w:cs="宋体"/>
          <w:sz w:val="24"/>
        </w:rPr>
        <w:t>中标人</w:t>
      </w:r>
      <w:r>
        <w:rPr>
          <w:rFonts w:ascii="宋体" w:hAnsi="宋体" w:cs="宋体"/>
          <w:sz w:val="24"/>
        </w:rPr>
        <w:t>自检合格后提出验收的申请，采购人组织相关人员按验收标准及时进行验收，质量不符合《松材线虫病防治技术方案（202</w:t>
      </w:r>
      <w:r>
        <w:rPr>
          <w:rFonts w:hint="eastAsia" w:ascii="宋体" w:hAnsi="宋体" w:cs="宋体"/>
          <w:sz w:val="24"/>
        </w:rPr>
        <w:t>4</w:t>
      </w:r>
      <w:r>
        <w:rPr>
          <w:rFonts w:ascii="宋体" w:hAnsi="宋体" w:cs="宋体"/>
          <w:sz w:val="24"/>
        </w:rPr>
        <w:t>年版）》的扣除合同款项的30%。</w:t>
      </w:r>
    </w:p>
    <w:p w14:paraId="266EF823">
      <w:pPr>
        <w:adjustRightInd/>
        <w:snapToGrid w:val="0"/>
        <w:spacing w:line="520" w:lineRule="exact"/>
        <w:ind w:firstLine="480" w:firstLineChars="200"/>
        <w:rPr>
          <w:rFonts w:hint="eastAsia" w:ascii="宋体" w:hAnsi="宋体" w:cs="宋体"/>
          <w:sz w:val="24"/>
          <w:highlight w:val="none"/>
        </w:rPr>
      </w:pPr>
      <w:r>
        <w:rPr>
          <w:rFonts w:ascii="宋体" w:hAnsi="宋体" w:cs="宋体"/>
          <w:sz w:val="24"/>
          <w:highlight w:val="none"/>
        </w:rPr>
        <w:t>5）</w:t>
      </w:r>
      <w:bookmarkStart w:id="65" w:name="_Hlk190972250"/>
      <w:r>
        <w:rPr>
          <w:rFonts w:hint="eastAsia" w:ascii="宋体" w:hAnsi="宋体" w:cs="宋体"/>
          <w:sz w:val="24"/>
          <w:highlight w:val="none"/>
        </w:rPr>
        <w:t>中标人</w:t>
      </w:r>
      <w:r>
        <w:rPr>
          <w:rFonts w:ascii="宋体" w:hAnsi="宋体" w:cs="宋体"/>
          <w:sz w:val="24"/>
          <w:highlight w:val="none"/>
        </w:rPr>
        <w:t>要做好</w:t>
      </w:r>
      <w:r>
        <w:rPr>
          <w:rFonts w:hint="eastAsia" w:ascii="宋体" w:hAnsi="宋体" w:cs="宋体"/>
          <w:sz w:val="24"/>
          <w:highlight w:val="none"/>
        </w:rPr>
        <w:t>采伐</w:t>
      </w:r>
      <w:r>
        <w:rPr>
          <w:rFonts w:ascii="宋体" w:hAnsi="宋体" w:cs="宋体"/>
          <w:sz w:val="24"/>
          <w:highlight w:val="none"/>
        </w:rPr>
        <w:t>档案记载，</w:t>
      </w:r>
      <w:r>
        <w:rPr>
          <w:rFonts w:hint="eastAsia" w:ascii="宋体" w:hAnsi="宋体" w:cs="宋体"/>
          <w:sz w:val="24"/>
          <w:highlight w:val="none"/>
        </w:rPr>
        <w:t>采伐</w:t>
      </w:r>
      <w:r>
        <w:rPr>
          <w:rFonts w:ascii="宋体" w:hAnsi="宋体" w:cs="宋体"/>
          <w:sz w:val="24"/>
          <w:highlight w:val="none"/>
        </w:rPr>
        <w:t>照片（</w:t>
      </w:r>
      <w:r>
        <w:rPr>
          <w:rFonts w:hint="eastAsia" w:ascii="宋体" w:hAnsi="宋体" w:cs="宋体"/>
          <w:sz w:val="24"/>
          <w:highlight w:val="none"/>
        </w:rPr>
        <w:t>采伐</w:t>
      </w:r>
      <w:r>
        <w:rPr>
          <w:rFonts w:ascii="宋体" w:hAnsi="宋体" w:cs="宋体"/>
          <w:sz w:val="24"/>
          <w:highlight w:val="none"/>
        </w:rPr>
        <w:t>前、</w:t>
      </w:r>
      <w:r>
        <w:rPr>
          <w:rFonts w:hint="eastAsia" w:ascii="宋体" w:hAnsi="宋体" w:cs="宋体"/>
          <w:sz w:val="24"/>
          <w:highlight w:val="none"/>
        </w:rPr>
        <w:t>采伐</w:t>
      </w:r>
      <w:r>
        <w:rPr>
          <w:rFonts w:ascii="宋体" w:hAnsi="宋体" w:cs="宋体"/>
          <w:sz w:val="24"/>
          <w:highlight w:val="none"/>
        </w:rPr>
        <w:t>中、</w:t>
      </w:r>
      <w:r>
        <w:rPr>
          <w:rFonts w:hint="eastAsia" w:ascii="宋体" w:hAnsi="宋体" w:cs="宋体"/>
          <w:sz w:val="24"/>
          <w:highlight w:val="none"/>
        </w:rPr>
        <w:t>采伐</w:t>
      </w:r>
      <w:r>
        <w:rPr>
          <w:rFonts w:ascii="宋体" w:hAnsi="宋体" w:cs="宋体"/>
          <w:sz w:val="24"/>
          <w:highlight w:val="none"/>
        </w:rPr>
        <w:t>后，同一地点为佳），</w:t>
      </w:r>
      <w:r>
        <w:rPr>
          <w:rFonts w:hint="eastAsia" w:ascii="宋体" w:hAnsi="宋体" w:cs="宋体"/>
          <w:sz w:val="24"/>
          <w:highlight w:val="none"/>
        </w:rPr>
        <w:t>工作</w:t>
      </w:r>
      <w:r>
        <w:rPr>
          <w:rFonts w:ascii="宋体" w:hAnsi="宋体" w:cs="宋体"/>
          <w:sz w:val="24"/>
          <w:highlight w:val="none"/>
        </w:rPr>
        <w:t>记录，松木的流向、松木数量（</w:t>
      </w:r>
      <w:r>
        <w:rPr>
          <w:rFonts w:hint="eastAsia" w:ascii="宋体" w:hAnsi="宋体" w:cs="宋体"/>
          <w:sz w:val="24"/>
          <w:highlight w:val="none"/>
        </w:rPr>
        <w:t>承包方与市林业局指定加工点，</w:t>
      </w:r>
      <w:r>
        <w:rPr>
          <w:rFonts w:ascii="宋体" w:hAnsi="宋体" w:cs="宋体"/>
          <w:sz w:val="24"/>
          <w:highlight w:val="none"/>
        </w:rPr>
        <w:t>双签字、双称重）等</w:t>
      </w:r>
      <w:bookmarkEnd w:id="65"/>
      <w:r>
        <w:rPr>
          <w:rFonts w:ascii="宋体" w:hAnsi="宋体" w:cs="宋体"/>
          <w:sz w:val="24"/>
          <w:highlight w:val="none"/>
        </w:rPr>
        <w:t>。</w:t>
      </w:r>
    </w:p>
    <w:p w14:paraId="0A32101D">
      <w:pPr>
        <w:adjustRightInd/>
        <w:snapToGrid w:val="0"/>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3、安全要求</w:t>
      </w:r>
    </w:p>
    <w:p w14:paraId="3DA0E142">
      <w:pPr>
        <w:adjustRightInd/>
        <w:snapToGrid w:val="0"/>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1）中标人须认真落实各项安全保护措施，保证项目工作安全和人身安全；本项目实施过程中发生的一切安全事故由中标人负责。所有参加采伐、林地清理的人员，必须参加人身意外伤害保险、工伤保险，才可进场作业。</w:t>
      </w:r>
    </w:p>
    <w:p w14:paraId="5FEE67B5">
      <w:pPr>
        <w:adjustRightInd/>
        <w:snapToGrid w:val="0"/>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（2）中标人要做好施工档案记载，采伐照片（采伐</w:t>
      </w:r>
      <w:r>
        <w:rPr>
          <w:rFonts w:ascii="宋体" w:hAnsi="宋体" w:cs="宋体"/>
          <w:sz w:val="24"/>
          <w:highlight w:val="none"/>
        </w:rPr>
        <w:t>前、</w:t>
      </w:r>
      <w:r>
        <w:rPr>
          <w:rFonts w:hint="eastAsia" w:ascii="宋体" w:hAnsi="宋体" w:cs="宋体"/>
          <w:sz w:val="24"/>
          <w:highlight w:val="none"/>
        </w:rPr>
        <w:t>采伐</w:t>
      </w:r>
      <w:r>
        <w:rPr>
          <w:rFonts w:ascii="宋体" w:hAnsi="宋体" w:cs="宋体"/>
          <w:sz w:val="24"/>
          <w:highlight w:val="none"/>
        </w:rPr>
        <w:t>中、</w:t>
      </w:r>
      <w:r>
        <w:rPr>
          <w:rFonts w:hint="eastAsia" w:ascii="宋体" w:hAnsi="宋体" w:cs="宋体"/>
          <w:sz w:val="24"/>
          <w:highlight w:val="none"/>
        </w:rPr>
        <w:t>采伐</w:t>
      </w:r>
      <w:r>
        <w:rPr>
          <w:rFonts w:ascii="宋体" w:hAnsi="宋体" w:cs="宋体"/>
          <w:sz w:val="24"/>
          <w:highlight w:val="none"/>
        </w:rPr>
        <w:t>后</w:t>
      </w:r>
      <w:r>
        <w:rPr>
          <w:rFonts w:hint="eastAsia" w:ascii="宋体" w:hAnsi="宋体" w:cs="宋体"/>
          <w:sz w:val="24"/>
          <w:highlight w:val="none"/>
        </w:rPr>
        <w:t>，同一地点为佳），工作记录，松木的流向、</w:t>
      </w:r>
      <w:r>
        <w:rPr>
          <w:rFonts w:ascii="宋体" w:hAnsi="宋体" w:cs="宋体"/>
          <w:sz w:val="24"/>
          <w:highlight w:val="none"/>
        </w:rPr>
        <w:t>松木</w:t>
      </w:r>
      <w:r>
        <w:rPr>
          <w:rFonts w:hint="eastAsia" w:ascii="宋体" w:hAnsi="宋体" w:cs="宋体"/>
          <w:sz w:val="24"/>
          <w:highlight w:val="none"/>
        </w:rPr>
        <w:t>数量（承包方与市林业局指定加工点，</w:t>
      </w:r>
      <w:r>
        <w:rPr>
          <w:rFonts w:ascii="宋体" w:hAnsi="宋体" w:cs="宋体"/>
          <w:sz w:val="24"/>
          <w:highlight w:val="none"/>
        </w:rPr>
        <w:t>双签字、双称重</w:t>
      </w:r>
      <w:r>
        <w:rPr>
          <w:rFonts w:hint="eastAsia" w:ascii="宋体" w:hAnsi="宋体" w:cs="宋体"/>
          <w:sz w:val="24"/>
          <w:highlight w:val="none"/>
        </w:rPr>
        <w:t>）等。</w:t>
      </w:r>
    </w:p>
    <w:p w14:paraId="580D7693">
      <w:pPr>
        <w:adjustRightInd/>
        <w:snapToGrid w:val="0"/>
        <w:spacing w:line="520" w:lineRule="exact"/>
        <w:ind w:firstLine="480" w:firstLineChars="200"/>
        <w:rPr>
          <w:rFonts w:hint="eastAsia" w:ascii="宋体" w:hAnsi="宋体" w:cs="宋体"/>
          <w:sz w:val="24"/>
        </w:rPr>
      </w:pPr>
      <w:r>
        <w:rPr>
          <w:rFonts w:hint="eastAsia" w:ascii="宋体" w:hAnsi="宋体" w:cs="宋体"/>
          <w:sz w:val="24"/>
          <w:highlight w:val="none"/>
        </w:rPr>
        <w:t>（3）</w:t>
      </w:r>
      <w:r>
        <w:rPr>
          <w:rFonts w:ascii="宋体" w:hAnsi="宋体" w:cs="宋体"/>
          <w:sz w:val="24"/>
          <w:highlight w:val="none"/>
        </w:rPr>
        <w:t>开工后作业人员上下班在公路上行车必须严格遵守交通规则，特别是骑电动车要</w:t>
      </w:r>
      <w:r>
        <w:rPr>
          <w:rFonts w:ascii="宋体" w:hAnsi="宋体" w:cs="宋体"/>
          <w:sz w:val="24"/>
        </w:rPr>
        <w:t>靠右行，注意来往车辆，如遇公路不宽或交叉口、车辆来往较多情况下，要求宁停一分不抢一秒。</w:t>
      </w:r>
    </w:p>
    <w:p w14:paraId="178ACDDB">
      <w:pPr>
        <w:adjustRightInd/>
        <w:snapToGrid w:val="0"/>
        <w:spacing w:line="520" w:lineRule="exact"/>
        <w:ind w:firstLine="480" w:firstLineChars="200"/>
        <w:rPr>
          <w:rFonts w:hint="eastAsia" w:ascii="宋体" w:hAnsi="宋体" w:cs="宋体"/>
          <w:sz w:val="24"/>
        </w:rPr>
      </w:pPr>
      <w:r>
        <w:rPr>
          <w:rFonts w:hint="eastAsia" w:ascii="宋体" w:hAnsi="宋体" w:cs="宋体"/>
          <w:sz w:val="24"/>
        </w:rPr>
        <w:t>（4）</w:t>
      </w:r>
      <w:r>
        <w:rPr>
          <w:rFonts w:ascii="宋体" w:hAnsi="宋体" w:cs="宋体"/>
          <w:sz w:val="24"/>
        </w:rPr>
        <w:t>运输途中要注意树木枝条高度、宽度，挂好红色飘带，在车辆通过跨公路电线电缆</w:t>
      </w:r>
      <w:r>
        <w:rPr>
          <w:rFonts w:hint="eastAsia" w:ascii="宋体" w:hAnsi="宋体" w:cs="宋体"/>
          <w:sz w:val="24"/>
        </w:rPr>
        <w:t>和</w:t>
      </w:r>
      <w:r>
        <w:rPr>
          <w:rFonts w:ascii="宋体" w:hAnsi="宋体" w:cs="宋体"/>
          <w:sz w:val="24"/>
        </w:rPr>
        <w:t>车辆交汇、经过路旁指示标识时注意慢行。</w:t>
      </w:r>
    </w:p>
    <w:p w14:paraId="430805FA">
      <w:pPr>
        <w:adjustRightInd/>
        <w:snapToGrid w:val="0"/>
        <w:spacing w:line="520" w:lineRule="exact"/>
        <w:ind w:firstLine="480" w:firstLineChars="200"/>
        <w:rPr>
          <w:rFonts w:hint="eastAsia" w:ascii="宋体" w:hAnsi="宋体" w:cs="宋体"/>
          <w:sz w:val="24"/>
        </w:rPr>
      </w:pPr>
      <w:r>
        <w:rPr>
          <w:rFonts w:hint="eastAsia" w:ascii="宋体" w:hAnsi="宋体" w:cs="宋体"/>
          <w:sz w:val="24"/>
        </w:rPr>
        <w:t>（5）</w:t>
      </w:r>
      <w:r>
        <w:rPr>
          <w:rFonts w:ascii="宋体" w:hAnsi="宋体" w:cs="宋体"/>
          <w:sz w:val="24"/>
        </w:rPr>
        <w:t>运输途中驶离公路进入乡村道路时，通过乡村桥梁和道路先停下车辆，必须检查路基和桥梁牢固状况，特别要注意载重与道路或桥梁承载压力。要求在安全情况下方可通行。</w:t>
      </w:r>
    </w:p>
    <w:p w14:paraId="25DA233C">
      <w:pPr>
        <w:adjustRightInd/>
        <w:snapToGrid w:val="0"/>
        <w:spacing w:line="520" w:lineRule="exact"/>
        <w:ind w:firstLine="480" w:firstLineChars="200"/>
        <w:rPr>
          <w:rFonts w:hint="eastAsia" w:ascii="宋体" w:hAnsi="宋体" w:cs="宋体"/>
          <w:sz w:val="24"/>
        </w:rPr>
      </w:pPr>
      <w:r>
        <w:rPr>
          <w:rFonts w:hint="eastAsia" w:ascii="宋体" w:hAnsi="宋体" w:cs="宋体"/>
          <w:sz w:val="24"/>
        </w:rPr>
        <w:t>（6）加强对林木清理劳动保护和安全管理的监督检查，一般进行定期或不定期的现场检查与抽查，督促林木清理项目责任单位和承包企业建立健全的林木清理劳动保护和安全管理责任制，加强安全保护工作，确保清理施工人员安全和清理工作安全进行。</w:t>
      </w:r>
    </w:p>
    <w:p w14:paraId="3C867F5A">
      <w:pPr>
        <w:adjustRightInd/>
        <w:snapToGrid w:val="0"/>
        <w:spacing w:line="520" w:lineRule="exact"/>
        <w:ind w:firstLine="480" w:firstLineChars="200"/>
        <w:rPr>
          <w:rFonts w:hint="eastAsia" w:ascii="宋体" w:hAnsi="宋体" w:cs="宋体"/>
          <w:sz w:val="24"/>
        </w:rPr>
      </w:pPr>
      <w:r>
        <w:rPr>
          <w:rFonts w:hint="eastAsia" w:ascii="宋体" w:hAnsi="宋体" w:cs="宋体"/>
          <w:sz w:val="24"/>
        </w:rPr>
        <w:t>（7）中标人在进场前，要把清理队伍人员和要进入的场地告知采购人，经采购人同意，才可进场清除。清除完工后，由中标人自检合格后提出验收的申请，采购人组织第三方单位按核验标准及时进行核验。</w:t>
      </w:r>
    </w:p>
    <w:p w14:paraId="0ED06F46">
      <w:pPr>
        <w:adjustRightInd/>
        <w:snapToGrid w:val="0"/>
        <w:spacing w:line="520" w:lineRule="exact"/>
        <w:ind w:firstLine="480" w:firstLineChars="200"/>
        <w:rPr>
          <w:rFonts w:hint="eastAsia" w:ascii="宋体" w:hAnsi="宋体" w:cs="宋体"/>
          <w:sz w:val="24"/>
        </w:rPr>
      </w:pPr>
      <w:r>
        <w:rPr>
          <w:rFonts w:hint="eastAsia" w:ascii="宋体" w:hAnsi="宋体" w:cs="宋体"/>
          <w:sz w:val="24"/>
        </w:rPr>
        <w:t>4、其他要求</w:t>
      </w:r>
    </w:p>
    <w:p w14:paraId="6D498028">
      <w:pPr>
        <w:adjustRightInd/>
        <w:snapToGrid w:val="0"/>
        <w:spacing w:line="520" w:lineRule="exact"/>
        <w:ind w:firstLine="480" w:firstLineChars="200"/>
        <w:rPr>
          <w:rFonts w:hint="eastAsia" w:ascii="宋体" w:hAnsi="宋体" w:cs="宋体"/>
          <w:sz w:val="24"/>
        </w:rPr>
      </w:pPr>
      <w:r>
        <w:rPr>
          <w:rFonts w:hint="eastAsia" w:ascii="宋体" w:hAnsi="宋体" w:cs="宋体"/>
          <w:sz w:val="24"/>
        </w:rPr>
        <w:t>（1）森林防火</w:t>
      </w:r>
    </w:p>
    <w:p w14:paraId="37C6736C">
      <w:pPr>
        <w:adjustRightInd/>
        <w:snapToGrid w:val="0"/>
        <w:spacing w:line="520" w:lineRule="exact"/>
        <w:ind w:firstLine="480" w:firstLineChars="200"/>
        <w:rPr>
          <w:rFonts w:hint="eastAsia" w:ascii="宋体" w:hAnsi="宋体" w:cs="宋体"/>
          <w:sz w:val="24"/>
        </w:rPr>
      </w:pPr>
      <w:r>
        <w:rPr>
          <w:rFonts w:hint="eastAsia" w:ascii="宋体" w:hAnsi="宋体" w:cs="宋体"/>
          <w:sz w:val="24"/>
        </w:rPr>
        <w:t>森林消防本着“预防为主，科学防控”的方针，建立健全森林消防组织机构，严格执行森林消防规章制度，配备专门的管护人员，配置消防器械设备。加强消防巡查管护，提高防火意识，做到早预防、早发现、早扑灭，完善防火系统。一旦发现森林火灾，管护人员应尽快向地方森林消防指挥部报告，并及时组织人员上山扑救，确保造林成效。</w:t>
      </w:r>
    </w:p>
    <w:p w14:paraId="5346B77F">
      <w:pPr>
        <w:adjustRightInd/>
        <w:snapToGrid w:val="0"/>
        <w:spacing w:line="520" w:lineRule="exact"/>
        <w:ind w:firstLine="480" w:firstLineChars="200"/>
        <w:rPr>
          <w:rFonts w:hint="eastAsia" w:ascii="宋体" w:hAnsi="宋体" w:cs="宋体"/>
          <w:sz w:val="24"/>
        </w:rPr>
      </w:pPr>
      <w:r>
        <w:rPr>
          <w:rFonts w:hint="eastAsia" w:ascii="宋体" w:hAnsi="宋体" w:cs="宋体"/>
          <w:sz w:val="24"/>
        </w:rPr>
        <w:t>同时，要采取合理的环境保护措施，在地被物处理作业时，未经林业主管部门批准，严禁以炼山的方式处理地被物，也不准采用全垦整地造林，以免造成新的水土流失。</w:t>
      </w:r>
    </w:p>
    <w:p w14:paraId="5AFA64FE">
      <w:pPr>
        <w:adjustRightInd/>
        <w:snapToGrid w:val="0"/>
        <w:spacing w:line="520" w:lineRule="exact"/>
        <w:ind w:firstLine="480" w:firstLineChars="200"/>
        <w:rPr>
          <w:rFonts w:hint="eastAsia" w:ascii="宋体" w:hAnsi="宋体" w:cs="宋体"/>
          <w:sz w:val="24"/>
        </w:rPr>
      </w:pPr>
      <w:r>
        <w:rPr>
          <w:rFonts w:hint="eastAsia" w:ascii="宋体" w:hAnsi="宋体" w:cs="宋体"/>
          <w:sz w:val="24"/>
        </w:rPr>
        <w:t>（2）林木采伐注意事项：</w:t>
      </w:r>
    </w:p>
    <w:p w14:paraId="530146A7">
      <w:pPr>
        <w:adjustRightInd/>
        <w:snapToGrid w:val="0"/>
        <w:spacing w:line="520" w:lineRule="exact"/>
        <w:ind w:firstLine="480" w:firstLineChars="200"/>
        <w:rPr>
          <w:rFonts w:hint="eastAsia" w:ascii="宋体" w:hAnsi="宋体" w:cs="宋体"/>
          <w:sz w:val="24"/>
        </w:rPr>
      </w:pPr>
      <w:r>
        <w:rPr>
          <w:rFonts w:hint="eastAsia" w:ascii="宋体" w:hAnsi="宋体" w:cs="宋体"/>
          <w:sz w:val="24"/>
        </w:rPr>
        <w:t>考虑到松木清理的难度，采伐下来的所有林木归中标人所有，其中所有松木必须按规定运送到市林业局指点加工点处理，不得它用。</w:t>
      </w:r>
    </w:p>
    <w:p w14:paraId="73006176">
      <w:pPr>
        <w:adjustRightInd/>
        <w:snapToGrid w:val="0"/>
        <w:spacing w:line="520" w:lineRule="exact"/>
        <w:ind w:firstLine="482" w:firstLineChars="200"/>
        <w:rPr>
          <w:rFonts w:hint="eastAsia" w:ascii="宋体" w:hAnsi="宋体" w:cs="宋体"/>
          <w:b/>
          <w:bCs/>
          <w:sz w:val="24"/>
        </w:rPr>
      </w:pPr>
      <w:bookmarkStart w:id="66" w:name="_Toc103116811"/>
      <w:bookmarkStart w:id="67" w:name="_Toc5867381"/>
      <w:r>
        <w:rPr>
          <w:rFonts w:hint="eastAsia" w:ascii="宋体" w:hAnsi="宋体" w:cs="宋体"/>
          <w:b/>
          <w:bCs/>
          <w:sz w:val="24"/>
        </w:rPr>
        <w:t>六、商务要求</w:t>
      </w:r>
    </w:p>
    <w:tbl>
      <w:tblPr>
        <w:tblStyle w:val="26"/>
        <w:tblW w:w="97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7"/>
        <w:gridCol w:w="8584"/>
      </w:tblGrid>
      <w:tr w14:paraId="62187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167" w:type="dxa"/>
            <w:tcBorders>
              <w:top w:val="single" w:color="auto" w:sz="4" w:space="0"/>
              <w:left w:val="single" w:color="auto" w:sz="4" w:space="0"/>
              <w:bottom w:val="single" w:color="auto" w:sz="4" w:space="0"/>
              <w:right w:val="single" w:color="auto" w:sz="4" w:space="0"/>
            </w:tcBorders>
            <w:vAlign w:val="center"/>
          </w:tcPr>
          <w:p w14:paraId="70A7E22D">
            <w:pPr>
              <w:pStyle w:val="60"/>
              <w:widowControl/>
              <w:adjustRightInd/>
              <w:snapToGrid w:val="0"/>
              <w:spacing w:line="420" w:lineRule="exact"/>
              <w:ind w:firstLine="0"/>
              <w:jc w:val="center"/>
              <w:textAlignment w:val="baseline"/>
              <w:rPr>
                <w:rFonts w:hint="eastAsia" w:ascii="宋体" w:hAnsi="宋体" w:cs="宋体"/>
                <w:b/>
                <w:bCs/>
                <w:sz w:val="22"/>
                <w:szCs w:val="22"/>
                <w:highlight w:val="none"/>
              </w:rPr>
            </w:pPr>
            <w:r>
              <w:rPr>
                <w:rFonts w:hint="eastAsia" w:ascii="宋体" w:hAnsi="宋体" w:cs="宋体"/>
                <w:b/>
                <w:bCs/>
                <w:sz w:val="22"/>
                <w:szCs w:val="22"/>
                <w:highlight w:val="none"/>
              </w:rPr>
              <w:t>工期</w:t>
            </w:r>
          </w:p>
        </w:tc>
        <w:tc>
          <w:tcPr>
            <w:tcW w:w="8584" w:type="dxa"/>
            <w:tcBorders>
              <w:top w:val="single" w:color="auto" w:sz="4" w:space="0"/>
              <w:left w:val="single" w:color="auto" w:sz="4" w:space="0"/>
              <w:bottom w:val="single" w:color="auto" w:sz="4" w:space="0"/>
              <w:right w:val="single" w:color="auto" w:sz="4" w:space="0"/>
            </w:tcBorders>
            <w:vAlign w:val="center"/>
          </w:tcPr>
          <w:p w14:paraId="739CD15B">
            <w:pPr>
              <w:pStyle w:val="60"/>
              <w:widowControl/>
              <w:adjustRightInd/>
              <w:snapToGrid w:val="0"/>
              <w:spacing w:line="420" w:lineRule="exact"/>
              <w:ind w:firstLine="0"/>
              <w:textAlignment w:val="baseline"/>
              <w:rPr>
                <w:rStyle w:val="40"/>
                <w:rFonts w:hint="eastAsia" w:ascii="宋体" w:hAnsi="宋体" w:cs="宋体"/>
                <w:sz w:val="22"/>
                <w:szCs w:val="22"/>
                <w:highlight w:val="none"/>
              </w:rPr>
            </w:pPr>
            <w:r>
              <w:rPr>
                <w:rStyle w:val="40"/>
                <w:rFonts w:hint="eastAsia"/>
                <w:sz w:val="22"/>
                <w:szCs w:val="22"/>
                <w:highlight w:val="none"/>
              </w:rPr>
              <w:t>合同签订后54</w:t>
            </w:r>
            <w:r>
              <w:rPr>
                <w:rStyle w:val="40"/>
                <w:sz w:val="22"/>
                <w:szCs w:val="22"/>
                <w:highlight w:val="none"/>
              </w:rPr>
              <w:t>个月</w:t>
            </w:r>
            <w:r>
              <w:rPr>
                <w:rStyle w:val="40"/>
                <w:rFonts w:hint="eastAsia"/>
                <w:sz w:val="22"/>
                <w:szCs w:val="22"/>
                <w:highlight w:val="none"/>
              </w:rPr>
              <w:t>内全部完成（具体时间满足工程建设要求，确保在水库蓄水验收前，完成全部林木的清理）</w:t>
            </w:r>
            <w:r>
              <w:rPr>
                <w:rStyle w:val="40"/>
                <w:rFonts w:hint="eastAsia" w:ascii="宋体" w:hAnsi="宋体" w:cs="宋体"/>
                <w:sz w:val="22"/>
                <w:szCs w:val="22"/>
                <w:highlight w:val="none"/>
              </w:rPr>
              <w:t>。</w:t>
            </w:r>
          </w:p>
        </w:tc>
      </w:tr>
      <w:tr w14:paraId="23E3C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167" w:type="dxa"/>
            <w:tcBorders>
              <w:top w:val="single" w:color="auto" w:sz="4" w:space="0"/>
              <w:left w:val="single" w:color="auto" w:sz="4" w:space="0"/>
              <w:bottom w:val="single" w:color="auto" w:sz="4" w:space="0"/>
              <w:right w:val="single" w:color="auto" w:sz="4" w:space="0"/>
            </w:tcBorders>
            <w:vAlign w:val="center"/>
          </w:tcPr>
          <w:p w14:paraId="5FA8D705">
            <w:pPr>
              <w:pStyle w:val="60"/>
              <w:widowControl/>
              <w:adjustRightInd/>
              <w:snapToGrid w:val="0"/>
              <w:spacing w:line="420" w:lineRule="exact"/>
              <w:ind w:firstLine="0"/>
              <w:jc w:val="center"/>
              <w:textAlignment w:val="baseline"/>
              <w:rPr>
                <w:rFonts w:hint="eastAsia" w:ascii="宋体" w:hAnsi="宋体" w:cs="宋体"/>
                <w:b/>
                <w:bCs/>
                <w:sz w:val="22"/>
                <w:szCs w:val="22"/>
              </w:rPr>
            </w:pPr>
            <w:r>
              <w:rPr>
                <w:rFonts w:hint="eastAsia" w:ascii="宋体" w:hAnsi="宋体" w:cs="宋体"/>
                <w:b/>
                <w:bCs/>
                <w:sz w:val="22"/>
                <w:szCs w:val="22"/>
              </w:rPr>
              <w:t>合同价款</w:t>
            </w:r>
          </w:p>
        </w:tc>
        <w:tc>
          <w:tcPr>
            <w:tcW w:w="8584" w:type="dxa"/>
            <w:tcBorders>
              <w:top w:val="single" w:color="auto" w:sz="4" w:space="0"/>
              <w:left w:val="single" w:color="auto" w:sz="4" w:space="0"/>
              <w:bottom w:val="single" w:color="auto" w:sz="4" w:space="0"/>
              <w:right w:val="single" w:color="auto" w:sz="4" w:space="0"/>
            </w:tcBorders>
            <w:vAlign w:val="center"/>
          </w:tcPr>
          <w:p w14:paraId="6B4DD4A6">
            <w:pPr>
              <w:pStyle w:val="60"/>
              <w:widowControl/>
              <w:adjustRightInd/>
              <w:snapToGrid w:val="0"/>
              <w:spacing w:line="420" w:lineRule="exact"/>
              <w:ind w:firstLine="0"/>
              <w:textAlignment w:val="baseline"/>
              <w:rPr>
                <w:rStyle w:val="40"/>
                <w:rFonts w:hint="eastAsia" w:ascii="宋体" w:hAnsi="宋体" w:cs="宋体"/>
                <w:sz w:val="22"/>
                <w:szCs w:val="22"/>
              </w:rPr>
            </w:pPr>
            <w:r>
              <w:rPr>
                <w:rStyle w:val="40"/>
                <w:rFonts w:hint="eastAsia" w:ascii="宋体" w:hAnsi="宋体" w:cs="宋体"/>
                <w:sz w:val="22"/>
                <w:szCs w:val="22"/>
              </w:rPr>
              <w:t>固定总价合同，以中标价为基准。政策性、材料价、残值等变化均不允许调整。</w:t>
            </w:r>
          </w:p>
        </w:tc>
      </w:tr>
      <w:tr w14:paraId="24020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167" w:type="dxa"/>
            <w:tcBorders>
              <w:top w:val="single" w:color="auto" w:sz="4" w:space="0"/>
              <w:left w:val="single" w:color="auto" w:sz="4" w:space="0"/>
              <w:bottom w:val="single" w:color="auto" w:sz="4" w:space="0"/>
              <w:right w:val="single" w:color="auto" w:sz="4" w:space="0"/>
            </w:tcBorders>
            <w:vAlign w:val="center"/>
          </w:tcPr>
          <w:p w14:paraId="75020C2A">
            <w:pPr>
              <w:pStyle w:val="60"/>
              <w:widowControl/>
              <w:adjustRightInd/>
              <w:snapToGrid w:val="0"/>
              <w:spacing w:line="420" w:lineRule="exact"/>
              <w:ind w:firstLine="0"/>
              <w:jc w:val="center"/>
              <w:textAlignment w:val="baseline"/>
              <w:rPr>
                <w:rFonts w:hint="eastAsia" w:ascii="宋体" w:hAnsi="宋体" w:cs="宋体"/>
                <w:b/>
                <w:bCs/>
                <w:sz w:val="22"/>
                <w:szCs w:val="22"/>
              </w:rPr>
            </w:pPr>
            <w:r>
              <w:rPr>
                <w:rFonts w:hint="eastAsia" w:ascii="宋体" w:hAnsi="宋体" w:cs="宋体"/>
                <w:b/>
                <w:bCs/>
                <w:sz w:val="22"/>
                <w:szCs w:val="22"/>
              </w:rPr>
              <w:t>投标文件有效期</w:t>
            </w:r>
          </w:p>
        </w:tc>
        <w:tc>
          <w:tcPr>
            <w:tcW w:w="8584" w:type="dxa"/>
            <w:tcBorders>
              <w:top w:val="single" w:color="auto" w:sz="4" w:space="0"/>
              <w:left w:val="single" w:color="auto" w:sz="4" w:space="0"/>
              <w:bottom w:val="single" w:color="auto" w:sz="4" w:space="0"/>
              <w:right w:val="single" w:color="auto" w:sz="4" w:space="0"/>
            </w:tcBorders>
            <w:vAlign w:val="center"/>
          </w:tcPr>
          <w:p w14:paraId="6A99A955">
            <w:pPr>
              <w:pStyle w:val="60"/>
              <w:widowControl/>
              <w:adjustRightInd/>
              <w:snapToGrid w:val="0"/>
              <w:spacing w:line="420" w:lineRule="exact"/>
              <w:ind w:firstLine="0"/>
              <w:textAlignment w:val="baseline"/>
              <w:rPr>
                <w:rStyle w:val="40"/>
                <w:rFonts w:hint="eastAsia" w:ascii="宋体" w:hAnsi="宋体" w:eastAsia="宋体" w:cs="宋体"/>
                <w:sz w:val="22"/>
                <w:szCs w:val="22"/>
                <w:lang w:eastAsia="zh-CN"/>
              </w:rPr>
            </w:pPr>
            <w:r>
              <w:rPr>
                <w:rStyle w:val="40"/>
                <w:rFonts w:hint="eastAsia" w:ascii="宋体" w:hAnsi="宋体" w:cs="宋体"/>
                <w:sz w:val="22"/>
                <w:szCs w:val="22"/>
              </w:rPr>
              <w:t>投标文件有效期为</w:t>
            </w:r>
            <w:r>
              <w:rPr>
                <w:rStyle w:val="40"/>
                <w:rFonts w:hint="eastAsia" w:ascii="宋体" w:hAnsi="宋体" w:cs="宋体"/>
                <w:sz w:val="22"/>
                <w:szCs w:val="22"/>
                <w:lang w:val="en-GB"/>
              </w:rPr>
              <w:t>投标截止日起90天</w:t>
            </w:r>
            <w:r>
              <w:rPr>
                <w:rStyle w:val="40"/>
                <w:rFonts w:hint="eastAsia" w:ascii="宋体" w:hAnsi="宋体" w:cs="宋体"/>
                <w:sz w:val="22"/>
                <w:szCs w:val="22"/>
                <w:lang w:val="en-GB" w:eastAsia="zh-CN"/>
              </w:rPr>
              <w:t>。</w:t>
            </w:r>
          </w:p>
        </w:tc>
      </w:tr>
      <w:tr w14:paraId="3ECA0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1167" w:type="dxa"/>
            <w:tcBorders>
              <w:top w:val="single" w:color="auto" w:sz="4" w:space="0"/>
              <w:left w:val="single" w:color="auto" w:sz="4" w:space="0"/>
              <w:bottom w:val="single" w:color="auto" w:sz="4" w:space="0"/>
              <w:right w:val="single" w:color="auto" w:sz="4" w:space="0"/>
            </w:tcBorders>
            <w:vAlign w:val="center"/>
          </w:tcPr>
          <w:p w14:paraId="7D057DC9">
            <w:pPr>
              <w:pStyle w:val="60"/>
              <w:widowControl/>
              <w:adjustRightInd/>
              <w:snapToGrid w:val="0"/>
              <w:spacing w:line="420" w:lineRule="exact"/>
              <w:ind w:firstLine="0"/>
              <w:jc w:val="center"/>
              <w:textAlignment w:val="baseline"/>
              <w:rPr>
                <w:rFonts w:hint="eastAsia" w:ascii="宋体" w:hAnsi="宋体" w:cs="宋体"/>
                <w:b/>
                <w:bCs/>
                <w:sz w:val="22"/>
                <w:szCs w:val="22"/>
                <w:highlight w:val="none"/>
              </w:rPr>
            </w:pPr>
            <w:r>
              <w:rPr>
                <w:rFonts w:hint="eastAsia" w:ascii="宋体" w:hAnsi="宋体" w:cs="宋体"/>
                <w:b/>
                <w:bCs/>
                <w:sz w:val="22"/>
                <w:szCs w:val="22"/>
                <w:highlight w:val="none"/>
              </w:rPr>
              <w:t>付款方式</w:t>
            </w:r>
          </w:p>
        </w:tc>
        <w:tc>
          <w:tcPr>
            <w:tcW w:w="8584" w:type="dxa"/>
            <w:tcBorders>
              <w:top w:val="single" w:color="auto" w:sz="4" w:space="0"/>
              <w:left w:val="single" w:color="auto" w:sz="4" w:space="0"/>
              <w:bottom w:val="single" w:color="auto" w:sz="4" w:space="0"/>
              <w:right w:val="single" w:color="auto" w:sz="4" w:space="0"/>
            </w:tcBorders>
            <w:vAlign w:val="center"/>
          </w:tcPr>
          <w:p w14:paraId="56B785F9">
            <w:pPr>
              <w:adjustRightInd/>
              <w:spacing w:line="400" w:lineRule="exact"/>
              <w:rPr>
                <w:highlight w:val="none"/>
              </w:rPr>
            </w:pPr>
            <w:r>
              <w:rPr>
                <w:rFonts w:hint="eastAsia"/>
                <w:highlight w:val="none"/>
              </w:rPr>
              <w:t>项目款采取分期分段支付的办法。</w:t>
            </w:r>
          </w:p>
          <w:p w14:paraId="599B8855">
            <w:pPr>
              <w:adjustRightInd/>
              <w:spacing w:line="400" w:lineRule="exact"/>
              <w:rPr>
                <w:rStyle w:val="40"/>
                <w:rFonts w:hint="eastAsia" w:ascii="宋体" w:hAnsi="宋体" w:cs="宋体"/>
                <w:sz w:val="22"/>
                <w:szCs w:val="22"/>
                <w:highlight w:val="none"/>
              </w:rPr>
            </w:pPr>
            <w:r>
              <w:rPr>
                <w:rFonts w:hint="eastAsia"/>
                <w:highlight w:val="none"/>
              </w:rPr>
              <w:t>（1）合同签订后支付合同总价的20%作为首付款；（2）完成建设区林木清理后，支付合同总价的20%；（3）完成所有乔木清理后，支付合同总价的20%；（4）蓄水验收通过后，</w:t>
            </w:r>
            <w:r>
              <w:rPr>
                <w:rFonts w:hint="eastAsia"/>
                <w:b/>
                <w:bCs/>
                <w:highlight w:val="none"/>
              </w:rPr>
              <w:t>支付至合同价的100%。</w:t>
            </w:r>
          </w:p>
        </w:tc>
      </w:tr>
      <w:tr w14:paraId="73ABB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1167" w:type="dxa"/>
            <w:tcBorders>
              <w:top w:val="single" w:color="auto" w:sz="4" w:space="0"/>
              <w:left w:val="single" w:color="auto" w:sz="4" w:space="0"/>
              <w:bottom w:val="single" w:color="auto" w:sz="4" w:space="0"/>
              <w:right w:val="single" w:color="auto" w:sz="4" w:space="0"/>
            </w:tcBorders>
            <w:vAlign w:val="center"/>
          </w:tcPr>
          <w:p w14:paraId="50026429">
            <w:pPr>
              <w:pStyle w:val="60"/>
              <w:widowControl/>
              <w:adjustRightInd/>
              <w:snapToGrid w:val="0"/>
              <w:spacing w:line="420" w:lineRule="exact"/>
              <w:ind w:firstLine="0"/>
              <w:jc w:val="center"/>
              <w:textAlignment w:val="baseline"/>
              <w:rPr>
                <w:rFonts w:hint="eastAsia" w:ascii="宋体" w:hAnsi="宋体" w:cs="宋体"/>
                <w:b/>
                <w:bCs/>
                <w:sz w:val="22"/>
                <w:szCs w:val="22"/>
              </w:rPr>
            </w:pPr>
            <w:r>
              <w:rPr>
                <w:rFonts w:hint="eastAsia" w:ascii="宋体" w:hAnsi="宋体" w:cs="宋体"/>
                <w:b/>
                <w:bCs/>
                <w:sz w:val="22"/>
                <w:szCs w:val="22"/>
              </w:rPr>
              <w:t>履约保证金</w:t>
            </w:r>
          </w:p>
        </w:tc>
        <w:tc>
          <w:tcPr>
            <w:tcW w:w="8584" w:type="dxa"/>
            <w:tcBorders>
              <w:top w:val="single" w:color="auto" w:sz="4" w:space="0"/>
              <w:left w:val="single" w:color="auto" w:sz="4" w:space="0"/>
              <w:bottom w:val="single" w:color="auto" w:sz="4" w:space="0"/>
              <w:right w:val="single" w:color="auto" w:sz="4" w:space="0"/>
            </w:tcBorders>
            <w:vAlign w:val="center"/>
          </w:tcPr>
          <w:p w14:paraId="06C94D6B">
            <w:pPr>
              <w:pStyle w:val="60"/>
              <w:widowControl/>
              <w:adjustRightInd/>
              <w:snapToGrid w:val="0"/>
              <w:spacing w:line="420" w:lineRule="exact"/>
              <w:ind w:firstLine="0"/>
              <w:textAlignment w:val="baseline"/>
              <w:rPr>
                <w:rStyle w:val="40"/>
                <w:rFonts w:hint="eastAsia" w:ascii="宋体" w:hAnsi="宋体" w:cs="宋体"/>
                <w:sz w:val="22"/>
                <w:szCs w:val="22"/>
              </w:rPr>
            </w:pPr>
            <w:r>
              <w:rPr>
                <w:rStyle w:val="40"/>
                <w:rFonts w:hint="eastAsia" w:ascii="宋体" w:hAnsi="宋体" w:cs="宋体"/>
                <w:sz w:val="22"/>
                <w:szCs w:val="22"/>
              </w:rPr>
              <w:t>中标人须向采购人缴纳合同价的1%作为履约保证金，林木清理完成并验收合格后15天内无息退还。（履约保证金可以用转帐、支票、汇票、保函（银行/保险）等非现金形式缴纳）</w:t>
            </w:r>
          </w:p>
        </w:tc>
      </w:tr>
      <w:tr w14:paraId="29E48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1167" w:type="dxa"/>
            <w:tcBorders>
              <w:top w:val="single" w:color="auto" w:sz="4" w:space="0"/>
              <w:left w:val="single" w:color="auto" w:sz="4" w:space="0"/>
              <w:bottom w:val="single" w:color="auto" w:sz="4" w:space="0"/>
              <w:right w:val="single" w:color="auto" w:sz="4" w:space="0"/>
            </w:tcBorders>
            <w:vAlign w:val="center"/>
          </w:tcPr>
          <w:p w14:paraId="1CB7F040">
            <w:pPr>
              <w:pStyle w:val="60"/>
              <w:widowControl/>
              <w:adjustRightInd/>
              <w:snapToGrid w:val="0"/>
              <w:spacing w:line="420" w:lineRule="exact"/>
              <w:ind w:firstLine="0"/>
              <w:jc w:val="center"/>
              <w:textAlignment w:val="baseline"/>
              <w:rPr>
                <w:rFonts w:hint="eastAsia" w:ascii="宋体" w:hAnsi="宋体" w:cs="宋体"/>
                <w:sz w:val="22"/>
                <w:szCs w:val="22"/>
                <w:highlight w:val="none"/>
              </w:rPr>
            </w:pPr>
            <w:r>
              <w:rPr>
                <w:rFonts w:hint="eastAsia" w:ascii="宋体" w:hAnsi="宋体" w:cs="宋体"/>
                <w:b/>
                <w:bCs/>
                <w:sz w:val="22"/>
                <w:szCs w:val="22"/>
                <w:highlight w:val="none"/>
              </w:rPr>
              <w:t>投标报价</w:t>
            </w:r>
          </w:p>
        </w:tc>
        <w:tc>
          <w:tcPr>
            <w:tcW w:w="8584" w:type="dxa"/>
            <w:tcBorders>
              <w:top w:val="single" w:color="auto" w:sz="4" w:space="0"/>
              <w:left w:val="single" w:color="auto" w:sz="4" w:space="0"/>
              <w:bottom w:val="single" w:color="auto" w:sz="4" w:space="0"/>
              <w:right w:val="single" w:color="auto" w:sz="4" w:space="0"/>
            </w:tcBorders>
            <w:vAlign w:val="center"/>
          </w:tcPr>
          <w:p w14:paraId="57887B06">
            <w:pPr>
              <w:pStyle w:val="60"/>
              <w:widowControl/>
              <w:adjustRightInd/>
              <w:snapToGrid w:val="0"/>
              <w:spacing w:line="420" w:lineRule="exact"/>
              <w:ind w:firstLine="0"/>
              <w:textAlignment w:val="baseline"/>
              <w:rPr>
                <w:rFonts w:hint="eastAsia" w:ascii="宋体" w:hAnsi="宋体" w:cs="宋体"/>
                <w:sz w:val="22"/>
                <w:szCs w:val="22"/>
                <w:highlight w:val="none"/>
              </w:rPr>
            </w:pPr>
            <w:r>
              <w:rPr>
                <w:rFonts w:hint="eastAsia" w:ascii="宋体" w:hAnsi="宋体" w:cs="宋体"/>
                <w:sz w:val="22"/>
                <w:szCs w:val="22"/>
                <w:highlight w:val="none"/>
                <w:lang w:bidi="ar"/>
              </w:rPr>
              <w:t>投标人的投标报价为含税总价，投标报价是履行合同的最终价格。采购范围内相应服务的全部内容，包括完成嵊州市三溪水库工程林木清理项目（详见本招标文件第三章内容）和合同条款约定的一切费用。投标人报价应包括完成该项目所涉及的一切人员工资、机械、劳保福利、保险、设备、高温补贴、管理费、利润、税金、暂列金额等，投标人的投标报价为整个采购项目的总报价，如有漏项，视同已包含在其总项目中，合同总价不做调整。</w:t>
            </w:r>
          </w:p>
        </w:tc>
      </w:tr>
    </w:tbl>
    <w:p w14:paraId="7C912328">
      <w:pPr>
        <w:rPr>
          <w:rFonts w:hint="eastAsia" w:ascii="宋体" w:hAnsi="宋体" w:cs="宋体"/>
          <w:b/>
          <w:bCs/>
          <w:sz w:val="22"/>
          <w:szCs w:val="22"/>
        </w:rPr>
      </w:pPr>
    </w:p>
    <w:p w14:paraId="40230C8D">
      <w:pPr>
        <w:spacing w:line="520" w:lineRule="exact"/>
        <w:rPr>
          <w:rFonts w:hint="eastAsia" w:ascii="宋体" w:hAnsi="宋体" w:cs="宋体"/>
          <w:b/>
          <w:bCs/>
          <w:sz w:val="22"/>
          <w:szCs w:val="22"/>
        </w:rPr>
      </w:pPr>
      <w:r>
        <w:rPr>
          <w:rFonts w:hint="eastAsia" w:ascii="宋体" w:hAnsi="宋体" w:cs="宋体"/>
          <w:b/>
          <w:bCs/>
          <w:sz w:val="22"/>
          <w:szCs w:val="22"/>
        </w:rPr>
        <w:t xml:space="preserve">   </w:t>
      </w:r>
      <w:r>
        <w:rPr>
          <w:rFonts w:hint="eastAsia"/>
          <w:b/>
          <w:bCs/>
          <w:sz w:val="24"/>
        </w:rPr>
        <w:t>七、</w:t>
      </w:r>
      <w:r>
        <w:rPr>
          <w:rFonts w:hint="eastAsia" w:ascii="宋体" w:hAnsi="宋体" w:cs="宋体"/>
          <w:b/>
          <w:bCs/>
          <w:sz w:val="22"/>
          <w:szCs w:val="22"/>
        </w:rPr>
        <w:t xml:space="preserve"> 残值</w:t>
      </w:r>
    </w:p>
    <w:p w14:paraId="10820ADF">
      <w:pPr>
        <w:spacing w:line="520" w:lineRule="exact"/>
        <w:ind w:firstLine="720" w:firstLineChars="300"/>
        <w:rPr>
          <w:rFonts w:hint="eastAsia" w:ascii="宋体" w:hAnsi="宋体" w:cs="宋体"/>
          <w:sz w:val="24"/>
        </w:rPr>
      </w:pPr>
      <w:r>
        <w:rPr>
          <w:rFonts w:hint="eastAsia" w:ascii="宋体" w:hAnsi="宋体" w:cs="宋体"/>
          <w:sz w:val="24"/>
        </w:rPr>
        <w:t>本项目残值为固定残值，残值评估价为677840元（详见评估报告，仅供参考），具体由投标人自行勘查现场及评估，在投标人中标获得处置权后由中标人自行处置(其中松木处置要参照疫木管理规定，按照林业主管部门的要求统一运到市林业局指点加工点处理），一切处置费用由投标人自行承担。本项目预算价已扣除固定残值</w:t>
      </w:r>
      <w:r>
        <w:rPr>
          <w:rFonts w:hint="eastAsia"/>
          <w:sz w:val="24"/>
        </w:rPr>
        <w:t>。</w:t>
      </w:r>
    </w:p>
    <w:p w14:paraId="66DB36D3">
      <w:pPr>
        <w:autoSpaceDE w:val="0"/>
        <w:autoSpaceDN w:val="0"/>
        <w:adjustRightInd/>
        <w:snapToGrid w:val="0"/>
        <w:spacing w:line="520" w:lineRule="exact"/>
        <w:ind w:firstLine="482" w:firstLineChars="200"/>
        <w:jc w:val="left"/>
        <w:textAlignment w:val="bottom"/>
        <w:rPr>
          <w:b/>
          <w:bCs/>
          <w:sz w:val="24"/>
        </w:rPr>
      </w:pPr>
      <w:r>
        <w:rPr>
          <w:rFonts w:hint="eastAsia"/>
          <w:b/>
          <w:bCs/>
          <w:sz w:val="24"/>
        </w:rPr>
        <w:t>八、验收</w:t>
      </w:r>
      <w:bookmarkEnd w:id="66"/>
      <w:bookmarkEnd w:id="67"/>
    </w:p>
    <w:p w14:paraId="02D32508">
      <w:pPr>
        <w:autoSpaceDE w:val="0"/>
        <w:autoSpaceDN w:val="0"/>
        <w:adjustRightInd/>
        <w:snapToGrid w:val="0"/>
        <w:spacing w:line="520" w:lineRule="exact"/>
        <w:ind w:firstLine="480" w:firstLineChars="200"/>
        <w:jc w:val="left"/>
        <w:textAlignment w:val="bottom"/>
        <w:rPr>
          <w:rFonts w:hint="eastAsia" w:ascii="宋体" w:hAnsi="宋体" w:cs="宋体"/>
          <w:sz w:val="24"/>
        </w:rPr>
      </w:pPr>
      <w:r>
        <w:rPr>
          <w:rFonts w:hint="eastAsia" w:ascii="宋体" w:hAnsi="宋体" w:cs="宋体"/>
          <w:sz w:val="24"/>
        </w:rPr>
        <w:t>1、验收程序</w:t>
      </w:r>
    </w:p>
    <w:p w14:paraId="7940585A">
      <w:pPr>
        <w:autoSpaceDE w:val="0"/>
        <w:autoSpaceDN w:val="0"/>
        <w:adjustRightInd/>
        <w:snapToGrid w:val="0"/>
        <w:spacing w:line="520" w:lineRule="exact"/>
        <w:ind w:firstLine="480" w:firstLineChars="200"/>
        <w:jc w:val="left"/>
        <w:textAlignment w:val="bottom"/>
        <w:rPr>
          <w:rFonts w:hint="eastAsia" w:ascii="宋体" w:hAnsi="宋体" w:cs="宋体"/>
          <w:sz w:val="24"/>
        </w:rPr>
      </w:pPr>
      <w:r>
        <w:rPr>
          <w:rFonts w:hint="eastAsia" w:ascii="宋体" w:hAnsi="宋体" w:cs="宋体"/>
          <w:sz w:val="24"/>
        </w:rPr>
        <w:t>组织相关部门、专家及设计单位组成林木清理验收委员会，通过现场查看、查阅资料、听取汇报等形式开展验收工作，编制验收报告，出具验收意见。</w:t>
      </w:r>
    </w:p>
    <w:p w14:paraId="348A7A98">
      <w:pPr>
        <w:autoSpaceDE w:val="0"/>
        <w:autoSpaceDN w:val="0"/>
        <w:adjustRightInd/>
        <w:snapToGrid w:val="0"/>
        <w:spacing w:line="520" w:lineRule="exact"/>
        <w:ind w:firstLine="480" w:firstLineChars="200"/>
        <w:jc w:val="left"/>
        <w:textAlignment w:val="bottom"/>
        <w:rPr>
          <w:rFonts w:hint="eastAsia" w:ascii="宋体" w:hAnsi="宋体" w:cs="宋体"/>
          <w:sz w:val="24"/>
        </w:rPr>
      </w:pPr>
      <w:r>
        <w:rPr>
          <w:rFonts w:hint="eastAsia" w:ascii="宋体" w:hAnsi="宋体" w:cs="宋体"/>
          <w:sz w:val="24"/>
        </w:rPr>
        <w:t>2、 验收方法</w:t>
      </w:r>
    </w:p>
    <w:p w14:paraId="3F8DFA67">
      <w:pPr>
        <w:autoSpaceDE w:val="0"/>
        <w:autoSpaceDN w:val="0"/>
        <w:adjustRightInd/>
        <w:snapToGrid w:val="0"/>
        <w:spacing w:line="520" w:lineRule="exact"/>
        <w:ind w:firstLine="480" w:firstLineChars="200"/>
        <w:jc w:val="left"/>
        <w:textAlignment w:val="bottom"/>
        <w:rPr>
          <w:rFonts w:hint="eastAsia" w:ascii="宋体" w:hAnsi="宋体" w:cs="宋体"/>
          <w:sz w:val="24"/>
        </w:rPr>
      </w:pPr>
      <w:r>
        <w:rPr>
          <w:rFonts w:hint="eastAsia" w:ascii="宋体" w:hAnsi="宋体" w:cs="宋体"/>
          <w:sz w:val="24"/>
        </w:rPr>
        <w:t>验收项目按清理对象分别进行检查。</w:t>
      </w:r>
    </w:p>
    <w:p w14:paraId="44CC0B72">
      <w:pPr>
        <w:autoSpaceDE w:val="0"/>
        <w:autoSpaceDN w:val="0"/>
        <w:adjustRightInd/>
        <w:snapToGrid w:val="0"/>
        <w:spacing w:line="520" w:lineRule="exact"/>
        <w:ind w:firstLine="480" w:firstLineChars="200"/>
        <w:jc w:val="left"/>
        <w:textAlignment w:val="bottom"/>
        <w:rPr>
          <w:rFonts w:hint="eastAsia" w:ascii="宋体" w:hAnsi="宋体" w:cs="宋体"/>
          <w:sz w:val="24"/>
        </w:rPr>
      </w:pPr>
      <w:r>
        <w:rPr>
          <w:rFonts w:hint="eastAsia" w:ascii="宋体" w:hAnsi="宋体" w:cs="宋体"/>
          <w:sz w:val="24"/>
        </w:rPr>
        <w:t>3、林木清理验收</w:t>
      </w:r>
    </w:p>
    <w:p w14:paraId="34A2CCFB">
      <w:pPr>
        <w:autoSpaceDE w:val="0"/>
        <w:autoSpaceDN w:val="0"/>
        <w:adjustRightInd/>
        <w:snapToGrid w:val="0"/>
        <w:spacing w:line="520" w:lineRule="exact"/>
        <w:ind w:firstLine="480" w:firstLineChars="200"/>
        <w:jc w:val="left"/>
        <w:textAlignment w:val="bottom"/>
        <w:rPr>
          <w:sz w:val="24"/>
        </w:rPr>
      </w:pPr>
      <w:r>
        <w:rPr>
          <w:rFonts w:hint="eastAsia" w:ascii="宋体" w:hAnsi="宋体" w:cs="宋体"/>
          <w:sz w:val="24"/>
        </w:rPr>
        <w:t>对林地进行抽样检查，检查林木是否全部砍伐完毕，并检查残留树桩的高度是否达</w:t>
      </w:r>
      <w:r>
        <w:rPr>
          <w:rFonts w:hint="eastAsia"/>
          <w:sz w:val="24"/>
        </w:rPr>
        <w:t>到技术要求。</w:t>
      </w:r>
    </w:p>
    <w:p w14:paraId="62DFFFEF">
      <w:pPr>
        <w:autoSpaceDE w:val="0"/>
        <w:autoSpaceDN w:val="0"/>
        <w:adjustRightInd/>
        <w:snapToGrid w:val="0"/>
        <w:spacing w:line="520" w:lineRule="exact"/>
        <w:ind w:firstLine="480" w:firstLineChars="200"/>
        <w:jc w:val="left"/>
        <w:textAlignment w:val="bottom"/>
        <w:rPr>
          <w:b/>
          <w:bCs/>
          <w:sz w:val="24"/>
          <w:highlight w:val="none"/>
        </w:rPr>
      </w:pPr>
      <w:r>
        <w:rPr>
          <w:rFonts w:hint="eastAsia" w:ascii="宋体" w:hAnsi="宋体" w:cs="宋体"/>
          <w:sz w:val="24"/>
          <w:highlight w:val="none"/>
        </w:rPr>
        <w:t>林木</w:t>
      </w:r>
      <w:r>
        <w:rPr>
          <w:rFonts w:ascii="宋体" w:hAnsi="宋体" w:cs="宋体"/>
          <w:sz w:val="24"/>
          <w:highlight w:val="none"/>
        </w:rPr>
        <w:t>清理</w:t>
      </w:r>
      <w:r>
        <w:rPr>
          <w:rFonts w:hint="eastAsia" w:ascii="宋体" w:hAnsi="宋体" w:cs="宋体"/>
          <w:sz w:val="24"/>
          <w:highlight w:val="none"/>
        </w:rPr>
        <w:t>后达到水库蓄水验收标准，确保在水库蓄水验收前通过验收。</w:t>
      </w:r>
      <w:r>
        <w:rPr>
          <w:rFonts w:hint="eastAsia"/>
          <w:sz w:val="24"/>
          <w:highlight w:val="none"/>
        </w:rPr>
        <w:t>对于未达到技术要求及标准的清理场地，应要求实施单位进行二次清理，费用不再另行计取。</w:t>
      </w:r>
    </w:p>
    <w:p w14:paraId="466A66C4">
      <w:pPr>
        <w:autoSpaceDE w:val="0"/>
        <w:autoSpaceDN w:val="0"/>
        <w:adjustRightInd/>
        <w:snapToGrid w:val="0"/>
        <w:spacing w:line="520" w:lineRule="exact"/>
        <w:ind w:firstLine="482" w:firstLineChars="200"/>
        <w:jc w:val="left"/>
        <w:textAlignment w:val="bottom"/>
        <w:rPr>
          <w:b/>
          <w:bCs/>
          <w:sz w:val="24"/>
          <w:highlight w:val="none"/>
        </w:rPr>
      </w:pPr>
      <w:bookmarkStart w:id="68" w:name="_Toc17908"/>
      <w:bookmarkStart w:id="69" w:name="_Toc54884101"/>
      <w:r>
        <w:rPr>
          <w:rFonts w:hint="eastAsia"/>
          <w:b/>
          <w:bCs/>
          <w:sz w:val="24"/>
          <w:highlight w:val="none"/>
        </w:rPr>
        <w:t>九、其他要求</w:t>
      </w:r>
      <w:bookmarkEnd w:id="68"/>
      <w:bookmarkEnd w:id="69"/>
    </w:p>
    <w:p w14:paraId="7AF5391A">
      <w:pPr>
        <w:autoSpaceDE w:val="0"/>
        <w:autoSpaceDN w:val="0"/>
        <w:adjustRightInd/>
        <w:snapToGrid w:val="0"/>
        <w:spacing w:line="520" w:lineRule="exact"/>
        <w:ind w:firstLine="480" w:firstLineChars="200"/>
        <w:jc w:val="left"/>
        <w:textAlignment w:val="bottom"/>
        <w:rPr>
          <w:rFonts w:hint="eastAsia" w:ascii="宋体" w:hAnsi="宋体" w:cs="宋体"/>
          <w:sz w:val="24"/>
        </w:rPr>
      </w:pPr>
      <w:r>
        <w:rPr>
          <w:rFonts w:hint="eastAsia" w:ascii="宋体" w:hAnsi="宋体" w:cs="宋体"/>
          <w:sz w:val="24"/>
          <w:highlight w:val="none"/>
        </w:rPr>
        <w:t>中标人不得将项目非法分包或转包给任何单位和个人。否则，采购单位有权即刻终止合同，并要求中标人赔偿相应损失。</w:t>
      </w:r>
    </w:p>
    <w:p w14:paraId="2C9C9AB9">
      <w:pPr>
        <w:autoSpaceDE w:val="0"/>
        <w:autoSpaceDN w:val="0"/>
        <w:adjustRightInd/>
        <w:snapToGrid w:val="0"/>
        <w:spacing w:line="360" w:lineRule="auto"/>
        <w:ind w:firstLine="482" w:firstLineChars="200"/>
        <w:jc w:val="left"/>
        <w:textAlignment w:val="bottom"/>
        <w:rPr>
          <w:b/>
          <w:bCs/>
          <w:sz w:val="24"/>
        </w:rPr>
      </w:pPr>
    </w:p>
    <w:p w14:paraId="0EE883DA">
      <w:pPr>
        <w:autoSpaceDE w:val="0"/>
        <w:autoSpaceDN w:val="0"/>
        <w:adjustRightInd/>
        <w:snapToGrid w:val="0"/>
        <w:spacing w:line="360" w:lineRule="auto"/>
        <w:ind w:firstLine="482" w:firstLineChars="200"/>
        <w:jc w:val="left"/>
        <w:textAlignment w:val="bottom"/>
        <w:rPr>
          <w:b/>
          <w:bCs/>
          <w:sz w:val="24"/>
        </w:rPr>
      </w:pPr>
      <w:r>
        <w:rPr>
          <w:rFonts w:hint="eastAsia"/>
          <w:b/>
          <w:bCs/>
          <w:sz w:val="24"/>
        </w:rPr>
        <w:t xml:space="preserve"> </w:t>
      </w:r>
    </w:p>
    <w:p w14:paraId="5BFA1735">
      <w:pPr>
        <w:autoSpaceDE w:val="0"/>
        <w:autoSpaceDN w:val="0"/>
        <w:adjustRightInd/>
        <w:snapToGrid w:val="0"/>
        <w:spacing w:line="360" w:lineRule="auto"/>
        <w:ind w:firstLine="482" w:firstLineChars="200"/>
        <w:jc w:val="left"/>
        <w:textAlignment w:val="bottom"/>
        <w:rPr>
          <w:b/>
          <w:bCs/>
          <w:sz w:val="24"/>
        </w:rPr>
      </w:pPr>
    </w:p>
    <w:p w14:paraId="5108F4FC">
      <w:pPr>
        <w:sectPr>
          <w:pgSz w:w="11906" w:h="16838"/>
          <w:pgMar w:top="1247" w:right="1179" w:bottom="1230" w:left="998" w:header="862" w:footer="1066" w:gutter="0"/>
          <w:cols w:space="0" w:num="1"/>
          <w:docGrid w:linePitch="312" w:charSpace="0"/>
        </w:sectPr>
      </w:pPr>
    </w:p>
    <w:bookmarkEnd w:id="63"/>
    <w:p w14:paraId="0D813C97">
      <w:pPr>
        <w:spacing w:line="360" w:lineRule="auto"/>
        <w:jc w:val="center"/>
        <w:outlineLvl w:val="0"/>
        <w:rPr>
          <w:rFonts w:hint="eastAsia" w:ascii="宋体" w:hAnsi="宋体" w:cs="宋体"/>
          <w:b/>
          <w:kern w:val="1"/>
          <w:sz w:val="24"/>
        </w:rPr>
      </w:pPr>
      <w:bookmarkStart w:id="70" w:name="_Toc1067"/>
      <w:bookmarkStart w:id="71" w:name="_Toc13216"/>
      <w:r>
        <w:rPr>
          <w:rFonts w:hint="eastAsia" w:ascii="宋体" w:hAnsi="宋体" w:cs="宋体"/>
          <w:b/>
          <w:kern w:val="1"/>
          <w:sz w:val="32"/>
          <w:szCs w:val="32"/>
        </w:rPr>
        <w:t>第四章 评标办法</w:t>
      </w:r>
      <w:bookmarkEnd w:id="70"/>
      <w:bookmarkEnd w:id="71"/>
    </w:p>
    <w:p w14:paraId="31FE1C36">
      <w:pPr>
        <w:spacing w:line="520" w:lineRule="exact"/>
        <w:jc w:val="left"/>
        <w:rPr>
          <w:rFonts w:hint="eastAsia" w:ascii="宋体" w:hAnsi="宋体" w:cs="宋体"/>
          <w:b/>
          <w:sz w:val="24"/>
        </w:rPr>
      </w:pPr>
      <w:bookmarkStart w:id="72" w:name="_Toc24743"/>
      <w:r>
        <w:rPr>
          <w:rFonts w:hint="eastAsia" w:ascii="宋体" w:hAnsi="宋体" w:cs="宋体"/>
          <w:b/>
          <w:sz w:val="24"/>
        </w:rPr>
        <w:t>一、评标办法及标准</w:t>
      </w:r>
    </w:p>
    <w:p w14:paraId="7C8D15A9">
      <w:pPr>
        <w:spacing w:line="520" w:lineRule="exact"/>
        <w:ind w:firstLine="482" w:firstLineChars="200"/>
        <w:jc w:val="left"/>
        <w:rPr>
          <w:rFonts w:hint="eastAsia" w:ascii="宋体" w:hAnsi="宋体" w:cs="宋体"/>
          <w:b/>
          <w:sz w:val="24"/>
        </w:rPr>
      </w:pPr>
      <w:r>
        <w:rPr>
          <w:rFonts w:hint="eastAsia" w:ascii="宋体" w:hAnsi="宋体" w:cs="宋体"/>
          <w:b/>
          <w:sz w:val="24"/>
        </w:rPr>
        <w:t>1、评标方法：</w:t>
      </w:r>
    </w:p>
    <w:p w14:paraId="4B84F0A0">
      <w:pPr>
        <w:spacing w:line="520" w:lineRule="exact"/>
        <w:ind w:firstLine="480" w:firstLineChars="200"/>
        <w:jc w:val="left"/>
        <w:rPr>
          <w:rFonts w:hint="eastAsia" w:ascii="宋体" w:hAnsi="宋体" w:cs="宋体"/>
          <w:sz w:val="24"/>
        </w:rPr>
      </w:pPr>
      <w:r>
        <w:rPr>
          <w:rFonts w:hint="eastAsia" w:ascii="宋体" w:hAnsi="宋体" w:cs="宋体"/>
          <w:sz w:val="24"/>
        </w:rPr>
        <w:t>本次评标采用综合评分法，评标结果按评审后得分由高到低顺序排列。得分相同的，按投标报价由低到高顺序排列。得分且投标报价相同的并列的，采用随机抽取的方式确定。</w:t>
      </w:r>
    </w:p>
    <w:p w14:paraId="46100A42">
      <w:pPr>
        <w:spacing w:line="520" w:lineRule="exact"/>
        <w:ind w:firstLine="482" w:firstLineChars="200"/>
        <w:jc w:val="left"/>
        <w:rPr>
          <w:rFonts w:hint="eastAsia" w:ascii="宋体" w:hAnsi="宋体" w:cs="宋体"/>
          <w:sz w:val="24"/>
        </w:rPr>
      </w:pPr>
      <w:r>
        <w:rPr>
          <w:rFonts w:hint="eastAsia" w:ascii="宋体" w:hAnsi="宋体" w:cs="宋体"/>
          <w:b/>
          <w:sz w:val="24"/>
        </w:rPr>
        <w:t>2.评分标准：</w:t>
      </w:r>
      <w:r>
        <w:rPr>
          <w:rFonts w:hint="eastAsia" w:ascii="宋体" w:hAnsi="宋体" w:cs="宋体"/>
          <w:sz w:val="24"/>
        </w:rPr>
        <w:t>共100分，其中资信技术分50分，价格分50分。评分依下述所列为评标评分依据，分值如下（计算分值时，按其算术平均值保留小数2位）。</w:t>
      </w:r>
    </w:p>
    <w:p w14:paraId="70666189">
      <w:pPr>
        <w:spacing w:line="520" w:lineRule="exact"/>
        <w:rPr>
          <w:rFonts w:hint="eastAsia" w:ascii="宋体" w:hAnsi="宋体" w:cs="宋体"/>
          <w:b/>
          <w:bCs/>
          <w:kern w:val="1"/>
          <w:sz w:val="24"/>
        </w:rPr>
      </w:pPr>
      <w:r>
        <w:rPr>
          <w:rFonts w:hint="eastAsia" w:ascii="宋体" w:hAnsi="宋体" w:cs="宋体"/>
          <w:b/>
          <w:bCs/>
          <w:kern w:val="1"/>
          <w:sz w:val="24"/>
        </w:rPr>
        <w:t>二、评分细则</w:t>
      </w:r>
      <w:bookmarkEnd w:id="72"/>
    </w:p>
    <w:p w14:paraId="22B8C3A0">
      <w:pPr>
        <w:spacing w:line="520" w:lineRule="exact"/>
        <w:ind w:firstLine="482" w:firstLineChars="200"/>
        <w:rPr>
          <w:rFonts w:hint="eastAsia" w:ascii="宋体" w:hAnsi="宋体" w:cs="宋体"/>
          <w:kern w:val="1"/>
          <w:sz w:val="24"/>
        </w:rPr>
      </w:pPr>
      <w:r>
        <w:rPr>
          <w:rFonts w:hint="eastAsia" w:ascii="宋体" w:hAnsi="宋体" w:cs="宋体"/>
          <w:b/>
          <w:bCs/>
          <w:kern w:val="1"/>
          <w:sz w:val="24"/>
        </w:rPr>
        <w:t>1、资信技术分（50分）</w:t>
      </w:r>
    </w:p>
    <w:tbl>
      <w:tblPr>
        <w:tblStyle w:val="26"/>
        <w:tblpPr w:leftFromText="180" w:rightFromText="180" w:vertAnchor="text" w:horzAnchor="page" w:tblpXSpec="center" w:tblpY="389"/>
        <w:tblOverlap w:val="never"/>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116"/>
        <w:gridCol w:w="6969"/>
        <w:gridCol w:w="705"/>
      </w:tblGrid>
      <w:tr w14:paraId="7407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14:paraId="6C899ED2">
            <w:pPr>
              <w:spacing w:line="440" w:lineRule="exact"/>
              <w:jc w:val="center"/>
              <w:rPr>
                <w:rFonts w:hint="eastAsia" w:ascii="宋体" w:hAnsi="宋体" w:cs="宋体"/>
                <w:sz w:val="22"/>
                <w:szCs w:val="22"/>
              </w:rPr>
            </w:pPr>
            <w:bookmarkStart w:id="73" w:name="_Toc1494"/>
            <w:bookmarkStart w:id="74" w:name="_Toc25523"/>
            <w:bookmarkStart w:id="75" w:name="_Toc8615"/>
            <w:bookmarkStart w:id="76" w:name="_Toc22053"/>
            <w:bookmarkStart w:id="77" w:name="_Toc5732"/>
            <w:bookmarkStart w:id="78" w:name="_Toc16967"/>
            <w:bookmarkStart w:id="79" w:name="_Toc5109"/>
            <w:bookmarkStart w:id="80" w:name="_Toc2190"/>
            <w:bookmarkStart w:id="81" w:name="_Toc15877"/>
            <w:bookmarkStart w:id="82" w:name="_Toc361685350"/>
            <w:bookmarkStart w:id="83" w:name="_Toc31350"/>
            <w:bookmarkStart w:id="84" w:name="_Toc3954"/>
            <w:bookmarkStart w:id="85" w:name="_Toc3938"/>
            <w:bookmarkStart w:id="86" w:name="_Toc2033"/>
            <w:r>
              <w:rPr>
                <w:rFonts w:hint="eastAsia" w:ascii="宋体" w:hAnsi="宋体" w:cs="宋体"/>
                <w:sz w:val="22"/>
                <w:szCs w:val="22"/>
              </w:rPr>
              <w:t>序号</w:t>
            </w:r>
          </w:p>
        </w:tc>
        <w:tc>
          <w:tcPr>
            <w:tcW w:w="1116" w:type="dxa"/>
            <w:tcBorders>
              <w:top w:val="single" w:color="auto" w:sz="4" w:space="0"/>
              <w:left w:val="single" w:color="auto" w:sz="4" w:space="0"/>
              <w:bottom w:val="single" w:color="auto" w:sz="4" w:space="0"/>
              <w:right w:val="single" w:color="auto" w:sz="4" w:space="0"/>
            </w:tcBorders>
            <w:vAlign w:val="center"/>
          </w:tcPr>
          <w:p w14:paraId="5CFCEF9D">
            <w:pPr>
              <w:spacing w:line="440" w:lineRule="exact"/>
              <w:jc w:val="center"/>
              <w:rPr>
                <w:rFonts w:hint="eastAsia" w:ascii="宋体" w:hAnsi="宋体" w:cs="宋体"/>
                <w:sz w:val="22"/>
                <w:szCs w:val="22"/>
              </w:rPr>
            </w:pPr>
            <w:r>
              <w:rPr>
                <w:rFonts w:hint="eastAsia" w:ascii="宋体" w:hAnsi="宋体" w:cs="宋体"/>
                <w:sz w:val="22"/>
                <w:szCs w:val="22"/>
              </w:rPr>
              <w:t>项　目</w:t>
            </w:r>
          </w:p>
        </w:tc>
        <w:tc>
          <w:tcPr>
            <w:tcW w:w="6969" w:type="dxa"/>
            <w:tcBorders>
              <w:top w:val="single" w:color="auto" w:sz="4" w:space="0"/>
              <w:left w:val="single" w:color="auto" w:sz="4" w:space="0"/>
              <w:bottom w:val="single" w:color="auto" w:sz="4" w:space="0"/>
              <w:right w:val="single" w:color="auto" w:sz="4" w:space="0"/>
            </w:tcBorders>
            <w:vAlign w:val="center"/>
          </w:tcPr>
          <w:p w14:paraId="74A9F243">
            <w:pPr>
              <w:spacing w:line="440" w:lineRule="exact"/>
              <w:jc w:val="center"/>
              <w:rPr>
                <w:rFonts w:hint="eastAsia" w:ascii="宋体" w:hAnsi="宋体" w:cs="宋体"/>
                <w:sz w:val="22"/>
                <w:szCs w:val="22"/>
              </w:rPr>
            </w:pPr>
            <w:r>
              <w:rPr>
                <w:rFonts w:hint="eastAsia" w:ascii="宋体" w:hAnsi="宋体" w:cs="宋体"/>
                <w:sz w:val="22"/>
                <w:szCs w:val="22"/>
              </w:rPr>
              <w:t>评分内容和标准</w:t>
            </w:r>
          </w:p>
        </w:tc>
        <w:tc>
          <w:tcPr>
            <w:tcW w:w="705" w:type="dxa"/>
            <w:tcBorders>
              <w:top w:val="single" w:color="auto" w:sz="4" w:space="0"/>
              <w:left w:val="single" w:color="auto" w:sz="4" w:space="0"/>
              <w:bottom w:val="single" w:color="auto" w:sz="4" w:space="0"/>
              <w:right w:val="single" w:color="auto" w:sz="4" w:space="0"/>
            </w:tcBorders>
            <w:vAlign w:val="center"/>
          </w:tcPr>
          <w:p w14:paraId="21A4C2A1">
            <w:pPr>
              <w:spacing w:line="440" w:lineRule="exact"/>
              <w:jc w:val="center"/>
              <w:rPr>
                <w:rFonts w:hint="eastAsia" w:ascii="宋体" w:hAnsi="宋体" w:cs="宋体"/>
                <w:sz w:val="22"/>
                <w:szCs w:val="22"/>
              </w:rPr>
            </w:pPr>
            <w:r>
              <w:rPr>
                <w:rFonts w:hint="eastAsia" w:ascii="宋体" w:hAnsi="宋体" w:cs="宋体"/>
                <w:sz w:val="22"/>
                <w:szCs w:val="22"/>
              </w:rPr>
              <w:t>分值</w:t>
            </w:r>
          </w:p>
        </w:tc>
      </w:tr>
      <w:tr w14:paraId="14DC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14:paraId="71D9A5ED">
            <w:pPr>
              <w:spacing w:line="440" w:lineRule="exact"/>
              <w:jc w:val="center"/>
              <w:rPr>
                <w:rFonts w:hint="eastAsia" w:ascii="宋体" w:hAnsi="宋体" w:cs="宋体"/>
                <w:sz w:val="22"/>
                <w:szCs w:val="22"/>
              </w:rPr>
            </w:pPr>
            <w:r>
              <w:rPr>
                <w:rFonts w:hint="eastAsia" w:ascii="宋体" w:hAnsi="宋体" w:cs="宋体"/>
                <w:sz w:val="22"/>
                <w:szCs w:val="22"/>
              </w:rPr>
              <w:t>1</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14:paraId="301CD5D2">
            <w:pPr>
              <w:jc w:val="center"/>
              <w:rPr>
                <w:rFonts w:hint="eastAsia" w:ascii="宋体" w:hAnsi="宋体" w:cs="宋体"/>
                <w:sz w:val="22"/>
                <w:szCs w:val="22"/>
              </w:rPr>
            </w:pPr>
            <w:r>
              <w:rPr>
                <w:rFonts w:hint="eastAsia" w:ascii="宋体" w:hAnsi="宋体" w:cs="宋体"/>
                <w:sz w:val="22"/>
                <w:szCs w:val="22"/>
              </w:rPr>
              <w:t>项目整体需求理解</w:t>
            </w:r>
          </w:p>
        </w:tc>
        <w:tc>
          <w:tcPr>
            <w:tcW w:w="6969" w:type="dxa"/>
            <w:tcBorders>
              <w:top w:val="single" w:color="auto" w:sz="4" w:space="0"/>
              <w:left w:val="single" w:color="auto" w:sz="4" w:space="0"/>
              <w:bottom w:val="single" w:color="auto" w:sz="4" w:space="0"/>
              <w:right w:val="single" w:color="auto" w:sz="4" w:space="0"/>
            </w:tcBorders>
            <w:shd w:val="clear" w:color="auto" w:fill="auto"/>
            <w:vAlign w:val="center"/>
          </w:tcPr>
          <w:p w14:paraId="36B81E29">
            <w:pPr>
              <w:spacing w:line="440" w:lineRule="exact"/>
              <w:ind w:firstLine="440" w:firstLineChars="200"/>
              <w:jc w:val="left"/>
              <w:rPr>
                <w:rFonts w:hint="eastAsia" w:ascii="宋体" w:hAnsi="宋体" w:cs="宋体"/>
                <w:sz w:val="22"/>
                <w:szCs w:val="22"/>
              </w:rPr>
            </w:pPr>
            <w:r>
              <w:rPr>
                <w:rFonts w:hint="eastAsia" w:ascii="宋体" w:hAnsi="宋体" w:cs="宋体"/>
                <w:sz w:val="22"/>
                <w:szCs w:val="22"/>
              </w:rPr>
              <w:t>根据采购需求对本项目概况、清理范围、清理内容、期限、标准、验收充分理解和分析。由评标委员会根据提供的内容进行打分。“优”的得7.0-5.0（不含）分，“良”的得5.0（含）-2.0（不含）分，“一般”的得2.0（含）-0分。</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7CEE861">
            <w:pPr>
              <w:adjustRightInd/>
              <w:spacing w:line="360" w:lineRule="auto"/>
              <w:jc w:val="center"/>
              <w:rPr>
                <w:rFonts w:hint="eastAsia" w:ascii="宋体" w:hAnsi="宋体" w:cs="宋体"/>
                <w:sz w:val="22"/>
                <w:szCs w:val="22"/>
              </w:rPr>
            </w:pPr>
            <w:r>
              <w:rPr>
                <w:rFonts w:hint="eastAsia" w:ascii="宋体" w:hAnsi="宋体" w:cs="宋体"/>
                <w:sz w:val="22"/>
                <w:szCs w:val="22"/>
              </w:rPr>
              <w:t>7分</w:t>
            </w:r>
          </w:p>
        </w:tc>
      </w:tr>
      <w:tr w14:paraId="654F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14:paraId="16085BAE">
            <w:pPr>
              <w:spacing w:line="440" w:lineRule="exact"/>
              <w:jc w:val="center"/>
              <w:rPr>
                <w:rFonts w:hint="eastAsia" w:ascii="宋体" w:hAnsi="宋体" w:cs="宋体"/>
                <w:sz w:val="22"/>
                <w:szCs w:val="22"/>
              </w:rPr>
            </w:pPr>
            <w:r>
              <w:rPr>
                <w:rFonts w:hint="eastAsia" w:ascii="宋体" w:hAnsi="宋体" w:cs="宋体"/>
                <w:sz w:val="22"/>
                <w:szCs w:val="22"/>
              </w:rPr>
              <w:t>2</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14:paraId="0CC283C3">
            <w:pPr>
              <w:jc w:val="center"/>
              <w:rPr>
                <w:rFonts w:hint="eastAsia" w:ascii="宋体" w:hAnsi="宋体" w:cs="宋体"/>
                <w:sz w:val="22"/>
                <w:szCs w:val="22"/>
              </w:rPr>
            </w:pPr>
            <w:r>
              <w:rPr>
                <w:rFonts w:hint="eastAsia" w:ascii="宋体" w:hAnsi="宋体" w:cs="宋体"/>
                <w:sz w:val="22"/>
                <w:szCs w:val="22"/>
              </w:rPr>
              <w:t>机械、工具配置情况</w:t>
            </w:r>
          </w:p>
        </w:tc>
        <w:tc>
          <w:tcPr>
            <w:tcW w:w="6969" w:type="dxa"/>
            <w:tcBorders>
              <w:top w:val="single" w:color="auto" w:sz="4" w:space="0"/>
              <w:left w:val="single" w:color="auto" w:sz="4" w:space="0"/>
              <w:bottom w:val="single" w:color="auto" w:sz="4" w:space="0"/>
              <w:right w:val="single" w:color="auto" w:sz="4" w:space="0"/>
            </w:tcBorders>
            <w:shd w:val="clear" w:color="auto" w:fill="auto"/>
            <w:vAlign w:val="center"/>
          </w:tcPr>
          <w:p w14:paraId="606B7F52">
            <w:pPr>
              <w:spacing w:line="440" w:lineRule="exact"/>
              <w:ind w:firstLine="440" w:firstLineChars="200"/>
              <w:jc w:val="left"/>
              <w:rPr>
                <w:rFonts w:hint="eastAsia" w:ascii="宋体" w:hAnsi="宋体" w:cs="宋体"/>
                <w:sz w:val="22"/>
                <w:szCs w:val="22"/>
              </w:rPr>
            </w:pPr>
            <w:r>
              <w:rPr>
                <w:rFonts w:hint="eastAsia" w:ascii="宋体" w:hAnsi="宋体" w:cs="宋体"/>
                <w:sz w:val="22"/>
                <w:szCs w:val="22"/>
              </w:rPr>
              <w:t>针对本项目的机械、工具配置情况进行评价：由评标委员会根据提供的内容进行打分。“优”的得7.0-5.0（不含）分，“良”的得5.0（含）-2.0（不含）分，“一般”的得2.0（含）-0分。</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96EA683">
            <w:pPr>
              <w:adjustRightInd/>
              <w:spacing w:line="360" w:lineRule="auto"/>
              <w:jc w:val="center"/>
              <w:rPr>
                <w:rFonts w:hint="eastAsia" w:ascii="宋体" w:hAnsi="宋体" w:cs="宋体"/>
                <w:color w:val="FF0000"/>
                <w:sz w:val="22"/>
                <w:szCs w:val="22"/>
              </w:rPr>
            </w:pPr>
            <w:r>
              <w:rPr>
                <w:rFonts w:hint="eastAsia" w:ascii="宋体" w:hAnsi="宋体" w:cs="宋体"/>
                <w:sz w:val="22"/>
                <w:szCs w:val="22"/>
              </w:rPr>
              <w:t>7分</w:t>
            </w:r>
          </w:p>
        </w:tc>
      </w:tr>
      <w:tr w14:paraId="5058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14:paraId="0E8B7388">
            <w:pPr>
              <w:spacing w:line="440" w:lineRule="exact"/>
              <w:jc w:val="center"/>
              <w:rPr>
                <w:rFonts w:hint="eastAsia" w:ascii="宋体" w:hAnsi="宋体" w:cs="宋体"/>
                <w:sz w:val="22"/>
                <w:szCs w:val="22"/>
              </w:rPr>
            </w:pPr>
            <w:r>
              <w:rPr>
                <w:rFonts w:hint="eastAsia" w:ascii="宋体" w:hAnsi="宋体" w:cs="宋体"/>
                <w:sz w:val="22"/>
                <w:szCs w:val="22"/>
              </w:rPr>
              <w:t>3</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14:paraId="4C09ACE1">
            <w:pPr>
              <w:jc w:val="center"/>
              <w:rPr>
                <w:rFonts w:hint="eastAsia" w:ascii="宋体" w:hAnsi="宋体" w:cs="宋体"/>
                <w:sz w:val="22"/>
                <w:szCs w:val="22"/>
              </w:rPr>
            </w:pPr>
            <w:r>
              <w:rPr>
                <w:rFonts w:hint="eastAsia" w:ascii="宋体" w:hAnsi="宋体" w:cs="宋体"/>
                <w:sz w:val="22"/>
                <w:szCs w:val="22"/>
              </w:rPr>
              <w:t>项目实施方案</w:t>
            </w:r>
          </w:p>
        </w:tc>
        <w:tc>
          <w:tcPr>
            <w:tcW w:w="6969" w:type="dxa"/>
            <w:tcBorders>
              <w:top w:val="single" w:color="auto" w:sz="4" w:space="0"/>
              <w:left w:val="single" w:color="auto" w:sz="4" w:space="0"/>
              <w:bottom w:val="single" w:color="auto" w:sz="4" w:space="0"/>
              <w:right w:val="single" w:color="auto" w:sz="4" w:space="0"/>
            </w:tcBorders>
            <w:shd w:val="clear" w:color="auto" w:fill="auto"/>
            <w:vAlign w:val="center"/>
          </w:tcPr>
          <w:p w14:paraId="43882A31">
            <w:pPr>
              <w:spacing w:line="440" w:lineRule="exact"/>
              <w:ind w:firstLine="440" w:firstLineChars="200"/>
              <w:jc w:val="left"/>
              <w:rPr>
                <w:rFonts w:hint="eastAsia" w:ascii="宋体" w:hAnsi="宋体" w:cs="宋体"/>
                <w:sz w:val="22"/>
                <w:szCs w:val="22"/>
              </w:rPr>
            </w:pPr>
            <w:r>
              <w:rPr>
                <w:rFonts w:hint="eastAsia" w:ascii="宋体" w:hAnsi="宋体" w:cs="宋体"/>
                <w:sz w:val="22"/>
                <w:szCs w:val="22"/>
              </w:rPr>
              <w:t>针对本项目实施方案中的组织架构、关键技术、施工作业、劳动力计划、清理全面性等进行综合评价：由评标委员会根据提供的内容进行打分。“优”的得7.0-5.0（不含）分，“良”的得5.0（含）-2.0（不含）分，“一般”的得2.0（含）-0分。</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C203132">
            <w:pPr>
              <w:adjustRightInd/>
              <w:spacing w:line="360" w:lineRule="auto"/>
              <w:jc w:val="center"/>
              <w:rPr>
                <w:rFonts w:hint="eastAsia" w:ascii="宋体" w:hAnsi="宋体" w:cs="宋体"/>
                <w:sz w:val="22"/>
                <w:szCs w:val="22"/>
              </w:rPr>
            </w:pPr>
            <w:r>
              <w:rPr>
                <w:rFonts w:hint="eastAsia" w:ascii="宋体" w:hAnsi="宋体" w:cs="宋体"/>
                <w:sz w:val="22"/>
                <w:szCs w:val="22"/>
              </w:rPr>
              <w:t>7分</w:t>
            </w:r>
          </w:p>
        </w:tc>
      </w:tr>
      <w:tr w14:paraId="4680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14:paraId="32C11D38">
            <w:pPr>
              <w:spacing w:line="440" w:lineRule="exact"/>
              <w:jc w:val="center"/>
              <w:rPr>
                <w:rFonts w:hint="eastAsia" w:ascii="宋体" w:hAnsi="宋体" w:cs="宋体"/>
                <w:sz w:val="22"/>
                <w:szCs w:val="22"/>
              </w:rPr>
            </w:pPr>
            <w:r>
              <w:rPr>
                <w:rFonts w:hint="eastAsia" w:ascii="宋体" w:hAnsi="宋体" w:cs="宋体"/>
                <w:sz w:val="22"/>
                <w:szCs w:val="22"/>
              </w:rPr>
              <w:t>4</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14:paraId="66CACAF6">
            <w:pPr>
              <w:adjustRightInd/>
              <w:spacing w:line="420" w:lineRule="exact"/>
              <w:jc w:val="center"/>
              <w:rPr>
                <w:rFonts w:hint="eastAsia" w:ascii="宋体" w:hAnsi="宋体" w:cs="宋体"/>
                <w:color w:val="FF0000"/>
                <w:spacing w:val="-6"/>
                <w:sz w:val="22"/>
                <w:szCs w:val="22"/>
              </w:rPr>
            </w:pPr>
            <w:r>
              <w:rPr>
                <w:rFonts w:hint="eastAsia" w:ascii="宋体" w:hAnsi="宋体" w:cs="宋体"/>
                <w:sz w:val="22"/>
                <w:szCs w:val="22"/>
              </w:rPr>
              <w:t>实施进度与计划措施</w:t>
            </w:r>
          </w:p>
        </w:tc>
        <w:tc>
          <w:tcPr>
            <w:tcW w:w="6969" w:type="dxa"/>
            <w:tcBorders>
              <w:top w:val="single" w:color="auto" w:sz="4" w:space="0"/>
              <w:left w:val="single" w:color="auto" w:sz="4" w:space="0"/>
              <w:bottom w:val="single" w:color="auto" w:sz="4" w:space="0"/>
              <w:right w:val="single" w:color="auto" w:sz="4" w:space="0"/>
            </w:tcBorders>
            <w:shd w:val="clear" w:color="auto" w:fill="auto"/>
            <w:vAlign w:val="center"/>
          </w:tcPr>
          <w:p w14:paraId="767306C9">
            <w:pPr>
              <w:spacing w:line="440" w:lineRule="exact"/>
              <w:ind w:firstLine="440" w:firstLineChars="200"/>
              <w:jc w:val="left"/>
              <w:rPr>
                <w:rFonts w:hint="eastAsia" w:ascii="宋体" w:hAnsi="宋体" w:cs="宋体"/>
                <w:sz w:val="22"/>
                <w:szCs w:val="22"/>
              </w:rPr>
            </w:pPr>
            <w:r>
              <w:rPr>
                <w:rFonts w:hint="eastAsia" w:ascii="宋体" w:hAnsi="宋体" w:cs="宋体"/>
                <w:sz w:val="22"/>
                <w:szCs w:val="22"/>
              </w:rPr>
              <w:t>针对本项目实施，为满足进度要求，在人员、机械设备、车辆运输及保障措施等方面提出详实的计划，由评标委员会根据提供的内容进行打分。“优”的得7.0-5.0（不含）分，“良”的得5.0（含）-2.0（不含）分，“一般”的得2.0（含）-0分。</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E777E7C">
            <w:pPr>
              <w:adjustRightInd/>
              <w:spacing w:line="420" w:lineRule="exact"/>
              <w:ind w:firstLine="33" w:firstLineChars="15"/>
              <w:jc w:val="center"/>
              <w:rPr>
                <w:rFonts w:hint="eastAsia" w:ascii="宋体" w:hAnsi="宋体" w:cs="宋体"/>
                <w:color w:val="FF0000"/>
                <w:spacing w:val="-6"/>
                <w:sz w:val="22"/>
                <w:szCs w:val="22"/>
              </w:rPr>
            </w:pPr>
            <w:r>
              <w:rPr>
                <w:rFonts w:hint="eastAsia" w:ascii="宋体" w:hAnsi="宋体" w:cs="宋体"/>
                <w:sz w:val="22"/>
                <w:szCs w:val="22"/>
              </w:rPr>
              <w:t>7分</w:t>
            </w:r>
          </w:p>
        </w:tc>
      </w:tr>
      <w:tr w14:paraId="2047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14:paraId="271C6B4E">
            <w:pPr>
              <w:spacing w:line="440" w:lineRule="exact"/>
              <w:jc w:val="center"/>
              <w:rPr>
                <w:rFonts w:hint="eastAsia" w:ascii="宋体" w:hAnsi="宋体" w:cs="宋体"/>
                <w:sz w:val="22"/>
                <w:szCs w:val="22"/>
              </w:rPr>
            </w:pPr>
            <w:r>
              <w:rPr>
                <w:rFonts w:hint="eastAsia" w:ascii="宋体" w:hAnsi="宋体" w:cs="宋体"/>
                <w:sz w:val="22"/>
                <w:szCs w:val="22"/>
              </w:rPr>
              <w:t>5</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14:paraId="7B7A0CBD">
            <w:pPr>
              <w:tabs>
                <w:tab w:val="left" w:pos="2268"/>
              </w:tabs>
              <w:adjustRightInd/>
              <w:snapToGrid w:val="0"/>
              <w:spacing w:line="400" w:lineRule="exact"/>
              <w:jc w:val="center"/>
              <w:rPr>
                <w:rFonts w:hint="eastAsia" w:ascii="宋体" w:hAnsi="宋体" w:cs="宋体"/>
                <w:color w:val="FF0000"/>
                <w:sz w:val="22"/>
                <w:szCs w:val="22"/>
              </w:rPr>
            </w:pPr>
            <w:r>
              <w:rPr>
                <w:rFonts w:hint="eastAsia" w:ascii="宋体" w:hAnsi="宋体" w:cs="宋体"/>
                <w:sz w:val="22"/>
                <w:szCs w:val="22"/>
              </w:rPr>
              <w:t>安全文明作业保障措施</w:t>
            </w:r>
          </w:p>
        </w:tc>
        <w:tc>
          <w:tcPr>
            <w:tcW w:w="6969" w:type="dxa"/>
            <w:tcBorders>
              <w:top w:val="single" w:color="auto" w:sz="4" w:space="0"/>
              <w:left w:val="single" w:color="auto" w:sz="4" w:space="0"/>
              <w:bottom w:val="single" w:color="auto" w:sz="4" w:space="0"/>
              <w:right w:val="single" w:color="auto" w:sz="4" w:space="0"/>
            </w:tcBorders>
            <w:shd w:val="clear" w:color="auto" w:fill="auto"/>
            <w:vAlign w:val="center"/>
          </w:tcPr>
          <w:p w14:paraId="2D276B85">
            <w:pPr>
              <w:spacing w:line="440" w:lineRule="exact"/>
              <w:ind w:firstLine="440" w:firstLineChars="200"/>
              <w:jc w:val="left"/>
              <w:rPr>
                <w:rFonts w:hint="eastAsia" w:ascii="宋体" w:hAnsi="宋体" w:cs="宋体"/>
                <w:sz w:val="22"/>
                <w:szCs w:val="22"/>
              </w:rPr>
            </w:pPr>
            <w:r>
              <w:rPr>
                <w:rFonts w:hint="eastAsia" w:ascii="宋体" w:hAnsi="宋体" w:cs="宋体"/>
                <w:sz w:val="22"/>
                <w:szCs w:val="22"/>
              </w:rPr>
              <w:t>针对本项目工作的实施过程中：对降低施工对周边环境的影响、雨季施工、交通运输、人员安全、文明施工等作出保障措施，由评标委员会根据提供的内容进行打分。“优”的得7.0-5.0（不含）分，“良”的得5.0（含）-2.0（不含）分，“一般”的得2.0（含）-0分。</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E9EEB35">
            <w:pPr>
              <w:adjustRightInd/>
              <w:spacing w:line="420" w:lineRule="exact"/>
              <w:ind w:firstLine="33" w:firstLineChars="15"/>
              <w:jc w:val="center"/>
              <w:rPr>
                <w:rFonts w:hint="eastAsia" w:ascii="宋体" w:hAnsi="宋体" w:cs="宋体"/>
                <w:color w:val="FF0000"/>
                <w:spacing w:val="-6"/>
                <w:sz w:val="22"/>
                <w:szCs w:val="22"/>
              </w:rPr>
            </w:pPr>
            <w:r>
              <w:rPr>
                <w:rFonts w:hint="eastAsia" w:ascii="宋体" w:hAnsi="宋体" w:cs="宋体"/>
                <w:sz w:val="22"/>
                <w:szCs w:val="22"/>
              </w:rPr>
              <w:t>7分</w:t>
            </w:r>
          </w:p>
        </w:tc>
      </w:tr>
      <w:tr w14:paraId="4122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14:paraId="252EC148">
            <w:pPr>
              <w:spacing w:line="440" w:lineRule="exact"/>
              <w:jc w:val="center"/>
              <w:rPr>
                <w:rFonts w:hint="eastAsia" w:ascii="宋体" w:hAnsi="宋体" w:cs="宋体"/>
                <w:sz w:val="22"/>
                <w:szCs w:val="22"/>
              </w:rPr>
            </w:pPr>
            <w:r>
              <w:rPr>
                <w:rFonts w:hint="eastAsia" w:ascii="宋体" w:hAnsi="宋体" w:cs="宋体"/>
                <w:sz w:val="22"/>
                <w:szCs w:val="22"/>
              </w:rPr>
              <w:t>6</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14:paraId="20CD28DD">
            <w:pPr>
              <w:adjustRightInd/>
              <w:spacing w:line="420" w:lineRule="exact"/>
              <w:jc w:val="center"/>
              <w:rPr>
                <w:rFonts w:hint="eastAsia" w:ascii="宋体" w:hAnsi="宋体" w:cs="宋体"/>
                <w:color w:val="FF0000"/>
                <w:spacing w:val="-6"/>
                <w:sz w:val="22"/>
                <w:szCs w:val="22"/>
              </w:rPr>
            </w:pPr>
            <w:r>
              <w:rPr>
                <w:rFonts w:hint="eastAsia" w:ascii="宋体" w:hAnsi="宋体" w:cs="宋体"/>
                <w:bCs/>
                <w:sz w:val="22"/>
                <w:szCs w:val="22"/>
              </w:rPr>
              <w:t>重点、难点分析</w:t>
            </w:r>
          </w:p>
        </w:tc>
        <w:tc>
          <w:tcPr>
            <w:tcW w:w="6969" w:type="dxa"/>
            <w:tcBorders>
              <w:top w:val="single" w:color="auto" w:sz="4" w:space="0"/>
              <w:left w:val="single" w:color="auto" w:sz="4" w:space="0"/>
              <w:bottom w:val="single" w:color="auto" w:sz="4" w:space="0"/>
              <w:right w:val="single" w:color="auto" w:sz="4" w:space="0"/>
            </w:tcBorders>
            <w:shd w:val="clear" w:color="auto" w:fill="auto"/>
            <w:vAlign w:val="center"/>
          </w:tcPr>
          <w:p w14:paraId="4144AB37">
            <w:pPr>
              <w:spacing w:line="440" w:lineRule="exact"/>
              <w:ind w:firstLine="440" w:firstLineChars="200"/>
              <w:jc w:val="left"/>
              <w:rPr>
                <w:rFonts w:hint="eastAsia" w:ascii="宋体" w:hAnsi="宋体" w:cs="宋体"/>
                <w:sz w:val="22"/>
                <w:szCs w:val="22"/>
              </w:rPr>
            </w:pPr>
            <w:r>
              <w:rPr>
                <w:rFonts w:hint="eastAsia" w:ascii="宋体" w:hAnsi="宋体" w:cs="宋体"/>
                <w:sz w:val="22"/>
                <w:szCs w:val="22"/>
              </w:rPr>
              <w:t>针对本项目的实际情况，对重点、难点进行分析，并对重点和难点提出想要的对应措施，由评标委员会根据提供的内容进行打分。“优”的得6.0-4.0（不含）分，“良”的得4.0（含）-2.0（不含）分，“一般”的得2.0（含）-0分。</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6961B2A">
            <w:pPr>
              <w:adjustRightInd/>
              <w:spacing w:line="420" w:lineRule="exact"/>
              <w:jc w:val="center"/>
              <w:rPr>
                <w:rFonts w:hint="eastAsia" w:ascii="宋体" w:hAnsi="宋体" w:cs="宋体"/>
                <w:color w:val="FF0000"/>
                <w:spacing w:val="-6"/>
                <w:sz w:val="22"/>
                <w:szCs w:val="22"/>
              </w:rPr>
            </w:pPr>
            <w:r>
              <w:rPr>
                <w:rFonts w:hint="eastAsia" w:ascii="宋体" w:hAnsi="宋体" w:cs="宋体"/>
                <w:sz w:val="22"/>
                <w:szCs w:val="22"/>
              </w:rPr>
              <w:t>6分</w:t>
            </w:r>
          </w:p>
        </w:tc>
      </w:tr>
      <w:tr w14:paraId="78B3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687" w:type="dxa"/>
            <w:tcBorders>
              <w:top w:val="single" w:color="auto" w:sz="4" w:space="0"/>
              <w:left w:val="single" w:color="auto" w:sz="4" w:space="0"/>
              <w:right w:val="single" w:color="auto" w:sz="4" w:space="0"/>
            </w:tcBorders>
            <w:vAlign w:val="center"/>
          </w:tcPr>
          <w:p w14:paraId="2DD0B5A3">
            <w:pPr>
              <w:spacing w:line="440" w:lineRule="exact"/>
              <w:jc w:val="center"/>
              <w:rPr>
                <w:rFonts w:hint="eastAsia" w:ascii="宋体" w:hAnsi="宋体" w:cs="宋体"/>
                <w:sz w:val="22"/>
                <w:szCs w:val="22"/>
              </w:rPr>
            </w:pPr>
            <w:r>
              <w:rPr>
                <w:rFonts w:hint="eastAsia" w:ascii="宋体" w:hAnsi="宋体" w:cs="宋体"/>
                <w:sz w:val="22"/>
                <w:szCs w:val="22"/>
              </w:rPr>
              <w:t>7</w:t>
            </w:r>
          </w:p>
        </w:tc>
        <w:tc>
          <w:tcPr>
            <w:tcW w:w="1116" w:type="dxa"/>
            <w:tcBorders>
              <w:top w:val="single" w:color="auto" w:sz="4" w:space="0"/>
              <w:left w:val="single" w:color="auto" w:sz="4" w:space="0"/>
              <w:right w:val="single" w:color="auto" w:sz="4" w:space="0"/>
            </w:tcBorders>
            <w:shd w:val="clear" w:color="auto" w:fill="auto"/>
            <w:vAlign w:val="center"/>
          </w:tcPr>
          <w:p w14:paraId="6B2F5F57">
            <w:pPr>
              <w:adjustRightInd/>
              <w:spacing w:line="420" w:lineRule="exact"/>
              <w:jc w:val="center"/>
              <w:rPr>
                <w:rFonts w:hint="eastAsia" w:ascii="宋体" w:hAnsi="宋体" w:cs="宋体"/>
                <w:color w:val="FF0000"/>
                <w:sz w:val="22"/>
                <w:szCs w:val="22"/>
              </w:rPr>
            </w:pPr>
            <w:r>
              <w:rPr>
                <w:rFonts w:hint="eastAsia" w:ascii="宋体" w:hAnsi="宋体" w:cs="宋体"/>
                <w:sz w:val="22"/>
                <w:szCs w:val="22"/>
              </w:rPr>
              <w:t>应急预案</w:t>
            </w:r>
          </w:p>
        </w:tc>
        <w:tc>
          <w:tcPr>
            <w:tcW w:w="6969" w:type="dxa"/>
            <w:tcBorders>
              <w:top w:val="single" w:color="auto" w:sz="4" w:space="0"/>
              <w:left w:val="single" w:color="auto" w:sz="4" w:space="0"/>
              <w:right w:val="single" w:color="auto" w:sz="4" w:space="0"/>
            </w:tcBorders>
            <w:shd w:val="clear" w:color="auto" w:fill="auto"/>
            <w:vAlign w:val="center"/>
          </w:tcPr>
          <w:p w14:paraId="7FACB735">
            <w:pPr>
              <w:spacing w:line="440" w:lineRule="exact"/>
              <w:ind w:firstLine="440" w:firstLineChars="200"/>
              <w:jc w:val="left"/>
              <w:rPr>
                <w:rFonts w:hint="eastAsia" w:ascii="宋体" w:hAnsi="宋体" w:cs="宋体"/>
                <w:sz w:val="22"/>
                <w:szCs w:val="22"/>
              </w:rPr>
            </w:pPr>
            <w:r>
              <w:rPr>
                <w:rFonts w:hint="eastAsia" w:ascii="宋体" w:hAnsi="宋体" w:cs="宋体"/>
                <w:sz w:val="22"/>
                <w:szCs w:val="22"/>
              </w:rPr>
              <w:t>本项目若有突发事项情况，根据投标人提供的应急预案和保障措施，是否能及时组织力量做好各项工作，处理方案是否具有合理性、科学性等情况进行评价：由评标委员会根据提供的内容进行打分。“优”的得6.0-4.0（不含）分，“良”的得4.0（含）-2.0（不含）分，“一般”的得2.0（含）-0分。</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E83157A">
            <w:pPr>
              <w:adjustRightInd/>
              <w:spacing w:line="420" w:lineRule="exact"/>
              <w:jc w:val="center"/>
              <w:rPr>
                <w:rFonts w:hint="eastAsia" w:ascii="宋体" w:hAnsi="宋体" w:cs="宋体"/>
                <w:color w:val="FF0000"/>
                <w:spacing w:val="-6"/>
                <w:sz w:val="22"/>
                <w:szCs w:val="22"/>
              </w:rPr>
            </w:pPr>
            <w:r>
              <w:rPr>
                <w:rFonts w:hint="eastAsia" w:ascii="宋体" w:hAnsi="宋体" w:cs="宋体"/>
                <w:sz w:val="22"/>
                <w:szCs w:val="22"/>
              </w:rPr>
              <w:t>6分</w:t>
            </w:r>
          </w:p>
        </w:tc>
      </w:tr>
      <w:tr w14:paraId="396F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687" w:type="dxa"/>
            <w:tcBorders>
              <w:top w:val="single" w:color="auto" w:sz="4" w:space="0"/>
              <w:left w:val="single" w:color="auto" w:sz="4" w:space="0"/>
              <w:right w:val="single" w:color="auto" w:sz="4" w:space="0"/>
            </w:tcBorders>
            <w:vAlign w:val="center"/>
          </w:tcPr>
          <w:p w14:paraId="60DB3B25">
            <w:pPr>
              <w:spacing w:line="440" w:lineRule="exact"/>
              <w:jc w:val="center"/>
              <w:rPr>
                <w:rFonts w:hint="eastAsia" w:ascii="宋体" w:hAnsi="宋体" w:cs="宋体"/>
                <w:sz w:val="22"/>
                <w:szCs w:val="22"/>
              </w:rPr>
            </w:pPr>
            <w:r>
              <w:rPr>
                <w:rFonts w:hint="eastAsia" w:ascii="宋体" w:hAnsi="宋体" w:cs="宋体"/>
                <w:sz w:val="22"/>
                <w:szCs w:val="22"/>
              </w:rPr>
              <w:t>8</w:t>
            </w:r>
          </w:p>
        </w:tc>
        <w:tc>
          <w:tcPr>
            <w:tcW w:w="1116" w:type="dxa"/>
            <w:tcBorders>
              <w:top w:val="single" w:color="auto" w:sz="4" w:space="0"/>
              <w:left w:val="single" w:color="auto" w:sz="4" w:space="0"/>
              <w:right w:val="single" w:color="auto" w:sz="4" w:space="0"/>
            </w:tcBorders>
            <w:shd w:val="clear" w:color="auto" w:fill="auto"/>
            <w:vAlign w:val="center"/>
          </w:tcPr>
          <w:p w14:paraId="62AF3FD7">
            <w:pPr>
              <w:adjustRightInd/>
              <w:spacing w:line="420" w:lineRule="exact"/>
              <w:jc w:val="center"/>
              <w:rPr>
                <w:rFonts w:hint="eastAsia" w:ascii="宋体" w:hAnsi="宋体" w:cs="宋体"/>
                <w:sz w:val="22"/>
                <w:szCs w:val="22"/>
              </w:rPr>
            </w:pPr>
            <w:r>
              <w:rPr>
                <w:rFonts w:hint="eastAsia" w:ascii="宋体" w:hAnsi="宋体" w:cs="宋体"/>
                <w:sz w:val="22"/>
                <w:szCs w:val="22"/>
              </w:rPr>
              <w:t>其他有利于本项目进度及质量的措施</w:t>
            </w:r>
          </w:p>
        </w:tc>
        <w:tc>
          <w:tcPr>
            <w:tcW w:w="6969" w:type="dxa"/>
            <w:tcBorders>
              <w:top w:val="single" w:color="auto" w:sz="4" w:space="0"/>
              <w:left w:val="single" w:color="auto" w:sz="4" w:space="0"/>
              <w:right w:val="single" w:color="auto" w:sz="4" w:space="0"/>
            </w:tcBorders>
            <w:shd w:val="clear" w:color="auto" w:fill="auto"/>
            <w:vAlign w:val="center"/>
          </w:tcPr>
          <w:p w14:paraId="35A10D15">
            <w:pPr>
              <w:spacing w:line="440" w:lineRule="exact"/>
              <w:ind w:firstLine="440" w:firstLineChars="200"/>
              <w:jc w:val="left"/>
              <w:rPr>
                <w:rFonts w:hint="eastAsia" w:ascii="宋体" w:hAnsi="宋体" w:cs="宋体"/>
                <w:sz w:val="22"/>
                <w:szCs w:val="22"/>
              </w:rPr>
            </w:pPr>
            <w:r>
              <w:rPr>
                <w:rFonts w:hint="eastAsia" w:ascii="宋体" w:hAnsi="宋体" w:cs="宋体"/>
                <w:sz w:val="22"/>
                <w:szCs w:val="22"/>
              </w:rPr>
              <w:t>根据投标人对本项目的实施经验，全面提出有利于本项目进度及质量要求意见及建议，并提供有效的实施措施，由评标委员会根据提供的内容进行打分。“优”的得3.0-2.0（不含）分，“良”的得2.0（含）-1.0（不含）分，“一般”的得1.0（含）-0分。</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15E8358">
            <w:pPr>
              <w:adjustRightInd/>
              <w:spacing w:line="420" w:lineRule="exact"/>
              <w:jc w:val="center"/>
              <w:rPr>
                <w:rFonts w:hint="eastAsia" w:ascii="宋体" w:hAnsi="宋体" w:cs="宋体"/>
                <w:sz w:val="22"/>
                <w:szCs w:val="22"/>
              </w:rPr>
            </w:pPr>
            <w:r>
              <w:rPr>
                <w:rFonts w:hint="eastAsia" w:ascii="宋体" w:hAnsi="宋体" w:cs="宋体"/>
                <w:sz w:val="22"/>
                <w:szCs w:val="22"/>
              </w:rPr>
              <w:t>3分</w:t>
            </w:r>
          </w:p>
        </w:tc>
      </w:tr>
      <w:bookmarkEnd w:id="73"/>
      <w:bookmarkEnd w:id="74"/>
      <w:bookmarkEnd w:id="75"/>
      <w:bookmarkEnd w:id="76"/>
      <w:bookmarkEnd w:id="77"/>
      <w:bookmarkEnd w:id="78"/>
      <w:bookmarkEnd w:id="79"/>
      <w:bookmarkEnd w:id="80"/>
      <w:bookmarkEnd w:id="81"/>
      <w:bookmarkEnd w:id="82"/>
      <w:bookmarkEnd w:id="83"/>
      <w:bookmarkEnd w:id="84"/>
    </w:tbl>
    <w:p w14:paraId="01FC9B0D">
      <w:pPr>
        <w:spacing w:line="440" w:lineRule="exact"/>
        <w:ind w:firstLine="482" w:firstLineChars="200"/>
        <w:rPr>
          <w:rFonts w:hint="eastAsia" w:ascii="宋体" w:hAnsi="宋体" w:cs="宋体"/>
          <w:b/>
          <w:bCs/>
          <w:iCs/>
          <w:sz w:val="24"/>
        </w:rPr>
      </w:pPr>
      <w:r>
        <w:rPr>
          <w:rFonts w:hint="eastAsia" w:ascii="宋体" w:hAnsi="宋体" w:cs="宋体"/>
          <w:b/>
          <w:bCs/>
          <w:iCs/>
          <w:sz w:val="24"/>
        </w:rPr>
        <w:t>2、价格分（</w:t>
      </w:r>
      <w:r>
        <w:rPr>
          <w:rFonts w:hint="eastAsia" w:ascii="宋体" w:hAnsi="宋体" w:cs="宋体"/>
          <w:b/>
          <w:bCs/>
          <w:iCs/>
          <w:sz w:val="24"/>
          <w:u w:val="single"/>
        </w:rPr>
        <w:t>50</w:t>
      </w:r>
      <w:r>
        <w:rPr>
          <w:rFonts w:hint="eastAsia" w:ascii="宋体" w:hAnsi="宋体" w:cs="宋体"/>
          <w:b/>
          <w:bCs/>
          <w:iCs/>
          <w:sz w:val="24"/>
        </w:rPr>
        <w:t>分）</w:t>
      </w:r>
    </w:p>
    <w:p w14:paraId="52D4E6D0">
      <w:pPr>
        <w:spacing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 xml:space="preserve">报价评分应在投标报价范围口径一致的基础上进行。             </w:t>
      </w:r>
    </w:p>
    <w:p w14:paraId="4CA79008">
      <w:pPr>
        <w:spacing w:line="500" w:lineRule="exact"/>
        <w:ind w:firstLine="480" w:firstLineChars="200"/>
        <w:rPr>
          <w:rFonts w:hint="eastAsia" w:ascii="新宋体" w:hAnsi="新宋体" w:eastAsia="新宋体" w:cs="新宋体"/>
          <w:sz w:val="24"/>
          <w:highlight w:val="none"/>
        </w:rPr>
      </w:pPr>
      <w:r>
        <w:rPr>
          <w:rFonts w:hint="eastAsia" w:ascii="新宋体" w:hAnsi="新宋体" w:eastAsia="新宋体" w:cs="新宋体"/>
          <w:sz w:val="24"/>
        </w:rPr>
        <w:t>评标基准价：以有效投标人的最低投标报价为评标基准价，满分为50分。投标人的价格分统一按照下列公式计算：</w:t>
      </w:r>
    </w:p>
    <w:p w14:paraId="534D64E9">
      <w:pPr>
        <w:spacing w:line="500" w:lineRule="exact"/>
        <w:ind w:firstLine="480" w:firstLineChars="200"/>
        <w:rPr>
          <w:rFonts w:hint="eastAsia" w:ascii="新宋体" w:hAnsi="新宋体" w:eastAsia="新宋体" w:cs="新宋体"/>
          <w:sz w:val="24"/>
          <w:highlight w:val="none"/>
        </w:rPr>
      </w:pPr>
      <w:r>
        <w:rPr>
          <w:rFonts w:hint="eastAsia" w:ascii="新宋体" w:hAnsi="新宋体" w:eastAsia="新宋体" w:cs="新宋体"/>
          <w:sz w:val="24"/>
          <w:highlight w:val="none"/>
        </w:rPr>
        <w:t>投标报价得分=(评标基准价／投标报价)×50%×100。投标报价得分计算保留两位小数，第三位四舍五入。</w:t>
      </w:r>
    </w:p>
    <w:p w14:paraId="5B252EF6">
      <w:pPr>
        <w:spacing w:line="500" w:lineRule="exact"/>
        <w:ind w:firstLine="480" w:firstLineChars="200"/>
        <w:rPr>
          <w:rFonts w:hint="eastAsia" w:ascii="新宋体" w:hAnsi="新宋体" w:eastAsia="新宋体" w:cs="新宋体"/>
          <w:b/>
          <w:bCs/>
          <w:sz w:val="24"/>
        </w:rPr>
      </w:pPr>
      <w:r>
        <w:rPr>
          <w:rFonts w:hint="eastAsia" w:ascii="新宋体" w:hAnsi="新宋体" w:eastAsia="新宋体" w:cs="新宋体"/>
          <w:sz w:val="24"/>
          <w:highlight w:val="none"/>
        </w:rPr>
        <w:t>最高限价为</w:t>
      </w:r>
      <w:r>
        <w:rPr>
          <w:rFonts w:hint="eastAsia" w:ascii="宋体" w:hAnsi="宋体" w:cs="宋体"/>
          <w:b/>
          <w:sz w:val="24"/>
          <w:highlight w:val="none"/>
        </w:rPr>
        <w:t>852000</w:t>
      </w:r>
      <w:r>
        <w:rPr>
          <w:rFonts w:hint="eastAsia" w:ascii="新宋体" w:hAnsi="新宋体" w:eastAsia="新宋体" w:cs="新宋体"/>
          <w:sz w:val="24"/>
          <w:highlight w:val="none"/>
        </w:rPr>
        <w:t>元,投标报价超出最高限价的，作无效标处理。风险控制价为681600元（最高限价的80%）。</w:t>
      </w:r>
      <w:r>
        <w:rPr>
          <w:rFonts w:hint="eastAsia" w:ascii="新宋体" w:hAnsi="新宋体" w:eastAsia="新宋体" w:cs="新宋体"/>
          <w:b/>
          <w:bCs/>
          <w:sz w:val="24"/>
          <w:highlight w:val="none"/>
        </w:rPr>
        <w:t>凡低于该风险控制价的，成交供应商应在中标通知书发出后5个工作日内补交中标价净值与风险控制价之差额，成交供应商不提交的视为放</w:t>
      </w:r>
      <w:r>
        <w:rPr>
          <w:rFonts w:hint="eastAsia" w:ascii="新宋体" w:hAnsi="新宋体" w:eastAsia="新宋体" w:cs="新宋体"/>
          <w:b/>
          <w:bCs/>
          <w:sz w:val="24"/>
        </w:rPr>
        <w:t>弃中标。差额保证金待养护期满后7个工作日内无息退还。（差额保证金应在中标通知书发出后5个工作日内交至采购单位，以电汇、转账方式交纳，其他方式不接受)</w:t>
      </w:r>
    </w:p>
    <w:p w14:paraId="3C8777EC">
      <w:pPr>
        <w:spacing w:line="500" w:lineRule="exact"/>
        <w:ind w:firstLine="482" w:firstLineChars="200"/>
        <w:rPr>
          <w:rFonts w:hint="eastAsia" w:ascii="新宋体" w:hAnsi="新宋体" w:eastAsia="新宋体" w:cs="新宋体"/>
          <w:b/>
          <w:bCs/>
          <w:sz w:val="24"/>
        </w:rPr>
      </w:pPr>
      <w:r>
        <w:rPr>
          <w:rFonts w:hint="eastAsia" w:ascii="新宋体" w:hAnsi="新宋体" w:eastAsia="新宋体" w:cs="新宋体"/>
          <w:b/>
          <w:bCs/>
          <w:sz w:val="24"/>
        </w:rPr>
        <w:t>根据相关法律法规规定，评标委员会认为投标人的报价明显低于其他通过符合性审查投标人的报价，有可能影响产品质量或者不能诚信履约的，应当要求其在评标现场合理的时间内通过乐采云平台提供线上说明，必要时提交相关证明材料。投标人不能在规定时间内合理说明原因并提供证明材料的，评标委员会应当将该投标人的投标文件作无效处理，并在评审报告中说明。</w:t>
      </w:r>
    </w:p>
    <w:bookmarkEnd w:id="85"/>
    <w:bookmarkEnd w:id="86"/>
    <w:p w14:paraId="3410696F">
      <w:pPr>
        <w:rPr>
          <w:rFonts w:hint="eastAsia" w:ascii="宋体" w:hAnsi="宋体" w:cs="宋体"/>
          <w:b/>
          <w:bCs/>
          <w:sz w:val="32"/>
          <w:szCs w:val="32"/>
        </w:rPr>
      </w:pPr>
      <w:bookmarkStart w:id="87" w:name="_Toc29887"/>
      <w:bookmarkStart w:id="88" w:name="_Toc8096"/>
      <w:r>
        <w:rPr>
          <w:rFonts w:hint="eastAsia" w:ascii="宋体" w:hAnsi="宋体" w:cs="宋体"/>
          <w:b/>
          <w:bCs/>
          <w:sz w:val="32"/>
          <w:szCs w:val="32"/>
        </w:rPr>
        <w:br w:type="page"/>
      </w:r>
    </w:p>
    <w:p w14:paraId="74A992D9">
      <w:pPr>
        <w:jc w:val="center"/>
        <w:outlineLvl w:val="0"/>
        <w:rPr>
          <w:rFonts w:hint="eastAsia" w:ascii="宋体" w:hAnsi="宋体" w:cs="宋体"/>
          <w:b/>
          <w:bCs/>
          <w:sz w:val="32"/>
          <w:szCs w:val="32"/>
        </w:rPr>
      </w:pPr>
      <w:r>
        <w:rPr>
          <w:rFonts w:hint="eastAsia" w:ascii="宋体" w:hAnsi="宋体" w:cs="宋体"/>
          <w:b/>
          <w:bCs/>
          <w:sz w:val="32"/>
          <w:szCs w:val="32"/>
        </w:rPr>
        <w:t>第五章  合同主要条款</w:t>
      </w:r>
      <w:bookmarkEnd w:id="87"/>
      <w:bookmarkEnd w:id="88"/>
    </w:p>
    <w:p w14:paraId="35F3DC39">
      <w:pPr>
        <w:spacing w:line="400" w:lineRule="exact"/>
        <w:jc w:val="center"/>
        <w:outlineLvl w:val="1"/>
        <w:rPr>
          <w:rFonts w:hint="eastAsia" w:ascii="宋体" w:hAnsi="宋体" w:cs="宋体"/>
          <w:b/>
          <w:sz w:val="28"/>
          <w:szCs w:val="28"/>
        </w:rPr>
      </w:pPr>
      <w:bookmarkStart w:id="89" w:name="_Toc15976894"/>
      <w:bookmarkStart w:id="90" w:name="_Toc29196"/>
      <w:bookmarkStart w:id="91" w:name="_Toc8187"/>
      <w:bookmarkStart w:id="92" w:name="_Toc1188"/>
      <w:r>
        <w:rPr>
          <w:rFonts w:hint="eastAsia" w:ascii="宋体" w:hAnsi="宋体" w:cs="宋体"/>
          <w:b/>
          <w:sz w:val="28"/>
          <w:szCs w:val="28"/>
        </w:rPr>
        <w:t>一、合同条款前附表</w:t>
      </w:r>
      <w:bookmarkEnd w:id="89"/>
      <w:bookmarkEnd w:id="90"/>
    </w:p>
    <w:tbl>
      <w:tblPr>
        <w:tblStyle w:val="26"/>
        <w:tblW w:w="0" w:type="auto"/>
        <w:tblInd w:w="0" w:type="dxa"/>
        <w:tblLayout w:type="fixed"/>
        <w:tblCellMar>
          <w:top w:w="0" w:type="dxa"/>
          <w:left w:w="108" w:type="dxa"/>
          <w:bottom w:w="0" w:type="dxa"/>
          <w:right w:w="108" w:type="dxa"/>
        </w:tblCellMar>
      </w:tblPr>
      <w:tblGrid>
        <w:gridCol w:w="1809"/>
        <w:gridCol w:w="7569"/>
      </w:tblGrid>
      <w:tr w14:paraId="0F3D635B">
        <w:tblPrEx>
          <w:tblCellMar>
            <w:top w:w="0" w:type="dxa"/>
            <w:left w:w="108" w:type="dxa"/>
            <w:bottom w:w="0" w:type="dxa"/>
            <w:right w:w="108" w:type="dxa"/>
          </w:tblCellMar>
        </w:tblPrEx>
        <w:trPr>
          <w:trHeight w:val="652" w:hRule="atLeast"/>
        </w:trPr>
        <w:tc>
          <w:tcPr>
            <w:tcW w:w="1809" w:type="dxa"/>
            <w:tcBorders>
              <w:top w:val="single" w:color="auto" w:sz="4" w:space="0"/>
              <w:left w:val="single" w:color="auto" w:sz="4" w:space="0"/>
              <w:bottom w:val="single" w:color="auto" w:sz="4" w:space="0"/>
              <w:right w:val="single" w:color="auto" w:sz="4" w:space="0"/>
              <w:tl2br w:val="nil"/>
              <w:tr2bl w:val="nil"/>
            </w:tcBorders>
            <w:vAlign w:val="center"/>
          </w:tcPr>
          <w:p w14:paraId="67544275">
            <w:pPr>
              <w:jc w:val="center"/>
              <w:rPr>
                <w:rFonts w:hint="eastAsia" w:ascii="宋体" w:hAnsi="宋体" w:cs="宋体"/>
                <w:sz w:val="24"/>
              </w:rPr>
            </w:pPr>
            <w:r>
              <w:rPr>
                <w:rFonts w:hint="eastAsia" w:ascii="宋体" w:hAnsi="宋体" w:cs="宋体"/>
                <w:sz w:val="24"/>
              </w:rPr>
              <w:t>主要条款</w:t>
            </w:r>
          </w:p>
        </w:tc>
        <w:tc>
          <w:tcPr>
            <w:tcW w:w="7569" w:type="dxa"/>
            <w:tcBorders>
              <w:top w:val="single" w:color="auto" w:sz="4" w:space="0"/>
              <w:left w:val="nil"/>
              <w:bottom w:val="single" w:color="auto" w:sz="4" w:space="0"/>
              <w:right w:val="single" w:color="auto" w:sz="4" w:space="0"/>
              <w:tl2br w:val="nil"/>
              <w:tr2bl w:val="nil"/>
            </w:tcBorders>
            <w:vAlign w:val="center"/>
          </w:tcPr>
          <w:p w14:paraId="268674D9">
            <w:pPr>
              <w:jc w:val="center"/>
              <w:rPr>
                <w:rFonts w:hint="eastAsia" w:ascii="宋体" w:hAnsi="宋体" w:cs="宋体"/>
                <w:sz w:val="24"/>
              </w:rPr>
            </w:pPr>
            <w:r>
              <w:rPr>
                <w:rFonts w:hint="eastAsia" w:ascii="宋体" w:hAnsi="宋体" w:cs="宋体"/>
                <w:sz w:val="24"/>
              </w:rPr>
              <w:t>内容</w:t>
            </w:r>
          </w:p>
        </w:tc>
      </w:tr>
      <w:tr w14:paraId="11A03435">
        <w:tblPrEx>
          <w:tblCellMar>
            <w:top w:w="0" w:type="dxa"/>
            <w:left w:w="108" w:type="dxa"/>
            <w:bottom w:w="0" w:type="dxa"/>
            <w:right w:w="108" w:type="dxa"/>
          </w:tblCellMar>
        </w:tblPrEx>
        <w:trPr>
          <w:trHeight w:val="682" w:hRule="atLeast"/>
        </w:trPr>
        <w:tc>
          <w:tcPr>
            <w:tcW w:w="1809" w:type="dxa"/>
            <w:tcBorders>
              <w:top w:val="nil"/>
              <w:left w:val="single" w:color="auto" w:sz="4" w:space="0"/>
              <w:bottom w:val="single" w:color="auto" w:sz="4" w:space="0"/>
              <w:right w:val="single" w:color="auto" w:sz="4" w:space="0"/>
              <w:tl2br w:val="nil"/>
              <w:tr2bl w:val="nil"/>
            </w:tcBorders>
            <w:vAlign w:val="center"/>
          </w:tcPr>
          <w:p w14:paraId="41194837">
            <w:pPr>
              <w:jc w:val="center"/>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质量等级</w:t>
            </w:r>
          </w:p>
        </w:tc>
        <w:tc>
          <w:tcPr>
            <w:tcW w:w="7569" w:type="dxa"/>
            <w:tcBorders>
              <w:top w:val="nil"/>
              <w:left w:val="nil"/>
              <w:bottom w:val="single" w:color="auto" w:sz="4" w:space="0"/>
              <w:right w:val="single" w:color="auto" w:sz="4" w:space="0"/>
              <w:tl2br w:val="nil"/>
              <w:tr2bl w:val="nil"/>
            </w:tcBorders>
            <w:vAlign w:val="center"/>
          </w:tcPr>
          <w:p w14:paraId="01F43BA1">
            <w:pPr>
              <w:rPr>
                <w:rFonts w:hint="eastAsia" w:cs="宋体" w:asciiTheme="minorEastAsia" w:hAnsiTheme="minorEastAsia" w:eastAsiaTheme="minorEastAsia"/>
                <w:szCs w:val="21"/>
                <w:highlight w:val="none"/>
              </w:rPr>
            </w:pPr>
            <w:r>
              <w:rPr>
                <w:rStyle w:val="40"/>
                <w:rFonts w:asciiTheme="minorEastAsia" w:hAnsiTheme="minorEastAsia" w:eastAsiaTheme="minorEastAsia"/>
                <w:szCs w:val="21"/>
                <w:highlight w:val="none"/>
              </w:rPr>
              <w:t>林</w:t>
            </w:r>
            <w:r>
              <w:rPr>
                <w:rStyle w:val="40"/>
                <w:rFonts w:hint="eastAsia" w:asciiTheme="minorEastAsia" w:hAnsiTheme="minorEastAsia" w:eastAsiaTheme="minorEastAsia"/>
                <w:szCs w:val="21"/>
                <w:highlight w:val="none"/>
              </w:rPr>
              <w:t>木</w:t>
            </w:r>
            <w:r>
              <w:rPr>
                <w:rStyle w:val="40"/>
                <w:rFonts w:asciiTheme="minorEastAsia" w:hAnsiTheme="minorEastAsia" w:eastAsiaTheme="minorEastAsia"/>
                <w:szCs w:val="21"/>
                <w:highlight w:val="none"/>
              </w:rPr>
              <w:t>清理后</w:t>
            </w:r>
            <w:r>
              <w:rPr>
                <w:rStyle w:val="40"/>
                <w:rFonts w:hint="eastAsia" w:asciiTheme="minorEastAsia" w:hAnsiTheme="minorEastAsia" w:eastAsiaTheme="minorEastAsia"/>
                <w:szCs w:val="21"/>
                <w:highlight w:val="none"/>
              </w:rPr>
              <w:t>达到水库蓄水验收标准，确保在水库蓄水验收前通过验收。</w:t>
            </w:r>
          </w:p>
        </w:tc>
      </w:tr>
      <w:tr w14:paraId="21ED42C7">
        <w:tblPrEx>
          <w:tblCellMar>
            <w:top w:w="0" w:type="dxa"/>
            <w:left w:w="108" w:type="dxa"/>
            <w:bottom w:w="0" w:type="dxa"/>
            <w:right w:w="108" w:type="dxa"/>
          </w:tblCellMar>
        </w:tblPrEx>
        <w:trPr>
          <w:trHeight w:val="659" w:hRule="atLeast"/>
        </w:trPr>
        <w:tc>
          <w:tcPr>
            <w:tcW w:w="1809" w:type="dxa"/>
            <w:tcBorders>
              <w:top w:val="nil"/>
              <w:left w:val="single" w:color="auto" w:sz="4" w:space="0"/>
              <w:bottom w:val="single" w:color="auto" w:sz="4" w:space="0"/>
              <w:right w:val="single" w:color="auto" w:sz="4" w:space="0"/>
              <w:tl2br w:val="nil"/>
              <w:tr2bl w:val="nil"/>
            </w:tcBorders>
            <w:vAlign w:val="center"/>
          </w:tcPr>
          <w:p w14:paraId="49FF88E2">
            <w:pPr>
              <w:jc w:val="center"/>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合同履行期限</w:t>
            </w:r>
          </w:p>
        </w:tc>
        <w:tc>
          <w:tcPr>
            <w:tcW w:w="7569" w:type="dxa"/>
            <w:tcBorders>
              <w:top w:val="nil"/>
              <w:left w:val="nil"/>
              <w:bottom w:val="single" w:color="auto" w:sz="4" w:space="0"/>
              <w:right w:val="single" w:color="auto" w:sz="4" w:space="0"/>
              <w:tl2br w:val="nil"/>
              <w:tr2bl w:val="nil"/>
            </w:tcBorders>
            <w:vAlign w:val="center"/>
          </w:tcPr>
          <w:p w14:paraId="6B331659">
            <w:pPr>
              <w:jc w:val="left"/>
              <w:rPr>
                <w:rFonts w:asciiTheme="minorEastAsia" w:hAnsiTheme="minorEastAsia" w:eastAsiaTheme="minorEastAsia"/>
                <w:szCs w:val="21"/>
                <w:highlight w:val="none"/>
              </w:rPr>
            </w:pPr>
            <w:r>
              <w:rPr>
                <w:rStyle w:val="40"/>
                <w:rFonts w:hint="eastAsia" w:asciiTheme="minorEastAsia" w:hAnsiTheme="minorEastAsia" w:eastAsiaTheme="minorEastAsia"/>
                <w:szCs w:val="21"/>
                <w:highlight w:val="none"/>
              </w:rPr>
              <w:t>合同签订后54</w:t>
            </w:r>
            <w:r>
              <w:rPr>
                <w:rStyle w:val="40"/>
                <w:rFonts w:asciiTheme="minorEastAsia" w:hAnsiTheme="minorEastAsia" w:eastAsiaTheme="minorEastAsia"/>
                <w:szCs w:val="21"/>
                <w:highlight w:val="none"/>
              </w:rPr>
              <w:t>个月</w:t>
            </w:r>
            <w:r>
              <w:rPr>
                <w:rStyle w:val="40"/>
                <w:rFonts w:hint="eastAsia" w:asciiTheme="minorEastAsia" w:hAnsiTheme="minorEastAsia" w:eastAsiaTheme="minorEastAsia"/>
                <w:szCs w:val="21"/>
                <w:highlight w:val="none"/>
              </w:rPr>
              <w:t>内全部完成（具体时间满足工程建设要求，确保在水库蓄水验收前，完成全部林木的清理）</w:t>
            </w:r>
            <w:r>
              <w:rPr>
                <w:rFonts w:hint="eastAsia" w:cs="宋体" w:asciiTheme="minorEastAsia" w:hAnsiTheme="minorEastAsia" w:eastAsiaTheme="minorEastAsia"/>
                <w:szCs w:val="21"/>
                <w:highlight w:val="none"/>
              </w:rPr>
              <w:t>。</w:t>
            </w:r>
          </w:p>
        </w:tc>
      </w:tr>
      <w:tr w14:paraId="51AC7E00">
        <w:tblPrEx>
          <w:tblCellMar>
            <w:top w:w="0" w:type="dxa"/>
            <w:left w:w="108" w:type="dxa"/>
            <w:bottom w:w="0" w:type="dxa"/>
            <w:right w:w="108" w:type="dxa"/>
          </w:tblCellMar>
        </w:tblPrEx>
        <w:trPr>
          <w:trHeight w:val="662" w:hRule="atLeast"/>
        </w:trPr>
        <w:tc>
          <w:tcPr>
            <w:tcW w:w="1809" w:type="dxa"/>
            <w:tcBorders>
              <w:top w:val="nil"/>
              <w:left w:val="single" w:color="auto" w:sz="4" w:space="0"/>
              <w:bottom w:val="single" w:color="auto" w:sz="4" w:space="0"/>
              <w:right w:val="single" w:color="auto" w:sz="4" w:space="0"/>
              <w:tl2br w:val="nil"/>
              <w:tr2bl w:val="nil"/>
            </w:tcBorders>
            <w:vAlign w:val="center"/>
          </w:tcPr>
          <w:p w14:paraId="26279C3E">
            <w:pPr>
              <w:jc w:val="center"/>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项目地点</w:t>
            </w:r>
          </w:p>
        </w:tc>
        <w:tc>
          <w:tcPr>
            <w:tcW w:w="7569" w:type="dxa"/>
            <w:tcBorders>
              <w:top w:val="nil"/>
              <w:left w:val="nil"/>
              <w:bottom w:val="single" w:color="auto" w:sz="4" w:space="0"/>
              <w:right w:val="single" w:color="auto" w:sz="4" w:space="0"/>
              <w:tl2br w:val="nil"/>
              <w:tr2bl w:val="nil"/>
            </w:tcBorders>
            <w:vAlign w:val="center"/>
          </w:tcPr>
          <w:p w14:paraId="58A1C918">
            <w:pPr>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嵊州市三溪水库</w:t>
            </w:r>
          </w:p>
        </w:tc>
      </w:tr>
      <w:tr w14:paraId="06733AD6">
        <w:tblPrEx>
          <w:tblCellMar>
            <w:top w:w="0" w:type="dxa"/>
            <w:left w:w="108" w:type="dxa"/>
            <w:bottom w:w="0" w:type="dxa"/>
            <w:right w:w="108" w:type="dxa"/>
          </w:tblCellMar>
        </w:tblPrEx>
        <w:trPr>
          <w:trHeight w:val="702" w:hRule="atLeast"/>
        </w:trPr>
        <w:tc>
          <w:tcPr>
            <w:tcW w:w="1809" w:type="dxa"/>
            <w:tcBorders>
              <w:top w:val="nil"/>
              <w:left w:val="single" w:color="auto" w:sz="4" w:space="0"/>
              <w:bottom w:val="single" w:color="auto" w:sz="4" w:space="0"/>
              <w:right w:val="single" w:color="auto" w:sz="4" w:space="0"/>
              <w:tl2br w:val="nil"/>
              <w:tr2bl w:val="nil"/>
            </w:tcBorders>
            <w:vAlign w:val="center"/>
          </w:tcPr>
          <w:p w14:paraId="616AAF7F">
            <w:pPr>
              <w:jc w:val="center"/>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合同价款</w:t>
            </w:r>
          </w:p>
        </w:tc>
        <w:tc>
          <w:tcPr>
            <w:tcW w:w="7569" w:type="dxa"/>
            <w:tcBorders>
              <w:top w:val="nil"/>
              <w:left w:val="nil"/>
              <w:bottom w:val="single" w:color="auto" w:sz="4" w:space="0"/>
              <w:right w:val="single" w:color="auto" w:sz="4" w:space="0"/>
              <w:tl2br w:val="nil"/>
              <w:tr2bl w:val="nil"/>
            </w:tcBorders>
            <w:vAlign w:val="center"/>
          </w:tcPr>
          <w:p w14:paraId="54DB91BF">
            <w:pPr>
              <w:rPr>
                <w:rFonts w:hint="eastAsia"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固定总价合同，以中标价为基准。政策性、材料价、残值等变化均不允许调整</w:t>
            </w:r>
            <w:r>
              <w:rPr>
                <w:rFonts w:cs="宋体" w:asciiTheme="minorEastAsia" w:hAnsiTheme="minorEastAsia" w:eastAsiaTheme="minorEastAsia"/>
                <w:szCs w:val="21"/>
                <w:highlight w:val="none"/>
              </w:rPr>
              <w:t>。</w:t>
            </w:r>
          </w:p>
        </w:tc>
      </w:tr>
      <w:tr w14:paraId="7304F804">
        <w:tblPrEx>
          <w:tblCellMar>
            <w:top w:w="0" w:type="dxa"/>
            <w:left w:w="108" w:type="dxa"/>
            <w:bottom w:w="0" w:type="dxa"/>
            <w:right w:w="108" w:type="dxa"/>
          </w:tblCellMar>
        </w:tblPrEx>
        <w:trPr>
          <w:trHeight w:val="839" w:hRule="atLeast"/>
        </w:trPr>
        <w:tc>
          <w:tcPr>
            <w:tcW w:w="1809" w:type="dxa"/>
            <w:tcBorders>
              <w:top w:val="nil"/>
              <w:left w:val="single" w:color="auto" w:sz="4" w:space="0"/>
              <w:bottom w:val="single" w:color="auto" w:sz="4" w:space="0"/>
              <w:right w:val="single" w:color="auto" w:sz="4" w:space="0"/>
              <w:tl2br w:val="nil"/>
              <w:tr2bl w:val="nil"/>
            </w:tcBorders>
            <w:vAlign w:val="center"/>
          </w:tcPr>
          <w:p w14:paraId="0DA4CD2E">
            <w:pPr>
              <w:adjustRightInd/>
              <w:spacing w:line="4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付款方式</w:t>
            </w:r>
          </w:p>
        </w:tc>
        <w:tc>
          <w:tcPr>
            <w:tcW w:w="7569" w:type="dxa"/>
            <w:tcBorders>
              <w:top w:val="nil"/>
              <w:left w:val="nil"/>
              <w:bottom w:val="single" w:color="auto" w:sz="4" w:space="0"/>
              <w:right w:val="single" w:color="auto" w:sz="4" w:space="0"/>
              <w:tl2br w:val="nil"/>
              <w:tr2bl w:val="nil"/>
            </w:tcBorders>
            <w:vAlign w:val="center"/>
          </w:tcPr>
          <w:p w14:paraId="06602259">
            <w:pPr>
              <w:adjustRightInd/>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项目款采取分期分段支付的办法。</w:t>
            </w:r>
          </w:p>
          <w:p w14:paraId="3112727F">
            <w:pPr>
              <w:adjustRightInd/>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（1）合同签订后预付合同总价的20%为预付款（不扣回）；</w:t>
            </w:r>
          </w:p>
          <w:p w14:paraId="2BBF3486">
            <w:pPr>
              <w:adjustRightInd/>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（2）完成建设区林木清理后，支付合同总价的20%；</w:t>
            </w:r>
          </w:p>
          <w:p w14:paraId="614ECFF8">
            <w:pPr>
              <w:adjustRightInd/>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（3）完成所有乔木清理后，支付合同总价的20%；</w:t>
            </w:r>
          </w:p>
          <w:p w14:paraId="278D4E63">
            <w:pPr>
              <w:adjustRightInd/>
              <w:spacing w:line="400" w:lineRule="exact"/>
              <w:rPr>
                <w:rFonts w:asciiTheme="minorEastAsia" w:hAnsiTheme="minorEastAsia" w:eastAsiaTheme="minorEastAsia"/>
                <w:b/>
                <w:bCs/>
                <w:szCs w:val="21"/>
                <w:highlight w:val="none"/>
              </w:rPr>
            </w:pPr>
            <w:r>
              <w:rPr>
                <w:rFonts w:hint="eastAsia" w:asciiTheme="minorEastAsia" w:hAnsiTheme="minorEastAsia" w:eastAsiaTheme="minorEastAsia"/>
                <w:szCs w:val="21"/>
                <w:highlight w:val="none"/>
              </w:rPr>
              <w:t>（4）蓄水验收后，</w:t>
            </w:r>
            <w:r>
              <w:rPr>
                <w:rFonts w:hint="eastAsia" w:asciiTheme="minorEastAsia" w:hAnsiTheme="minorEastAsia" w:eastAsiaTheme="minorEastAsia"/>
                <w:b/>
                <w:bCs/>
                <w:szCs w:val="21"/>
                <w:highlight w:val="none"/>
              </w:rPr>
              <w:t>支付至合同价的100%。</w:t>
            </w:r>
          </w:p>
        </w:tc>
      </w:tr>
    </w:tbl>
    <w:p w14:paraId="20AB994E">
      <w:pPr>
        <w:pStyle w:val="23"/>
        <w:spacing w:beforeAutospacing="0" w:afterAutospacing="0" w:line="360" w:lineRule="auto"/>
        <w:jc w:val="center"/>
        <w:outlineLvl w:val="0"/>
        <w:rPr>
          <w:rFonts w:hint="eastAsia" w:ascii="宋体" w:hAnsi="宋体" w:cs="宋体"/>
          <w:b/>
          <w:sz w:val="36"/>
          <w:szCs w:val="36"/>
        </w:rPr>
      </w:pPr>
    </w:p>
    <w:p w14:paraId="722515E2">
      <w:pPr>
        <w:pStyle w:val="23"/>
        <w:spacing w:beforeAutospacing="0" w:afterAutospacing="0" w:line="360" w:lineRule="auto"/>
        <w:jc w:val="center"/>
        <w:outlineLvl w:val="0"/>
        <w:rPr>
          <w:rFonts w:hint="eastAsia" w:ascii="宋体" w:hAnsi="宋体" w:cs="宋体"/>
          <w:b/>
          <w:sz w:val="36"/>
          <w:szCs w:val="36"/>
        </w:rPr>
      </w:pPr>
    </w:p>
    <w:p w14:paraId="13C5630F">
      <w:pPr>
        <w:pStyle w:val="23"/>
        <w:spacing w:beforeAutospacing="0" w:afterAutospacing="0" w:line="360" w:lineRule="auto"/>
        <w:jc w:val="center"/>
        <w:outlineLvl w:val="0"/>
        <w:rPr>
          <w:rFonts w:hint="eastAsia" w:ascii="宋体" w:hAnsi="宋体" w:cs="宋体"/>
          <w:b/>
          <w:sz w:val="36"/>
          <w:szCs w:val="36"/>
        </w:rPr>
      </w:pPr>
    </w:p>
    <w:p w14:paraId="1675F5EB">
      <w:pPr>
        <w:pStyle w:val="23"/>
        <w:spacing w:beforeAutospacing="0" w:afterAutospacing="0" w:line="360" w:lineRule="auto"/>
        <w:jc w:val="center"/>
        <w:outlineLvl w:val="0"/>
        <w:rPr>
          <w:rFonts w:hint="eastAsia" w:ascii="宋体" w:hAnsi="宋体" w:cs="宋体"/>
          <w:b/>
          <w:sz w:val="36"/>
          <w:szCs w:val="36"/>
        </w:rPr>
      </w:pPr>
    </w:p>
    <w:p w14:paraId="4667E614">
      <w:pPr>
        <w:pStyle w:val="23"/>
        <w:spacing w:beforeAutospacing="0" w:afterAutospacing="0" w:line="360" w:lineRule="auto"/>
        <w:jc w:val="center"/>
        <w:outlineLvl w:val="0"/>
        <w:rPr>
          <w:rFonts w:hint="eastAsia" w:ascii="宋体" w:hAnsi="宋体" w:cs="宋体"/>
          <w:b/>
          <w:sz w:val="36"/>
          <w:szCs w:val="36"/>
        </w:rPr>
      </w:pPr>
    </w:p>
    <w:p w14:paraId="1AF25F77">
      <w:pPr>
        <w:pStyle w:val="23"/>
        <w:spacing w:beforeAutospacing="0" w:afterAutospacing="0" w:line="360" w:lineRule="auto"/>
        <w:jc w:val="center"/>
        <w:outlineLvl w:val="0"/>
        <w:rPr>
          <w:rFonts w:hint="eastAsia" w:ascii="宋体" w:hAnsi="宋体" w:cs="宋体"/>
          <w:b/>
          <w:sz w:val="36"/>
          <w:szCs w:val="36"/>
        </w:rPr>
      </w:pPr>
    </w:p>
    <w:p w14:paraId="5F4515AC">
      <w:pPr>
        <w:pStyle w:val="23"/>
        <w:spacing w:beforeAutospacing="0" w:afterAutospacing="0" w:line="360" w:lineRule="auto"/>
        <w:jc w:val="center"/>
        <w:outlineLvl w:val="0"/>
        <w:rPr>
          <w:rFonts w:hint="eastAsia" w:ascii="宋体" w:hAnsi="宋体" w:cs="宋体"/>
          <w:b/>
          <w:sz w:val="36"/>
          <w:szCs w:val="36"/>
        </w:rPr>
      </w:pPr>
    </w:p>
    <w:p w14:paraId="785D3F39">
      <w:pPr>
        <w:pStyle w:val="23"/>
        <w:spacing w:beforeAutospacing="0" w:afterAutospacing="0" w:line="360" w:lineRule="auto"/>
        <w:jc w:val="center"/>
        <w:outlineLvl w:val="0"/>
        <w:rPr>
          <w:rFonts w:hint="eastAsia" w:ascii="宋体" w:hAnsi="宋体" w:cs="宋体"/>
          <w:b/>
          <w:sz w:val="36"/>
          <w:szCs w:val="36"/>
        </w:rPr>
      </w:pPr>
    </w:p>
    <w:p w14:paraId="6A1E5448">
      <w:pPr>
        <w:pStyle w:val="23"/>
        <w:spacing w:beforeAutospacing="0" w:afterAutospacing="0" w:line="360" w:lineRule="auto"/>
        <w:jc w:val="center"/>
        <w:outlineLvl w:val="0"/>
        <w:rPr>
          <w:rFonts w:hint="eastAsia" w:ascii="宋体" w:hAnsi="宋体" w:cs="宋体"/>
          <w:b/>
          <w:sz w:val="36"/>
          <w:szCs w:val="36"/>
        </w:rPr>
      </w:pPr>
    </w:p>
    <w:p w14:paraId="28944E10">
      <w:pPr>
        <w:pStyle w:val="23"/>
        <w:spacing w:beforeAutospacing="0" w:afterAutospacing="0" w:line="360" w:lineRule="auto"/>
        <w:jc w:val="center"/>
        <w:outlineLvl w:val="0"/>
        <w:rPr>
          <w:rFonts w:hint="eastAsia" w:ascii="宋体" w:hAnsi="宋体" w:cs="宋体"/>
          <w:b/>
          <w:sz w:val="36"/>
          <w:szCs w:val="36"/>
        </w:rPr>
      </w:pPr>
    </w:p>
    <w:p w14:paraId="5C83719C">
      <w:pPr>
        <w:pStyle w:val="23"/>
        <w:spacing w:beforeAutospacing="0" w:afterAutospacing="0" w:line="360" w:lineRule="auto"/>
        <w:jc w:val="center"/>
        <w:outlineLvl w:val="0"/>
        <w:rPr>
          <w:rFonts w:hint="eastAsia" w:ascii="宋体" w:hAnsi="宋体" w:cs="宋体"/>
          <w:b/>
          <w:sz w:val="36"/>
          <w:szCs w:val="36"/>
        </w:rPr>
      </w:pPr>
      <w:bookmarkStart w:id="93" w:name="_Toc25435"/>
      <w:r>
        <w:rPr>
          <w:rFonts w:hint="eastAsia" w:ascii="宋体" w:hAnsi="宋体" w:cs="宋体"/>
          <w:b/>
          <w:sz w:val="36"/>
          <w:szCs w:val="36"/>
        </w:rPr>
        <w:t>二、合同主要条款</w:t>
      </w:r>
      <w:bookmarkEnd w:id="93"/>
    </w:p>
    <w:p w14:paraId="39AA578C">
      <w:pPr>
        <w:adjustRightInd/>
        <w:snapToGrid w:val="0"/>
        <w:spacing w:before="120" w:beforeLines="50" w:after="120" w:afterLines="50" w:line="460" w:lineRule="exact"/>
        <w:ind w:firstLine="1928" w:firstLineChars="800"/>
        <w:rPr>
          <w:rFonts w:hint="eastAsia" w:ascii="宋体" w:hAnsi="宋体" w:cs="宋体"/>
          <w:b/>
          <w:sz w:val="32"/>
          <w:szCs w:val="32"/>
        </w:rPr>
      </w:pPr>
      <w:r>
        <w:rPr>
          <w:rFonts w:hint="eastAsia" w:ascii="宋体" w:hAnsi="宋体"/>
          <w:b/>
          <w:sz w:val="24"/>
        </w:rPr>
        <w:t>（</w:t>
      </w:r>
      <w:r>
        <w:rPr>
          <w:rFonts w:hint="eastAsia" w:hAnsi="宋体"/>
          <w:b/>
          <w:sz w:val="24"/>
        </w:rPr>
        <w:t>本合同仅为样稿，最终稿由双方协商后确定</w:t>
      </w:r>
      <w:r>
        <w:rPr>
          <w:rFonts w:hint="eastAsia" w:ascii="宋体" w:hAnsi="宋体"/>
          <w:b/>
          <w:sz w:val="24"/>
        </w:rPr>
        <w:t>）</w:t>
      </w:r>
    </w:p>
    <w:p w14:paraId="56ED6296">
      <w:pPr>
        <w:adjustRightInd/>
        <w:spacing w:line="460" w:lineRule="exact"/>
        <w:rPr>
          <w:rFonts w:hint="eastAsia" w:ascii="宋体" w:hAnsi="宋体" w:cs="宋体"/>
          <w:szCs w:val="21"/>
        </w:rPr>
      </w:pPr>
      <w:r>
        <w:rPr>
          <w:rFonts w:hint="eastAsia" w:ascii="宋体" w:hAnsi="宋体" w:cs="宋体"/>
          <w:szCs w:val="21"/>
        </w:rPr>
        <w:t>甲方：</w:t>
      </w:r>
      <w:r>
        <w:rPr>
          <w:rFonts w:hint="eastAsia" w:ascii="宋体" w:hAnsi="宋体" w:cs="宋体"/>
          <w:szCs w:val="21"/>
          <w:u w:val="single"/>
        </w:rPr>
        <w:t>                </w:t>
      </w:r>
      <w:r>
        <w:rPr>
          <w:rFonts w:hint="eastAsia" w:ascii="宋体" w:hAnsi="宋体" w:cs="宋体"/>
          <w:szCs w:val="21"/>
        </w:rPr>
        <w:t xml:space="preserve">（采购单位） </w:t>
      </w:r>
    </w:p>
    <w:p w14:paraId="6BEBEE54">
      <w:pPr>
        <w:adjustRightInd/>
        <w:spacing w:line="460" w:lineRule="exact"/>
        <w:rPr>
          <w:rFonts w:hint="eastAsia" w:ascii="宋体" w:hAnsi="宋体" w:cs="宋体"/>
          <w:szCs w:val="21"/>
        </w:rPr>
      </w:pPr>
      <w:r>
        <w:rPr>
          <w:rFonts w:hint="eastAsia" w:ascii="宋体" w:hAnsi="宋体" w:cs="宋体"/>
          <w:szCs w:val="21"/>
        </w:rPr>
        <w:t>乙方：</w:t>
      </w:r>
      <w:r>
        <w:rPr>
          <w:rFonts w:hint="eastAsia" w:ascii="宋体" w:hAnsi="宋体" w:cs="宋体"/>
          <w:szCs w:val="21"/>
          <w:u w:val="single"/>
        </w:rPr>
        <w:t>                </w:t>
      </w:r>
      <w:r>
        <w:rPr>
          <w:rFonts w:hint="eastAsia" w:ascii="宋体" w:hAnsi="宋体" w:cs="宋体"/>
          <w:szCs w:val="21"/>
        </w:rPr>
        <w:t>（中标方）</w:t>
      </w:r>
    </w:p>
    <w:p w14:paraId="5523048D">
      <w:pPr>
        <w:adjustRightInd/>
        <w:spacing w:line="520" w:lineRule="exact"/>
        <w:rPr>
          <w:rFonts w:hint="eastAsia" w:ascii="宋体" w:hAnsi="宋体" w:cs="宋体"/>
          <w:szCs w:val="21"/>
        </w:rPr>
      </w:pPr>
      <w:r>
        <w:rPr>
          <w:rFonts w:hint="eastAsia" w:ascii="宋体" w:hAnsi="宋体" w:cs="宋体"/>
          <w:szCs w:val="21"/>
        </w:rPr>
        <w:t>   甲乙双方根据      年   月  日《中标通知书》（项目编号：       ），以及采购文件、投标文件的规定，并经双方协商一致，达成本采购合同（中标通知书、采购文件、投标文件以及甲、乙双方商定的补充协议构成本合同不可分割的部分）。</w:t>
      </w:r>
    </w:p>
    <w:p w14:paraId="3B726EC3">
      <w:pPr>
        <w:numPr>
          <w:ilvl w:val="0"/>
          <w:numId w:val="5"/>
        </w:numPr>
        <w:adjustRightInd/>
        <w:spacing w:line="520" w:lineRule="exact"/>
        <w:ind w:firstLine="422" w:firstLineChars="200"/>
        <w:rPr>
          <w:rFonts w:hint="eastAsia" w:ascii="宋体" w:hAnsi="宋体" w:cs="宋体"/>
          <w:b/>
          <w:szCs w:val="21"/>
        </w:rPr>
      </w:pPr>
      <w:r>
        <w:rPr>
          <w:rFonts w:hint="eastAsia" w:ascii="宋体" w:hAnsi="宋体" w:cs="宋体"/>
          <w:b/>
          <w:szCs w:val="21"/>
        </w:rPr>
        <w:t>采购内容及合同金额</w:t>
      </w:r>
    </w:p>
    <w:tbl>
      <w:tblPr>
        <w:tblStyle w:val="26"/>
        <w:tblW w:w="4912" w:type="pct"/>
        <w:jc w:val="center"/>
        <w:tblLayout w:type="autofit"/>
        <w:tblCellMar>
          <w:top w:w="0" w:type="dxa"/>
          <w:left w:w="108" w:type="dxa"/>
          <w:bottom w:w="0" w:type="dxa"/>
          <w:right w:w="108" w:type="dxa"/>
        </w:tblCellMar>
      </w:tblPr>
      <w:tblGrid>
        <w:gridCol w:w="1030"/>
        <w:gridCol w:w="1985"/>
        <w:gridCol w:w="2536"/>
        <w:gridCol w:w="1559"/>
        <w:gridCol w:w="2660"/>
      </w:tblGrid>
      <w:tr w14:paraId="7B39E030">
        <w:tblPrEx>
          <w:tblCellMar>
            <w:top w:w="0" w:type="dxa"/>
            <w:left w:w="108" w:type="dxa"/>
            <w:bottom w:w="0" w:type="dxa"/>
            <w:right w:w="108" w:type="dxa"/>
          </w:tblCellMar>
        </w:tblPrEx>
        <w:trPr>
          <w:trHeight w:val="636" w:hRule="atLeast"/>
          <w:jc w:val="center"/>
        </w:trPr>
        <w:tc>
          <w:tcPr>
            <w:tcW w:w="527" w:type="pct"/>
            <w:tcBorders>
              <w:top w:val="single" w:color="000000" w:sz="4" w:space="0"/>
              <w:left w:val="single" w:color="000000" w:sz="4" w:space="0"/>
              <w:bottom w:val="single" w:color="000000" w:sz="4" w:space="0"/>
              <w:right w:val="single" w:color="000000" w:sz="4" w:space="0"/>
            </w:tcBorders>
            <w:vAlign w:val="center"/>
          </w:tcPr>
          <w:p w14:paraId="30100B01">
            <w:pPr>
              <w:adjustRightInd/>
              <w:spacing w:line="340" w:lineRule="exact"/>
              <w:jc w:val="center"/>
              <w:rPr>
                <w:rFonts w:hint="eastAsia" w:ascii="宋体" w:hAnsi="宋体" w:cs="宋体"/>
                <w:szCs w:val="21"/>
              </w:rPr>
            </w:pPr>
            <w:r>
              <w:rPr>
                <w:rFonts w:hint="eastAsia" w:ascii="宋体" w:hAnsi="宋体" w:cs="宋体"/>
                <w:szCs w:val="21"/>
              </w:rPr>
              <w:t>序号</w:t>
            </w:r>
          </w:p>
        </w:tc>
        <w:tc>
          <w:tcPr>
            <w:tcW w:w="1016" w:type="pct"/>
            <w:tcBorders>
              <w:top w:val="single" w:color="000000" w:sz="4" w:space="0"/>
              <w:left w:val="nil"/>
              <w:bottom w:val="single" w:color="000000" w:sz="4" w:space="0"/>
              <w:right w:val="single" w:color="000000" w:sz="4" w:space="0"/>
            </w:tcBorders>
            <w:vAlign w:val="center"/>
          </w:tcPr>
          <w:p w14:paraId="7282E8DF">
            <w:pPr>
              <w:adjustRightInd/>
              <w:spacing w:line="340" w:lineRule="exact"/>
              <w:jc w:val="center"/>
              <w:rPr>
                <w:rFonts w:hint="eastAsia" w:ascii="宋体" w:hAnsi="宋体" w:cs="宋体"/>
                <w:szCs w:val="21"/>
              </w:rPr>
            </w:pPr>
            <w:r>
              <w:rPr>
                <w:rFonts w:hint="eastAsia" w:ascii="宋体" w:hAnsi="宋体" w:cs="宋体"/>
                <w:szCs w:val="21"/>
              </w:rPr>
              <w:t>工作内容</w:t>
            </w:r>
          </w:p>
        </w:tc>
        <w:tc>
          <w:tcPr>
            <w:tcW w:w="1298" w:type="pct"/>
            <w:tcBorders>
              <w:top w:val="single" w:color="000000" w:sz="4" w:space="0"/>
              <w:left w:val="single" w:color="auto" w:sz="4" w:space="0"/>
              <w:bottom w:val="single" w:color="000000" w:sz="4" w:space="0"/>
              <w:right w:val="single" w:color="auto" w:sz="4" w:space="0"/>
            </w:tcBorders>
            <w:vAlign w:val="center"/>
          </w:tcPr>
          <w:p w14:paraId="232CA61B">
            <w:pPr>
              <w:adjustRightInd/>
              <w:spacing w:line="340" w:lineRule="exact"/>
              <w:jc w:val="center"/>
              <w:rPr>
                <w:rFonts w:hint="eastAsia" w:ascii="宋体" w:hAnsi="宋体" w:cs="宋体"/>
                <w:szCs w:val="21"/>
              </w:rPr>
            </w:pPr>
            <w:r>
              <w:rPr>
                <w:rFonts w:hint="eastAsia" w:ascii="宋体" w:hAnsi="宋体" w:cs="宋体"/>
                <w:szCs w:val="21"/>
              </w:rPr>
              <w:t>村（林区）</w:t>
            </w:r>
          </w:p>
        </w:tc>
        <w:tc>
          <w:tcPr>
            <w:tcW w:w="798" w:type="pct"/>
            <w:tcBorders>
              <w:top w:val="single" w:color="000000" w:sz="4" w:space="0"/>
              <w:left w:val="nil"/>
              <w:bottom w:val="single" w:color="000000" w:sz="4" w:space="0"/>
              <w:right w:val="single" w:color="000000" w:sz="4" w:space="0"/>
            </w:tcBorders>
            <w:vAlign w:val="center"/>
          </w:tcPr>
          <w:p w14:paraId="02ED0D4A">
            <w:pPr>
              <w:adjustRightInd/>
              <w:spacing w:line="340" w:lineRule="exact"/>
              <w:jc w:val="center"/>
              <w:rPr>
                <w:rFonts w:hint="eastAsia" w:ascii="宋体" w:hAnsi="宋体" w:cs="宋体"/>
                <w:szCs w:val="21"/>
              </w:rPr>
            </w:pPr>
            <w:r>
              <w:rPr>
                <w:rFonts w:hint="eastAsia" w:ascii="宋体" w:hAnsi="宋体" w:cs="宋体"/>
                <w:szCs w:val="21"/>
              </w:rPr>
              <w:t>实施面积</w:t>
            </w:r>
          </w:p>
        </w:tc>
        <w:tc>
          <w:tcPr>
            <w:tcW w:w="1362" w:type="pct"/>
            <w:tcBorders>
              <w:top w:val="single" w:color="000000" w:sz="4" w:space="0"/>
              <w:left w:val="nil"/>
              <w:bottom w:val="single" w:color="000000" w:sz="4" w:space="0"/>
              <w:right w:val="single" w:color="000000" w:sz="4" w:space="0"/>
            </w:tcBorders>
            <w:vAlign w:val="center"/>
          </w:tcPr>
          <w:p w14:paraId="5B237B31">
            <w:pPr>
              <w:adjustRightInd/>
              <w:spacing w:line="340" w:lineRule="exact"/>
              <w:jc w:val="center"/>
              <w:rPr>
                <w:rFonts w:hint="eastAsia" w:ascii="宋体" w:hAnsi="宋体" w:cs="宋体"/>
                <w:szCs w:val="21"/>
              </w:rPr>
            </w:pPr>
            <w:r>
              <w:rPr>
                <w:rFonts w:hint="eastAsia" w:ascii="宋体" w:hAnsi="宋体" w:cs="宋体"/>
                <w:szCs w:val="21"/>
              </w:rPr>
              <w:t>总价</w:t>
            </w:r>
          </w:p>
        </w:tc>
      </w:tr>
      <w:tr w14:paraId="1A4BDAED">
        <w:tblPrEx>
          <w:tblCellMar>
            <w:top w:w="0" w:type="dxa"/>
            <w:left w:w="108" w:type="dxa"/>
            <w:bottom w:w="0" w:type="dxa"/>
            <w:right w:w="108" w:type="dxa"/>
          </w:tblCellMar>
        </w:tblPrEx>
        <w:trPr>
          <w:trHeight w:val="636" w:hRule="atLeast"/>
          <w:jc w:val="center"/>
        </w:trPr>
        <w:tc>
          <w:tcPr>
            <w:tcW w:w="527" w:type="pct"/>
            <w:tcBorders>
              <w:top w:val="nil"/>
              <w:left w:val="single" w:color="000000" w:sz="4" w:space="0"/>
              <w:bottom w:val="single" w:color="auto" w:sz="4" w:space="0"/>
              <w:right w:val="single" w:color="000000" w:sz="4" w:space="0"/>
            </w:tcBorders>
            <w:vAlign w:val="center"/>
          </w:tcPr>
          <w:p w14:paraId="765A9D07">
            <w:pPr>
              <w:adjustRightInd/>
              <w:spacing w:line="340" w:lineRule="exact"/>
              <w:jc w:val="center"/>
              <w:rPr>
                <w:rFonts w:hint="eastAsia" w:ascii="宋体" w:hAnsi="宋体" w:cs="宋体"/>
                <w:szCs w:val="21"/>
              </w:rPr>
            </w:pPr>
            <w:r>
              <w:rPr>
                <w:rFonts w:hint="eastAsia" w:ascii="宋体" w:hAnsi="宋体" w:cs="宋体"/>
                <w:szCs w:val="21"/>
              </w:rPr>
              <w:t>1</w:t>
            </w:r>
          </w:p>
        </w:tc>
        <w:tc>
          <w:tcPr>
            <w:tcW w:w="1016" w:type="pct"/>
            <w:tcBorders>
              <w:top w:val="nil"/>
              <w:left w:val="nil"/>
              <w:bottom w:val="single" w:color="auto" w:sz="4" w:space="0"/>
              <w:right w:val="single" w:color="000000" w:sz="4" w:space="0"/>
            </w:tcBorders>
            <w:vAlign w:val="center"/>
          </w:tcPr>
          <w:p w14:paraId="0D46FEAC">
            <w:pPr>
              <w:adjustRightInd/>
              <w:spacing w:line="340" w:lineRule="exact"/>
              <w:jc w:val="center"/>
              <w:rPr>
                <w:rFonts w:hint="eastAsia" w:ascii="宋体" w:hAnsi="宋体" w:cs="宋体"/>
                <w:szCs w:val="21"/>
              </w:rPr>
            </w:pPr>
            <w:r>
              <w:rPr>
                <w:rFonts w:hint="eastAsia" w:ascii="宋体" w:hAnsi="宋体" w:cs="宋体"/>
                <w:szCs w:val="21"/>
              </w:rPr>
              <w:t>嵊州市三溪水库工程林木清理项目</w:t>
            </w:r>
          </w:p>
        </w:tc>
        <w:tc>
          <w:tcPr>
            <w:tcW w:w="1298" w:type="pct"/>
            <w:tcBorders>
              <w:top w:val="nil"/>
              <w:left w:val="single" w:color="auto" w:sz="4" w:space="0"/>
              <w:bottom w:val="single" w:color="auto" w:sz="4" w:space="0"/>
              <w:right w:val="single" w:color="auto" w:sz="4" w:space="0"/>
            </w:tcBorders>
            <w:vAlign w:val="center"/>
          </w:tcPr>
          <w:p w14:paraId="77A4B9F6">
            <w:pPr>
              <w:adjustRightInd/>
              <w:spacing w:line="340" w:lineRule="exact"/>
              <w:jc w:val="center"/>
              <w:rPr>
                <w:rFonts w:hint="eastAsia" w:ascii="宋体" w:hAnsi="宋体" w:cs="宋体"/>
                <w:szCs w:val="21"/>
                <w:highlight w:val="none"/>
              </w:rPr>
            </w:pPr>
            <w:r>
              <w:rPr>
                <w:rFonts w:hint="eastAsia" w:ascii="宋体" w:hAnsi="宋体" w:cs="宋体"/>
                <w:szCs w:val="21"/>
                <w:highlight w:val="none"/>
              </w:rPr>
              <w:t>石璜镇乡(镇、街道、林场)楼家村、溪西村</w:t>
            </w:r>
          </w:p>
        </w:tc>
        <w:tc>
          <w:tcPr>
            <w:tcW w:w="798" w:type="pct"/>
            <w:tcBorders>
              <w:top w:val="nil"/>
              <w:left w:val="nil"/>
              <w:bottom w:val="single" w:color="auto" w:sz="4" w:space="0"/>
              <w:right w:val="single" w:color="000000" w:sz="4" w:space="0"/>
            </w:tcBorders>
            <w:vAlign w:val="center"/>
          </w:tcPr>
          <w:p w14:paraId="057F1C64">
            <w:pPr>
              <w:widowControl/>
              <w:adjustRightInd/>
              <w:jc w:val="center"/>
              <w:rPr>
                <w:highlight w:val="none"/>
              </w:rPr>
            </w:pPr>
            <w:r>
              <w:rPr>
                <w:rFonts w:hint="eastAsia"/>
                <w:highlight w:val="none"/>
              </w:rPr>
              <w:t>约1065亩</w:t>
            </w:r>
          </w:p>
        </w:tc>
        <w:tc>
          <w:tcPr>
            <w:tcW w:w="1362" w:type="pct"/>
            <w:tcBorders>
              <w:top w:val="nil"/>
              <w:left w:val="nil"/>
              <w:bottom w:val="single" w:color="auto" w:sz="4" w:space="0"/>
              <w:right w:val="single" w:color="000000" w:sz="4" w:space="0"/>
            </w:tcBorders>
            <w:vAlign w:val="center"/>
          </w:tcPr>
          <w:p w14:paraId="7870CBEA">
            <w:pPr>
              <w:adjustRightInd/>
              <w:spacing w:line="340" w:lineRule="exact"/>
              <w:rPr>
                <w:rFonts w:hint="eastAsia" w:ascii="宋体" w:hAnsi="宋体" w:cs="宋体"/>
                <w:szCs w:val="21"/>
                <w:highlight w:val="none"/>
              </w:rPr>
            </w:pPr>
            <w:r>
              <w:rPr>
                <w:rFonts w:hint="eastAsia" w:ascii="宋体" w:hAnsi="宋体" w:cs="宋体"/>
                <w:szCs w:val="21"/>
                <w:highlight w:val="none"/>
              </w:rPr>
              <w:t>　</w:t>
            </w:r>
          </w:p>
        </w:tc>
      </w:tr>
    </w:tbl>
    <w:p w14:paraId="6B1A86F1">
      <w:pPr>
        <w:adjustRightInd/>
        <w:spacing w:line="520" w:lineRule="exact"/>
        <w:ind w:firstLine="422" w:firstLineChars="200"/>
        <w:rPr>
          <w:rFonts w:hint="eastAsia" w:ascii="宋体" w:hAnsi="宋体" w:cs="宋体"/>
          <w:b/>
          <w:szCs w:val="21"/>
        </w:rPr>
      </w:pPr>
      <w:r>
        <w:rPr>
          <w:rFonts w:hint="eastAsia" w:ascii="宋体" w:hAnsi="宋体" w:cs="宋体"/>
          <w:b/>
          <w:szCs w:val="21"/>
        </w:rPr>
        <w:t>（二）技术资料</w:t>
      </w:r>
    </w:p>
    <w:p w14:paraId="73B7CB60">
      <w:pPr>
        <w:adjustRightInd/>
        <w:spacing w:line="520" w:lineRule="exact"/>
        <w:ind w:firstLine="480"/>
        <w:rPr>
          <w:rFonts w:hint="eastAsia" w:ascii="宋体" w:hAnsi="宋体" w:cs="宋体"/>
          <w:szCs w:val="21"/>
        </w:rPr>
      </w:pPr>
      <w:r>
        <w:rPr>
          <w:rFonts w:hint="eastAsia" w:ascii="宋体" w:hAnsi="宋体" w:cs="宋体"/>
          <w:szCs w:val="21"/>
        </w:rPr>
        <w:t>1.乙方应按招标文件规定的时间向甲方提供使用的有关技术资料。</w:t>
      </w:r>
    </w:p>
    <w:p w14:paraId="6D021D94">
      <w:pPr>
        <w:adjustRightInd/>
        <w:spacing w:line="520" w:lineRule="exact"/>
        <w:ind w:firstLine="480"/>
        <w:rPr>
          <w:rFonts w:hint="eastAsia" w:ascii="宋体" w:hAnsi="宋体" w:cs="宋体"/>
          <w:szCs w:val="21"/>
        </w:rPr>
      </w:pPr>
      <w:r>
        <w:rPr>
          <w:rFonts w:hint="eastAsia" w:ascii="宋体" w:hAnsi="宋体" w:cs="宋体"/>
          <w:szCs w:val="21"/>
        </w:rPr>
        <w:t>2.没有甲方事先书面同意，乙方不得将由甲方提供的项目资料提供给与履行本合同无关的任何其他人。即使向履行本合同有关的人员提供，也应注意保密并限于履行合同的必需范围。</w:t>
      </w:r>
    </w:p>
    <w:p w14:paraId="0535B2C7">
      <w:pPr>
        <w:adjustRightInd/>
        <w:spacing w:line="520" w:lineRule="exact"/>
        <w:ind w:firstLine="472"/>
        <w:rPr>
          <w:rFonts w:hint="eastAsia" w:ascii="宋体" w:hAnsi="宋体" w:cs="宋体"/>
          <w:b/>
          <w:szCs w:val="21"/>
        </w:rPr>
      </w:pPr>
      <w:r>
        <w:rPr>
          <w:rFonts w:hint="eastAsia" w:ascii="宋体" w:hAnsi="宋体" w:cs="宋体"/>
          <w:b/>
          <w:szCs w:val="21"/>
        </w:rPr>
        <w:t>（三）知识产权</w:t>
      </w:r>
    </w:p>
    <w:p w14:paraId="78182114">
      <w:pPr>
        <w:adjustRightInd/>
        <w:spacing w:line="520" w:lineRule="exact"/>
        <w:ind w:firstLine="480"/>
        <w:rPr>
          <w:rFonts w:hint="eastAsia" w:ascii="宋体" w:hAnsi="宋体" w:cs="宋体"/>
          <w:szCs w:val="21"/>
        </w:rPr>
      </w:pPr>
      <w:r>
        <w:rPr>
          <w:rFonts w:hint="eastAsia" w:ascii="宋体" w:hAnsi="宋体" w:cs="宋体"/>
          <w:szCs w:val="21"/>
        </w:rPr>
        <w:t>供方应保证所提供的服务均不会侵犯任何第三方的知识产权。</w:t>
      </w:r>
    </w:p>
    <w:p w14:paraId="50BA0396">
      <w:pPr>
        <w:adjustRightInd/>
        <w:spacing w:line="520" w:lineRule="exact"/>
        <w:ind w:firstLine="422" w:firstLineChars="200"/>
        <w:rPr>
          <w:rFonts w:hint="eastAsia" w:ascii="宋体" w:hAnsi="宋体" w:cs="宋体"/>
          <w:b/>
          <w:szCs w:val="21"/>
        </w:rPr>
      </w:pPr>
      <w:r>
        <w:rPr>
          <w:rFonts w:hint="eastAsia" w:ascii="宋体" w:hAnsi="宋体" w:cs="宋体"/>
          <w:b/>
          <w:szCs w:val="21"/>
        </w:rPr>
        <w:t>（四）转包或分包</w:t>
      </w:r>
    </w:p>
    <w:p w14:paraId="0B286D22">
      <w:pPr>
        <w:adjustRightInd/>
        <w:spacing w:line="520" w:lineRule="exact"/>
        <w:ind w:firstLine="472"/>
        <w:rPr>
          <w:rFonts w:hint="eastAsia" w:ascii="宋体" w:hAnsi="宋体" w:cs="宋体"/>
          <w:szCs w:val="21"/>
        </w:rPr>
      </w:pPr>
      <w:r>
        <w:rPr>
          <w:rFonts w:hint="eastAsia" w:ascii="宋体" w:hAnsi="宋体" w:cs="宋体"/>
          <w:szCs w:val="21"/>
        </w:rPr>
        <w:t>1.本合同范围的服务，应由乙方直接供应，不得转让他人供应；</w:t>
      </w:r>
    </w:p>
    <w:p w14:paraId="28EF6A73">
      <w:pPr>
        <w:adjustRightInd/>
        <w:spacing w:line="520" w:lineRule="exact"/>
        <w:ind w:firstLine="472"/>
        <w:rPr>
          <w:rFonts w:hint="eastAsia" w:ascii="宋体" w:hAnsi="宋体" w:cs="宋体"/>
          <w:szCs w:val="21"/>
        </w:rPr>
      </w:pPr>
      <w:r>
        <w:rPr>
          <w:rFonts w:hint="eastAsia" w:ascii="宋体" w:hAnsi="宋体" w:cs="宋体"/>
          <w:szCs w:val="21"/>
        </w:rPr>
        <w:t>2.除非得到甲方的书面同意，乙方不得将本合同范围的服务全部或部分分包给他人供应；</w:t>
      </w:r>
    </w:p>
    <w:p w14:paraId="03D380FE">
      <w:pPr>
        <w:adjustRightInd/>
        <w:spacing w:line="520" w:lineRule="exact"/>
        <w:ind w:firstLine="472"/>
        <w:rPr>
          <w:rFonts w:hint="eastAsia" w:ascii="宋体" w:hAnsi="宋体" w:cs="宋体"/>
          <w:szCs w:val="21"/>
        </w:rPr>
      </w:pPr>
      <w:r>
        <w:rPr>
          <w:rFonts w:hint="eastAsia" w:ascii="宋体" w:hAnsi="宋体" w:cs="宋体"/>
          <w:szCs w:val="21"/>
        </w:rPr>
        <w:t>3.如有转让和未经甲方同意的分包行为，甲方有权解除合同，追究乙方的违约责任。</w:t>
      </w:r>
    </w:p>
    <w:p w14:paraId="64084120">
      <w:pPr>
        <w:adjustRightInd/>
        <w:spacing w:line="520" w:lineRule="exact"/>
        <w:ind w:firstLine="422" w:firstLineChars="200"/>
        <w:rPr>
          <w:rFonts w:hint="eastAsia" w:ascii="宋体" w:hAnsi="宋体" w:cs="宋体"/>
          <w:b/>
          <w:szCs w:val="21"/>
        </w:rPr>
      </w:pPr>
      <w:r>
        <w:rPr>
          <w:rFonts w:hint="eastAsia" w:ascii="宋体" w:hAnsi="宋体" w:cs="宋体"/>
          <w:b/>
          <w:szCs w:val="21"/>
        </w:rPr>
        <w:t>（五）林木清理技术要求</w:t>
      </w:r>
    </w:p>
    <w:p w14:paraId="2BB752F3">
      <w:pPr>
        <w:adjustRightInd/>
        <w:snapToGrid w:val="0"/>
        <w:spacing w:line="520" w:lineRule="exact"/>
        <w:ind w:firstLine="482" w:firstLineChars="200"/>
        <w:rPr>
          <w:rFonts w:hint="eastAsia" w:ascii="宋体" w:hAnsi="宋体" w:cs="宋体"/>
          <w:sz w:val="24"/>
        </w:rPr>
      </w:pPr>
      <w:r>
        <w:rPr>
          <w:rFonts w:hint="eastAsia" w:ascii="宋体" w:hAnsi="宋体" w:cs="宋体"/>
          <w:b/>
          <w:bCs/>
          <w:sz w:val="24"/>
        </w:rPr>
        <w:t>（1）林木采伐</w:t>
      </w:r>
    </w:p>
    <w:p w14:paraId="32F60474">
      <w:pPr>
        <w:adjustRightInd/>
        <w:spacing w:line="520" w:lineRule="exact"/>
        <w:ind w:firstLine="472"/>
        <w:rPr>
          <w:rFonts w:hint="eastAsia" w:ascii="宋体" w:hAnsi="宋体" w:cs="宋体"/>
          <w:szCs w:val="21"/>
        </w:rPr>
      </w:pPr>
      <w:r>
        <w:rPr>
          <w:rFonts w:hint="eastAsia" w:ascii="宋体" w:hAnsi="宋体" w:cs="宋体"/>
          <w:szCs w:val="21"/>
        </w:rPr>
        <w:t>对项目指定范围周边土地区域进行划分，包片分段进行实施，采取人工采伐和机械采伐相结合的方式，严格按照林木采伐标准、清运处置及环保要求，包括乔木、竹、灌木、红树林等，规范、安全、有时效性的开展，确保林木采伐无死角、无遗漏、全覆盖。</w:t>
      </w:r>
    </w:p>
    <w:p w14:paraId="23159741">
      <w:pPr>
        <w:adjustRightInd/>
        <w:snapToGrid w:val="0"/>
        <w:spacing w:line="520" w:lineRule="exact"/>
        <w:ind w:firstLine="482" w:firstLineChars="200"/>
        <w:rPr>
          <w:rFonts w:hint="eastAsia" w:ascii="宋体" w:hAnsi="宋体" w:cs="宋体"/>
          <w:sz w:val="24"/>
        </w:rPr>
      </w:pPr>
      <w:r>
        <w:rPr>
          <w:rFonts w:hint="eastAsia" w:ascii="宋体" w:hAnsi="宋体" w:cs="宋体"/>
          <w:b/>
          <w:bCs/>
          <w:sz w:val="24"/>
        </w:rPr>
        <w:t>（2）松木采伐</w:t>
      </w:r>
    </w:p>
    <w:p w14:paraId="0E586C89">
      <w:pPr>
        <w:adjustRightInd/>
        <w:spacing w:line="520" w:lineRule="exact"/>
        <w:ind w:firstLine="472"/>
        <w:rPr>
          <w:rFonts w:hint="eastAsia" w:ascii="宋体" w:hAnsi="宋体" w:cs="宋体"/>
          <w:szCs w:val="21"/>
          <w:highlight w:val="none"/>
        </w:rPr>
      </w:pPr>
      <w:r>
        <w:rPr>
          <w:rFonts w:ascii="宋体" w:hAnsi="宋体" w:cs="宋体"/>
          <w:szCs w:val="21"/>
        </w:rPr>
        <w:t>清理范围内松树清理率达到100％，清理下山的松木严格按照嵊市林防指办〔2024]5号</w:t>
      </w:r>
      <w:r>
        <w:rPr>
          <w:rFonts w:hint="eastAsia" w:ascii="宋体" w:hAnsi="宋体" w:cs="宋体"/>
          <w:szCs w:val="21"/>
        </w:rPr>
        <w:t>文件、</w:t>
      </w:r>
      <w:r>
        <w:rPr>
          <w:rFonts w:ascii="宋体" w:hAnsi="宋体" w:cs="宋体"/>
          <w:szCs w:val="21"/>
        </w:rPr>
        <w:t>《松材线虫病疫区和疫木管理办法》进行管理，清理质量要求严格执行《松材线虫病防治技术方案（202</w:t>
      </w:r>
      <w:r>
        <w:rPr>
          <w:rFonts w:hint="eastAsia" w:ascii="宋体" w:hAnsi="宋体" w:cs="宋体"/>
          <w:szCs w:val="21"/>
        </w:rPr>
        <w:t>4</w:t>
      </w:r>
      <w:r>
        <w:rPr>
          <w:rFonts w:ascii="宋体" w:hAnsi="宋体" w:cs="宋体"/>
          <w:szCs w:val="21"/>
        </w:rPr>
        <w:t>年版）》相关规定：</w:t>
      </w:r>
    </w:p>
    <w:p w14:paraId="71488807">
      <w:pPr>
        <w:adjustRightInd/>
        <w:spacing w:line="520" w:lineRule="exact"/>
        <w:ind w:firstLine="472"/>
        <w:rPr>
          <w:rFonts w:hint="eastAsia" w:ascii="宋体" w:hAnsi="宋体" w:cs="宋体"/>
          <w:szCs w:val="21"/>
          <w:highlight w:val="none"/>
        </w:rPr>
      </w:pPr>
      <w:r>
        <w:rPr>
          <w:rFonts w:ascii="宋体" w:hAnsi="宋体" w:cs="宋体"/>
          <w:szCs w:val="21"/>
          <w:highlight w:val="none"/>
        </w:rPr>
        <w:t>1）伐桩处理：林木经清理后，残留树高度不应超过地面0.3m；松树伐除后，按照《松材线虫病防治技术方案（202</w:t>
      </w:r>
      <w:r>
        <w:rPr>
          <w:rFonts w:hint="eastAsia" w:ascii="宋体" w:hAnsi="宋体" w:cs="宋体"/>
          <w:szCs w:val="21"/>
          <w:highlight w:val="none"/>
        </w:rPr>
        <w:t>4</w:t>
      </w:r>
      <w:r>
        <w:rPr>
          <w:rFonts w:ascii="宋体" w:hAnsi="宋体" w:cs="宋体"/>
          <w:szCs w:val="21"/>
          <w:highlight w:val="none"/>
        </w:rPr>
        <w:t>年版）》相关规定处理。</w:t>
      </w:r>
    </w:p>
    <w:p w14:paraId="06976098">
      <w:pPr>
        <w:adjustRightInd/>
        <w:spacing w:line="520" w:lineRule="exact"/>
        <w:ind w:firstLine="472"/>
        <w:rPr>
          <w:rFonts w:hint="eastAsia" w:ascii="宋体" w:hAnsi="宋体" w:cs="宋体"/>
          <w:szCs w:val="21"/>
          <w:highlight w:val="none"/>
        </w:rPr>
      </w:pPr>
      <w:r>
        <w:rPr>
          <w:rFonts w:ascii="宋体" w:hAnsi="宋体" w:cs="宋体"/>
          <w:szCs w:val="21"/>
          <w:highlight w:val="none"/>
        </w:rPr>
        <w:t>2）枝桠处理：清理迹地范围内，清理收集所有直径大于1cm的松树枝桠，随疫木主干运到指定的疫木定点加工企业进行除害处理，或就近采取粉碎（粉碎物最大粒径不得超过1厘米）、烧毁等除害措施。</w:t>
      </w:r>
    </w:p>
    <w:p w14:paraId="786157FE">
      <w:pPr>
        <w:adjustRightInd/>
        <w:spacing w:line="520" w:lineRule="exact"/>
        <w:ind w:firstLine="472"/>
        <w:rPr>
          <w:rFonts w:hint="eastAsia"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松</w:t>
      </w:r>
      <w:r>
        <w:rPr>
          <w:rFonts w:ascii="宋体" w:hAnsi="宋体" w:cs="宋体"/>
          <w:szCs w:val="21"/>
          <w:highlight w:val="none"/>
        </w:rPr>
        <w:t>木处理：伐除的松木必须运到指定的疫木定点企业进行安全除害处理，或就近采取粉碎（粉碎物最大粒径不得超过1厘米）、烧毁等除害措施。</w:t>
      </w:r>
    </w:p>
    <w:p w14:paraId="4979B4FE">
      <w:pPr>
        <w:adjustRightInd/>
        <w:spacing w:line="520" w:lineRule="exact"/>
        <w:ind w:firstLine="472"/>
        <w:rPr>
          <w:rFonts w:hint="eastAsia" w:ascii="宋体" w:hAnsi="宋体" w:cs="宋体"/>
          <w:szCs w:val="21"/>
          <w:highlight w:val="none"/>
        </w:rPr>
      </w:pPr>
      <w:r>
        <w:rPr>
          <w:rFonts w:ascii="宋体" w:hAnsi="宋体" w:cs="宋体"/>
          <w:szCs w:val="21"/>
          <w:highlight w:val="none"/>
        </w:rPr>
        <w:t>4）</w:t>
      </w:r>
      <w:r>
        <w:rPr>
          <w:rFonts w:hint="eastAsia" w:ascii="宋体" w:hAnsi="宋体" w:cs="宋体"/>
          <w:szCs w:val="21"/>
          <w:highlight w:val="none"/>
        </w:rPr>
        <w:t>中标人</w:t>
      </w:r>
      <w:r>
        <w:rPr>
          <w:rFonts w:ascii="宋体" w:hAnsi="宋体" w:cs="宋体"/>
          <w:szCs w:val="21"/>
          <w:highlight w:val="none"/>
        </w:rPr>
        <w:t>在进场前，要把清理队伍人员和要进入的山场告知采购人，经采购人同意，才可进场清理。清理采伐完工后，由</w:t>
      </w:r>
      <w:r>
        <w:rPr>
          <w:rFonts w:hint="eastAsia" w:ascii="宋体" w:hAnsi="宋体" w:cs="宋体"/>
          <w:szCs w:val="21"/>
          <w:highlight w:val="none"/>
        </w:rPr>
        <w:t>中标人</w:t>
      </w:r>
      <w:r>
        <w:rPr>
          <w:rFonts w:ascii="宋体" w:hAnsi="宋体" w:cs="宋体"/>
          <w:szCs w:val="21"/>
          <w:highlight w:val="none"/>
        </w:rPr>
        <w:t>自检合格后提出验收的申请，采购人组织相关人员按验收标准及时进行验收，质量不符合《松材线虫病防治技术方案（202</w:t>
      </w:r>
      <w:r>
        <w:rPr>
          <w:rFonts w:hint="eastAsia" w:ascii="宋体" w:hAnsi="宋体" w:cs="宋体"/>
          <w:szCs w:val="21"/>
          <w:highlight w:val="none"/>
        </w:rPr>
        <w:t>4</w:t>
      </w:r>
      <w:r>
        <w:rPr>
          <w:rFonts w:ascii="宋体" w:hAnsi="宋体" w:cs="宋体"/>
          <w:szCs w:val="21"/>
          <w:highlight w:val="none"/>
        </w:rPr>
        <w:t>年版）》的扣除合同款项的30%。</w:t>
      </w:r>
    </w:p>
    <w:p w14:paraId="5D2148B7">
      <w:pPr>
        <w:adjustRightInd/>
        <w:spacing w:line="520" w:lineRule="exact"/>
        <w:ind w:firstLine="472"/>
        <w:rPr>
          <w:rFonts w:hint="eastAsia" w:ascii="宋体" w:hAnsi="宋体" w:cs="宋体"/>
          <w:szCs w:val="21"/>
          <w:highlight w:val="none"/>
        </w:rPr>
      </w:pPr>
      <w:r>
        <w:rPr>
          <w:rFonts w:ascii="宋体" w:hAnsi="宋体" w:cs="宋体"/>
          <w:szCs w:val="21"/>
          <w:highlight w:val="none"/>
        </w:rPr>
        <w:t>5）</w:t>
      </w:r>
      <w:r>
        <w:rPr>
          <w:rFonts w:hint="eastAsia" w:ascii="宋体" w:hAnsi="宋体" w:cs="宋体"/>
          <w:szCs w:val="21"/>
          <w:highlight w:val="none"/>
        </w:rPr>
        <w:t>中标人</w:t>
      </w:r>
      <w:r>
        <w:rPr>
          <w:rFonts w:ascii="宋体" w:hAnsi="宋体" w:cs="宋体"/>
          <w:szCs w:val="21"/>
          <w:highlight w:val="none"/>
        </w:rPr>
        <w:t>要做好</w:t>
      </w:r>
      <w:r>
        <w:rPr>
          <w:rFonts w:hint="eastAsia" w:ascii="宋体" w:hAnsi="宋体" w:cs="宋体"/>
          <w:szCs w:val="21"/>
          <w:highlight w:val="none"/>
        </w:rPr>
        <w:t>采伐</w:t>
      </w:r>
      <w:r>
        <w:rPr>
          <w:rFonts w:ascii="宋体" w:hAnsi="宋体" w:cs="宋体"/>
          <w:szCs w:val="21"/>
          <w:highlight w:val="none"/>
        </w:rPr>
        <w:t>档案记载，</w:t>
      </w:r>
      <w:r>
        <w:rPr>
          <w:rFonts w:hint="eastAsia" w:ascii="宋体" w:hAnsi="宋体" w:cs="宋体"/>
          <w:szCs w:val="21"/>
          <w:highlight w:val="none"/>
        </w:rPr>
        <w:t>采伐</w:t>
      </w:r>
      <w:r>
        <w:rPr>
          <w:rFonts w:ascii="宋体" w:hAnsi="宋体" w:cs="宋体"/>
          <w:szCs w:val="21"/>
          <w:highlight w:val="none"/>
        </w:rPr>
        <w:t>照片（</w:t>
      </w:r>
      <w:r>
        <w:rPr>
          <w:rFonts w:hint="eastAsia" w:ascii="宋体" w:hAnsi="宋体" w:cs="宋体"/>
          <w:szCs w:val="21"/>
          <w:highlight w:val="none"/>
        </w:rPr>
        <w:t>采伐</w:t>
      </w:r>
      <w:r>
        <w:rPr>
          <w:rFonts w:ascii="宋体" w:hAnsi="宋体" w:cs="宋体"/>
          <w:szCs w:val="21"/>
          <w:highlight w:val="none"/>
        </w:rPr>
        <w:t>前、</w:t>
      </w:r>
      <w:r>
        <w:rPr>
          <w:rFonts w:hint="eastAsia" w:ascii="宋体" w:hAnsi="宋体" w:cs="宋体"/>
          <w:szCs w:val="21"/>
          <w:highlight w:val="none"/>
        </w:rPr>
        <w:t>采伐</w:t>
      </w:r>
      <w:r>
        <w:rPr>
          <w:rFonts w:ascii="宋体" w:hAnsi="宋体" w:cs="宋体"/>
          <w:szCs w:val="21"/>
          <w:highlight w:val="none"/>
        </w:rPr>
        <w:t>中、</w:t>
      </w:r>
      <w:r>
        <w:rPr>
          <w:rFonts w:hint="eastAsia" w:ascii="宋体" w:hAnsi="宋体" w:cs="宋体"/>
          <w:szCs w:val="21"/>
          <w:highlight w:val="none"/>
        </w:rPr>
        <w:t>采伐</w:t>
      </w:r>
      <w:r>
        <w:rPr>
          <w:rFonts w:ascii="宋体" w:hAnsi="宋体" w:cs="宋体"/>
          <w:szCs w:val="21"/>
          <w:highlight w:val="none"/>
        </w:rPr>
        <w:t>后，同一地点为佳），</w:t>
      </w:r>
      <w:r>
        <w:rPr>
          <w:rFonts w:hint="eastAsia" w:ascii="宋体" w:hAnsi="宋体" w:cs="宋体"/>
          <w:szCs w:val="21"/>
          <w:highlight w:val="none"/>
        </w:rPr>
        <w:t>工作</w:t>
      </w:r>
      <w:r>
        <w:rPr>
          <w:rFonts w:ascii="宋体" w:hAnsi="宋体" w:cs="宋体"/>
          <w:szCs w:val="21"/>
          <w:highlight w:val="none"/>
        </w:rPr>
        <w:t>记录，松木的流向、松木数量（</w:t>
      </w:r>
      <w:r>
        <w:rPr>
          <w:rFonts w:hint="eastAsia" w:ascii="宋体" w:hAnsi="宋体" w:cs="宋体"/>
          <w:szCs w:val="21"/>
          <w:highlight w:val="none"/>
        </w:rPr>
        <w:t>承包方与市林业局指定加工点，</w:t>
      </w:r>
      <w:r>
        <w:rPr>
          <w:rFonts w:ascii="宋体" w:hAnsi="宋体" w:cs="宋体"/>
          <w:szCs w:val="21"/>
          <w:highlight w:val="none"/>
        </w:rPr>
        <w:t>双签字、双称重）等。</w:t>
      </w:r>
    </w:p>
    <w:p w14:paraId="60EF8984">
      <w:pPr>
        <w:adjustRightInd/>
        <w:spacing w:line="520" w:lineRule="exact"/>
        <w:ind w:firstLine="472"/>
        <w:rPr>
          <w:rFonts w:hint="eastAsia" w:ascii="宋体" w:hAnsi="宋体" w:cs="宋体"/>
          <w:szCs w:val="21"/>
          <w:highlight w:val="none"/>
        </w:rPr>
      </w:pPr>
      <w:r>
        <w:rPr>
          <w:rFonts w:hint="eastAsia" w:ascii="宋体" w:hAnsi="宋体" w:cs="宋体"/>
          <w:szCs w:val="21"/>
          <w:highlight w:val="none"/>
        </w:rPr>
        <w:t>（3）林木清理</w:t>
      </w:r>
    </w:p>
    <w:p w14:paraId="607B8284">
      <w:pPr>
        <w:adjustRightInd/>
        <w:spacing w:line="520" w:lineRule="exact"/>
        <w:ind w:firstLine="472"/>
        <w:rPr>
          <w:rFonts w:hint="eastAsia" w:ascii="宋体" w:hAnsi="宋体" w:cs="宋体"/>
          <w:color w:val="FF0000"/>
          <w:szCs w:val="21"/>
          <w:highlight w:val="none"/>
          <w:lang w:val="en"/>
        </w:rPr>
      </w:pPr>
      <w:r>
        <w:rPr>
          <w:rFonts w:hint="eastAsia" w:ascii="宋体" w:hAnsi="宋体" w:cs="宋体"/>
          <w:color w:val="FF0000"/>
          <w:szCs w:val="21"/>
          <w:highlight w:val="none"/>
          <w:lang w:val="en"/>
        </w:rPr>
        <w:t>合同签订后54个月内全部完成（具体时间满足工程建设要求，确保在水库蓄水验收前，完成全部林木的清理）。其中建设区范围的林木须在签订合同后1个月内完成清理；在蓄水验收前，按蓄水验收规范要求完成清理（包括二次清理）。</w:t>
      </w:r>
    </w:p>
    <w:p w14:paraId="7D4ADB90">
      <w:pPr>
        <w:adjustRightInd/>
        <w:spacing w:line="520" w:lineRule="exact"/>
        <w:ind w:firstLine="472"/>
        <w:rPr>
          <w:rFonts w:hint="eastAsia" w:ascii="宋体" w:hAnsi="宋体" w:cs="宋体"/>
          <w:color w:val="FF0000"/>
          <w:szCs w:val="21"/>
          <w:highlight w:val="none"/>
        </w:rPr>
      </w:pPr>
      <w:r>
        <w:rPr>
          <w:rFonts w:hint="eastAsia" w:ascii="宋体" w:hAnsi="宋体" w:cs="宋体"/>
          <w:color w:val="FF0000"/>
          <w:szCs w:val="21"/>
          <w:highlight w:val="none"/>
        </w:rPr>
        <w:t>采伐的林木归中标人所有，其中松木必须按规定运送到市林业局指点加工点处理，不得它用。</w:t>
      </w:r>
      <w:r>
        <w:rPr>
          <w:rFonts w:hint="eastAsia" w:ascii="宋体" w:hAnsi="宋体"/>
          <w:b/>
          <w:bCs/>
          <w:szCs w:val="21"/>
          <w:highlight w:val="none"/>
        </w:rPr>
        <w:t>若发现未按相关规定处置的，按50000元/次进行扣罚，并报送到相关部门予以调查处理</w:t>
      </w:r>
      <w:r>
        <w:rPr>
          <w:rFonts w:hint="eastAsia" w:ascii="宋体" w:hAnsi="宋体" w:cs="宋体"/>
          <w:color w:val="FF0000"/>
          <w:szCs w:val="21"/>
          <w:highlight w:val="none"/>
        </w:rPr>
        <w:t>。</w:t>
      </w:r>
    </w:p>
    <w:p w14:paraId="3BD62CCE">
      <w:pPr>
        <w:adjustRightInd/>
        <w:spacing w:line="520" w:lineRule="exact"/>
        <w:ind w:firstLine="472"/>
        <w:rPr>
          <w:rFonts w:hint="eastAsia" w:ascii="宋体" w:hAnsi="宋体" w:cs="宋体"/>
          <w:szCs w:val="21"/>
          <w:highlight w:val="none"/>
        </w:rPr>
      </w:pPr>
      <w:r>
        <w:rPr>
          <w:rFonts w:hint="eastAsia" w:ascii="宋体" w:hAnsi="宋体" w:cs="宋体"/>
          <w:b/>
          <w:bCs/>
          <w:szCs w:val="21"/>
          <w:highlight w:val="none"/>
        </w:rPr>
        <w:t>（六）施工安全责任及相关要求</w:t>
      </w:r>
    </w:p>
    <w:p w14:paraId="2281C0AA">
      <w:pPr>
        <w:adjustRightInd/>
        <w:spacing w:line="520" w:lineRule="exact"/>
        <w:ind w:firstLine="472"/>
        <w:rPr>
          <w:rFonts w:hint="eastAsia" w:ascii="宋体" w:hAnsi="宋体" w:cs="宋体"/>
          <w:szCs w:val="21"/>
          <w:highlight w:val="none"/>
        </w:rPr>
      </w:pPr>
      <w:r>
        <w:rPr>
          <w:rFonts w:hint="eastAsia" w:ascii="宋体" w:hAnsi="宋体" w:cs="宋体"/>
          <w:szCs w:val="21"/>
          <w:highlight w:val="none"/>
        </w:rPr>
        <w:t>1.三溪水库工程林木清理施工安全管理遵循安全第一、预防为主的原则。</w:t>
      </w:r>
    </w:p>
    <w:p w14:paraId="66C90DD3">
      <w:pPr>
        <w:adjustRightInd/>
        <w:spacing w:line="520" w:lineRule="exact"/>
        <w:ind w:firstLine="472"/>
        <w:rPr>
          <w:rFonts w:hint="eastAsia" w:ascii="宋体" w:hAnsi="宋体" w:cs="宋体"/>
          <w:szCs w:val="21"/>
          <w:highlight w:val="none"/>
        </w:rPr>
      </w:pPr>
      <w:r>
        <w:rPr>
          <w:rFonts w:hint="eastAsia" w:ascii="宋体" w:hAnsi="宋体" w:cs="宋体"/>
          <w:szCs w:val="21"/>
          <w:highlight w:val="none"/>
        </w:rPr>
        <w:t>2.乙方必须遵守相关行业要求的安全生产有关法律、法规、规章的规定，依法承担安全生产责任，乙方主要负责人依法对施工安全工作全面负责。</w:t>
      </w:r>
    </w:p>
    <w:p w14:paraId="4A245036">
      <w:pPr>
        <w:adjustRightInd/>
        <w:spacing w:line="520" w:lineRule="exact"/>
        <w:ind w:firstLine="472"/>
        <w:rPr>
          <w:rFonts w:hint="eastAsia" w:ascii="宋体" w:hAnsi="宋体" w:cs="宋体"/>
          <w:szCs w:val="21"/>
          <w:highlight w:val="none"/>
        </w:rPr>
      </w:pPr>
      <w:r>
        <w:rPr>
          <w:rFonts w:hint="eastAsia" w:ascii="宋体" w:hAnsi="宋体" w:cs="宋体"/>
          <w:szCs w:val="21"/>
          <w:highlight w:val="none"/>
        </w:rPr>
        <w:t>3.甲方在未通知清理之前，乙方不得擅自开工清理。</w:t>
      </w:r>
    </w:p>
    <w:p w14:paraId="6E260B6B">
      <w:pPr>
        <w:adjustRightInd/>
        <w:spacing w:line="520" w:lineRule="exact"/>
        <w:ind w:firstLine="472"/>
        <w:rPr>
          <w:rFonts w:hint="eastAsia" w:ascii="宋体" w:hAnsi="宋体" w:cs="宋体"/>
          <w:szCs w:val="21"/>
        </w:rPr>
      </w:pPr>
      <w:r>
        <w:rPr>
          <w:rFonts w:hint="eastAsia" w:ascii="宋体" w:hAnsi="宋体" w:cs="宋体"/>
          <w:szCs w:val="21"/>
          <w:highlight w:val="none"/>
        </w:rPr>
        <w:t>4.开工前，乙方应组织全体施工人员进行安全教育，并将参加安全教育人员名单（包括临时增补或调换人员）与考试成绩报给甲方备案。特种作业人员必须有有关部门核发的合格有效</w:t>
      </w:r>
      <w:r>
        <w:rPr>
          <w:rFonts w:hint="eastAsia" w:ascii="宋体" w:hAnsi="宋体" w:cs="宋体"/>
          <w:szCs w:val="21"/>
        </w:rPr>
        <w:t>的上岗资格证书。</w:t>
      </w:r>
    </w:p>
    <w:p w14:paraId="449105FA">
      <w:pPr>
        <w:adjustRightInd/>
        <w:spacing w:line="520" w:lineRule="exact"/>
        <w:ind w:firstLine="472"/>
        <w:rPr>
          <w:rFonts w:hint="eastAsia" w:ascii="宋体" w:hAnsi="宋体" w:cs="宋体"/>
          <w:szCs w:val="21"/>
        </w:rPr>
      </w:pPr>
      <w:r>
        <w:rPr>
          <w:rFonts w:hint="eastAsia" w:ascii="宋体" w:hAnsi="宋体" w:cs="宋体"/>
          <w:szCs w:val="21"/>
        </w:rPr>
        <w:t>5.乙方一切施工活动，必须编制施工方案，施工前对全体施工人员进行全面的安全技术交底，并在整个施工过程正确、完整地执行，无措施或未交底严禁施工。</w:t>
      </w:r>
    </w:p>
    <w:p w14:paraId="0A9F1646">
      <w:pPr>
        <w:adjustRightInd/>
        <w:spacing w:line="520" w:lineRule="exact"/>
        <w:ind w:firstLine="472"/>
        <w:rPr>
          <w:rFonts w:hint="eastAsia" w:ascii="宋体" w:hAnsi="宋体" w:cs="宋体"/>
          <w:szCs w:val="21"/>
        </w:rPr>
      </w:pPr>
      <w:r>
        <w:rPr>
          <w:rFonts w:hint="eastAsia" w:ascii="宋体" w:hAnsi="宋体" w:cs="宋体"/>
          <w:szCs w:val="21"/>
        </w:rPr>
        <w:t>6.乙方不得分包、转包本项目。</w:t>
      </w:r>
    </w:p>
    <w:p w14:paraId="142635BA">
      <w:pPr>
        <w:adjustRightInd/>
        <w:spacing w:line="520" w:lineRule="exact"/>
        <w:ind w:firstLine="472"/>
        <w:rPr>
          <w:rFonts w:hint="eastAsia" w:ascii="宋体" w:hAnsi="宋体" w:cs="宋体"/>
          <w:szCs w:val="21"/>
          <w:highlight w:val="none"/>
        </w:rPr>
      </w:pPr>
      <w:r>
        <w:rPr>
          <w:rFonts w:hint="eastAsia" w:ascii="宋体" w:hAnsi="宋体" w:cs="宋体"/>
          <w:szCs w:val="21"/>
          <w:highlight w:val="none"/>
        </w:rPr>
        <w:t>7.乙方应当建立健全安全施工责任制度和教育培训制度，制定安全施工规章制度和操作规程，保证安全施工所需资金的投入，进行定期和专项安全施工检查并做好检查记录。</w:t>
      </w:r>
    </w:p>
    <w:p w14:paraId="18E7E030">
      <w:pPr>
        <w:adjustRightInd/>
        <w:spacing w:line="520" w:lineRule="exact"/>
        <w:ind w:firstLine="472"/>
        <w:rPr>
          <w:rFonts w:hint="eastAsia" w:ascii="宋体" w:hAnsi="宋体" w:cs="宋体"/>
          <w:szCs w:val="21"/>
          <w:highlight w:val="none"/>
        </w:rPr>
      </w:pPr>
      <w:r>
        <w:rPr>
          <w:rFonts w:hint="eastAsia" w:ascii="宋体" w:hAnsi="宋体" w:cs="宋体"/>
          <w:szCs w:val="21"/>
          <w:highlight w:val="none"/>
        </w:rPr>
        <w:t>8.乙方应当制定安全事故应急救援预案，建立应急救援组织或指定应急救援人员，配备应急救援器材。</w:t>
      </w:r>
    </w:p>
    <w:p w14:paraId="12904D15">
      <w:pPr>
        <w:adjustRightInd/>
        <w:spacing w:line="520" w:lineRule="exact"/>
        <w:ind w:firstLine="472"/>
        <w:rPr>
          <w:rFonts w:hint="eastAsia" w:ascii="宋体" w:hAnsi="宋体" w:cs="宋体"/>
          <w:szCs w:val="21"/>
          <w:highlight w:val="none"/>
        </w:rPr>
      </w:pPr>
      <w:r>
        <w:rPr>
          <w:rFonts w:hint="eastAsia" w:ascii="宋体" w:hAnsi="宋体" w:cs="宋体"/>
          <w:szCs w:val="21"/>
          <w:highlight w:val="none"/>
        </w:rPr>
        <w:t>9.乙方应当为作业人员提供符合国家标准或者行业标准的劳动安全防护用品，并监督、教育作业人员按照使用规则佩戴、使用。</w:t>
      </w:r>
    </w:p>
    <w:p w14:paraId="44E9E895">
      <w:pPr>
        <w:adjustRightInd/>
        <w:spacing w:line="520" w:lineRule="exact"/>
        <w:ind w:firstLine="472"/>
        <w:rPr>
          <w:rFonts w:hint="eastAsia" w:ascii="宋体" w:hAnsi="宋体" w:cs="宋体"/>
          <w:szCs w:val="21"/>
          <w:highlight w:val="none"/>
        </w:rPr>
      </w:pPr>
      <w:r>
        <w:rPr>
          <w:rFonts w:hint="eastAsia" w:ascii="宋体" w:hAnsi="宋体" w:cs="宋体"/>
          <w:szCs w:val="21"/>
          <w:highlight w:val="none"/>
        </w:rPr>
        <w:t>10.乙方施工进场前应当为作业人员办理人身意外伤害保险并缴纳保险费供查验。</w:t>
      </w:r>
    </w:p>
    <w:p w14:paraId="5C8C80AE">
      <w:pPr>
        <w:adjustRightInd/>
        <w:spacing w:line="520" w:lineRule="exact"/>
        <w:ind w:firstLine="472"/>
        <w:rPr>
          <w:rFonts w:hint="eastAsia" w:ascii="宋体" w:hAnsi="宋体" w:cs="宋体"/>
          <w:szCs w:val="21"/>
        </w:rPr>
      </w:pPr>
      <w:r>
        <w:rPr>
          <w:rFonts w:hint="eastAsia" w:ascii="宋体" w:hAnsi="宋体" w:cs="宋体"/>
          <w:szCs w:val="21"/>
          <w:highlight w:val="none"/>
        </w:rPr>
        <w:t>11.乙方应当在林木清理施工现场配备专职安全生产管理人员，负责对林木清理施工进行现场监督。专职安全生产管理人员发现事故隐患的，应当立即组织排除；对重大事故隐患，还应当及时向项</w:t>
      </w:r>
      <w:r>
        <w:rPr>
          <w:rFonts w:hint="eastAsia" w:ascii="宋体" w:hAnsi="宋体" w:cs="宋体"/>
          <w:szCs w:val="21"/>
        </w:rPr>
        <w:t>目负责人报告。对违章指挥、违章操作的，应当立即制止。</w:t>
      </w:r>
    </w:p>
    <w:p w14:paraId="15318A46">
      <w:pPr>
        <w:adjustRightInd/>
        <w:spacing w:line="520" w:lineRule="exact"/>
        <w:ind w:firstLine="472"/>
        <w:rPr>
          <w:rFonts w:hint="eastAsia" w:ascii="宋体" w:hAnsi="宋体" w:cs="宋体"/>
          <w:szCs w:val="21"/>
        </w:rPr>
      </w:pPr>
      <w:r>
        <w:rPr>
          <w:rFonts w:hint="eastAsia" w:ascii="宋体" w:hAnsi="宋体" w:cs="宋体"/>
          <w:szCs w:val="21"/>
        </w:rPr>
        <w:t>12.乙方的主要负责人、项目负责人、专职安全生产管理人员、特种作业人员应当经有关部门考核合格后方可从事相关工作。</w:t>
      </w:r>
    </w:p>
    <w:p w14:paraId="28926AF6">
      <w:pPr>
        <w:adjustRightInd/>
        <w:spacing w:line="520" w:lineRule="exact"/>
        <w:ind w:firstLine="472"/>
        <w:rPr>
          <w:rFonts w:hint="eastAsia" w:ascii="宋体" w:hAnsi="宋体" w:cs="宋体"/>
          <w:szCs w:val="21"/>
        </w:rPr>
      </w:pPr>
      <w:r>
        <w:rPr>
          <w:rFonts w:hint="eastAsia" w:ascii="宋体" w:hAnsi="宋体" w:cs="宋体"/>
          <w:szCs w:val="21"/>
        </w:rPr>
        <w:t>13.乙方指派的项目负责人应与招标时一致，不得更换，清理现场到位率应达到100%，若有特殊情况，需事先向甲方请假。</w:t>
      </w:r>
    </w:p>
    <w:p w14:paraId="141E1671">
      <w:pPr>
        <w:adjustRightInd/>
        <w:spacing w:line="520" w:lineRule="exact"/>
        <w:ind w:firstLine="472"/>
        <w:rPr>
          <w:rFonts w:hint="eastAsia" w:ascii="宋体" w:hAnsi="宋体" w:cs="宋体"/>
          <w:szCs w:val="21"/>
        </w:rPr>
      </w:pPr>
      <w:r>
        <w:rPr>
          <w:rFonts w:hint="eastAsia" w:ascii="宋体" w:hAnsi="宋体" w:cs="宋体"/>
          <w:szCs w:val="21"/>
        </w:rPr>
        <w:t>14.乙方应当在施工现场显著位置设置施工单位告示牌、林木清理施工警示标志等。</w:t>
      </w:r>
    </w:p>
    <w:p w14:paraId="614FB3EE">
      <w:pPr>
        <w:adjustRightInd/>
        <w:spacing w:line="520" w:lineRule="exact"/>
        <w:ind w:firstLine="472"/>
        <w:rPr>
          <w:rFonts w:hint="eastAsia" w:ascii="宋体" w:hAnsi="宋体" w:cs="宋体"/>
          <w:szCs w:val="21"/>
        </w:rPr>
      </w:pPr>
      <w:r>
        <w:rPr>
          <w:rFonts w:hint="eastAsia" w:ascii="宋体" w:hAnsi="宋体" w:cs="宋体"/>
          <w:szCs w:val="21"/>
        </w:rPr>
        <w:t>15.乙方应当根据施工方案要求，划定施工危险区域，在危险部位设置明显的安全警示标志，做好安全防护工作。</w:t>
      </w:r>
      <w:r>
        <w:rPr>
          <w:rFonts w:hint="eastAsia" w:ascii="宋体" w:hAnsi="宋体" w:cs="宋体"/>
          <w:szCs w:val="21"/>
        </w:rPr>
        <mc:AlternateContent>
          <mc:Choice Requires="wps">
            <w:drawing>
              <wp:anchor distT="0" distB="0" distL="114300" distR="114300" simplePos="0" relativeHeight="251660288" behindDoc="0" locked="0" layoutInCell="1" allowOverlap="0">
                <wp:simplePos x="0" y="0"/>
                <wp:positionH relativeFrom="page">
                  <wp:posOffset>0</wp:posOffset>
                </wp:positionH>
                <wp:positionV relativeFrom="page">
                  <wp:posOffset>0</wp:posOffset>
                </wp:positionV>
                <wp:extent cx="7553325" cy="413385"/>
                <wp:effectExtent l="0" t="0" r="0" b="0"/>
                <wp:wrapNone/>
                <wp:docPr id="2" name="矩形 2"/>
                <wp:cNvGraphicFramePr/>
                <a:graphic xmlns:a="http://schemas.openxmlformats.org/drawingml/2006/main">
                  <a:graphicData uri="http://schemas.microsoft.com/office/word/2010/wordprocessingShape">
                    <wps:wsp>
                      <wps:cNvSpPr/>
                      <wps:spPr>
                        <a:xfrm>
                          <a:off x="0" y="0"/>
                          <a:ext cx="7553325" cy="413385"/>
                        </a:xfrm>
                        <a:prstGeom prst="rect">
                          <a:avLst/>
                        </a:prstGeom>
                        <a:noFill/>
                        <a:ln w="9525">
                          <a:noFill/>
                        </a:ln>
                        <a:effectLst/>
                      </wps:spPr>
                      <wps:txbx>
                        <w:txbxContent>
                          <w:p w14:paraId="7CA871EB">
                            <w:pPr>
                              <w:rPr>
                                <w:rFonts w:hint="eastAsia" w:ascii="宋体" w:hAnsi="宋体" w:cs="宋体"/>
                                <w:color w:val="FFFFFF"/>
                                <w:kern w:val="0"/>
                                <w:sz w:val="2"/>
                                <w:szCs w:val="2"/>
                              </w:rPr>
                            </w:pPr>
                            <w:r>
                              <w:rPr>
                                <w:rFonts w:ascii="宋体" w:hAnsi="宋体" w:cs="宋体"/>
                                <w:color w:val="FFFFFF"/>
                                <w:kern w:val="0"/>
                                <w:sz w:val="2"/>
                                <w:szCs w:val="2"/>
                              </w:rPr>
                              <w:drawing>
                                <wp:inline distT="0" distB="0" distL="114300" distR="114300">
                                  <wp:extent cx="7364095" cy="402590"/>
                                  <wp:effectExtent l="0" t="0" r="0"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6"/>
                                          <a:stretch>
                                            <a:fillRect/>
                                          </a:stretch>
                                        </pic:blipFill>
                                        <pic:spPr>
                                          <a:xfrm>
                                            <a:off x="0" y="0"/>
                                            <a:ext cx="7364095" cy="402590"/>
                                          </a:xfrm>
                                          <a:prstGeom prst="rect">
                                            <a:avLst/>
                                          </a:prstGeom>
                                          <a:noFill/>
                                          <a:ln>
                                            <a:noFill/>
                                          </a:ln>
                                        </pic:spPr>
                                      </pic:pic>
                                    </a:graphicData>
                                  </a:graphic>
                                </wp:inline>
                              </w:drawing>
                            </w:r>
                          </w:p>
                        </w:txbxContent>
                      </wps:txbx>
                      <wps:bodyPr upright="1"/>
                    </wps:wsp>
                  </a:graphicData>
                </a:graphic>
              </wp:anchor>
            </w:drawing>
          </mc:Choice>
          <mc:Fallback>
            <w:pict>
              <v:rect id="_x0000_s1026" o:spid="_x0000_s1026" o:spt="1" style="position:absolute;left:0pt;margin-left:0pt;margin-top:0pt;height:32.55pt;width:594.75pt;mso-position-horizontal-relative:page;mso-position-vertical-relative:page;z-index:251660288;mso-width-relative:page;mso-height-relative:page;" filled="f" stroked="f" coordsize="21600,21600" o:allowoverlap="f" o:gfxdata="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HxB71gAA&#10;AAUBAAAPAAAAAAAAAAEAIAAAACIAAABkcnMvZG93bnJldi54bWxQSwECFAAUAAAACACHTuJAOgyd&#10;pK4BAABYAwAADgAAAAAAAAABACAAAAAlAQAAZHJzL2Uyb0RvYy54bWxQSwUGAAAAAAYABgBZAQAA&#10;RQUAAAAA&#10;">
                <v:fill on="f" focussize="0,0"/>
                <v:stroke on="f"/>
                <v:imagedata o:title=""/>
                <o:lock v:ext="edit" aspectratio="f"/>
                <v:textbox>
                  <w:txbxContent>
                    <w:p w14:paraId="7CA871EB">
                      <w:pPr>
                        <w:rPr>
                          <w:rFonts w:hint="eastAsia" w:ascii="宋体" w:hAnsi="宋体" w:cs="宋体"/>
                          <w:color w:val="FFFFFF"/>
                          <w:kern w:val="0"/>
                          <w:sz w:val="2"/>
                          <w:szCs w:val="2"/>
                        </w:rPr>
                      </w:pPr>
                      <w:r>
                        <w:rPr>
                          <w:rFonts w:ascii="宋体" w:hAnsi="宋体" w:cs="宋体"/>
                          <w:color w:val="FFFFFF"/>
                          <w:kern w:val="0"/>
                          <w:sz w:val="2"/>
                          <w:szCs w:val="2"/>
                        </w:rPr>
                        <w:drawing>
                          <wp:inline distT="0" distB="0" distL="114300" distR="114300">
                            <wp:extent cx="7364095" cy="402590"/>
                            <wp:effectExtent l="0" t="0" r="0"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6"/>
                                    <a:stretch>
                                      <a:fillRect/>
                                    </a:stretch>
                                  </pic:blipFill>
                                  <pic:spPr>
                                    <a:xfrm>
                                      <a:off x="0" y="0"/>
                                      <a:ext cx="7364095" cy="402590"/>
                                    </a:xfrm>
                                    <a:prstGeom prst="rect">
                                      <a:avLst/>
                                    </a:prstGeom>
                                    <a:noFill/>
                                    <a:ln>
                                      <a:noFill/>
                                    </a:ln>
                                  </pic:spPr>
                                </pic:pic>
                              </a:graphicData>
                            </a:graphic>
                          </wp:inline>
                        </w:drawing>
                      </w:r>
                    </w:p>
                  </w:txbxContent>
                </v:textbox>
              </v:rect>
            </w:pict>
          </mc:Fallback>
        </mc:AlternateContent>
      </w:r>
    </w:p>
    <w:p w14:paraId="49B6AB38">
      <w:pPr>
        <w:adjustRightInd/>
        <w:spacing w:line="520" w:lineRule="exact"/>
        <w:ind w:firstLine="472"/>
        <w:rPr>
          <w:rFonts w:hint="eastAsia" w:ascii="宋体" w:hAnsi="宋体" w:cs="宋体"/>
          <w:szCs w:val="21"/>
        </w:rPr>
      </w:pPr>
      <w:r>
        <w:rPr>
          <w:rFonts w:hint="eastAsia" w:ascii="宋体" w:hAnsi="宋体" w:cs="宋体"/>
          <w:szCs w:val="21"/>
        </w:rPr>
        <w:t>16.进入施工现场必须戴好安全帽，严禁穿背心、短裤、拖鞋和酒后上岗作业。高空作业人员必须系好安全带，不得任意向下抛掷清理的物料。使用机械设备时，必须有技术负责人指挥监督，严禁违章作业。在清理施工现场，必须有安全人员进行瞭望监护。夜间应设置红色警示灯，在道路边施工应避让上下班高峰期。严禁路边堆放材料，以防影响道路交通。做到不危及人身安全、不影响周围生活环境、不妨碍交通。</w:t>
      </w:r>
    </w:p>
    <w:p w14:paraId="7FD3638C">
      <w:pPr>
        <w:adjustRightInd/>
        <w:spacing w:line="520" w:lineRule="exact"/>
        <w:ind w:firstLine="472"/>
        <w:rPr>
          <w:rFonts w:hint="eastAsia" w:ascii="宋体" w:hAnsi="宋体" w:cs="宋体"/>
          <w:szCs w:val="21"/>
        </w:rPr>
      </w:pPr>
      <w:r>
        <w:rPr>
          <w:rFonts w:hint="eastAsia" w:ascii="宋体" w:hAnsi="宋体" w:cs="宋体"/>
          <w:szCs w:val="21"/>
        </w:rPr>
        <w:t>17.乙方在林木物清理施工前，应当检查被清理地块内的地上地下管线（包括场地周围地下埋藏物、电力、水、电信通讯、有线电视等管线）情况，经确认管线已经全部切断或迁移后方可施工，且采取必要的、适当的措施予以保护，如果乙方对上述设施造成破坏，应自行承担全部责任和费用，若因此给甲方造成损失乙方应全额赔偿。</w:t>
      </w:r>
    </w:p>
    <w:p w14:paraId="6B9EFAC0">
      <w:pPr>
        <w:adjustRightInd/>
        <w:spacing w:line="520" w:lineRule="exact"/>
        <w:ind w:firstLine="472"/>
        <w:rPr>
          <w:rFonts w:hint="eastAsia" w:ascii="宋体" w:hAnsi="宋体" w:cs="宋体"/>
          <w:szCs w:val="21"/>
        </w:rPr>
      </w:pPr>
      <w:r>
        <w:rPr>
          <w:rFonts w:hint="eastAsia" w:ascii="宋体" w:hAnsi="宋体" w:cs="宋体"/>
          <w:szCs w:val="21"/>
        </w:rPr>
        <w:t>18.乙方必须制定相应的安全施工方案并经监理审核以确保清理安全，严格落实林木清理施工安全制度、措施，确保施工安全无事故，杜绝伤亡事故发生。</w:t>
      </w:r>
    </w:p>
    <w:p w14:paraId="4D06928F">
      <w:pPr>
        <w:adjustRightInd/>
        <w:spacing w:line="520" w:lineRule="exact"/>
        <w:ind w:firstLine="472"/>
        <w:rPr>
          <w:rFonts w:hint="eastAsia" w:ascii="宋体" w:hAnsi="宋体" w:cs="宋体"/>
          <w:szCs w:val="21"/>
        </w:rPr>
      </w:pPr>
      <w:r>
        <w:rPr>
          <w:rFonts w:hint="eastAsia" w:ascii="宋体" w:hAnsi="宋体" w:cs="宋体"/>
          <w:szCs w:val="21"/>
        </w:rPr>
        <w:t>19.若发生伤亡事故必须及时抢救伤员，并及时报告甲方及相关部门，一切事故均由乙方承担法律责任、经济责任，同时甲方将根据事故大小对乙方进行处罚。</w:t>
      </w:r>
    </w:p>
    <w:p w14:paraId="103146B4">
      <w:pPr>
        <w:adjustRightInd/>
        <w:spacing w:line="520" w:lineRule="exact"/>
        <w:ind w:firstLine="472"/>
        <w:rPr>
          <w:rFonts w:hint="eastAsia" w:ascii="宋体" w:hAnsi="宋体" w:cs="宋体"/>
          <w:szCs w:val="21"/>
        </w:rPr>
      </w:pPr>
      <w:r>
        <w:rPr>
          <w:rFonts w:hint="eastAsia" w:ascii="宋体" w:hAnsi="宋体" w:cs="宋体"/>
          <w:szCs w:val="21"/>
        </w:rPr>
        <w:t>20.乙方应当在施工现场配备充足完好的消防设施和灭火器材；禁止在施工现场焚烧垃圾和废弃物；禁止在易燃易爆物品附近实施明火作业。</w:t>
      </w:r>
    </w:p>
    <w:p w14:paraId="4D721732">
      <w:pPr>
        <w:adjustRightInd/>
        <w:spacing w:line="520" w:lineRule="exact"/>
        <w:ind w:firstLine="472"/>
        <w:rPr>
          <w:rFonts w:hint="eastAsia" w:ascii="宋体" w:hAnsi="宋体" w:cs="宋体"/>
          <w:szCs w:val="21"/>
        </w:rPr>
      </w:pPr>
      <w:r>
        <w:rPr>
          <w:rFonts w:hint="eastAsia" w:ascii="宋体" w:hAnsi="宋体" w:cs="宋体"/>
          <w:szCs w:val="21"/>
        </w:rPr>
        <w:t>21.遇有六级以上风力、雷暴雨、大雾、冰雪等恶劣气候影响清理施工安全时，乙方应当暂停施工，并撤离施工现场人员。</w:t>
      </w:r>
    </w:p>
    <w:p w14:paraId="2CF0AEA9">
      <w:pPr>
        <w:adjustRightInd/>
        <w:spacing w:line="520" w:lineRule="exact"/>
        <w:ind w:firstLine="472"/>
        <w:rPr>
          <w:rFonts w:hint="eastAsia" w:ascii="宋体" w:hAnsi="宋体" w:cs="宋体"/>
          <w:szCs w:val="21"/>
        </w:rPr>
      </w:pPr>
      <w:r>
        <w:rPr>
          <w:rFonts w:hint="eastAsia" w:ascii="宋体" w:hAnsi="宋体" w:cs="宋体"/>
          <w:szCs w:val="21"/>
        </w:rPr>
        <w:t>22.乙方必须接受甲方的监督、检查，对甲方提出的安全整改意见必须及时执行。</w:t>
      </w:r>
    </w:p>
    <w:p w14:paraId="2869468A">
      <w:pPr>
        <w:adjustRightInd/>
        <w:spacing w:line="520" w:lineRule="exact"/>
        <w:ind w:firstLine="472"/>
        <w:rPr>
          <w:rFonts w:hint="eastAsia" w:ascii="宋体" w:hAnsi="宋体" w:cs="宋体"/>
          <w:szCs w:val="21"/>
        </w:rPr>
      </w:pPr>
      <w:r>
        <w:rPr>
          <w:rFonts w:hint="eastAsia" w:ascii="宋体" w:hAnsi="宋体" w:cs="宋体"/>
          <w:szCs w:val="21"/>
        </w:rPr>
        <w:t>23.乙方在施工过程中必须加强水、电、路、沟、渠等公共设施维护，确保周围居民、企业的生产、生活不受影响。如发现电线、水管等被损坏时，必须立即修复，并照价赔偿。</w:t>
      </w:r>
    </w:p>
    <w:p w14:paraId="69C3D800">
      <w:pPr>
        <w:adjustRightInd/>
        <w:spacing w:line="520" w:lineRule="exact"/>
        <w:ind w:firstLine="472"/>
        <w:rPr>
          <w:rFonts w:hint="eastAsia" w:ascii="宋体" w:hAnsi="宋体" w:cs="宋体"/>
          <w:szCs w:val="21"/>
        </w:rPr>
      </w:pPr>
      <w:r>
        <w:rPr>
          <w:rFonts w:hint="eastAsia" w:ascii="宋体" w:hAnsi="宋体" w:cs="宋体"/>
          <w:szCs w:val="21"/>
        </w:rPr>
        <w:t>24.乙方不得对安全事故隐瞒、谎报或者拖延不报，不得故意破坏事故现场、销毁有关证据。</w:t>
      </w:r>
    </w:p>
    <w:p w14:paraId="194256DD">
      <w:pPr>
        <w:adjustRightInd/>
        <w:spacing w:line="520" w:lineRule="exact"/>
        <w:ind w:firstLine="472"/>
        <w:rPr>
          <w:rFonts w:hint="eastAsia" w:ascii="宋体" w:hAnsi="宋体" w:cs="宋体"/>
          <w:szCs w:val="21"/>
        </w:rPr>
      </w:pPr>
      <w:r>
        <w:rPr>
          <w:rFonts w:hint="eastAsia" w:ascii="宋体" w:hAnsi="宋体" w:cs="宋体"/>
          <w:szCs w:val="21"/>
        </w:rPr>
        <w:t>25.乙方应负责清理过程中使用的水、电，施工占道，垃圾清运等所有有关部门的手续办理，并负责使用的水、电的费用和办理相关手续的费用。</w:t>
      </w:r>
    </w:p>
    <w:p w14:paraId="210B0E1D">
      <w:pPr>
        <w:adjustRightInd/>
        <w:spacing w:line="520" w:lineRule="exact"/>
        <w:ind w:firstLine="472"/>
        <w:rPr>
          <w:rFonts w:hint="eastAsia" w:ascii="宋体" w:hAnsi="宋体" w:cs="宋体"/>
          <w:szCs w:val="21"/>
        </w:rPr>
      </w:pPr>
      <w:r>
        <w:rPr>
          <w:rFonts w:hint="eastAsia" w:ascii="宋体" w:hAnsi="宋体" w:cs="宋体"/>
          <w:szCs w:val="21"/>
        </w:rPr>
        <w:t>26.如在清理过程中发现无主埋藏物、文物等应立即予以保护，并及时告知甲方和文物管理机关。</w:t>
      </w:r>
    </w:p>
    <w:p w14:paraId="4029405B">
      <w:pPr>
        <w:adjustRightInd/>
        <w:spacing w:line="520" w:lineRule="exact"/>
        <w:ind w:firstLine="472"/>
        <w:rPr>
          <w:rFonts w:hint="eastAsia" w:ascii="宋体" w:hAnsi="宋体" w:cs="宋体"/>
          <w:b/>
          <w:bCs/>
          <w:szCs w:val="21"/>
        </w:rPr>
      </w:pPr>
      <w:r>
        <w:rPr>
          <w:rFonts w:hint="eastAsia" w:ascii="宋体" w:hAnsi="宋体" w:cs="宋体"/>
          <w:b/>
          <w:bCs/>
          <w:szCs w:val="21"/>
        </w:rPr>
        <w:t>（七）质量保证及后续服务</w:t>
      </w:r>
    </w:p>
    <w:p w14:paraId="0996CA63">
      <w:pPr>
        <w:adjustRightInd/>
        <w:spacing w:line="520" w:lineRule="exact"/>
        <w:ind w:firstLine="472"/>
        <w:rPr>
          <w:rFonts w:hint="eastAsia" w:ascii="宋体" w:hAnsi="宋体" w:cs="宋体"/>
          <w:szCs w:val="21"/>
        </w:rPr>
      </w:pPr>
      <w:r>
        <w:rPr>
          <w:rFonts w:hint="eastAsia" w:ascii="宋体" w:hAnsi="宋体" w:cs="宋体"/>
          <w:szCs w:val="21"/>
        </w:rPr>
        <w:t>1.乙方应按投标文件承诺及采购文件规定向甲方提供服务。</w:t>
      </w:r>
    </w:p>
    <w:p w14:paraId="78DEFDF2">
      <w:pPr>
        <w:adjustRightInd/>
        <w:spacing w:line="520" w:lineRule="exact"/>
        <w:ind w:firstLine="472"/>
        <w:rPr>
          <w:rFonts w:hint="eastAsia" w:ascii="宋体" w:hAnsi="宋体" w:cs="宋体"/>
          <w:szCs w:val="21"/>
        </w:rPr>
      </w:pPr>
      <w:r>
        <w:rPr>
          <w:rFonts w:hint="eastAsia" w:ascii="宋体" w:hAnsi="宋体" w:cs="宋体"/>
          <w:szCs w:val="21"/>
        </w:rPr>
        <w:t>2.乙方提供的服务成果在三溪水库蓄水验收前发生质量问题，乙方应负责免费提供后续服务直至验收通过。</w:t>
      </w:r>
    </w:p>
    <w:p w14:paraId="1DC11FC8">
      <w:pPr>
        <w:adjustRightInd/>
        <w:spacing w:line="520" w:lineRule="exact"/>
        <w:ind w:firstLine="420" w:firstLineChars="200"/>
        <w:rPr>
          <w:rFonts w:hint="eastAsia" w:ascii="宋体" w:hAnsi="宋体" w:cs="宋体"/>
          <w:szCs w:val="21"/>
        </w:rPr>
      </w:pPr>
      <w:r>
        <w:rPr>
          <w:rFonts w:hint="eastAsia" w:ascii="宋体" w:hAnsi="宋体" w:cs="宋体"/>
          <w:szCs w:val="21"/>
        </w:rPr>
        <w:t>3.服务质量保证期内，乙方应对服务成果出现的质量问题负责处理解决并承担一切费用。</w:t>
      </w:r>
    </w:p>
    <w:p w14:paraId="14ED00AB">
      <w:pPr>
        <w:adjustRightInd/>
        <w:spacing w:line="520" w:lineRule="exact"/>
        <w:ind w:firstLine="472"/>
        <w:rPr>
          <w:rFonts w:hint="eastAsia" w:ascii="宋体" w:hAnsi="宋体" w:cs="宋体"/>
          <w:szCs w:val="21"/>
        </w:rPr>
      </w:pPr>
      <w:r>
        <w:rPr>
          <w:rFonts w:hint="eastAsia" w:ascii="宋体" w:hAnsi="宋体" w:cs="宋体"/>
          <w:b/>
          <w:szCs w:val="21"/>
        </w:rPr>
        <w:t>（八） 付款方式</w:t>
      </w:r>
    </w:p>
    <w:p w14:paraId="633F5EC2">
      <w:pPr>
        <w:adjustRightInd/>
        <w:spacing w:line="520" w:lineRule="exact"/>
        <w:ind w:firstLine="480"/>
        <w:rPr>
          <w:rFonts w:hint="eastAsia" w:ascii="宋体" w:hAnsi="宋体" w:cs="宋体"/>
          <w:szCs w:val="21"/>
        </w:rPr>
      </w:pPr>
      <w:r>
        <w:rPr>
          <w:rFonts w:hint="eastAsia" w:ascii="宋体" w:hAnsi="宋体" w:cs="宋体"/>
          <w:szCs w:val="21"/>
        </w:rPr>
        <w:t>1.见合同条款前附表。</w:t>
      </w:r>
    </w:p>
    <w:p w14:paraId="112332FD">
      <w:pPr>
        <w:adjustRightInd/>
        <w:spacing w:line="520" w:lineRule="exact"/>
        <w:ind w:firstLine="422" w:firstLineChars="200"/>
        <w:rPr>
          <w:rFonts w:hint="eastAsia" w:ascii="宋体" w:hAnsi="宋体" w:cs="宋体"/>
          <w:b/>
          <w:szCs w:val="21"/>
        </w:rPr>
      </w:pPr>
      <w:r>
        <w:rPr>
          <w:rFonts w:hint="eastAsia" w:ascii="宋体" w:hAnsi="宋体" w:cs="宋体"/>
          <w:b/>
          <w:szCs w:val="21"/>
        </w:rPr>
        <w:t>（九）违约责任</w:t>
      </w:r>
    </w:p>
    <w:p w14:paraId="0E67C6B7">
      <w:pPr>
        <w:widowControl/>
        <w:adjustRightInd/>
        <w:spacing w:line="520" w:lineRule="exact"/>
        <w:ind w:firstLine="420" w:firstLineChars="200"/>
        <w:jc w:val="left"/>
        <w:rPr>
          <w:rFonts w:ascii="宋体"/>
          <w:szCs w:val="21"/>
        </w:rPr>
      </w:pPr>
      <w:r>
        <w:rPr>
          <w:rFonts w:hint="eastAsia" w:ascii="宋体" w:hAnsi="宋体"/>
          <w:szCs w:val="21"/>
        </w:rPr>
        <w:t>1、履约保证金为中标价的1%，乙方应在本合同签订之日前向甲方交纳履约保证金，合同履行结束后无服务问题即退还（不计息）。如果乙方中途违约，履约保证金不退还。</w:t>
      </w:r>
    </w:p>
    <w:p w14:paraId="3E3F13CD">
      <w:pPr>
        <w:widowControl/>
        <w:adjustRightInd/>
        <w:spacing w:line="520" w:lineRule="exact"/>
        <w:ind w:firstLine="420" w:firstLineChars="200"/>
        <w:jc w:val="left"/>
      </w:pPr>
      <w:r>
        <w:rPr>
          <w:rFonts w:hint="eastAsia" w:ascii="宋体" w:hAnsi="宋体"/>
          <w:szCs w:val="21"/>
        </w:rPr>
        <w:t>2、乙方在履行合同过程中，如不符合甲方招标文件要求，甲方将提出改进意见。若乙方仍不能达到甲方要求，甲方有权终止合同，并不退还履约保证金。</w:t>
      </w:r>
    </w:p>
    <w:p w14:paraId="14E77797">
      <w:pPr>
        <w:adjustRightInd/>
        <w:spacing w:line="520" w:lineRule="exact"/>
        <w:ind w:firstLine="420" w:firstLineChars="200"/>
        <w:rPr>
          <w:rFonts w:hint="eastAsia" w:ascii="宋体" w:hAnsi="宋体" w:cs="宋体"/>
          <w:szCs w:val="21"/>
          <w:highlight w:val="none"/>
        </w:rPr>
      </w:pPr>
      <w:r>
        <w:rPr>
          <w:rFonts w:hint="eastAsia" w:ascii="宋体" w:hAnsi="宋体" w:cs="宋体"/>
          <w:szCs w:val="21"/>
        </w:rPr>
        <w:t>3、乙方逾期履行合同的，自逾期之日起</w:t>
      </w:r>
      <w:r>
        <w:rPr>
          <w:rFonts w:hint="eastAsia" w:ascii="宋体" w:hAnsi="宋体" w:cs="宋体"/>
          <w:szCs w:val="21"/>
          <w:highlight w:val="none"/>
        </w:rPr>
        <w:t>，向甲方每日偿付合同总价百分之一的违约金。</w:t>
      </w:r>
    </w:p>
    <w:p w14:paraId="0EE3A6B6">
      <w:pPr>
        <w:spacing w:line="520" w:lineRule="exact"/>
        <w:ind w:firstLine="422" w:firstLineChars="200"/>
        <w:rPr>
          <w:rFonts w:hint="eastAsia" w:ascii="宋体" w:hAnsi="宋体"/>
          <w:b/>
          <w:bCs/>
          <w:szCs w:val="21"/>
          <w:highlight w:val="none"/>
        </w:rPr>
      </w:pPr>
      <w:r>
        <w:rPr>
          <w:rFonts w:hint="eastAsia" w:ascii="宋体" w:hAnsi="宋体" w:cs="宋体"/>
          <w:b/>
          <w:szCs w:val="21"/>
          <w:highlight w:val="none"/>
        </w:rPr>
        <w:t>4、乙方</w:t>
      </w:r>
      <w:r>
        <w:rPr>
          <w:rFonts w:hint="eastAsia" w:ascii="宋体" w:hAnsi="宋体"/>
          <w:b/>
          <w:bCs/>
          <w:szCs w:val="21"/>
          <w:highlight w:val="none"/>
        </w:rPr>
        <w:t>不得擅自处置库区其他资源，若发现未经招标人许可私自处置，报送到相关部门予以调查处理。</w:t>
      </w:r>
    </w:p>
    <w:p w14:paraId="4E7F5933">
      <w:pPr>
        <w:adjustRightInd/>
        <w:spacing w:line="520" w:lineRule="exact"/>
        <w:ind w:firstLine="482"/>
        <w:rPr>
          <w:rFonts w:hint="eastAsia" w:ascii="宋体" w:hAnsi="宋体" w:cs="宋体"/>
          <w:b/>
          <w:szCs w:val="21"/>
          <w:highlight w:val="none"/>
        </w:rPr>
      </w:pPr>
      <w:r>
        <w:rPr>
          <w:rFonts w:hint="eastAsia" w:ascii="宋体" w:hAnsi="宋体" w:cs="宋体"/>
          <w:b/>
          <w:szCs w:val="21"/>
          <w:highlight w:val="none"/>
        </w:rPr>
        <w:t>（十）不可抗力事件处理</w:t>
      </w:r>
    </w:p>
    <w:p w14:paraId="068DE581">
      <w:pPr>
        <w:adjustRightInd/>
        <w:spacing w:line="520" w:lineRule="exact"/>
        <w:ind w:firstLine="480"/>
        <w:rPr>
          <w:rFonts w:hint="eastAsia" w:ascii="宋体" w:hAnsi="宋体" w:cs="宋体"/>
          <w:szCs w:val="21"/>
          <w:highlight w:val="none"/>
        </w:rPr>
      </w:pPr>
      <w:r>
        <w:rPr>
          <w:rFonts w:hint="eastAsia" w:ascii="宋体" w:hAnsi="宋体" w:cs="宋体"/>
          <w:szCs w:val="21"/>
          <w:highlight w:val="none"/>
        </w:rPr>
        <w:t>1、 在合同有效期限内，任何一方因不可抗力事件导致不能履行合同，则合同履行期可延长，其延长期与不可抗力影响期相同。</w:t>
      </w:r>
    </w:p>
    <w:p w14:paraId="0CAA2F87">
      <w:pPr>
        <w:adjustRightInd/>
        <w:spacing w:line="520" w:lineRule="exact"/>
        <w:ind w:firstLine="480"/>
        <w:rPr>
          <w:rFonts w:hint="eastAsia" w:ascii="宋体" w:hAnsi="宋体" w:cs="宋体"/>
          <w:szCs w:val="21"/>
          <w:highlight w:val="none"/>
        </w:rPr>
      </w:pPr>
      <w:r>
        <w:rPr>
          <w:rFonts w:hint="eastAsia" w:ascii="宋体" w:hAnsi="宋体" w:cs="宋体"/>
          <w:szCs w:val="21"/>
          <w:highlight w:val="none"/>
        </w:rPr>
        <w:t>2、不可抗力事件发生后，应立即通知对方，并寄送有关权威机构出具的证明。</w:t>
      </w:r>
    </w:p>
    <w:p w14:paraId="77EE0137">
      <w:pPr>
        <w:adjustRightInd/>
        <w:spacing w:line="520" w:lineRule="exact"/>
        <w:ind w:firstLine="480"/>
        <w:rPr>
          <w:rFonts w:hint="eastAsia" w:ascii="宋体" w:hAnsi="宋体" w:cs="宋体"/>
          <w:szCs w:val="21"/>
        </w:rPr>
      </w:pPr>
      <w:r>
        <w:rPr>
          <w:rFonts w:hint="eastAsia" w:ascii="宋体" w:hAnsi="宋体" w:cs="宋体"/>
          <w:szCs w:val="21"/>
        </w:rPr>
        <w:t>3、不可抗力事件延续120天以上，双方应通过友好协商，确定是否继续履行合同。</w:t>
      </w:r>
    </w:p>
    <w:p w14:paraId="00B19D82">
      <w:pPr>
        <w:adjustRightInd/>
        <w:spacing w:line="520" w:lineRule="exact"/>
        <w:ind w:firstLine="354"/>
        <w:rPr>
          <w:rFonts w:hint="eastAsia" w:ascii="宋体" w:hAnsi="宋体" w:cs="宋体"/>
          <w:b/>
          <w:szCs w:val="21"/>
        </w:rPr>
      </w:pPr>
      <w:r>
        <w:rPr>
          <w:rFonts w:hint="eastAsia" w:ascii="宋体" w:hAnsi="宋体" w:cs="宋体"/>
          <w:b/>
          <w:szCs w:val="21"/>
        </w:rPr>
        <w:t>（十一）争议的解决</w:t>
      </w:r>
    </w:p>
    <w:p w14:paraId="38F447E3">
      <w:pPr>
        <w:adjustRightInd/>
        <w:spacing w:line="520" w:lineRule="exact"/>
        <w:ind w:firstLine="480"/>
        <w:rPr>
          <w:rFonts w:hint="eastAsia" w:ascii="宋体" w:hAnsi="宋体" w:cs="宋体"/>
          <w:szCs w:val="21"/>
        </w:rPr>
      </w:pPr>
      <w:r>
        <w:rPr>
          <w:rFonts w:hint="eastAsia" w:ascii="宋体" w:hAnsi="宋体" w:cs="宋体"/>
          <w:szCs w:val="21"/>
        </w:rPr>
        <w:t>双方在履行合同过程中产生争议时，直接向合同签订所在地人民法院提请诉讼。</w:t>
      </w:r>
    </w:p>
    <w:p w14:paraId="0E76AA22">
      <w:pPr>
        <w:adjustRightInd/>
        <w:spacing w:line="520" w:lineRule="exact"/>
        <w:ind w:firstLine="472"/>
        <w:rPr>
          <w:rFonts w:hint="eastAsia" w:ascii="宋体" w:hAnsi="宋体" w:cs="宋体"/>
          <w:szCs w:val="21"/>
        </w:rPr>
      </w:pPr>
      <w:r>
        <w:rPr>
          <w:rFonts w:hint="eastAsia" w:ascii="宋体" w:hAnsi="宋体" w:cs="宋体"/>
          <w:b/>
          <w:szCs w:val="21"/>
        </w:rPr>
        <w:t>（十二）合同生效及其它</w:t>
      </w:r>
    </w:p>
    <w:p w14:paraId="7969910C">
      <w:pPr>
        <w:adjustRightInd/>
        <w:spacing w:line="520" w:lineRule="exact"/>
        <w:ind w:firstLine="480"/>
        <w:rPr>
          <w:rFonts w:hint="eastAsia" w:ascii="宋体" w:hAnsi="宋体" w:cs="宋体"/>
          <w:szCs w:val="21"/>
        </w:rPr>
      </w:pPr>
      <w:r>
        <w:rPr>
          <w:rFonts w:hint="eastAsia" w:ascii="宋体" w:hAnsi="宋体" w:cs="宋体"/>
          <w:szCs w:val="21"/>
        </w:rPr>
        <w:t>1、合同经双方法定代表人或授权委托人签字加盖单位公章后生效。</w:t>
      </w:r>
    </w:p>
    <w:p w14:paraId="61EE6A20">
      <w:pPr>
        <w:adjustRightInd/>
        <w:spacing w:line="520" w:lineRule="exact"/>
        <w:ind w:firstLine="480"/>
        <w:rPr>
          <w:rFonts w:hint="eastAsia" w:ascii="宋体" w:hAnsi="宋体" w:cs="宋体"/>
          <w:szCs w:val="21"/>
        </w:rPr>
      </w:pPr>
      <w:r>
        <w:rPr>
          <w:rFonts w:hint="eastAsia" w:ascii="宋体" w:hAnsi="宋体" w:cs="宋体"/>
          <w:szCs w:val="21"/>
        </w:rPr>
        <w:t>2、政府采购合同履行中，采购人需要追加与合同标的相同的货物、工程或者服务的，在不改变合同其他条款的前提下，可以与中标、中标供应商协商签订补充合同，但所有补充合同的采购金额不得超过原合同采购金额的10%。</w:t>
      </w:r>
    </w:p>
    <w:p w14:paraId="126A35B4">
      <w:pPr>
        <w:adjustRightInd/>
        <w:spacing w:line="520" w:lineRule="exact"/>
        <w:ind w:firstLine="420" w:firstLineChars="200"/>
        <w:rPr>
          <w:rFonts w:hint="eastAsia" w:ascii="宋体" w:hAnsi="宋体" w:cs="宋体"/>
          <w:szCs w:val="21"/>
        </w:rPr>
      </w:pPr>
      <w:r>
        <w:rPr>
          <w:rFonts w:hint="eastAsia" w:ascii="宋体" w:hAnsi="宋体" w:cs="宋体"/>
          <w:szCs w:val="21"/>
        </w:rPr>
        <w:t>3、本合同一式</w:t>
      </w:r>
      <w:r>
        <w:rPr>
          <w:rFonts w:hint="eastAsia" w:ascii="宋体" w:hAnsi="宋体" w:cs="宋体"/>
          <w:szCs w:val="21"/>
          <w:u w:val="single"/>
        </w:rPr>
        <w:t xml:space="preserve">  陆 </w:t>
      </w:r>
      <w:r>
        <w:rPr>
          <w:rFonts w:hint="eastAsia" w:ascii="宋体" w:hAnsi="宋体" w:cs="宋体"/>
          <w:szCs w:val="21"/>
        </w:rPr>
        <w:t>份，甲、乙双方各</w:t>
      </w:r>
      <w:r>
        <w:rPr>
          <w:rFonts w:hint="eastAsia" w:ascii="宋体" w:hAnsi="宋体" w:cs="宋体"/>
          <w:szCs w:val="21"/>
          <w:u w:val="single"/>
        </w:rPr>
        <w:t xml:space="preserve"> 叁 </w:t>
      </w:r>
      <w:r>
        <w:rPr>
          <w:rFonts w:hint="eastAsia" w:ascii="宋体" w:hAnsi="宋体" w:cs="宋体"/>
          <w:szCs w:val="21"/>
        </w:rPr>
        <w:t>份，均具同等法律效力</w:t>
      </w:r>
      <w:r>
        <w:rPr>
          <w:rFonts w:hint="eastAsia" w:ascii="宋体" w:hAnsi="宋体"/>
          <w:szCs w:val="21"/>
        </w:rPr>
        <w:t>。</w:t>
      </w:r>
    </w:p>
    <w:p w14:paraId="0F9AF955">
      <w:pPr>
        <w:tabs>
          <w:tab w:val="left" w:pos="4536"/>
        </w:tabs>
        <w:spacing w:line="520" w:lineRule="exact"/>
        <w:jc w:val="left"/>
        <w:rPr>
          <w:szCs w:val="21"/>
        </w:rPr>
      </w:pPr>
    </w:p>
    <w:p w14:paraId="475BFB89">
      <w:pPr>
        <w:tabs>
          <w:tab w:val="left" w:pos="4536"/>
        </w:tabs>
        <w:spacing w:line="520" w:lineRule="exact"/>
        <w:jc w:val="left"/>
        <w:rPr>
          <w:szCs w:val="21"/>
        </w:rPr>
      </w:pPr>
      <w:r>
        <w:rPr>
          <w:szCs w:val="21"/>
        </w:rPr>
        <w:t>甲方（采购单位）：</w:t>
      </w:r>
      <w:r>
        <w:rPr>
          <w:szCs w:val="21"/>
        </w:rPr>
        <w:tab/>
      </w:r>
      <w:r>
        <w:rPr>
          <w:szCs w:val="21"/>
        </w:rPr>
        <w:t>乙方（成交方）：</w:t>
      </w:r>
    </w:p>
    <w:p w14:paraId="2ECD7F74">
      <w:pPr>
        <w:tabs>
          <w:tab w:val="left" w:pos="4536"/>
        </w:tabs>
        <w:spacing w:line="520" w:lineRule="exact"/>
        <w:jc w:val="left"/>
        <w:rPr>
          <w:szCs w:val="21"/>
        </w:rPr>
      </w:pPr>
      <w:r>
        <w:rPr>
          <w:szCs w:val="21"/>
        </w:rPr>
        <w:t>法定代表人或授权委托人：</w:t>
      </w:r>
      <w:r>
        <w:rPr>
          <w:szCs w:val="21"/>
        </w:rPr>
        <w:tab/>
      </w:r>
      <w:r>
        <w:rPr>
          <w:szCs w:val="21"/>
        </w:rPr>
        <w:t>法定代表人或授权委托人：</w:t>
      </w:r>
    </w:p>
    <w:p w14:paraId="1C9F3FF6">
      <w:pPr>
        <w:tabs>
          <w:tab w:val="left" w:pos="4536"/>
        </w:tabs>
        <w:spacing w:line="520" w:lineRule="exact"/>
        <w:jc w:val="left"/>
        <w:rPr>
          <w:szCs w:val="21"/>
        </w:rPr>
      </w:pPr>
      <w:r>
        <w:rPr>
          <w:szCs w:val="21"/>
        </w:rPr>
        <w:t>地址：</w:t>
      </w:r>
      <w:r>
        <w:rPr>
          <w:szCs w:val="21"/>
        </w:rPr>
        <w:tab/>
      </w:r>
      <w:r>
        <w:rPr>
          <w:szCs w:val="21"/>
        </w:rPr>
        <w:t>地址：</w:t>
      </w:r>
    </w:p>
    <w:p w14:paraId="26B26CEE">
      <w:pPr>
        <w:spacing w:line="520" w:lineRule="exact"/>
        <w:jc w:val="left"/>
        <w:rPr>
          <w:rFonts w:hint="eastAsia" w:ascii="宋体" w:hAnsi="宋体" w:cs="宋体"/>
          <w:sz w:val="32"/>
          <w:szCs w:val="32"/>
        </w:rPr>
      </w:pPr>
      <w:r>
        <w:rPr>
          <w:rFonts w:hint="eastAsia"/>
          <w:szCs w:val="21"/>
        </w:rPr>
        <w:br w:type="page"/>
      </w:r>
    </w:p>
    <w:p w14:paraId="2609BB22">
      <w:pPr>
        <w:pStyle w:val="3"/>
        <w:numPr>
          <w:ilvl w:val="0"/>
          <w:numId w:val="6"/>
        </w:numPr>
        <w:rPr>
          <w:rFonts w:hint="eastAsia" w:ascii="宋体" w:hAnsi="宋体" w:cs="宋体"/>
          <w:sz w:val="32"/>
          <w:szCs w:val="32"/>
        </w:rPr>
      </w:pPr>
      <w:r>
        <w:rPr>
          <w:rFonts w:hint="eastAsia" w:ascii="宋体" w:hAnsi="宋体" w:cs="宋体"/>
          <w:sz w:val="32"/>
          <w:szCs w:val="32"/>
        </w:rPr>
        <w:t>投标文件格式</w:t>
      </w:r>
      <w:bookmarkEnd w:id="91"/>
      <w:bookmarkEnd w:id="92"/>
    </w:p>
    <w:p w14:paraId="5E5CC491">
      <w:pPr>
        <w:pStyle w:val="3"/>
        <w:jc w:val="both"/>
        <w:rPr>
          <w:rFonts w:hint="eastAsia" w:ascii="新宋体" w:hAnsi="新宋体" w:eastAsia="新宋体" w:cs="新宋体"/>
          <w:sz w:val="24"/>
          <w:szCs w:val="24"/>
        </w:rPr>
      </w:pPr>
      <w:r>
        <w:rPr>
          <w:rFonts w:hint="eastAsia" w:ascii="新宋体" w:hAnsi="新宋体" w:eastAsia="新宋体" w:cs="新宋体"/>
          <w:sz w:val="24"/>
          <w:szCs w:val="24"/>
        </w:rPr>
        <w:t>附件一 ：投标声明书</w:t>
      </w:r>
    </w:p>
    <w:p w14:paraId="27EDD7E0">
      <w:pPr>
        <w:jc w:val="center"/>
        <w:rPr>
          <w:rFonts w:hint="eastAsia" w:ascii="新宋体" w:hAnsi="新宋体" w:eastAsia="新宋体" w:cs="新宋体"/>
          <w:b/>
          <w:sz w:val="24"/>
        </w:rPr>
      </w:pPr>
    </w:p>
    <w:p w14:paraId="6A7F871C">
      <w:pPr>
        <w:jc w:val="center"/>
        <w:rPr>
          <w:rFonts w:hint="eastAsia" w:ascii="新宋体" w:hAnsi="新宋体" w:eastAsia="新宋体" w:cs="新宋体"/>
          <w:b/>
          <w:sz w:val="24"/>
        </w:rPr>
      </w:pPr>
      <w:r>
        <w:rPr>
          <w:rFonts w:hint="eastAsia" w:ascii="新宋体" w:hAnsi="新宋体" w:eastAsia="新宋体" w:cs="新宋体"/>
          <w:b/>
          <w:sz w:val="24"/>
        </w:rPr>
        <w:t>投标声明书</w:t>
      </w:r>
    </w:p>
    <w:p w14:paraId="396F3C1A">
      <w:pPr>
        <w:pStyle w:val="63"/>
        <w:adjustRightInd/>
        <w:spacing w:after="0" w:afterLines="0" w:line="500" w:lineRule="exact"/>
        <w:ind w:firstLine="0" w:firstLineChars="0"/>
        <w:rPr>
          <w:rFonts w:hint="eastAsia" w:ascii="新宋体" w:hAnsi="新宋体" w:eastAsia="新宋体" w:cs="新宋体"/>
          <w:szCs w:val="24"/>
        </w:rPr>
      </w:pPr>
      <w:r>
        <w:rPr>
          <w:rFonts w:hint="eastAsia" w:ascii="新宋体" w:hAnsi="新宋体" w:eastAsia="新宋体" w:cs="新宋体"/>
          <w:szCs w:val="24"/>
        </w:rPr>
        <w:t>致：</w:t>
      </w:r>
      <w:r>
        <w:rPr>
          <w:rFonts w:hint="eastAsia" w:ascii="新宋体" w:hAnsi="新宋体" w:eastAsia="新宋体" w:cs="新宋体"/>
          <w:szCs w:val="24"/>
          <w:u w:val="single"/>
        </w:rPr>
        <w:t xml:space="preserve">嵊州市水利水电发展有限公司 </w:t>
      </w:r>
    </w:p>
    <w:p w14:paraId="7B617FBE">
      <w:pPr>
        <w:tabs>
          <w:tab w:val="left" w:pos="1418"/>
        </w:tabs>
        <w:adjustRightInd/>
        <w:snapToGrid w:val="0"/>
        <w:spacing w:line="500" w:lineRule="exact"/>
        <w:ind w:firstLine="480" w:firstLineChars="200"/>
        <w:rPr>
          <w:rFonts w:hint="eastAsia" w:ascii="新宋体" w:hAnsi="新宋体" w:eastAsia="新宋体" w:cs="新宋体"/>
          <w:sz w:val="24"/>
        </w:rPr>
      </w:pP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（投标人名称）系中华人民共和国合法企业，经营地址</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我</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（姓名）系</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（投标人名称）的法定代表人，我方愿意参加贵方组织的</w:t>
      </w:r>
      <w:r>
        <w:rPr>
          <w:rFonts w:hint="eastAsia" w:ascii="新宋体" w:hAnsi="新宋体" w:eastAsia="新宋体" w:cs="新宋体"/>
          <w:kern w:val="0"/>
          <w:sz w:val="24"/>
          <w:u w:val="single"/>
        </w:rPr>
        <w:t xml:space="preserve"> </w:t>
      </w:r>
      <w:r>
        <w:rPr>
          <w:rFonts w:hint="eastAsia" w:ascii="宋体" w:hAnsi="宋体" w:cs="宋体"/>
          <w:kern w:val="0"/>
          <w:sz w:val="24"/>
          <w:u w:val="single"/>
        </w:rPr>
        <w:t>嵊州市三溪水库工程林木清理项目</w:t>
      </w:r>
      <w:r>
        <w:rPr>
          <w:rFonts w:hint="eastAsia" w:ascii="宋体" w:hAnsi="宋体" w:cs="宋体"/>
          <w:sz w:val="24"/>
          <w:u w:val="single"/>
        </w:rPr>
        <w:t>(项目编号：DD-SZ2025N01</w:t>
      </w:r>
      <w:r>
        <w:rPr>
          <w:rFonts w:hint="eastAsia" w:ascii="宋体" w:hAnsi="宋体" w:cs="宋体"/>
          <w:sz w:val="24"/>
          <w:u w:val="single"/>
          <w:lang w:val="zh-CN"/>
        </w:rPr>
        <w:t>)</w:t>
      </w:r>
      <w:r>
        <w:rPr>
          <w:rFonts w:hint="eastAsia" w:ascii="新宋体" w:hAnsi="新宋体" w:eastAsia="新宋体" w:cs="新宋体"/>
          <w:kern w:val="0"/>
          <w:sz w:val="24"/>
        </w:rPr>
        <w:t>的投标，为便于贵方公正、择优的确定中标人及其投标项目的服务，我方就本次投标有关事项郑重声明如下：</w:t>
      </w:r>
    </w:p>
    <w:p w14:paraId="666E951B">
      <w:pPr>
        <w:tabs>
          <w:tab w:val="left" w:pos="1418"/>
        </w:tabs>
        <w:adjustRightInd/>
        <w:snapToGrid w:val="0"/>
        <w:spacing w:line="500" w:lineRule="exact"/>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1.我方向贵方提交的所有投标文件、资料都是准确的和真实的；</w:t>
      </w:r>
    </w:p>
    <w:p w14:paraId="3B5B1B07">
      <w:pPr>
        <w:tabs>
          <w:tab w:val="left" w:pos="1418"/>
        </w:tabs>
        <w:adjustRightInd/>
        <w:snapToGrid w:val="0"/>
        <w:spacing w:line="500" w:lineRule="exact"/>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2.我方不是采购人的附属机构；在获知本项目采购信息后，与采购人聘请的为此项目提供咨询服务的公司及其附属机构没有任何联系。</w:t>
      </w:r>
    </w:p>
    <w:p w14:paraId="3128BCCD">
      <w:pPr>
        <w:tabs>
          <w:tab w:val="left" w:pos="1418"/>
        </w:tabs>
        <w:adjustRightInd/>
        <w:snapToGrid w:val="0"/>
        <w:spacing w:line="500" w:lineRule="exact"/>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3.我方承诺已经具备采购文件规定的参加本项目采购活动的供应商应当具备的条件：</w:t>
      </w:r>
    </w:p>
    <w:p w14:paraId="02DFD579">
      <w:pPr>
        <w:tabs>
          <w:tab w:val="left" w:pos="1418"/>
        </w:tabs>
        <w:adjustRightInd/>
        <w:snapToGrid w:val="0"/>
        <w:spacing w:line="500" w:lineRule="exact"/>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（1）具备有效营业执照的独立法人；</w:t>
      </w:r>
    </w:p>
    <w:p w14:paraId="600D43FE">
      <w:pPr>
        <w:tabs>
          <w:tab w:val="left" w:pos="1418"/>
        </w:tabs>
        <w:adjustRightInd/>
        <w:snapToGrid w:val="0"/>
        <w:spacing w:line="500" w:lineRule="exact"/>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（2）具有良好的商业信誉和健全的财务会计制度；</w:t>
      </w:r>
    </w:p>
    <w:p w14:paraId="77F65A96">
      <w:pPr>
        <w:tabs>
          <w:tab w:val="left" w:pos="1418"/>
        </w:tabs>
        <w:adjustRightInd/>
        <w:snapToGrid w:val="0"/>
        <w:spacing w:line="500" w:lineRule="exact"/>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（3）具有履行合同所必需的设备和专业技术能力；</w:t>
      </w:r>
    </w:p>
    <w:p w14:paraId="40FE323D">
      <w:pPr>
        <w:tabs>
          <w:tab w:val="left" w:pos="1418"/>
        </w:tabs>
        <w:adjustRightInd/>
        <w:snapToGrid w:val="0"/>
        <w:spacing w:line="500" w:lineRule="exact"/>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（4）有依法缴纳税收和社会保障资金的良好记录；</w:t>
      </w:r>
    </w:p>
    <w:p w14:paraId="72DA30D7">
      <w:pPr>
        <w:tabs>
          <w:tab w:val="left" w:pos="1418"/>
        </w:tabs>
        <w:adjustRightInd/>
        <w:snapToGrid w:val="0"/>
        <w:spacing w:line="500" w:lineRule="exact"/>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（5）参加本次采购活动前三年内，在经营活动中没有重大违法记录；</w:t>
      </w:r>
    </w:p>
    <w:p w14:paraId="37908A6A">
      <w:pPr>
        <w:tabs>
          <w:tab w:val="left" w:pos="1418"/>
        </w:tabs>
        <w:adjustRightInd/>
        <w:snapToGrid w:val="0"/>
        <w:spacing w:line="500" w:lineRule="exact"/>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（6）至本项目投标截止时间前，我方未列入失信被执行人、重大税收违法案件当事人名单、政府采购严重违法失信行为记录名单；</w:t>
      </w:r>
    </w:p>
    <w:p w14:paraId="3F1AC3F9">
      <w:pPr>
        <w:tabs>
          <w:tab w:val="left" w:pos="1418"/>
        </w:tabs>
        <w:adjustRightInd/>
        <w:snapToGrid w:val="0"/>
        <w:spacing w:line="500" w:lineRule="exact"/>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 xml:space="preserve">4.我方承诺：最近三年我方无行贿犯罪行为，若我方中标，愿意接受社会监督和检察院调查。                                                  </w:t>
      </w:r>
    </w:p>
    <w:p w14:paraId="00DCFB88">
      <w:pPr>
        <w:tabs>
          <w:tab w:val="left" w:pos="1418"/>
        </w:tabs>
        <w:adjustRightInd/>
        <w:snapToGrid w:val="0"/>
        <w:spacing w:line="500" w:lineRule="exact"/>
        <w:ind w:firstLine="480" w:firstLineChars="200"/>
        <w:rPr>
          <w:rFonts w:hint="eastAsia" w:ascii="新宋体" w:hAnsi="新宋体" w:eastAsia="新宋体" w:cs="新宋体"/>
          <w:sz w:val="24"/>
        </w:rPr>
      </w:pPr>
      <w:r>
        <w:rPr>
          <w:rFonts w:hint="eastAsia" w:ascii="新宋体" w:hAnsi="新宋体" w:eastAsia="新宋体" w:cs="新宋体"/>
          <w:kern w:val="0"/>
          <w:sz w:val="24"/>
        </w:rPr>
        <w:t>5.以上事项如有虚假或隐瞒，我方愿意承担一切后果和责任。</w:t>
      </w:r>
    </w:p>
    <w:p w14:paraId="38AA3C3D">
      <w:pPr>
        <w:pStyle w:val="63"/>
        <w:spacing w:after="0" w:afterLines="0" w:line="440" w:lineRule="exact"/>
        <w:ind w:firstLine="480"/>
        <w:rPr>
          <w:rFonts w:hint="eastAsia" w:ascii="新宋体" w:hAnsi="新宋体" w:eastAsia="新宋体" w:cs="新宋体"/>
          <w:szCs w:val="24"/>
        </w:rPr>
      </w:pPr>
    </w:p>
    <w:p w14:paraId="75D5D3F6">
      <w:pPr>
        <w:pStyle w:val="63"/>
        <w:spacing w:after="0" w:afterLines="0" w:line="440" w:lineRule="exact"/>
        <w:ind w:firstLine="480"/>
        <w:rPr>
          <w:rFonts w:hint="eastAsia" w:ascii="宋体" w:hAnsi="宋体" w:cs="宋体"/>
          <w:szCs w:val="24"/>
        </w:rPr>
      </w:pPr>
    </w:p>
    <w:p w14:paraId="27318DF0">
      <w:pPr>
        <w:spacing w:line="336" w:lineRule="auto"/>
        <w:ind w:firstLine="3600" w:firstLineChars="15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投标人名称（电子签名）：</w:t>
      </w:r>
    </w:p>
    <w:p w14:paraId="331EF68C">
      <w:pPr>
        <w:spacing w:line="336"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45E521D7">
      <w:pPr>
        <w:pStyle w:val="63"/>
        <w:spacing w:after="0" w:afterLines="0" w:line="440" w:lineRule="exact"/>
        <w:ind w:firstLine="480"/>
        <w:rPr>
          <w:rFonts w:hint="eastAsia" w:ascii="宋体" w:hAnsi="宋体" w:cs="宋体"/>
          <w:szCs w:val="24"/>
        </w:rPr>
      </w:pPr>
    </w:p>
    <w:p w14:paraId="02500BCD">
      <w:pPr>
        <w:spacing w:line="460" w:lineRule="exact"/>
        <w:ind w:right="601"/>
        <w:jc w:val="left"/>
        <w:rPr>
          <w:rFonts w:hint="eastAsia" w:ascii="宋体" w:hAnsi="宋体" w:cs="宋体"/>
          <w:b/>
          <w:sz w:val="24"/>
        </w:rPr>
      </w:pPr>
      <w:r>
        <w:rPr>
          <w:rFonts w:hint="eastAsia" w:ascii="宋体" w:hAnsi="宋体" w:cs="宋体"/>
          <w:b/>
          <w:sz w:val="24"/>
        </w:rPr>
        <w:br w:type="page"/>
      </w:r>
      <w:r>
        <w:rPr>
          <w:rFonts w:hint="eastAsia" w:ascii="宋体" w:hAnsi="宋体" w:cs="宋体"/>
          <w:b/>
          <w:bCs/>
          <w:sz w:val="24"/>
        </w:rPr>
        <w:t>附件二：</w:t>
      </w:r>
      <w:r>
        <w:rPr>
          <w:rFonts w:hint="eastAsia" w:ascii="宋体" w:hAnsi="宋体" w:cs="宋体"/>
          <w:b/>
          <w:sz w:val="24"/>
        </w:rPr>
        <w:t xml:space="preserve"> 符合参加采购活动应当具备的一般条件的承诺函</w:t>
      </w:r>
    </w:p>
    <w:p w14:paraId="53E17104">
      <w:pPr>
        <w:jc w:val="left"/>
        <w:rPr>
          <w:rFonts w:hint="eastAsia" w:ascii="宋体" w:hAnsi="宋体" w:cs="宋体"/>
          <w:b/>
          <w:bCs/>
          <w:sz w:val="24"/>
        </w:rPr>
      </w:pPr>
    </w:p>
    <w:p w14:paraId="0AB9937B">
      <w:pPr>
        <w:spacing w:line="360" w:lineRule="auto"/>
        <w:ind w:right="601"/>
        <w:jc w:val="center"/>
        <w:rPr>
          <w:rFonts w:hint="eastAsia" w:ascii="宋体" w:hAnsi="宋体" w:cs="宋体"/>
          <w:b/>
          <w:sz w:val="24"/>
        </w:rPr>
      </w:pPr>
      <w:r>
        <w:rPr>
          <w:rFonts w:hint="eastAsia" w:ascii="宋体" w:hAnsi="宋体" w:cs="宋体"/>
          <w:bCs/>
          <w:sz w:val="24"/>
        </w:rPr>
        <w:t>符合参加采购活动应当具备的一般条件的承诺函</w:t>
      </w:r>
    </w:p>
    <w:p w14:paraId="0C5B84D1">
      <w:pPr>
        <w:spacing w:line="480" w:lineRule="auto"/>
        <w:rPr>
          <w:rFonts w:hint="eastAsia" w:ascii="宋体" w:hAnsi="宋体" w:cs="宋体"/>
          <w:sz w:val="24"/>
          <w:u w:val="single"/>
        </w:rPr>
      </w:pPr>
    </w:p>
    <w:p w14:paraId="2E030312">
      <w:pPr>
        <w:adjustRightInd/>
        <w:spacing w:line="440" w:lineRule="exact"/>
        <w:rPr>
          <w:rFonts w:hint="eastAsia" w:ascii="宋体" w:hAnsi="宋体" w:cs="宋体"/>
          <w:bCs/>
          <w:kern w:val="0"/>
          <w:sz w:val="24"/>
          <w:u w:val="single"/>
        </w:rPr>
      </w:pPr>
      <w:r>
        <w:rPr>
          <w:rFonts w:hint="eastAsia" w:ascii="宋体" w:hAnsi="宋体" w:cs="宋体"/>
          <w:sz w:val="24"/>
          <w:u w:val="single"/>
        </w:rPr>
        <w:t>嵊州市水利水电发展有限公司</w:t>
      </w:r>
      <w:r>
        <w:rPr>
          <w:rFonts w:hint="eastAsia" w:ascii="宋体" w:hAnsi="宋体" w:cs="宋体"/>
          <w:bCs/>
          <w:kern w:val="0"/>
          <w:sz w:val="24"/>
          <w:u w:val="single"/>
        </w:rPr>
        <w:t>：</w:t>
      </w:r>
    </w:p>
    <w:p w14:paraId="44998568">
      <w:pPr>
        <w:adjustRightInd/>
        <w:spacing w:line="440" w:lineRule="exact"/>
        <w:ind w:firstLine="480" w:firstLineChars="200"/>
        <w:rPr>
          <w:rFonts w:hint="eastAsia" w:ascii="宋体" w:hAnsi="宋体" w:cs="宋体"/>
          <w:b/>
          <w:kern w:val="0"/>
          <w:sz w:val="24"/>
        </w:rPr>
      </w:pPr>
      <w:r>
        <w:rPr>
          <w:rFonts w:hint="eastAsia" w:ascii="宋体" w:hAnsi="宋体" w:cs="宋体"/>
          <w:kern w:val="0"/>
          <w:sz w:val="24"/>
        </w:rPr>
        <w:t>我方参与</w:t>
      </w:r>
      <w:r>
        <w:rPr>
          <w:rFonts w:hint="eastAsia" w:ascii="宋体" w:hAnsi="宋体" w:cs="宋体"/>
          <w:kern w:val="0"/>
          <w:sz w:val="24"/>
          <w:u w:val="single"/>
        </w:rPr>
        <w:t>嵊州市三溪水库工程林木清理项目</w:t>
      </w:r>
      <w:r>
        <w:rPr>
          <w:rFonts w:hint="eastAsia" w:ascii="宋体" w:hAnsi="宋体" w:cs="宋体"/>
          <w:sz w:val="24"/>
          <w:u w:val="single"/>
        </w:rPr>
        <w:t>(项目编号：DD-SZ2025N01</w:t>
      </w:r>
      <w:r>
        <w:rPr>
          <w:rFonts w:hint="eastAsia" w:ascii="宋体" w:hAnsi="宋体" w:cs="宋体"/>
          <w:sz w:val="24"/>
          <w:u w:val="single"/>
          <w:lang w:val="zh-CN"/>
        </w:rPr>
        <w:t>)</w:t>
      </w:r>
      <w:r>
        <w:rPr>
          <w:rFonts w:hint="eastAsia" w:ascii="宋体" w:hAnsi="宋体" w:cs="宋体"/>
          <w:kern w:val="0"/>
          <w:sz w:val="24"/>
        </w:rPr>
        <w:t>的采购活动，郑重承诺：</w:t>
      </w:r>
      <w:r>
        <w:rPr>
          <w:rFonts w:hint="eastAsia" w:ascii="宋体" w:hAnsi="宋体" w:cs="宋体"/>
          <w:sz w:val="24"/>
        </w:rPr>
        <w:t xml:space="preserve">     </w:t>
      </w:r>
    </w:p>
    <w:p w14:paraId="509FC5A4">
      <w:pPr>
        <w:adjustRightInd/>
        <w:spacing w:line="440" w:lineRule="exact"/>
        <w:ind w:firstLine="426" w:firstLineChars="177"/>
        <w:rPr>
          <w:rFonts w:hint="eastAsia" w:ascii="宋体" w:hAnsi="宋体" w:cs="宋体"/>
          <w:b/>
          <w:kern w:val="0"/>
          <w:sz w:val="24"/>
        </w:rPr>
      </w:pPr>
      <w:r>
        <w:rPr>
          <w:rFonts w:hint="eastAsia" w:ascii="宋体" w:hAnsi="宋体" w:cs="宋体"/>
          <w:b/>
          <w:sz w:val="24"/>
        </w:rPr>
        <w:t>一、具备以下条件：</w:t>
      </w:r>
    </w:p>
    <w:p w14:paraId="1C6DFCC5">
      <w:pPr>
        <w:adjustRightInd/>
        <w:spacing w:line="440" w:lineRule="exact"/>
        <w:ind w:firstLine="424" w:firstLineChars="177"/>
        <w:rPr>
          <w:rFonts w:hint="eastAsia" w:ascii="宋体" w:hAnsi="宋体" w:cs="宋体"/>
          <w:kern w:val="0"/>
          <w:sz w:val="24"/>
        </w:rPr>
      </w:pPr>
      <w:r>
        <w:rPr>
          <w:rFonts w:hint="eastAsia" w:ascii="宋体" w:hAnsi="宋体" w:cs="宋体"/>
          <w:kern w:val="0"/>
          <w:sz w:val="24"/>
        </w:rPr>
        <w:t>1.</w:t>
      </w:r>
      <w:r>
        <w:rPr>
          <w:rFonts w:hint="eastAsia" w:ascii="新宋体" w:hAnsi="新宋体" w:eastAsia="新宋体" w:cs="新宋体"/>
          <w:kern w:val="0"/>
          <w:sz w:val="24"/>
        </w:rPr>
        <w:t>具备有效营业执照的独立法人</w:t>
      </w:r>
      <w:r>
        <w:rPr>
          <w:rFonts w:hint="eastAsia" w:ascii="宋体" w:hAnsi="宋体" w:cs="宋体"/>
          <w:kern w:val="0"/>
          <w:sz w:val="24"/>
        </w:rPr>
        <w:t>；</w:t>
      </w:r>
    </w:p>
    <w:p w14:paraId="4286E363">
      <w:pPr>
        <w:adjustRightInd/>
        <w:spacing w:line="440" w:lineRule="exact"/>
        <w:ind w:firstLine="424" w:firstLineChars="177"/>
        <w:rPr>
          <w:rFonts w:hint="eastAsia" w:ascii="宋体" w:hAnsi="宋体" w:cs="宋体"/>
          <w:kern w:val="0"/>
          <w:sz w:val="24"/>
        </w:rPr>
      </w:pPr>
      <w:r>
        <w:rPr>
          <w:rFonts w:hint="eastAsia" w:ascii="宋体" w:hAnsi="宋体" w:cs="宋体"/>
          <w:kern w:val="0"/>
          <w:sz w:val="24"/>
        </w:rPr>
        <w:t>2.具有良好的商业信誉和健全的财务会计制度；</w:t>
      </w:r>
    </w:p>
    <w:p w14:paraId="4BCE344A">
      <w:pPr>
        <w:adjustRightInd/>
        <w:spacing w:line="440" w:lineRule="exact"/>
        <w:ind w:firstLine="424" w:firstLineChars="177"/>
        <w:rPr>
          <w:rFonts w:hint="eastAsia" w:ascii="宋体" w:hAnsi="宋体" w:cs="宋体"/>
          <w:kern w:val="0"/>
          <w:sz w:val="24"/>
        </w:rPr>
      </w:pPr>
      <w:r>
        <w:rPr>
          <w:rFonts w:hint="eastAsia" w:ascii="宋体" w:hAnsi="宋体" w:cs="宋体"/>
          <w:kern w:val="0"/>
          <w:sz w:val="24"/>
        </w:rPr>
        <w:t>3.具有履行本项目合同所必需的设备和专业技术能力；</w:t>
      </w:r>
    </w:p>
    <w:p w14:paraId="40B8E73B">
      <w:pPr>
        <w:adjustRightInd/>
        <w:spacing w:line="440" w:lineRule="exact"/>
        <w:ind w:firstLine="424" w:firstLineChars="177"/>
        <w:rPr>
          <w:rFonts w:hint="eastAsia" w:ascii="宋体" w:hAnsi="宋体" w:cs="宋体"/>
          <w:kern w:val="0"/>
          <w:sz w:val="24"/>
        </w:rPr>
      </w:pPr>
      <w:r>
        <w:rPr>
          <w:rFonts w:hint="eastAsia" w:ascii="宋体" w:hAnsi="宋体" w:cs="宋体"/>
          <w:kern w:val="0"/>
          <w:sz w:val="24"/>
        </w:rPr>
        <w:t>4.有依法缴纳税收和社会保障资金的良好记录；</w:t>
      </w:r>
    </w:p>
    <w:p w14:paraId="108B8EF0">
      <w:pPr>
        <w:adjustRightInd/>
        <w:spacing w:line="440" w:lineRule="exact"/>
        <w:ind w:firstLine="424" w:firstLineChars="177"/>
        <w:rPr>
          <w:rFonts w:hint="eastAsia" w:ascii="宋体" w:hAnsi="宋体" w:cs="宋体"/>
          <w:sz w:val="24"/>
        </w:rPr>
      </w:pPr>
      <w:r>
        <w:rPr>
          <w:rFonts w:hint="eastAsia" w:ascii="宋体" w:hAnsi="宋体" w:cs="宋体"/>
          <w:kern w:val="0"/>
          <w:sz w:val="24"/>
        </w:rPr>
        <w:t>5.在参加本次政府采购活动前三年内，经营活动中没有重大违法记录</w:t>
      </w:r>
      <w:r>
        <w:rPr>
          <w:rFonts w:hint="eastAsia" w:ascii="宋体" w:hAnsi="宋体" w:cs="宋体"/>
          <w:sz w:val="24"/>
        </w:rPr>
        <w:t>；</w:t>
      </w:r>
    </w:p>
    <w:p w14:paraId="54F7521F">
      <w:pPr>
        <w:adjustRightInd/>
        <w:spacing w:line="440" w:lineRule="exact"/>
        <w:ind w:firstLine="424" w:firstLineChars="177"/>
        <w:rPr>
          <w:rFonts w:hint="eastAsia" w:ascii="宋体" w:hAnsi="宋体" w:cs="宋体"/>
          <w:sz w:val="24"/>
        </w:rPr>
      </w:pPr>
      <w:r>
        <w:rPr>
          <w:rFonts w:hint="eastAsia" w:ascii="宋体" w:hAnsi="宋体" w:cs="宋体"/>
          <w:sz w:val="24"/>
        </w:rPr>
        <w:t>6.具有法律、行政法规规定的其他条件。</w:t>
      </w:r>
    </w:p>
    <w:p w14:paraId="2F164D4C">
      <w:pPr>
        <w:adjustRightInd/>
        <w:spacing w:line="440" w:lineRule="exact"/>
        <w:ind w:firstLine="426" w:firstLineChars="177"/>
        <w:rPr>
          <w:rFonts w:hint="eastAsia" w:ascii="宋体" w:hAnsi="宋体" w:cs="宋体"/>
          <w:b/>
          <w:kern w:val="0"/>
          <w:sz w:val="24"/>
        </w:rPr>
      </w:pPr>
      <w:r>
        <w:rPr>
          <w:rFonts w:hint="eastAsia" w:ascii="宋体" w:hAnsi="宋体" w:cs="宋体"/>
          <w:b/>
          <w:sz w:val="24"/>
        </w:rPr>
        <w:t>二、</w:t>
      </w:r>
      <w:r>
        <w:rPr>
          <w:rFonts w:hint="eastAsia" w:ascii="宋体" w:hAnsi="宋体" w:cs="宋体"/>
          <w:b/>
          <w:kern w:val="0"/>
          <w:sz w:val="24"/>
        </w:rPr>
        <w:t>未被“信用中国”（www.creditchina.gov.cn）、“中国政府采购网”（www.ccgp.gov.cn）列入失信被执行人名单、重大税收违法案件当事人名单、政府采购严重违法失信行为记录名单。</w:t>
      </w:r>
    </w:p>
    <w:p w14:paraId="05A034E1">
      <w:pPr>
        <w:adjustRightInd/>
        <w:spacing w:line="440" w:lineRule="exact"/>
        <w:ind w:firstLine="426" w:firstLineChars="177"/>
        <w:rPr>
          <w:rFonts w:hint="eastAsia" w:ascii="宋体" w:hAnsi="宋体" w:cs="宋体"/>
          <w:b/>
          <w:kern w:val="0"/>
          <w:sz w:val="24"/>
        </w:rPr>
      </w:pPr>
      <w:r>
        <w:rPr>
          <w:rFonts w:hint="eastAsia" w:ascii="宋体" w:hAnsi="宋体" w:cs="宋体"/>
          <w:b/>
          <w:kern w:val="0"/>
          <w:sz w:val="24"/>
        </w:rPr>
        <w:t>三、不存在以下情况：</w:t>
      </w:r>
    </w:p>
    <w:p w14:paraId="6E194E2A">
      <w:pPr>
        <w:adjustRightInd/>
        <w:snapToGrid w:val="0"/>
        <w:spacing w:line="440" w:lineRule="exact"/>
        <w:ind w:firstLine="424" w:firstLineChars="177"/>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BD88476">
      <w:pPr>
        <w:adjustRightInd/>
        <w:spacing w:line="440" w:lineRule="exact"/>
        <w:ind w:firstLine="424" w:firstLineChars="177"/>
        <w:rPr>
          <w:rFonts w:hint="eastAsia" w:ascii="宋体" w:hAnsi="宋体" w:cs="宋体"/>
          <w:kern w:val="0"/>
          <w:sz w:val="24"/>
        </w:rPr>
      </w:pPr>
      <w:r>
        <w:rPr>
          <w:rFonts w:hint="eastAsia" w:ascii="宋体" w:hAnsi="宋体" w:cs="宋体"/>
          <w:sz w:val="24"/>
        </w:rPr>
        <w:t>2.为采购项目提供整体设计、规范编制或者项目管理、监理、检测等服务后再参加该采购项目的其他采购活动的。</w:t>
      </w:r>
    </w:p>
    <w:p w14:paraId="1C5E8F97">
      <w:pPr>
        <w:adjustRightInd/>
        <w:spacing w:line="440" w:lineRule="exact"/>
        <w:ind w:firstLine="426" w:firstLineChars="177"/>
        <w:rPr>
          <w:rFonts w:hint="eastAsia" w:ascii="宋体" w:hAnsi="宋体" w:cs="宋体"/>
          <w:sz w:val="24"/>
        </w:rPr>
      </w:pPr>
      <w:r>
        <w:rPr>
          <w:rFonts w:hint="eastAsia" w:ascii="宋体" w:hAnsi="宋体" w:cs="宋体"/>
          <w:b/>
          <w:bCs/>
          <w:sz w:val="24"/>
        </w:rPr>
        <w:t>以上承诺如有虚假或隐瞒，采购人可取消我方任何资格（投标/中标/签订合同），我方对此无任何异议，并愿意承担一切后果和责任。</w:t>
      </w:r>
    </w:p>
    <w:p w14:paraId="72B75CD5">
      <w:pPr>
        <w:ind w:right="-21" w:rightChars="-10" w:firstLine="5520" w:firstLineChars="2300"/>
        <w:rPr>
          <w:rFonts w:hint="eastAsia" w:ascii="宋体" w:hAnsi="宋体" w:cs="宋体"/>
          <w:sz w:val="24"/>
        </w:rPr>
      </w:pPr>
    </w:p>
    <w:p w14:paraId="7F71546E">
      <w:pPr>
        <w:snapToGrid w:val="0"/>
        <w:spacing w:line="360" w:lineRule="auto"/>
        <w:textAlignment w:val="baseline"/>
        <w:rPr>
          <w:rFonts w:hint="eastAsia" w:ascii="宋体" w:hAnsi="宋体" w:cs="宋体"/>
          <w:kern w:val="0"/>
          <w:sz w:val="24"/>
          <w:lang w:val="zh-CN"/>
        </w:rPr>
      </w:pPr>
    </w:p>
    <w:p w14:paraId="39C1064F">
      <w:pPr>
        <w:spacing w:line="336" w:lineRule="auto"/>
        <w:ind w:firstLine="6240" w:firstLineChars="26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投标人名称（电子签名）：</w:t>
      </w:r>
    </w:p>
    <w:p w14:paraId="3D1BD266">
      <w:pPr>
        <w:spacing w:line="336"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6F637AC1">
      <w:pPr>
        <w:rPr>
          <w:rFonts w:hint="eastAsia" w:ascii="宋体" w:hAnsi="宋体" w:cs="宋体"/>
          <w:bCs/>
          <w:sz w:val="24"/>
        </w:rPr>
      </w:pPr>
      <w:r>
        <w:rPr>
          <w:rFonts w:hint="eastAsia" w:ascii="宋体" w:hAnsi="宋体" w:cs="宋体"/>
          <w:bCs/>
          <w:sz w:val="24"/>
        </w:rPr>
        <w:br w:type="page"/>
      </w:r>
    </w:p>
    <w:p w14:paraId="566926F0">
      <w:pPr>
        <w:pStyle w:val="2"/>
        <w:tabs>
          <w:tab w:val="left" w:pos="358"/>
          <w:tab w:val="left" w:pos="420"/>
          <w:tab w:val="clear" w:pos="432"/>
        </w:tabs>
        <w:spacing w:before="400"/>
        <w:ind w:left="0" w:firstLine="0"/>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rPr>
        <w:t>三</w:t>
      </w:r>
      <w:r>
        <w:rPr>
          <w:rFonts w:hint="eastAsia" w:ascii="宋体" w:hAnsi="宋体" w:eastAsia="宋体" w:cs="宋体"/>
          <w:sz w:val="24"/>
          <w:szCs w:val="24"/>
        </w:rPr>
        <w:t xml:space="preserve">   具有履行合同所必需的设备和专业技术能力的承诺函</w:t>
      </w:r>
    </w:p>
    <w:p w14:paraId="1B07A386">
      <w:pPr>
        <w:pStyle w:val="5"/>
        <w:rPr>
          <w:rFonts w:hint="eastAsia" w:hAnsi="宋体" w:cs="宋体"/>
          <w:sz w:val="24"/>
          <w:szCs w:val="24"/>
        </w:rPr>
      </w:pPr>
    </w:p>
    <w:p w14:paraId="0F191975">
      <w:pPr>
        <w:snapToGrid w:val="0"/>
        <w:spacing w:before="50" w:after="50"/>
        <w:ind w:firstLine="562"/>
        <w:jc w:val="center"/>
        <w:rPr>
          <w:rFonts w:hint="eastAsia" w:ascii="宋体" w:hAnsi="宋体" w:cs="宋体"/>
          <w:bCs/>
          <w:sz w:val="24"/>
        </w:rPr>
      </w:pPr>
      <w:r>
        <w:rPr>
          <w:rFonts w:hint="eastAsia" w:ascii="宋体" w:hAnsi="宋体" w:cs="宋体"/>
          <w:bCs/>
          <w:sz w:val="24"/>
        </w:rPr>
        <w:t>具有履行合同所必需的设备和专业技术能力的承诺函</w:t>
      </w:r>
    </w:p>
    <w:p w14:paraId="50F265CF">
      <w:pPr>
        <w:snapToGrid w:val="0"/>
        <w:spacing w:before="120" w:beforeLines="50" w:after="50" w:line="480" w:lineRule="auto"/>
        <w:rPr>
          <w:rFonts w:hint="eastAsia" w:ascii="宋体" w:hAnsi="宋体" w:cs="宋体"/>
          <w:sz w:val="24"/>
          <w:u w:val="single"/>
        </w:rPr>
      </w:pPr>
    </w:p>
    <w:p w14:paraId="7E389AE6">
      <w:pPr>
        <w:snapToGrid w:val="0"/>
        <w:spacing w:before="120" w:beforeLines="50" w:after="50" w:line="480" w:lineRule="auto"/>
        <w:rPr>
          <w:rFonts w:hint="eastAsia" w:ascii="宋体" w:hAnsi="宋体" w:cs="宋体"/>
          <w:kern w:val="0"/>
          <w:sz w:val="24"/>
        </w:rPr>
      </w:pPr>
      <w:r>
        <w:rPr>
          <w:rFonts w:hint="eastAsia" w:ascii="宋体" w:hAnsi="宋体" w:cs="宋体"/>
          <w:sz w:val="24"/>
          <w:u w:val="single"/>
        </w:rPr>
        <w:t>嵊州市水利水电发展有限公司：</w:t>
      </w:r>
    </w:p>
    <w:p w14:paraId="5C9B6E8D">
      <w:pPr>
        <w:spacing w:line="480" w:lineRule="auto"/>
        <w:ind w:firstLine="480" w:firstLineChars="200"/>
        <w:rPr>
          <w:rFonts w:hint="eastAsia" w:ascii="宋体" w:hAnsi="宋体" w:cs="宋体"/>
          <w:kern w:val="0"/>
          <w:sz w:val="24"/>
        </w:rPr>
      </w:pPr>
      <w:r>
        <w:rPr>
          <w:rFonts w:hint="eastAsia" w:ascii="宋体" w:hAnsi="宋体" w:cs="宋体"/>
          <w:kern w:val="0"/>
          <w:sz w:val="24"/>
        </w:rPr>
        <w:t>我方郑重声明，我方具有履行</w:t>
      </w:r>
      <w:r>
        <w:rPr>
          <w:rFonts w:hint="eastAsia" w:ascii="宋体" w:hAnsi="宋体" w:cs="宋体"/>
          <w:kern w:val="0"/>
          <w:sz w:val="24"/>
          <w:u w:val="single"/>
        </w:rPr>
        <w:t>嵊州市三溪水库工程林木清理项目</w:t>
      </w:r>
      <w:r>
        <w:rPr>
          <w:rFonts w:hint="eastAsia" w:ascii="宋体" w:hAnsi="宋体" w:cs="宋体"/>
          <w:sz w:val="24"/>
          <w:u w:val="single"/>
        </w:rPr>
        <w:t>(项目编号：DD-SZ2025N01</w:t>
      </w:r>
      <w:r>
        <w:rPr>
          <w:rFonts w:hint="eastAsia" w:ascii="宋体" w:hAnsi="宋体" w:cs="宋体"/>
          <w:sz w:val="24"/>
          <w:u w:val="single"/>
          <w:lang w:val="zh-CN"/>
        </w:rPr>
        <w:t>)</w:t>
      </w:r>
      <w:r>
        <w:rPr>
          <w:rFonts w:hint="eastAsia" w:ascii="宋体" w:hAnsi="宋体" w:cs="宋体"/>
          <w:kern w:val="0"/>
          <w:sz w:val="24"/>
        </w:rPr>
        <w:t>合同所必需的设备和专业技术能力，如中标，我方将按我方投标文件承诺，保证合同顺利履行。如有虚假或隐瞒，愿意承担一切后果。</w:t>
      </w:r>
    </w:p>
    <w:p w14:paraId="51ED00F2">
      <w:pPr>
        <w:spacing w:line="480" w:lineRule="auto"/>
        <w:ind w:firstLine="480" w:firstLineChars="200"/>
        <w:rPr>
          <w:rFonts w:hint="eastAsia" w:ascii="宋体" w:hAnsi="宋体" w:cs="宋体"/>
          <w:kern w:val="0"/>
          <w:sz w:val="24"/>
        </w:rPr>
      </w:pPr>
    </w:p>
    <w:p w14:paraId="0C4A2912">
      <w:pPr>
        <w:spacing w:line="480" w:lineRule="auto"/>
        <w:ind w:firstLine="480" w:firstLineChars="200"/>
        <w:rPr>
          <w:rFonts w:hint="eastAsia" w:ascii="宋体" w:hAnsi="宋体" w:cs="宋体"/>
          <w:kern w:val="0"/>
          <w:sz w:val="24"/>
        </w:rPr>
      </w:pPr>
      <w:r>
        <w:rPr>
          <w:rFonts w:hint="eastAsia" w:ascii="宋体" w:hAnsi="宋体" w:cs="宋体"/>
          <w:kern w:val="0"/>
          <w:sz w:val="24"/>
        </w:rPr>
        <w:t>特此承诺！</w:t>
      </w:r>
    </w:p>
    <w:p w14:paraId="14165343">
      <w:pPr>
        <w:spacing w:line="480" w:lineRule="auto"/>
        <w:rPr>
          <w:rFonts w:hint="eastAsia" w:ascii="宋体" w:hAnsi="宋体" w:cs="宋体"/>
          <w:kern w:val="0"/>
          <w:sz w:val="24"/>
        </w:rPr>
      </w:pPr>
    </w:p>
    <w:p w14:paraId="3784DBE6">
      <w:pPr>
        <w:spacing w:line="336" w:lineRule="auto"/>
        <w:ind w:firstLine="6240" w:firstLineChars="26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投标人名称（电子签名）：</w:t>
      </w:r>
    </w:p>
    <w:p w14:paraId="7EF4E6FC">
      <w:pPr>
        <w:spacing w:line="336"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144E48FC">
      <w:pPr>
        <w:ind w:firstLine="480" w:firstLineChars="200"/>
        <w:jc w:val="center"/>
        <w:rPr>
          <w:rFonts w:hint="eastAsia" w:ascii="宋体" w:hAnsi="宋体" w:cs="宋体"/>
          <w:sz w:val="24"/>
          <w:shd w:val="clear" w:color="FFFFFF" w:fill="D9D9D9"/>
        </w:rPr>
      </w:pPr>
    </w:p>
    <w:p w14:paraId="1A52B3B5">
      <w:pPr>
        <w:rPr>
          <w:rFonts w:hint="eastAsia" w:ascii="宋体" w:hAnsi="宋体" w:cs="宋体"/>
          <w:b/>
          <w:bCs/>
          <w:sz w:val="24"/>
        </w:rPr>
      </w:pPr>
      <w:r>
        <w:rPr>
          <w:rFonts w:hint="eastAsia" w:ascii="宋体" w:hAnsi="宋体" w:cs="宋体"/>
          <w:b/>
          <w:bCs/>
          <w:sz w:val="24"/>
        </w:rPr>
        <w:br w:type="page"/>
      </w:r>
    </w:p>
    <w:p w14:paraId="71C4D728">
      <w:pPr>
        <w:spacing w:line="360" w:lineRule="auto"/>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cs="宋体"/>
          <w:b/>
          <w:bCs/>
          <w:sz w:val="24"/>
        </w:rPr>
        <w:t xml:space="preserve">附件四 </w:t>
      </w:r>
      <w:r>
        <w:rPr>
          <w:rFonts w:hint="eastAsia" w:ascii="宋体" w:hAnsi="宋体" w:cs="宋体"/>
          <w:b/>
          <w:sz w:val="24"/>
        </w:rPr>
        <w:t xml:space="preserve"> </w:t>
      </w:r>
      <w:r>
        <w:rPr>
          <w:rFonts w:hint="eastAsia" w:ascii="宋体" w:hAnsi="宋体" w:cs="宋体"/>
          <w:b/>
          <w:sz w:val="24"/>
          <w:lang w:eastAsia="zh-CN"/>
        </w:rPr>
        <w:t>营业执照</w:t>
      </w:r>
    </w:p>
    <w:p w14:paraId="277F0069">
      <w:pPr>
        <w:jc w:val="center"/>
        <w:rPr>
          <w:rFonts w:hint="eastAsia" w:ascii="宋体" w:hAnsi="宋体" w:cs="宋体"/>
          <w:b/>
          <w:bCs/>
          <w:sz w:val="24"/>
          <w:lang w:val="zh-CN"/>
        </w:rPr>
      </w:pPr>
      <w:r>
        <w:rPr>
          <w:rFonts w:hint="eastAsia" w:ascii="宋体" w:hAnsi="宋体" w:cs="宋体"/>
          <w:b/>
          <w:sz w:val="24"/>
          <w:lang w:eastAsia="zh-CN"/>
        </w:rPr>
        <w:t>营业执照扫描件</w:t>
      </w:r>
    </w:p>
    <w:p w14:paraId="4E3F7EC1">
      <w:pPr>
        <w:pStyle w:val="32"/>
        <w:rPr>
          <w:rFonts w:hint="eastAsia" w:ascii="宋体" w:hAnsi="宋体" w:eastAsia="宋体" w:cs="宋体"/>
          <w:lang w:val="zh-CN"/>
        </w:rPr>
      </w:pPr>
    </w:p>
    <w:p w14:paraId="04C4EF89">
      <w:pPr>
        <w:widowControl/>
        <w:adjustRightInd/>
        <w:rPr>
          <w:rFonts w:hint="eastAsia" w:ascii="宋体" w:hAnsi="宋体" w:cs="宋体"/>
          <w:b/>
          <w:sz w:val="24"/>
        </w:rPr>
      </w:pPr>
    </w:p>
    <w:p w14:paraId="29339702">
      <w:pPr>
        <w:widowControl/>
        <w:adjustRightInd/>
        <w:rPr>
          <w:rFonts w:hint="eastAsia" w:ascii="宋体" w:hAnsi="宋体" w:cs="宋体"/>
          <w:b/>
          <w:sz w:val="24"/>
        </w:rPr>
      </w:pPr>
    </w:p>
    <w:p w14:paraId="6F54355B">
      <w:pPr>
        <w:widowControl/>
        <w:adjustRightInd/>
        <w:rPr>
          <w:rFonts w:hint="eastAsia" w:ascii="宋体" w:hAnsi="宋体" w:cs="宋体"/>
          <w:b/>
          <w:sz w:val="24"/>
        </w:rPr>
      </w:pPr>
      <w:r>
        <w:rPr>
          <w:rFonts w:hint="eastAsia" w:ascii="宋体" w:hAnsi="宋体" w:cs="宋体"/>
          <w:b/>
          <w:sz w:val="24"/>
        </w:rPr>
        <w:t>附件五 法定代表人授权委托书或法定代表人身份证明</w:t>
      </w:r>
    </w:p>
    <w:p w14:paraId="0C8FC6AB">
      <w:pPr>
        <w:jc w:val="center"/>
        <w:rPr>
          <w:rFonts w:hint="eastAsia" w:ascii="宋体" w:hAnsi="宋体" w:cs="宋体"/>
          <w:b/>
          <w:sz w:val="24"/>
        </w:rPr>
      </w:pPr>
    </w:p>
    <w:p w14:paraId="02C54319">
      <w:pPr>
        <w:jc w:val="center"/>
        <w:rPr>
          <w:rFonts w:hint="eastAsia" w:ascii="宋体" w:hAnsi="宋体" w:cs="宋体"/>
          <w:b/>
          <w:bCs/>
          <w:sz w:val="24"/>
        </w:rPr>
      </w:pPr>
      <w:r>
        <w:rPr>
          <w:rFonts w:hint="eastAsia" w:ascii="宋体" w:hAnsi="宋体" w:cs="宋体"/>
          <w:b/>
          <w:bCs/>
          <w:sz w:val="24"/>
        </w:rPr>
        <w:t>法定代表人授权委托书</w:t>
      </w:r>
    </w:p>
    <w:p w14:paraId="64ABD9AA">
      <w:pPr>
        <w:rPr>
          <w:rFonts w:hint="eastAsia" w:ascii="宋体" w:hAnsi="宋体" w:cs="宋体"/>
          <w:sz w:val="24"/>
        </w:rPr>
      </w:pPr>
    </w:p>
    <w:p w14:paraId="2FCA48D2">
      <w:pPr>
        <w:snapToGrid w:val="0"/>
        <w:spacing w:line="560" w:lineRule="exact"/>
        <w:ind w:firstLine="480" w:firstLineChars="200"/>
        <w:rPr>
          <w:rFonts w:hint="eastAsia"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(填写姓名)</w:t>
      </w:r>
      <w:r>
        <w:rPr>
          <w:rFonts w:hint="eastAsia" w:ascii="宋体" w:hAnsi="宋体" w:cs="宋体"/>
          <w:sz w:val="24"/>
        </w:rPr>
        <w:t>系</w:t>
      </w:r>
      <w:r>
        <w:rPr>
          <w:rFonts w:hint="eastAsia" w:ascii="宋体" w:hAnsi="宋体" w:cs="宋体"/>
          <w:sz w:val="24"/>
          <w:u w:val="single"/>
        </w:rPr>
        <w:t xml:space="preserve">           （填写投标人单位全称）</w:t>
      </w:r>
      <w:r>
        <w:rPr>
          <w:rFonts w:hint="eastAsia" w:ascii="宋体" w:hAnsi="宋体" w:cs="宋体"/>
          <w:sz w:val="24"/>
        </w:rPr>
        <w:t>的法定代表人，现授权委托</w:t>
      </w:r>
      <w:r>
        <w:rPr>
          <w:rFonts w:hint="eastAsia" w:ascii="宋体" w:hAnsi="宋体" w:cs="宋体"/>
          <w:sz w:val="24"/>
          <w:u w:val="single"/>
        </w:rPr>
        <w:t xml:space="preserve">                  （填写单位全称）</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rPr>
        <w:t>（填写姓名）为我公司授权代表。以本公司的名义参加</w:t>
      </w:r>
      <w:r>
        <w:rPr>
          <w:rFonts w:hint="eastAsia" w:ascii="宋体" w:hAnsi="宋体" w:cs="宋体"/>
          <w:sz w:val="24"/>
          <w:u w:val="single"/>
        </w:rPr>
        <w:t>嵊州市水利水电发展有限公司</w:t>
      </w:r>
      <w:r>
        <w:rPr>
          <w:rFonts w:hint="eastAsia" w:ascii="宋体" w:hAnsi="宋体" w:cs="宋体"/>
          <w:sz w:val="24"/>
        </w:rPr>
        <w:t>组织的</w:t>
      </w:r>
      <w:r>
        <w:rPr>
          <w:rFonts w:hint="eastAsia" w:ascii="宋体" w:hAnsi="宋体" w:cs="宋体"/>
          <w:kern w:val="0"/>
          <w:sz w:val="24"/>
          <w:u w:val="single"/>
        </w:rPr>
        <w:t>嵊州市三溪水库工程林木清理项目</w:t>
      </w:r>
      <w:r>
        <w:rPr>
          <w:rFonts w:hint="eastAsia" w:ascii="宋体" w:hAnsi="宋体" w:cs="宋体"/>
          <w:sz w:val="24"/>
          <w:u w:val="single"/>
        </w:rPr>
        <w:t>(项目编号：DD-SZ2025N01</w:t>
      </w:r>
      <w:r>
        <w:rPr>
          <w:rFonts w:hint="eastAsia" w:ascii="宋体" w:hAnsi="宋体" w:cs="宋体"/>
          <w:sz w:val="24"/>
          <w:u w:val="single"/>
          <w:lang w:val="zh-CN"/>
        </w:rPr>
        <w:t>)</w:t>
      </w:r>
      <w:r>
        <w:rPr>
          <w:rFonts w:hint="eastAsia" w:ascii="宋体" w:hAnsi="宋体" w:cs="宋体"/>
          <w:sz w:val="24"/>
        </w:rPr>
        <w:t>投标活动。授权代表在开标、评标、合同谈判过程中所签署的一切文件和处理与之有关的一切事务，我均予以承认。</w:t>
      </w:r>
    </w:p>
    <w:p w14:paraId="7E5866A5">
      <w:pPr>
        <w:snapToGrid w:val="0"/>
        <w:spacing w:line="560" w:lineRule="exact"/>
        <w:ind w:firstLine="480" w:firstLineChars="200"/>
        <w:jc w:val="left"/>
        <w:rPr>
          <w:rFonts w:hint="eastAsia" w:ascii="宋体" w:hAnsi="宋体" w:cs="宋体"/>
          <w:sz w:val="24"/>
        </w:rPr>
      </w:pPr>
      <w:r>
        <w:rPr>
          <w:rFonts w:hint="eastAsia" w:ascii="宋体" w:hAnsi="宋体" w:cs="宋体"/>
          <w:sz w:val="24"/>
        </w:rPr>
        <w:t>在撤销授权的书面通知以前，本授权书一直有效。全权代表在授权书有效期内签署的所有文件不因授权的撤销而失效。</w:t>
      </w:r>
    </w:p>
    <w:p w14:paraId="2066B74A">
      <w:pPr>
        <w:spacing w:line="560" w:lineRule="exact"/>
        <w:ind w:firstLine="480" w:firstLineChars="200"/>
        <w:rPr>
          <w:rFonts w:hint="eastAsia" w:ascii="宋体" w:hAnsi="宋体" w:cs="宋体"/>
          <w:sz w:val="24"/>
        </w:rPr>
      </w:pPr>
      <w:r>
        <w:rPr>
          <w:rFonts w:hint="eastAsia" w:ascii="宋体" w:hAnsi="宋体" w:cs="宋体"/>
          <w:sz w:val="24"/>
        </w:rPr>
        <w:t>授权代表无转委托权。特此委托。</w:t>
      </w:r>
    </w:p>
    <w:p w14:paraId="1F92425D">
      <w:pPr>
        <w:snapToGrid w:val="0"/>
        <w:spacing w:line="600" w:lineRule="exact"/>
        <w:jc w:val="left"/>
        <w:rPr>
          <w:rFonts w:hint="eastAsia" w:ascii="宋体" w:hAnsi="宋体" w:cs="宋体"/>
          <w:sz w:val="24"/>
        </w:rPr>
      </w:pPr>
    </w:p>
    <w:p w14:paraId="4908B144">
      <w:pPr>
        <w:spacing w:line="360" w:lineRule="exact"/>
        <w:rPr>
          <w:rFonts w:hint="eastAsia" w:ascii="宋体" w:hAnsi="宋体" w:cs="宋体"/>
          <w:sz w:val="24"/>
        </w:rPr>
      </w:pPr>
      <w:r>
        <w:rPr>
          <w:rFonts w:hint="eastAsia" w:ascii="宋体" w:hAnsi="宋体" w:cs="宋体"/>
          <w:sz w:val="24"/>
        </w:rPr>
        <w:t>授权代表姓名：              性别：               年龄：</w:t>
      </w:r>
    </w:p>
    <w:p w14:paraId="6D85627B">
      <w:pPr>
        <w:spacing w:line="360" w:lineRule="exact"/>
        <w:rPr>
          <w:rFonts w:hint="eastAsia" w:ascii="宋体" w:hAnsi="宋体" w:cs="宋体"/>
          <w:sz w:val="24"/>
        </w:rPr>
      </w:pPr>
    </w:p>
    <w:p w14:paraId="311FEE4A">
      <w:pPr>
        <w:spacing w:line="360" w:lineRule="exact"/>
        <w:rPr>
          <w:rFonts w:hint="eastAsia" w:ascii="宋体" w:hAnsi="宋体" w:cs="宋体"/>
          <w:sz w:val="24"/>
        </w:rPr>
      </w:pPr>
      <w:r>
        <w:rPr>
          <w:rFonts w:hint="eastAsia" w:ascii="宋体" w:hAnsi="宋体" w:cs="宋体"/>
          <w:sz w:val="24"/>
        </w:rPr>
        <w:t>单位：                      部门：               职务：</w:t>
      </w:r>
    </w:p>
    <w:p w14:paraId="31054C0C">
      <w:pPr>
        <w:spacing w:line="360" w:lineRule="exact"/>
        <w:rPr>
          <w:rFonts w:hint="eastAsia" w:ascii="宋体" w:hAnsi="宋体" w:cs="宋体"/>
          <w:sz w:val="24"/>
        </w:rPr>
      </w:pPr>
    </w:p>
    <w:p w14:paraId="334346EC">
      <w:pPr>
        <w:widowControl/>
        <w:snapToGrid w:val="0"/>
        <w:spacing w:line="440" w:lineRule="exact"/>
        <w:rPr>
          <w:rFonts w:hint="eastAsia" w:ascii="宋体" w:hAnsi="宋体" w:cs="宋体"/>
          <w:sz w:val="24"/>
        </w:rPr>
      </w:pPr>
      <w:r>
        <w:rPr>
          <w:rFonts w:hint="eastAsia" w:ascii="宋体" w:hAnsi="宋体" w:cs="宋体"/>
          <w:kern w:val="0"/>
          <w:sz w:val="24"/>
        </w:rPr>
        <w:t>办公地址：                  联系电话：           传真：</w:t>
      </w:r>
    </w:p>
    <w:p w14:paraId="3704880D">
      <w:pPr>
        <w:spacing w:line="360" w:lineRule="exact"/>
        <w:rPr>
          <w:rFonts w:hint="eastAsia" w:ascii="宋体" w:hAnsi="宋体" w:cs="宋体"/>
          <w:sz w:val="24"/>
        </w:rPr>
      </w:pPr>
    </w:p>
    <w:p w14:paraId="43E43D07">
      <w:pPr>
        <w:spacing w:line="360" w:lineRule="exact"/>
        <w:rPr>
          <w:rFonts w:hint="eastAsia" w:ascii="宋体" w:hAnsi="宋体" w:cs="宋体"/>
          <w:sz w:val="24"/>
        </w:rPr>
      </w:pPr>
    </w:p>
    <w:p w14:paraId="26061B5F">
      <w:pPr>
        <w:spacing w:line="360" w:lineRule="exact"/>
        <w:rPr>
          <w:rFonts w:hint="eastAsia" w:ascii="宋体" w:hAnsi="宋体" w:cs="宋体"/>
          <w:sz w:val="24"/>
        </w:rPr>
      </w:pPr>
      <w:r>
        <w:rPr>
          <w:rFonts w:hint="eastAsia" w:ascii="宋体" w:hAnsi="宋体" w:cs="宋体"/>
          <w:sz w:val="24"/>
        </w:rPr>
        <w:t>投标人（电子签章）：</w:t>
      </w:r>
    </w:p>
    <w:p w14:paraId="5354DF95">
      <w:pPr>
        <w:spacing w:line="360" w:lineRule="exact"/>
        <w:rPr>
          <w:rFonts w:hint="eastAsia" w:ascii="宋体" w:hAnsi="宋体" w:cs="宋体"/>
          <w:sz w:val="24"/>
        </w:rPr>
      </w:pPr>
    </w:p>
    <w:p w14:paraId="7A122952">
      <w:pPr>
        <w:spacing w:line="360" w:lineRule="exact"/>
        <w:rPr>
          <w:rFonts w:hint="eastAsia" w:ascii="宋体" w:hAnsi="宋体" w:cs="宋体"/>
          <w:sz w:val="24"/>
        </w:rPr>
      </w:pPr>
      <w:r>
        <w:rPr>
          <w:rFonts w:hint="eastAsia" w:ascii="宋体" w:hAnsi="宋体" w:cs="宋体"/>
          <w:sz w:val="24"/>
        </w:rPr>
        <w:t>法定代表人（签字或盖章）：</w:t>
      </w:r>
    </w:p>
    <w:p w14:paraId="25C838F5">
      <w:pPr>
        <w:spacing w:line="360" w:lineRule="exact"/>
        <w:rPr>
          <w:rFonts w:hint="eastAsia" w:ascii="宋体" w:hAnsi="宋体" w:cs="宋体"/>
          <w:sz w:val="24"/>
        </w:rPr>
      </w:pPr>
    </w:p>
    <w:p w14:paraId="0D3DE6C0">
      <w:pPr>
        <w:spacing w:line="360" w:lineRule="exact"/>
        <w:rPr>
          <w:rFonts w:hint="eastAsia" w:ascii="宋体" w:hAnsi="宋体" w:cs="宋体"/>
          <w:sz w:val="24"/>
        </w:rPr>
      </w:pPr>
    </w:p>
    <w:p w14:paraId="1AC9FBC4">
      <w:pPr>
        <w:ind w:firstLine="5280" w:firstLineChars="2200"/>
        <w:jc w:val="left"/>
        <w:rPr>
          <w:rFonts w:hint="eastAsia" w:ascii="宋体" w:hAnsi="宋体" w:cs="宋体"/>
          <w:sz w:val="24"/>
        </w:rPr>
      </w:pPr>
      <w:r>
        <w:rPr>
          <w:rFonts w:hint="eastAsia" w:ascii="宋体" w:hAnsi="宋体" w:cs="宋体"/>
          <w:sz w:val="24"/>
        </w:rPr>
        <w:t>日期：    年   月   日</w:t>
      </w:r>
    </w:p>
    <w:p w14:paraId="51CC4187">
      <w:pPr>
        <w:snapToGrid w:val="0"/>
        <w:spacing w:before="50" w:after="50"/>
        <w:jc w:val="center"/>
        <w:rPr>
          <w:rFonts w:hint="eastAsia" w:ascii="宋体" w:hAnsi="宋体" w:cs="宋体"/>
          <w:b/>
          <w:bCs/>
          <w:kern w:val="0"/>
          <w:sz w:val="24"/>
        </w:rPr>
      </w:pPr>
      <w:r>
        <w:rPr>
          <w:rFonts w:hint="eastAsia" w:ascii="宋体" w:hAnsi="宋体" w:cs="宋体"/>
          <w:b/>
          <w:bCs/>
          <w:kern w:val="0"/>
          <w:sz w:val="24"/>
        </w:rPr>
        <w:t xml:space="preserve">                                                                                                                                                                                                                                                                                                                                                                                                                                                                                                                                                                                                                                                                                                                                                                                                                                                                                                                                                                                                                                                                                                                                                                                                                                                                                                                                                                                                                                                                                                                                                                                                                                                                                                                                                                                                                                                                                                                                                                                                                                                                                                                                                                                                                                                                                                                                                                                                                                                                                                                                                                                                                                                                                                                                                                                                                                                                                                                                                                                                                                                                                                                                                                                                                                                                                                                                                                                                                                                                                       </w:t>
      </w:r>
      <w:bookmarkStart w:id="94" w:name="_Toc384363150"/>
    </w:p>
    <w:p w14:paraId="23FAC225">
      <w:pPr>
        <w:snapToGrid w:val="0"/>
        <w:spacing w:before="50" w:after="50"/>
        <w:rPr>
          <w:rFonts w:hint="eastAsia" w:ascii="宋体" w:hAnsi="宋体" w:cs="宋体"/>
          <w:b/>
          <w:bCs/>
          <w:kern w:val="0"/>
          <w:sz w:val="24"/>
        </w:rPr>
      </w:pPr>
      <w:r>
        <w:rPr>
          <w:rFonts w:hint="eastAsia" w:ascii="宋体" w:hAnsi="宋体" w:cs="宋体"/>
          <w:b/>
          <w:bCs/>
          <w:kern w:val="0"/>
          <w:sz w:val="24"/>
        </w:rPr>
        <w:t>附：授权代表身份证和法定代表人身份证</w:t>
      </w:r>
    </w:p>
    <w:bookmarkEnd w:id="94"/>
    <w:p w14:paraId="65F6C0B5">
      <w:pPr>
        <w:spacing w:line="500" w:lineRule="exact"/>
        <w:jc w:val="center"/>
        <w:rPr>
          <w:rFonts w:hint="eastAsia" w:ascii="宋体" w:hAnsi="宋体" w:cs="宋体"/>
          <w:b/>
          <w:bCs/>
          <w:kern w:val="0"/>
          <w:sz w:val="24"/>
        </w:rPr>
      </w:pPr>
      <w:bookmarkStart w:id="95" w:name="_Toc384363154"/>
    </w:p>
    <w:p w14:paraId="36D6E8D5">
      <w:pPr>
        <w:spacing w:line="500" w:lineRule="exact"/>
        <w:jc w:val="center"/>
        <w:rPr>
          <w:rFonts w:hint="eastAsia" w:ascii="宋体" w:hAnsi="宋体" w:cs="宋体"/>
          <w:b/>
          <w:bCs/>
          <w:kern w:val="0"/>
          <w:sz w:val="24"/>
        </w:rPr>
      </w:pPr>
      <w:r>
        <w:rPr>
          <w:rFonts w:hint="eastAsia" w:ascii="宋体" w:hAnsi="宋体" w:cs="宋体"/>
          <w:b/>
          <w:bCs/>
          <w:kern w:val="0"/>
          <w:sz w:val="24"/>
        </w:rPr>
        <w:t>法定代表人身份证明</w:t>
      </w:r>
    </w:p>
    <w:p w14:paraId="6DAF1768">
      <w:pPr>
        <w:widowControl/>
        <w:spacing w:line="420" w:lineRule="atLeast"/>
        <w:jc w:val="center"/>
        <w:rPr>
          <w:rFonts w:hint="eastAsia" w:ascii="宋体" w:hAnsi="宋体" w:cs="宋体"/>
          <w:b/>
          <w:bCs/>
          <w:kern w:val="0"/>
          <w:sz w:val="24"/>
        </w:rPr>
      </w:pPr>
      <w:r>
        <w:rPr>
          <w:rFonts w:hint="eastAsia" w:ascii="宋体" w:hAnsi="宋体" w:cs="宋体"/>
          <w:b/>
          <w:bCs/>
          <w:kern w:val="0"/>
          <w:sz w:val="24"/>
        </w:rPr>
        <w:t xml:space="preserve"> </w:t>
      </w:r>
    </w:p>
    <w:p w14:paraId="7121DD6D">
      <w:pPr>
        <w:widowControl/>
        <w:spacing w:line="420" w:lineRule="atLeast"/>
        <w:ind w:firstLine="480"/>
        <w:jc w:val="left"/>
        <w:rPr>
          <w:rFonts w:hint="eastAsia" w:ascii="宋体" w:hAnsi="宋体" w:cs="宋体"/>
          <w:kern w:val="0"/>
          <w:sz w:val="24"/>
        </w:rPr>
      </w:pPr>
      <w:r>
        <w:rPr>
          <w:rFonts w:hint="eastAsia" w:ascii="宋体" w:hAnsi="宋体" w:cs="宋体"/>
          <w:kern w:val="0"/>
          <w:sz w:val="24"/>
        </w:rPr>
        <w:t xml:space="preserve"> </w:t>
      </w:r>
    </w:p>
    <w:p w14:paraId="3B388720">
      <w:pPr>
        <w:widowControl/>
        <w:adjustRightInd/>
        <w:spacing w:line="360" w:lineRule="auto"/>
        <w:ind w:firstLine="480" w:firstLineChars="200"/>
        <w:rPr>
          <w:rFonts w:hint="eastAsia" w:ascii="宋体" w:hAnsi="宋体" w:cs="宋体"/>
          <w:kern w:val="0"/>
          <w:sz w:val="24"/>
        </w:rPr>
      </w:pPr>
      <w:r>
        <w:rPr>
          <w:rFonts w:hint="eastAsia" w:ascii="宋体" w:hAnsi="宋体" w:cs="宋体"/>
          <w:kern w:val="0"/>
          <w:sz w:val="24"/>
        </w:rPr>
        <w:t>单位名称：</w:t>
      </w:r>
      <w:r>
        <w:rPr>
          <w:rFonts w:hint="eastAsia" w:ascii="宋体" w:hAnsi="宋体" w:cs="宋体"/>
          <w:kern w:val="0"/>
          <w:sz w:val="24"/>
          <w:u w:val="single"/>
        </w:rPr>
        <w:t xml:space="preserve">                                               </w:t>
      </w:r>
    </w:p>
    <w:p w14:paraId="02A49917">
      <w:pPr>
        <w:widowControl/>
        <w:adjustRightInd/>
        <w:spacing w:line="360" w:lineRule="auto"/>
        <w:ind w:firstLine="480" w:firstLineChars="200"/>
        <w:rPr>
          <w:rFonts w:hint="eastAsia" w:ascii="宋体" w:hAnsi="宋体" w:cs="宋体"/>
          <w:kern w:val="0"/>
          <w:sz w:val="24"/>
          <w:u w:val="single"/>
        </w:rPr>
      </w:pPr>
      <w:r>
        <w:rPr>
          <w:rFonts w:hint="eastAsia" w:ascii="宋体" w:hAnsi="宋体" w:cs="宋体"/>
          <w:kern w:val="0"/>
          <w:sz w:val="24"/>
        </w:rPr>
        <w:t>单位性质：</w:t>
      </w:r>
      <w:r>
        <w:rPr>
          <w:rFonts w:hint="eastAsia" w:ascii="宋体" w:hAnsi="宋体" w:cs="宋体"/>
          <w:kern w:val="0"/>
          <w:sz w:val="24"/>
          <w:u w:val="single"/>
        </w:rPr>
        <w:t xml:space="preserve">                                               </w:t>
      </w:r>
    </w:p>
    <w:p w14:paraId="7F91BF40">
      <w:pPr>
        <w:widowControl/>
        <w:adjustRightInd/>
        <w:spacing w:line="360" w:lineRule="auto"/>
        <w:ind w:firstLine="480" w:firstLineChars="200"/>
        <w:rPr>
          <w:rFonts w:hint="eastAsia" w:ascii="宋体" w:hAnsi="宋体" w:cs="宋体"/>
          <w:kern w:val="0"/>
          <w:sz w:val="24"/>
          <w:u w:val="single"/>
        </w:rPr>
      </w:pPr>
      <w:r>
        <w:rPr>
          <w:rFonts w:hint="eastAsia" w:ascii="宋体" w:hAnsi="宋体" w:cs="宋体"/>
          <w:kern w:val="0"/>
          <w:sz w:val="24"/>
        </w:rPr>
        <w:t>地    址：</w:t>
      </w:r>
      <w:r>
        <w:rPr>
          <w:rFonts w:hint="eastAsia" w:ascii="宋体" w:hAnsi="宋体" w:cs="宋体"/>
          <w:kern w:val="0"/>
          <w:sz w:val="24"/>
          <w:u w:val="single"/>
        </w:rPr>
        <w:t xml:space="preserve">                                               </w:t>
      </w:r>
    </w:p>
    <w:p w14:paraId="1562E76D">
      <w:pPr>
        <w:widowControl/>
        <w:adjustRightInd/>
        <w:spacing w:line="360" w:lineRule="auto"/>
        <w:ind w:firstLine="480" w:firstLineChars="200"/>
        <w:rPr>
          <w:rFonts w:hint="eastAsia" w:ascii="宋体" w:hAnsi="宋体" w:cs="宋体"/>
          <w:kern w:val="0"/>
          <w:sz w:val="24"/>
        </w:rPr>
      </w:pPr>
      <w:r>
        <w:rPr>
          <w:rFonts w:hint="eastAsia" w:ascii="宋体" w:hAnsi="宋体" w:cs="宋体"/>
          <w:kern w:val="0"/>
          <w:sz w:val="24"/>
        </w:rPr>
        <w:t>成立时间：</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0E54FDAB">
      <w:pPr>
        <w:widowControl/>
        <w:adjustRightInd/>
        <w:spacing w:line="360" w:lineRule="auto"/>
        <w:ind w:firstLine="480" w:firstLineChars="200"/>
        <w:rPr>
          <w:rFonts w:hint="eastAsia" w:ascii="宋体" w:hAnsi="宋体" w:cs="宋体"/>
          <w:kern w:val="0"/>
          <w:sz w:val="24"/>
          <w:u w:val="single"/>
        </w:rPr>
      </w:pPr>
      <w:r>
        <w:rPr>
          <w:rFonts w:hint="eastAsia" w:ascii="宋体" w:hAnsi="宋体" w:cs="宋体"/>
          <w:kern w:val="0"/>
          <w:sz w:val="24"/>
        </w:rPr>
        <w:t>经营期限：</w:t>
      </w:r>
      <w:r>
        <w:rPr>
          <w:rFonts w:hint="eastAsia" w:ascii="宋体" w:hAnsi="宋体" w:cs="宋体"/>
          <w:kern w:val="0"/>
          <w:sz w:val="24"/>
          <w:u w:val="single"/>
        </w:rPr>
        <w:t xml:space="preserve">                                               </w:t>
      </w:r>
    </w:p>
    <w:p w14:paraId="6D943E05">
      <w:pPr>
        <w:widowControl/>
        <w:adjustRightInd/>
        <w:spacing w:line="360" w:lineRule="auto"/>
        <w:ind w:firstLine="480" w:firstLineChars="200"/>
        <w:rPr>
          <w:rFonts w:hint="eastAsia" w:ascii="宋体" w:hAnsi="宋体" w:cs="宋体"/>
          <w:kern w:val="0"/>
          <w:sz w:val="24"/>
          <w:u w:val="single"/>
        </w:rPr>
      </w:pPr>
      <w:r>
        <w:rPr>
          <w:rFonts w:hint="eastAsia" w:ascii="宋体" w:hAnsi="宋体" w:cs="宋体"/>
          <w:kern w:val="0"/>
          <w:sz w:val="24"/>
        </w:rPr>
        <w:t>姓    名：</w:t>
      </w:r>
      <w:r>
        <w:rPr>
          <w:rFonts w:hint="eastAsia" w:ascii="宋体" w:hAnsi="宋体" w:cs="宋体"/>
          <w:kern w:val="0"/>
          <w:sz w:val="24"/>
          <w:u w:val="single"/>
        </w:rPr>
        <w:t xml:space="preserve">                          </w:t>
      </w:r>
      <w:r>
        <w:rPr>
          <w:rFonts w:hint="eastAsia" w:ascii="宋体" w:hAnsi="宋体" w:cs="宋体"/>
          <w:kern w:val="0"/>
          <w:sz w:val="24"/>
        </w:rPr>
        <w:t>性    别：</w:t>
      </w:r>
      <w:r>
        <w:rPr>
          <w:rFonts w:hint="eastAsia" w:ascii="宋体" w:hAnsi="宋体" w:cs="宋体"/>
          <w:kern w:val="0"/>
          <w:sz w:val="24"/>
          <w:u w:val="single"/>
        </w:rPr>
        <w:t xml:space="preserve">            </w:t>
      </w:r>
    </w:p>
    <w:p w14:paraId="6B1C28CB">
      <w:pPr>
        <w:widowControl/>
        <w:adjustRightInd/>
        <w:spacing w:line="360" w:lineRule="auto"/>
        <w:ind w:firstLine="480" w:firstLineChars="200"/>
        <w:rPr>
          <w:rFonts w:hint="eastAsia" w:ascii="宋体" w:hAnsi="宋体" w:cs="宋体"/>
          <w:kern w:val="0"/>
          <w:sz w:val="24"/>
          <w:u w:val="single"/>
        </w:rPr>
      </w:pPr>
      <w:r>
        <w:rPr>
          <w:rFonts w:hint="eastAsia" w:ascii="宋体" w:hAnsi="宋体" w:cs="宋体"/>
          <w:kern w:val="0"/>
          <w:sz w:val="24"/>
        </w:rPr>
        <w:t>年    龄：</w:t>
      </w:r>
      <w:r>
        <w:rPr>
          <w:rFonts w:hint="eastAsia" w:ascii="宋体" w:hAnsi="宋体" w:cs="宋体"/>
          <w:kern w:val="0"/>
          <w:sz w:val="24"/>
          <w:u w:val="single"/>
        </w:rPr>
        <w:t xml:space="preserve">                          </w:t>
      </w:r>
      <w:r>
        <w:rPr>
          <w:rFonts w:hint="eastAsia" w:ascii="宋体" w:hAnsi="宋体" w:cs="宋体"/>
          <w:kern w:val="0"/>
          <w:sz w:val="24"/>
        </w:rPr>
        <w:t>职    务：</w:t>
      </w:r>
      <w:r>
        <w:rPr>
          <w:rFonts w:hint="eastAsia" w:ascii="宋体" w:hAnsi="宋体" w:cs="宋体"/>
          <w:kern w:val="0"/>
          <w:sz w:val="24"/>
          <w:u w:val="single"/>
        </w:rPr>
        <w:t xml:space="preserve">            </w:t>
      </w:r>
    </w:p>
    <w:p w14:paraId="3255F200">
      <w:pPr>
        <w:widowControl/>
        <w:adjustRightInd/>
        <w:spacing w:line="360" w:lineRule="auto"/>
        <w:ind w:firstLine="480" w:firstLineChars="200"/>
        <w:rPr>
          <w:rFonts w:hint="eastAsia" w:ascii="宋体" w:hAnsi="宋体" w:cs="宋体"/>
          <w:kern w:val="0"/>
          <w:sz w:val="24"/>
        </w:rPr>
      </w:pPr>
      <w:r>
        <w:rPr>
          <w:rFonts w:hint="eastAsia" w:ascii="宋体" w:hAnsi="宋体" w:cs="宋体"/>
          <w:kern w:val="0"/>
          <w:sz w:val="24"/>
        </w:rPr>
        <w:t>系</w:t>
      </w:r>
      <w:r>
        <w:rPr>
          <w:rFonts w:hint="eastAsia" w:ascii="宋体" w:hAnsi="宋体" w:cs="宋体"/>
          <w:kern w:val="0"/>
          <w:sz w:val="24"/>
          <w:u w:val="single"/>
        </w:rPr>
        <w:t xml:space="preserve">                             </w:t>
      </w:r>
      <w:r>
        <w:rPr>
          <w:rFonts w:hint="eastAsia" w:ascii="宋体" w:hAnsi="宋体" w:cs="宋体"/>
          <w:kern w:val="0"/>
          <w:sz w:val="24"/>
        </w:rPr>
        <w:t>（供应商名称）的法定代表人。</w:t>
      </w:r>
    </w:p>
    <w:p w14:paraId="2631C663">
      <w:pPr>
        <w:widowControl/>
        <w:adjustRightInd/>
        <w:spacing w:line="360" w:lineRule="auto"/>
        <w:ind w:firstLine="1080"/>
        <w:rPr>
          <w:rFonts w:hint="eastAsia" w:ascii="宋体" w:hAnsi="宋体" w:cs="宋体"/>
          <w:kern w:val="0"/>
          <w:sz w:val="24"/>
        </w:rPr>
      </w:pPr>
      <w:r>
        <w:rPr>
          <w:rFonts w:hint="eastAsia" w:ascii="宋体" w:hAnsi="宋体" w:cs="宋体"/>
          <w:kern w:val="0"/>
          <w:sz w:val="24"/>
        </w:rPr>
        <w:t>特此证明。</w:t>
      </w:r>
    </w:p>
    <w:p w14:paraId="5E949C61">
      <w:pPr>
        <w:widowControl/>
        <w:adjustRightInd/>
        <w:spacing w:line="360" w:lineRule="auto"/>
        <w:rPr>
          <w:rFonts w:hint="eastAsia" w:ascii="宋体" w:hAnsi="宋体" w:cs="宋体"/>
          <w:kern w:val="0"/>
          <w:sz w:val="24"/>
        </w:rPr>
      </w:pPr>
      <w:r>
        <w:rPr>
          <w:rFonts w:hint="eastAsia" w:ascii="宋体" w:hAnsi="宋体" w:cs="宋体"/>
          <w:kern w:val="0"/>
          <w:sz w:val="24"/>
        </w:rPr>
        <w:t xml:space="preserve"> </w:t>
      </w:r>
    </w:p>
    <w:p w14:paraId="06401BF8">
      <w:pPr>
        <w:widowControl/>
        <w:adjustRightInd/>
        <w:spacing w:line="360" w:lineRule="auto"/>
        <w:rPr>
          <w:rFonts w:hint="eastAsia" w:ascii="宋体" w:hAnsi="宋体" w:cs="宋体"/>
          <w:kern w:val="0"/>
          <w:sz w:val="24"/>
        </w:rPr>
      </w:pPr>
      <w:r>
        <w:rPr>
          <w:rFonts w:hint="eastAsia" w:ascii="宋体" w:hAnsi="宋体" w:cs="宋体"/>
          <w:kern w:val="0"/>
          <w:sz w:val="24"/>
        </w:rPr>
        <w:t xml:space="preserve"> </w:t>
      </w:r>
    </w:p>
    <w:p w14:paraId="647DADB1">
      <w:pPr>
        <w:widowControl/>
        <w:adjustRightInd/>
        <w:spacing w:line="360" w:lineRule="auto"/>
        <w:ind w:firstLine="5308" w:firstLineChars="2212"/>
        <w:rPr>
          <w:rFonts w:hint="eastAsia" w:ascii="宋体" w:hAnsi="宋体" w:cs="宋体"/>
          <w:kern w:val="0"/>
          <w:sz w:val="24"/>
        </w:rPr>
      </w:pPr>
      <w:r>
        <w:rPr>
          <w:rFonts w:hint="eastAsia" w:ascii="宋体" w:hAnsi="宋体" w:cs="宋体"/>
          <w:kern w:val="0"/>
          <w:sz w:val="24"/>
          <w:lang w:val="zh-CN"/>
        </w:rPr>
        <w:t>供应商名称(电子签章)：</w:t>
      </w:r>
    </w:p>
    <w:p w14:paraId="447D4CC5">
      <w:pPr>
        <w:widowControl/>
        <w:adjustRightInd/>
        <w:spacing w:line="360" w:lineRule="auto"/>
        <w:rPr>
          <w:rFonts w:hint="eastAsia" w:ascii="宋体" w:hAnsi="宋体" w:cs="宋体"/>
          <w:kern w:val="0"/>
          <w:sz w:val="24"/>
          <w:u w:val="single"/>
        </w:rPr>
      </w:pPr>
    </w:p>
    <w:p w14:paraId="15F709DF">
      <w:pPr>
        <w:widowControl/>
        <w:adjustRightInd/>
        <w:spacing w:line="360" w:lineRule="auto"/>
        <w:jc w:val="right"/>
        <w:rPr>
          <w:rFonts w:hint="eastAsia"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 xml:space="preserve">日 </w:t>
      </w:r>
    </w:p>
    <w:p w14:paraId="41425D7E">
      <w:pPr>
        <w:widowControl/>
        <w:spacing w:line="420" w:lineRule="atLeast"/>
        <w:jc w:val="center"/>
        <w:rPr>
          <w:rFonts w:hint="eastAsia" w:ascii="宋体" w:hAnsi="宋体" w:cs="宋体"/>
          <w:kern w:val="0"/>
          <w:sz w:val="24"/>
        </w:rPr>
      </w:pPr>
    </w:p>
    <w:p w14:paraId="2A098E6E">
      <w:pPr>
        <w:pStyle w:val="15"/>
        <w:spacing w:before="120" w:after="120" w:line="440" w:lineRule="atLeast"/>
        <w:jc w:val="center"/>
        <w:rPr>
          <w:rFonts w:hint="eastAsia" w:hAnsi="宋体"/>
          <w:b/>
        </w:rPr>
      </w:pPr>
    </w:p>
    <w:p w14:paraId="4BA9DBC4">
      <w:pPr>
        <w:pStyle w:val="15"/>
        <w:spacing w:before="120" w:after="120" w:line="440" w:lineRule="atLeast"/>
        <w:jc w:val="left"/>
        <w:rPr>
          <w:rFonts w:hint="eastAsia" w:hAnsi="宋体"/>
          <w:bCs/>
        </w:rPr>
      </w:pPr>
      <w:r>
        <w:rPr>
          <w:rFonts w:hint="eastAsia" w:hAnsi="宋体"/>
          <w:bCs/>
        </w:rPr>
        <w:t>附：法定代表人身份证扫描件</w:t>
      </w:r>
    </w:p>
    <w:tbl>
      <w:tblPr>
        <w:tblStyle w:val="26"/>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14:paraId="44E2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8900" w:type="dxa"/>
          </w:tcPr>
          <w:p w14:paraId="4E60C4D2">
            <w:pPr>
              <w:pStyle w:val="68"/>
              <w:spacing w:line="360" w:lineRule="auto"/>
              <w:rPr>
                <w:rFonts w:hint="eastAsia" w:hAnsi="宋体" w:cs="宋体"/>
                <w:bCs/>
                <w:sz w:val="24"/>
                <w:szCs w:val="24"/>
              </w:rPr>
            </w:pPr>
            <w:r>
              <w:rPr>
                <w:rFonts w:hint="eastAsia" w:hAnsi="宋体" w:cs="宋体"/>
                <w:bCs/>
                <w:sz w:val="24"/>
                <w:szCs w:val="24"/>
              </w:rPr>
              <w:t>正面：                                 反面：</w:t>
            </w:r>
          </w:p>
          <w:p w14:paraId="716B853A">
            <w:pPr>
              <w:pStyle w:val="68"/>
              <w:spacing w:line="360" w:lineRule="auto"/>
              <w:rPr>
                <w:rFonts w:hint="eastAsia" w:hAnsi="宋体" w:cs="宋体"/>
                <w:bCs/>
                <w:sz w:val="24"/>
                <w:szCs w:val="24"/>
              </w:rPr>
            </w:pPr>
          </w:p>
        </w:tc>
      </w:tr>
    </w:tbl>
    <w:p w14:paraId="5199433F">
      <w:pPr>
        <w:spacing w:line="360" w:lineRule="auto"/>
        <w:rPr>
          <w:rFonts w:hint="eastAsia" w:ascii="宋体" w:hAnsi="宋体" w:cs="宋体"/>
          <w:b/>
          <w:bCs/>
          <w:sz w:val="24"/>
        </w:rPr>
      </w:pPr>
    </w:p>
    <w:p w14:paraId="7FB59F8D">
      <w:pPr>
        <w:spacing w:line="360" w:lineRule="auto"/>
        <w:rPr>
          <w:rFonts w:hint="eastAsia" w:ascii="宋体" w:hAnsi="宋体" w:cs="宋体"/>
          <w:b/>
          <w:bCs/>
          <w:sz w:val="24"/>
        </w:rPr>
      </w:pPr>
    </w:p>
    <w:p w14:paraId="75B6D1FD">
      <w:pPr>
        <w:rPr>
          <w:rFonts w:hint="eastAsia" w:ascii="宋体" w:hAnsi="宋体" w:cs="宋体"/>
          <w:b/>
          <w:bCs/>
          <w:sz w:val="24"/>
        </w:rPr>
      </w:pPr>
      <w:r>
        <w:rPr>
          <w:rFonts w:hint="eastAsia" w:ascii="宋体" w:hAnsi="宋体" w:cs="宋体"/>
          <w:b/>
          <w:bCs/>
          <w:sz w:val="24"/>
        </w:rPr>
        <w:br w:type="page"/>
      </w:r>
    </w:p>
    <w:p w14:paraId="01A2DB2A">
      <w:pPr>
        <w:spacing w:line="360" w:lineRule="auto"/>
        <w:rPr>
          <w:rFonts w:hint="eastAsia" w:ascii="宋体" w:hAnsi="宋体" w:cs="宋体"/>
          <w:b/>
          <w:bCs/>
          <w:szCs w:val="21"/>
        </w:rPr>
      </w:pPr>
      <w:r>
        <w:rPr>
          <w:rFonts w:hint="eastAsia" w:ascii="宋体" w:hAnsi="宋体" w:cs="宋体"/>
          <w:b/>
          <w:bCs/>
          <w:sz w:val="24"/>
        </w:rPr>
        <w:t xml:space="preserve">附件六  </w:t>
      </w:r>
      <w:bookmarkEnd w:id="95"/>
      <w:bookmarkStart w:id="96" w:name="_Toc26601_WPSOffice_Level1"/>
      <w:bookmarkStart w:id="97" w:name="_Toc12856_WPSOffice_Level1"/>
      <w:r>
        <w:rPr>
          <w:rFonts w:ascii="宋体" w:hAnsi="宋体" w:cs="宋体"/>
          <w:b/>
          <w:bCs/>
          <w:sz w:val="24"/>
        </w:rPr>
        <w:t>技术</w:t>
      </w:r>
      <w:r>
        <w:rPr>
          <w:rFonts w:hint="eastAsia" w:ascii="宋体" w:hAnsi="宋体" w:cs="宋体"/>
          <w:b/>
          <w:bCs/>
          <w:sz w:val="24"/>
        </w:rPr>
        <w:t>需求</w:t>
      </w:r>
      <w:r>
        <w:rPr>
          <w:rFonts w:ascii="宋体" w:hAnsi="宋体" w:cs="宋体"/>
          <w:b/>
          <w:bCs/>
          <w:sz w:val="24"/>
        </w:rPr>
        <w:t>响应表</w:t>
      </w:r>
      <w:bookmarkEnd w:id="96"/>
      <w:bookmarkEnd w:id="97"/>
    </w:p>
    <w:p w14:paraId="5FBE7E4C">
      <w:pPr>
        <w:snapToGrid w:val="0"/>
        <w:spacing w:before="50" w:after="50" w:line="360" w:lineRule="auto"/>
        <w:jc w:val="center"/>
        <w:rPr>
          <w:rFonts w:hint="eastAsia" w:ascii="宋体" w:hAnsi="宋体" w:cs="宋体"/>
          <w:sz w:val="24"/>
        </w:rPr>
      </w:pPr>
      <w:r>
        <w:rPr>
          <w:rFonts w:ascii="宋体" w:hAnsi="宋体" w:cs="宋体"/>
          <w:sz w:val="24"/>
        </w:rPr>
        <w:t>技术</w:t>
      </w:r>
      <w:r>
        <w:rPr>
          <w:rFonts w:hint="eastAsia" w:ascii="宋体" w:hAnsi="宋体" w:cs="宋体"/>
          <w:sz w:val="24"/>
        </w:rPr>
        <w:t>需求</w:t>
      </w:r>
      <w:r>
        <w:rPr>
          <w:rFonts w:ascii="宋体" w:hAnsi="宋体" w:cs="宋体"/>
          <w:sz w:val="24"/>
        </w:rPr>
        <w:t>响应表</w:t>
      </w:r>
    </w:p>
    <w:p w14:paraId="2A00119D">
      <w:pPr>
        <w:pStyle w:val="25"/>
        <w:rPr>
          <w:rFonts w:hint="eastAsia" w:hAnsi="宋体"/>
        </w:rPr>
      </w:pPr>
    </w:p>
    <w:tbl>
      <w:tblPr>
        <w:tblStyle w:val="26"/>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2326"/>
        <w:gridCol w:w="2066"/>
        <w:gridCol w:w="1451"/>
        <w:gridCol w:w="1571"/>
      </w:tblGrid>
      <w:tr w14:paraId="5ACF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245" w:type="dxa"/>
            <w:tcBorders>
              <w:top w:val="single" w:color="auto" w:sz="4" w:space="0"/>
              <w:left w:val="single" w:color="auto" w:sz="4" w:space="0"/>
              <w:bottom w:val="single" w:color="auto" w:sz="4" w:space="0"/>
              <w:right w:val="single" w:color="auto" w:sz="4" w:space="0"/>
            </w:tcBorders>
          </w:tcPr>
          <w:p w14:paraId="5FB07778">
            <w:pPr>
              <w:tabs>
                <w:tab w:val="left" w:pos="4905"/>
              </w:tabs>
              <w:spacing w:line="4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326" w:type="dxa"/>
            <w:tcBorders>
              <w:top w:val="single" w:color="auto" w:sz="4" w:space="0"/>
              <w:left w:val="single" w:color="auto" w:sz="4" w:space="0"/>
              <w:bottom w:val="single" w:color="auto" w:sz="4" w:space="0"/>
              <w:right w:val="single" w:color="auto" w:sz="4" w:space="0"/>
            </w:tcBorders>
          </w:tcPr>
          <w:p w14:paraId="0FE422B8">
            <w:pPr>
              <w:tabs>
                <w:tab w:val="left" w:pos="4905"/>
              </w:tabs>
              <w:spacing w:line="4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采购文件要求</w:t>
            </w:r>
          </w:p>
        </w:tc>
        <w:tc>
          <w:tcPr>
            <w:tcW w:w="2066" w:type="dxa"/>
            <w:tcBorders>
              <w:top w:val="single" w:color="auto" w:sz="4" w:space="0"/>
              <w:left w:val="single" w:color="auto" w:sz="4" w:space="0"/>
              <w:bottom w:val="single" w:color="auto" w:sz="4" w:space="0"/>
              <w:right w:val="single" w:color="auto" w:sz="4" w:space="0"/>
            </w:tcBorders>
          </w:tcPr>
          <w:p w14:paraId="3E14A471">
            <w:pPr>
              <w:tabs>
                <w:tab w:val="left" w:pos="4905"/>
              </w:tabs>
              <w:spacing w:line="4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51" w:type="dxa"/>
            <w:tcBorders>
              <w:top w:val="single" w:color="auto" w:sz="4" w:space="0"/>
              <w:left w:val="single" w:color="auto" w:sz="4" w:space="0"/>
              <w:bottom w:val="single" w:color="auto" w:sz="4" w:space="0"/>
              <w:right w:val="single" w:color="auto" w:sz="4" w:space="0"/>
            </w:tcBorders>
            <w:vAlign w:val="center"/>
          </w:tcPr>
          <w:p w14:paraId="38F55459">
            <w:pPr>
              <w:tabs>
                <w:tab w:val="left" w:pos="4905"/>
              </w:tabs>
              <w:spacing w:line="4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投标响应</w:t>
            </w:r>
          </w:p>
        </w:tc>
        <w:tc>
          <w:tcPr>
            <w:tcW w:w="1571" w:type="dxa"/>
            <w:tcBorders>
              <w:top w:val="single" w:color="auto" w:sz="4" w:space="0"/>
              <w:left w:val="single" w:color="auto" w:sz="4" w:space="0"/>
              <w:bottom w:val="single" w:color="auto" w:sz="4" w:space="0"/>
              <w:right w:val="single" w:color="auto" w:sz="4" w:space="0"/>
            </w:tcBorders>
            <w:vAlign w:val="center"/>
          </w:tcPr>
          <w:p w14:paraId="36B1B73E">
            <w:pPr>
              <w:tabs>
                <w:tab w:val="left" w:pos="4905"/>
              </w:tabs>
              <w:spacing w:line="4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r>
      <w:tr w14:paraId="57EC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245" w:type="dxa"/>
            <w:tcBorders>
              <w:top w:val="single" w:color="auto" w:sz="4" w:space="0"/>
              <w:left w:val="single" w:color="auto" w:sz="4" w:space="0"/>
              <w:bottom w:val="single" w:color="auto" w:sz="4" w:space="0"/>
              <w:right w:val="single" w:color="auto" w:sz="4" w:space="0"/>
            </w:tcBorders>
            <w:vAlign w:val="center"/>
          </w:tcPr>
          <w:p w14:paraId="6B7A74F0">
            <w:pPr>
              <w:tabs>
                <w:tab w:val="left" w:pos="4905"/>
              </w:tabs>
              <w:spacing w:line="400" w:lineRule="exact"/>
              <w:jc w:val="center"/>
              <w:rPr>
                <w:rFonts w:hint="eastAsia" w:ascii="宋体" w:hAnsi="宋体" w:cs="宋体"/>
                <w:szCs w:val="21"/>
              </w:rPr>
            </w:pPr>
            <w:r>
              <w:rPr>
                <w:rFonts w:hint="eastAsia" w:ascii="宋体" w:hAnsi="宋体" w:cs="宋体"/>
                <w:szCs w:val="21"/>
              </w:rPr>
              <w:t>1</w:t>
            </w:r>
          </w:p>
        </w:tc>
        <w:tc>
          <w:tcPr>
            <w:tcW w:w="2326" w:type="dxa"/>
            <w:tcBorders>
              <w:top w:val="single" w:color="auto" w:sz="4" w:space="0"/>
              <w:left w:val="single" w:color="auto" w:sz="4" w:space="0"/>
              <w:bottom w:val="single" w:color="auto" w:sz="4" w:space="0"/>
              <w:right w:val="single" w:color="auto" w:sz="4" w:space="0"/>
            </w:tcBorders>
            <w:vAlign w:val="center"/>
          </w:tcPr>
          <w:p w14:paraId="53E4F8C6">
            <w:pPr>
              <w:tabs>
                <w:tab w:val="left" w:pos="4905"/>
              </w:tabs>
              <w:spacing w:line="400" w:lineRule="exact"/>
              <w:jc w:val="center"/>
              <w:rPr>
                <w:rFonts w:hint="eastAsia" w:ascii="宋体" w:hAnsi="宋体" w:cs="宋体"/>
                <w:szCs w:val="21"/>
              </w:rPr>
            </w:pPr>
            <w:r>
              <w:rPr>
                <w:rFonts w:hint="eastAsia" w:ascii="宋体" w:hAnsi="宋体" w:cs="宋体"/>
                <w:szCs w:val="21"/>
              </w:rPr>
              <w:t>林木清理要求</w:t>
            </w:r>
          </w:p>
        </w:tc>
        <w:tc>
          <w:tcPr>
            <w:tcW w:w="2066" w:type="dxa"/>
            <w:tcBorders>
              <w:top w:val="single" w:color="auto" w:sz="4" w:space="0"/>
              <w:left w:val="single" w:color="auto" w:sz="4" w:space="0"/>
              <w:bottom w:val="single" w:color="auto" w:sz="4" w:space="0"/>
              <w:right w:val="single" w:color="auto" w:sz="4" w:space="0"/>
            </w:tcBorders>
            <w:vAlign w:val="center"/>
          </w:tcPr>
          <w:p w14:paraId="122898D4">
            <w:pPr>
              <w:tabs>
                <w:tab w:val="left" w:pos="4905"/>
              </w:tabs>
              <w:spacing w:line="400" w:lineRule="exact"/>
              <w:jc w:val="center"/>
              <w:rPr>
                <w:rFonts w:hint="eastAsia" w:ascii="宋体" w:hAnsi="宋体" w:cs="宋体"/>
                <w:szCs w:val="21"/>
              </w:rPr>
            </w:pPr>
            <w:r>
              <w:rPr>
                <w:rFonts w:hint="eastAsia" w:ascii="宋体" w:hAnsi="宋体" w:cs="宋体"/>
                <w:szCs w:val="21"/>
              </w:rPr>
              <w:t>根据招标文件要求</w:t>
            </w:r>
          </w:p>
        </w:tc>
        <w:tc>
          <w:tcPr>
            <w:tcW w:w="1451" w:type="dxa"/>
            <w:tcBorders>
              <w:top w:val="single" w:color="auto" w:sz="4" w:space="0"/>
              <w:left w:val="single" w:color="auto" w:sz="4" w:space="0"/>
              <w:bottom w:val="single" w:color="auto" w:sz="4" w:space="0"/>
              <w:right w:val="single" w:color="auto" w:sz="4" w:space="0"/>
            </w:tcBorders>
            <w:vAlign w:val="center"/>
          </w:tcPr>
          <w:p w14:paraId="3A7BA8C6">
            <w:pPr>
              <w:tabs>
                <w:tab w:val="left" w:pos="4905"/>
              </w:tabs>
              <w:spacing w:line="400" w:lineRule="exact"/>
              <w:rPr>
                <w:rFonts w:hint="eastAsia" w:ascii="宋体" w:hAnsi="宋体" w:cs="宋体"/>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350690C4">
            <w:pPr>
              <w:tabs>
                <w:tab w:val="left" w:pos="4905"/>
              </w:tabs>
              <w:spacing w:line="400" w:lineRule="exact"/>
              <w:jc w:val="center"/>
              <w:rPr>
                <w:rFonts w:hint="eastAsia" w:ascii="宋体" w:hAnsi="宋体" w:cs="宋体"/>
                <w:szCs w:val="21"/>
              </w:rPr>
            </w:pPr>
          </w:p>
        </w:tc>
      </w:tr>
      <w:tr w14:paraId="632C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245" w:type="dxa"/>
            <w:tcBorders>
              <w:top w:val="single" w:color="auto" w:sz="4" w:space="0"/>
              <w:left w:val="single" w:color="auto" w:sz="4" w:space="0"/>
              <w:bottom w:val="single" w:color="auto" w:sz="4" w:space="0"/>
              <w:right w:val="single" w:color="auto" w:sz="4" w:space="0"/>
            </w:tcBorders>
            <w:vAlign w:val="center"/>
          </w:tcPr>
          <w:p w14:paraId="289FD92E">
            <w:pPr>
              <w:tabs>
                <w:tab w:val="left" w:pos="4905"/>
              </w:tabs>
              <w:spacing w:line="400" w:lineRule="exact"/>
              <w:jc w:val="center"/>
              <w:rPr>
                <w:rFonts w:hint="eastAsia" w:ascii="宋体" w:hAnsi="宋体" w:cs="宋体"/>
                <w:szCs w:val="21"/>
              </w:rPr>
            </w:pPr>
            <w:r>
              <w:rPr>
                <w:rFonts w:hint="eastAsia" w:ascii="宋体" w:hAnsi="宋体" w:cs="宋体"/>
                <w:szCs w:val="21"/>
              </w:rPr>
              <w:t>2</w:t>
            </w:r>
          </w:p>
        </w:tc>
        <w:tc>
          <w:tcPr>
            <w:tcW w:w="2326" w:type="dxa"/>
            <w:tcBorders>
              <w:top w:val="single" w:color="auto" w:sz="4" w:space="0"/>
              <w:left w:val="single" w:color="auto" w:sz="4" w:space="0"/>
              <w:bottom w:val="single" w:color="auto" w:sz="4" w:space="0"/>
              <w:right w:val="single" w:color="auto" w:sz="4" w:space="0"/>
            </w:tcBorders>
            <w:vAlign w:val="center"/>
          </w:tcPr>
          <w:p w14:paraId="175B7090">
            <w:pPr>
              <w:tabs>
                <w:tab w:val="left" w:pos="4905"/>
              </w:tabs>
              <w:spacing w:line="400" w:lineRule="exact"/>
              <w:jc w:val="center"/>
              <w:rPr>
                <w:rFonts w:hint="eastAsia" w:ascii="宋体" w:hAnsi="宋体" w:cs="宋体"/>
                <w:szCs w:val="21"/>
              </w:rPr>
            </w:pPr>
            <w:r>
              <w:rPr>
                <w:rFonts w:hint="eastAsia" w:ascii="宋体" w:hAnsi="宋体" w:cs="宋体"/>
                <w:szCs w:val="21"/>
              </w:rPr>
              <w:t>采伐要求</w:t>
            </w:r>
          </w:p>
        </w:tc>
        <w:tc>
          <w:tcPr>
            <w:tcW w:w="2066" w:type="dxa"/>
            <w:tcBorders>
              <w:top w:val="single" w:color="auto" w:sz="4" w:space="0"/>
              <w:left w:val="single" w:color="auto" w:sz="4" w:space="0"/>
              <w:bottom w:val="single" w:color="auto" w:sz="4" w:space="0"/>
              <w:right w:val="single" w:color="auto" w:sz="4" w:space="0"/>
            </w:tcBorders>
            <w:vAlign w:val="center"/>
          </w:tcPr>
          <w:p w14:paraId="29F9F64B">
            <w:pPr>
              <w:tabs>
                <w:tab w:val="left" w:pos="4905"/>
              </w:tabs>
              <w:spacing w:line="400" w:lineRule="exact"/>
              <w:jc w:val="center"/>
              <w:rPr>
                <w:rFonts w:hint="eastAsia" w:ascii="宋体" w:hAnsi="宋体" w:cs="宋体"/>
                <w:szCs w:val="21"/>
              </w:rPr>
            </w:pPr>
            <w:r>
              <w:rPr>
                <w:rFonts w:hint="eastAsia" w:ascii="宋体" w:hAnsi="宋体" w:cs="宋体"/>
                <w:szCs w:val="21"/>
              </w:rPr>
              <w:t>根据招标文件要求</w:t>
            </w:r>
          </w:p>
        </w:tc>
        <w:tc>
          <w:tcPr>
            <w:tcW w:w="1451" w:type="dxa"/>
            <w:tcBorders>
              <w:top w:val="single" w:color="auto" w:sz="4" w:space="0"/>
              <w:left w:val="single" w:color="auto" w:sz="4" w:space="0"/>
              <w:bottom w:val="single" w:color="auto" w:sz="4" w:space="0"/>
              <w:right w:val="single" w:color="auto" w:sz="4" w:space="0"/>
            </w:tcBorders>
            <w:vAlign w:val="center"/>
          </w:tcPr>
          <w:p w14:paraId="756A54A3">
            <w:pPr>
              <w:tabs>
                <w:tab w:val="left" w:pos="4905"/>
              </w:tabs>
              <w:spacing w:line="400" w:lineRule="exact"/>
              <w:rPr>
                <w:rFonts w:hint="eastAsia" w:ascii="宋体" w:hAnsi="宋体" w:cs="宋体"/>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0B3DF6AA">
            <w:pPr>
              <w:tabs>
                <w:tab w:val="left" w:pos="4905"/>
              </w:tabs>
              <w:spacing w:line="400" w:lineRule="exact"/>
              <w:jc w:val="center"/>
              <w:rPr>
                <w:rFonts w:hint="eastAsia" w:ascii="宋体" w:hAnsi="宋体" w:cs="宋体"/>
                <w:szCs w:val="21"/>
              </w:rPr>
            </w:pPr>
          </w:p>
        </w:tc>
      </w:tr>
      <w:tr w14:paraId="3D65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245" w:type="dxa"/>
            <w:tcBorders>
              <w:top w:val="single" w:color="auto" w:sz="4" w:space="0"/>
              <w:left w:val="single" w:color="auto" w:sz="4" w:space="0"/>
              <w:bottom w:val="single" w:color="auto" w:sz="4" w:space="0"/>
              <w:right w:val="single" w:color="auto" w:sz="4" w:space="0"/>
            </w:tcBorders>
            <w:vAlign w:val="center"/>
          </w:tcPr>
          <w:p w14:paraId="41CBED1A">
            <w:pPr>
              <w:tabs>
                <w:tab w:val="left" w:pos="4905"/>
              </w:tabs>
              <w:spacing w:line="400" w:lineRule="exact"/>
              <w:jc w:val="center"/>
              <w:rPr>
                <w:rFonts w:hint="eastAsia" w:ascii="宋体" w:hAnsi="宋体" w:cs="宋体"/>
                <w:szCs w:val="21"/>
              </w:rPr>
            </w:pPr>
            <w:r>
              <w:rPr>
                <w:rFonts w:hint="eastAsia" w:ascii="宋体" w:hAnsi="宋体" w:cs="宋体"/>
                <w:szCs w:val="21"/>
              </w:rPr>
              <w:t>3</w:t>
            </w:r>
          </w:p>
        </w:tc>
        <w:tc>
          <w:tcPr>
            <w:tcW w:w="2326" w:type="dxa"/>
            <w:tcBorders>
              <w:top w:val="single" w:color="auto" w:sz="4" w:space="0"/>
              <w:left w:val="single" w:color="auto" w:sz="4" w:space="0"/>
              <w:bottom w:val="single" w:color="auto" w:sz="4" w:space="0"/>
              <w:right w:val="single" w:color="auto" w:sz="4" w:space="0"/>
            </w:tcBorders>
            <w:vAlign w:val="center"/>
          </w:tcPr>
          <w:p w14:paraId="4753E2C6">
            <w:pPr>
              <w:tabs>
                <w:tab w:val="left" w:pos="4905"/>
              </w:tabs>
              <w:spacing w:line="400" w:lineRule="exact"/>
              <w:jc w:val="center"/>
              <w:rPr>
                <w:rFonts w:hint="eastAsia" w:ascii="宋体" w:hAnsi="宋体" w:cs="宋体"/>
                <w:szCs w:val="21"/>
              </w:rPr>
            </w:pPr>
            <w:r>
              <w:rPr>
                <w:rFonts w:hint="eastAsia" w:ascii="宋体" w:hAnsi="宋体" w:cs="宋体"/>
                <w:szCs w:val="21"/>
              </w:rPr>
              <w:t>安全要求</w:t>
            </w:r>
          </w:p>
        </w:tc>
        <w:tc>
          <w:tcPr>
            <w:tcW w:w="2066" w:type="dxa"/>
            <w:tcBorders>
              <w:top w:val="single" w:color="auto" w:sz="4" w:space="0"/>
              <w:left w:val="single" w:color="auto" w:sz="4" w:space="0"/>
              <w:bottom w:val="single" w:color="auto" w:sz="4" w:space="0"/>
              <w:right w:val="single" w:color="auto" w:sz="4" w:space="0"/>
            </w:tcBorders>
            <w:vAlign w:val="center"/>
          </w:tcPr>
          <w:p w14:paraId="782FA815">
            <w:pPr>
              <w:tabs>
                <w:tab w:val="left" w:pos="4905"/>
              </w:tabs>
              <w:spacing w:line="400" w:lineRule="exact"/>
              <w:jc w:val="center"/>
              <w:rPr>
                <w:rFonts w:hint="eastAsia" w:ascii="宋体" w:hAnsi="宋体" w:cs="宋体"/>
                <w:szCs w:val="21"/>
              </w:rPr>
            </w:pPr>
            <w:r>
              <w:rPr>
                <w:rFonts w:hint="eastAsia" w:ascii="宋体" w:hAnsi="宋体" w:cs="宋体"/>
                <w:szCs w:val="21"/>
              </w:rPr>
              <w:t>根据招标文件要求</w:t>
            </w:r>
          </w:p>
        </w:tc>
        <w:tc>
          <w:tcPr>
            <w:tcW w:w="1451" w:type="dxa"/>
            <w:tcBorders>
              <w:top w:val="single" w:color="auto" w:sz="4" w:space="0"/>
              <w:left w:val="single" w:color="auto" w:sz="4" w:space="0"/>
              <w:bottom w:val="single" w:color="auto" w:sz="4" w:space="0"/>
              <w:right w:val="single" w:color="auto" w:sz="4" w:space="0"/>
            </w:tcBorders>
            <w:vAlign w:val="center"/>
          </w:tcPr>
          <w:p w14:paraId="57502BE2">
            <w:pPr>
              <w:tabs>
                <w:tab w:val="left" w:pos="4905"/>
              </w:tabs>
              <w:spacing w:line="400" w:lineRule="exact"/>
              <w:rPr>
                <w:rFonts w:hint="eastAsia" w:ascii="宋体" w:hAnsi="宋体" w:cs="宋体"/>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39B0597D">
            <w:pPr>
              <w:tabs>
                <w:tab w:val="left" w:pos="4905"/>
              </w:tabs>
              <w:spacing w:line="400" w:lineRule="exact"/>
              <w:jc w:val="center"/>
              <w:rPr>
                <w:rFonts w:hint="eastAsia" w:ascii="宋体" w:hAnsi="宋体" w:cs="宋体"/>
                <w:szCs w:val="21"/>
              </w:rPr>
            </w:pPr>
          </w:p>
        </w:tc>
      </w:tr>
      <w:tr w14:paraId="09D0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245" w:type="dxa"/>
            <w:tcBorders>
              <w:top w:val="single" w:color="auto" w:sz="4" w:space="0"/>
              <w:left w:val="single" w:color="auto" w:sz="4" w:space="0"/>
              <w:bottom w:val="single" w:color="auto" w:sz="4" w:space="0"/>
              <w:right w:val="single" w:color="auto" w:sz="4" w:space="0"/>
            </w:tcBorders>
            <w:vAlign w:val="center"/>
          </w:tcPr>
          <w:p w14:paraId="09A1CD62">
            <w:pPr>
              <w:tabs>
                <w:tab w:val="left" w:pos="4905"/>
              </w:tabs>
              <w:spacing w:line="400" w:lineRule="exact"/>
              <w:jc w:val="center"/>
              <w:rPr>
                <w:rFonts w:hint="eastAsia" w:ascii="宋体" w:hAnsi="宋体" w:cs="宋体"/>
                <w:szCs w:val="21"/>
              </w:rPr>
            </w:pPr>
            <w:r>
              <w:rPr>
                <w:rFonts w:hint="eastAsia" w:ascii="宋体" w:hAnsi="宋体" w:cs="宋体"/>
                <w:szCs w:val="21"/>
              </w:rPr>
              <w:t>4</w:t>
            </w:r>
          </w:p>
        </w:tc>
        <w:tc>
          <w:tcPr>
            <w:tcW w:w="2326" w:type="dxa"/>
            <w:tcBorders>
              <w:top w:val="single" w:color="auto" w:sz="4" w:space="0"/>
              <w:left w:val="single" w:color="auto" w:sz="4" w:space="0"/>
              <w:bottom w:val="single" w:color="auto" w:sz="4" w:space="0"/>
              <w:right w:val="single" w:color="auto" w:sz="4" w:space="0"/>
            </w:tcBorders>
            <w:vAlign w:val="center"/>
          </w:tcPr>
          <w:p w14:paraId="1F50DD34">
            <w:pPr>
              <w:tabs>
                <w:tab w:val="left" w:pos="4905"/>
              </w:tabs>
              <w:spacing w:line="400" w:lineRule="exact"/>
              <w:jc w:val="center"/>
              <w:rPr>
                <w:rFonts w:hint="eastAsia" w:ascii="宋体" w:hAnsi="宋体" w:cs="宋体"/>
                <w:szCs w:val="21"/>
              </w:rPr>
            </w:pPr>
            <w:r>
              <w:rPr>
                <w:rFonts w:hint="eastAsia" w:ascii="宋体" w:hAnsi="宋体" w:cs="宋体"/>
                <w:szCs w:val="21"/>
              </w:rPr>
              <w:t>其他要求</w:t>
            </w:r>
          </w:p>
        </w:tc>
        <w:tc>
          <w:tcPr>
            <w:tcW w:w="2066" w:type="dxa"/>
            <w:tcBorders>
              <w:top w:val="single" w:color="auto" w:sz="4" w:space="0"/>
              <w:left w:val="single" w:color="auto" w:sz="4" w:space="0"/>
              <w:bottom w:val="single" w:color="auto" w:sz="4" w:space="0"/>
              <w:right w:val="single" w:color="auto" w:sz="4" w:space="0"/>
            </w:tcBorders>
            <w:vAlign w:val="center"/>
          </w:tcPr>
          <w:p w14:paraId="7C42DAFF">
            <w:pPr>
              <w:tabs>
                <w:tab w:val="left" w:pos="4905"/>
              </w:tabs>
              <w:spacing w:line="400" w:lineRule="exact"/>
              <w:jc w:val="center"/>
              <w:rPr>
                <w:rFonts w:hint="eastAsia" w:ascii="宋体" w:hAnsi="宋体" w:cs="宋体"/>
                <w:szCs w:val="21"/>
              </w:rPr>
            </w:pPr>
            <w:r>
              <w:rPr>
                <w:rFonts w:hint="eastAsia" w:ascii="宋体" w:hAnsi="宋体" w:cs="宋体"/>
                <w:szCs w:val="21"/>
              </w:rPr>
              <w:t>根据招标文件要求</w:t>
            </w:r>
          </w:p>
        </w:tc>
        <w:tc>
          <w:tcPr>
            <w:tcW w:w="1451" w:type="dxa"/>
            <w:tcBorders>
              <w:top w:val="single" w:color="auto" w:sz="4" w:space="0"/>
              <w:left w:val="single" w:color="auto" w:sz="4" w:space="0"/>
              <w:bottom w:val="single" w:color="auto" w:sz="4" w:space="0"/>
              <w:right w:val="single" w:color="auto" w:sz="4" w:space="0"/>
            </w:tcBorders>
            <w:vAlign w:val="center"/>
          </w:tcPr>
          <w:p w14:paraId="2BD850F0">
            <w:pPr>
              <w:tabs>
                <w:tab w:val="left" w:pos="4905"/>
              </w:tabs>
              <w:spacing w:line="400" w:lineRule="exact"/>
              <w:rPr>
                <w:rFonts w:hint="eastAsia" w:ascii="宋体" w:hAnsi="宋体" w:cs="宋体"/>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24A5DB09">
            <w:pPr>
              <w:tabs>
                <w:tab w:val="left" w:pos="4905"/>
              </w:tabs>
              <w:spacing w:line="400" w:lineRule="exact"/>
              <w:jc w:val="center"/>
              <w:rPr>
                <w:rFonts w:hint="eastAsia" w:ascii="宋体" w:hAnsi="宋体" w:cs="宋体"/>
                <w:szCs w:val="21"/>
              </w:rPr>
            </w:pPr>
          </w:p>
        </w:tc>
      </w:tr>
    </w:tbl>
    <w:p w14:paraId="42E6284B">
      <w:pPr>
        <w:snapToGrid w:val="0"/>
        <w:spacing w:before="50" w:after="50" w:line="360" w:lineRule="auto"/>
        <w:ind w:firstLine="480" w:firstLineChars="200"/>
        <w:jc w:val="left"/>
        <w:rPr>
          <w:rFonts w:hint="eastAsia" w:ascii="宋体" w:hAnsi="宋体" w:cs="宋体"/>
          <w:sz w:val="24"/>
        </w:rPr>
      </w:pPr>
    </w:p>
    <w:p w14:paraId="63A23ABB">
      <w:pPr>
        <w:snapToGrid w:val="0"/>
        <w:spacing w:before="50" w:after="50" w:line="360" w:lineRule="auto"/>
        <w:ind w:firstLine="480" w:firstLineChars="200"/>
        <w:jc w:val="left"/>
        <w:rPr>
          <w:rFonts w:ascii="宋体"/>
          <w:sz w:val="24"/>
        </w:rPr>
      </w:pPr>
      <w:r>
        <w:rPr>
          <w:rFonts w:hint="eastAsia" w:ascii="宋体" w:hAnsi="宋体" w:cs="宋体"/>
          <w:sz w:val="24"/>
        </w:rPr>
        <w:t>要求：</w:t>
      </w:r>
      <w:r>
        <w:rPr>
          <w:rFonts w:hint="eastAsia" w:ascii="宋体"/>
          <w:sz w:val="24"/>
        </w:rPr>
        <w:t>1.本表参照本招标文件第三章“采购需求”内第五条“技术要求”填制，投标人应根据投标的服务指标及内容，对照招标文件要求在“偏离说明”栏注明“正偏离”、“负偏离”或“无偏离”。投标响应列中，填入详细技术参数，如无偏离的，填入</w:t>
      </w:r>
      <w:r>
        <w:rPr>
          <w:rFonts w:hint="eastAsia" w:ascii="宋体"/>
          <w:sz w:val="24"/>
          <w:u w:val="single"/>
        </w:rPr>
        <w:t>响应招标文件要求</w:t>
      </w:r>
      <w:r>
        <w:rPr>
          <w:rFonts w:hint="eastAsia" w:ascii="宋体"/>
          <w:sz w:val="24"/>
        </w:rPr>
        <w:t>即可。</w:t>
      </w:r>
    </w:p>
    <w:p w14:paraId="61B415D0">
      <w:pPr>
        <w:pStyle w:val="76"/>
        <w:spacing w:line="360" w:lineRule="auto"/>
        <w:ind w:right="84" w:rightChars="40" w:firstLine="480" w:firstLineChars="200"/>
        <w:rPr>
          <w:rFonts w:ascii="宋体"/>
          <w:sz w:val="24"/>
          <w:szCs w:val="24"/>
        </w:rPr>
      </w:pPr>
      <w:r>
        <w:rPr>
          <w:rFonts w:hint="eastAsia" w:ascii="宋体"/>
          <w:sz w:val="24"/>
          <w:szCs w:val="24"/>
        </w:rPr>
        <w:t>2.若不填写则视为全部响应。</w:t>
      </w:r>
    </w:p>
    <w:p w14:paraId="46A3EF85">
      <w:pPr>
        <w:pStyle w:val="6"/>
        <w:ind w:firstLine="0"/>
        <w:rPr>
          <w:rFonts w:hint="eastAsia" w:hAnsi="宋体"/>
          <w:sz w:val="24"/>
          <w:szCs w:val="24"/>
        </w:rPr>
      </w:pPr>
    </w:p>
    <w:p w14:paraId="1A288F2B">
      <w:pPr>
        <w:autoSpaceDE w:val="0"/>
        <w:autoSpaceDN w:val="0"/>
        <w:spacing w:line="360" w:lineRule="auto"/>
        <w:ind w:firstLine="5040" w:firstLineChars="2100"/>
        <w:rPr>
          <w:rFonts w:hint="eastAsia" w:ascii="宋体" w:hAnsi="宋体" w:cs="宋体"/>
          <w:kern w:val="0"/>
          <w:sz w:val="24"/>
          <w:lang w:val="zh-CN"/>
        </w:rPr>
      </w:pPr>
    </w:p>
    <w:p w14:paraId="210933E6">
      <w:pPr>
        <w:pStyle w:val="2"/>
        <w:rPr>
          <w:rFonts w:hint="eastAsia" w:ascii="宋体" w:hAnsi="宋体" w:eastAsia="宋体" w:cs="宋体"/>
        </w:rPr>
      </w:pPr>
    </w:p>
    <w:p w14:paraId="7918B8C5">
      <w:pPr>
        <w:spacing w:line="336" w:lineRule="auto"/>
        <w:ind w:firstLine="6240" w:firstLineChars="2600"/>
        <w:rPr>
          <w:rFonts w:hint="eastAsia" w:ascii="宋体" w:hAnsi="宋体" w:cs="宋体"/>
          <w:color w:val="000000" w:themeColor="text1"/>
          <w:sz w:val="24"/>
          <w14:textFill>
            <w14:solidFill>
              <w14:schemeClr w14:val="tx1"/>
            </w14:solidFill>
          </w14:textFill>
        </w:rPr>
      </w:pPr>
      <w:r>
        <w:rPr>
          <w:rFonts w:hint="eastAsia" w:ascii="宋体" w:hAnsi="宋体" w:cs="宋体"/>
          <w:sz w:val="24"/>
          <w:lang w:bidi="ar"/>
        </w:rPr>
        <w:t xml:space="preserve">  </w:t>
      </w:r>
      <w:r>
        <w:rPr>
          <w:rFonts w:hint="eastAsia" w:ascii="宋体" w:hAnsi="宋体" w:cs="宋体"/>
          <w:color w:val="000000" w:themeColor="text1"/>
          <w:sz w:val="24"/>
          <w14:textFill>
            <w14:solidFill>
              <w14:schemeClr w14:val="tx1"/>
            </w14:solidFill>
          </w14:textFill>
        </w:rPr>
        <w:t>投标人名称（电子签名）：</w:t>
      </w:r>
    </w:p>
    <w:p w14:paraId="447562F0">
      <w:pPr>
        <w:spacing w:line="336"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66617750">
      <w:pPr>
        <w:spacing w:line="336"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442B2801">
      <w:pPr>
        <w:widowControl/>
        <w:wordWrap w:val="0"/>
        <w:jc w:val="left"/>
        <w:rPr>
          <w:rFonts w:hint="eastAsia" w:ascii="宋体" w:hAnsi="宋体" w:cs="宋体"/>
          <w:sz w:val="24"/>
        </w:rPr>
      </w:pPr>
    </w:p>
    <w:p w14:paraId="46AA9670">
      <w:pPr>
        <w:rPr>
          <w:rFonts w:hint="eastAsia" w:ascii="宋体" w:hAnsi="宋体" w:cs="宋体"/>
          <w:sz w:val="24"/>
        </w:rPr>
      </w:pPr>
      <w:r>
        <w:rPr>
          <w:rFonts w:hint="eastAsia" w:ascii="宋体" w:hAnsi="宋体" w:cs="宋体"/>
          <w:b/>
          <w:bCs/>
          <w:sz w:val="24"/>
        </w:rPr>
        <w:t xml:space="preserve"> </w:t>
      </w:r>
    </w:p>
    <w:p w14:paraId="195A2BFE">
      <w:pPr>
        <w:rPr>
          <w:rFonts w:hint="eastAsia" w:ascii="宋体" w:hAnsi="宋体" w:cs="宋体"/>
          <w:sz w:val="24"/>
        </w:rPr>
      </w:pPr>
    </w:p>
    <w:p w14:paraId="335678EE">
      <w:pPr>
        <w:rPr>
          <w:rFonts w:hint="eastAsia" w:ascii="宋体" w:hAnsi="宋体" w:cs="宋体"/>
          <w:sz w:val="24"/>
        </w:rPr>
      </w:pPr>
    </w:p>
    <w:p w14:paraId="176A0B25">
      <w:pPr>
        <w:rPr>
          <w:rFonts w:hint="eastAsia" w:ascii="宋体" w:hAnsi="宋体" w:cs="宋体"/>
          <w:sz w:val="24"/>
        </w:rPr>
      </w:pPr>
      <w:r>
        <w:rPr>
          <w:rFonts w:hint="eastAsia" w:ascii="宋体" w:hAnsi="宋体" w:cs="宋体"/>
          <w:sz w:val="24"/>
        </w:rPr>
        <w:br w:type="page"/>
      </w:r>
    </w:p>
    <w:p w14:paraId="5A3A4542">
      <w:pPr>
        <w:pStyle w:val="2"/>
        <w:tabs>
          <w:tab w:val="left" w:pos="358"/>
          <w:tab w:val="left" w:pos="420"/>
          <w:tab w:val="clear" w:pos="432"/>
        </w:tabs>
        <w:ind w:left="0" w:firstLine="0"/>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rPr>
        <w:t>七</w:t>
      </w:r>
      <w:r>
        <w:rPr>
          <w:rFonts w:hint="eastAsia" w:ascii="宋体" w:hAnsi="宋体" w:eastAsia="宋体" w:cs="宋体"/>
          <w:sz w:val="24"/>
          <w:szCs w:val="24"/>
        </w:rPr>
        <w:t xml:space="preserve">  商务需求响应表</w:t>
      </w:r>
    </w:p>
    <w:p w14:paraId="087FE55F">
      <w:pPr>
        <w:jc w:val="center"/>
        <w:rPr>
          <w:rFonts w:hint="eastAsia" w:ascii="宋体" w:hAnsi="宋体" w:cs="宋体"/>
          <w:b/>
          <w:bCs/>
          <w:sz w:val="24"/>
          <w:lang w:val="zh-CN"/>
        </w:rPr>
      </w:pPr>
      <w:bookmarkStart w:id="98" w:name="_Toc3068_WPSOffice_Level1"/>
      <w:bookmarkStart w:id="99" w:name="_Toc21582_WPSOffice_Level1"/>
      <w:r>
        <w:rPr>
          <w:rFonts w:hint="eastAsia" w:ascii="宋体" w:hAnsi="宋体"/>
          <w:b/>
          <w:sz w:val="32"/>
          <w:szCs w:val="32"/>
        </w:rPr>
        <w:t>商务需求响应表</w:t>
      </w:r>
      <w:bookmarkEnd w:id="98"/>
      <w:bookmarkEnd w:id="99"/>
    </w:p>
    <w:p w14:paraId="2D8F32AC">
      <w:pPr>
        <w:pStyle w:val="5"/>
        <w:spacing w:line="360" w:lineRule="auto"/>
        <w:ind w:firstLine="0"/>
        <w:rPr>
          <w:rFonts w:hint="eastAsia" w:hAnsi="宋体" w:cs="宋体"/>
          <w:bCs/>
          <w:sz w:val="24"/>
          <w:szCs w:val="24"/>
        </w:rPr>
      </w:pPr>
    </w:p>
    <w:p w14:paraId="6997BD0F">
      <w:pPr>
        <w:snapToGrid w:val="0"/>
        <w:spacing w:line="400" w:lineRule="exact"/>
        <w:rPr>
          <w:rFonts w:hint="eastAsia" w:ascii="新宋体" w:hAnsi="新宋体" w:eastAsia="新宋体" w:cs="新宋体"/>
          <w:sz w:val="24"/>
          <w:u w:val="single"/>
        </w:rPr>
      </w:pPr>
      <w:r>
        <w:rPr>
          <w:rFonts w:hint="eastAsia" w:ascii="新宋体" w:hAnsi="新宋体" w:eastAsia="新宋体" w:cs="新宋体"/>
          <w:sz w:val="24"/>
        </w:rPr>
        <w:t>项目名称：</w:t>
      </w:r>
      <w:r>
        <w:rPr>
          <w:rFonts w:hint="eastAsia" w:ascii="新宋体" w:hAnsi="新宋体" w:eastAsia="新宋体" w:cs="新宋体"/>
          <w:sz w:val="24"/>
          <w:u w:val="single"/>
        </w:rPr>
        <w:t xml:space="preserve"> 嵊州市三溪水库工程林木清理项目 </w:t>
      </w:r>
    </w:p>
    <w:p w14:paraId="7D3CDAB6">
      <w:pPr>
        <w:snapToGrid w:val="0"/>
        <w:spacing w:line="400" w:lineRule="exact"/>
        <w:rPr>
          <w:rFonts w:hint="eastAsia" w:ascii="新宋体" w:hAnsi="新宋体" w:eastAsia="新宋体" w:cs="新宋体"/>
          <w:sz w:val="24"/>
          <w:u w:val="single"/>
        </w:rPr>
      </w:pPr>
      <w:r>
        <w:rPr>
          <w:rFonts w:hint="eastAsia" w:ascii="新宋体" w:hAnsi="新宋体" w:eastAsia="新宋体" w:cs="新宋体"/>
          <w:sz w:val="24"/>
        </w:rPr>
        <w:t>项目编号：</w:t>
      </w:r>
      <w:r>
        <w:rPr>
          <w:rFonts w:hint="eastAsia" w:ascii="新宋体" w:hAnsi="新宋体" w:eastAsia="新宋体" w:cs="新宋体"/>
          <w:sz w:val="24"/>
          <w:u w:val="single"/>
        </w:rPr>
        <w:t xml:space="preserve">     DD-SZ2025N01              </w:t>
      </w:r>
    </w:p>
    <w:p w14:paraId="229F7866">
      <w:pPr>
        <w:pStyle w:val="2"/>
        <w:rPr>
          <w:rFonts w:hint="eastAsia"/>
        </w:rPr>
      </w:pPr>
    </w:p>
    <w:tbl>
      <w:tblPr>
        <w:tblStyle w:val="26"/>
        <w:tblW w:w="954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06"/>
        <w:gridCol w:w="2356"/>
        <w:gridCol w:w="2009"/>
        <w:gridCol w:w="1566"/>
        <w:gridCol w:w="2804"/>
      </w:tblGrid>
      <w:tr w14:paraId="74D7287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ADA9355">
            <w:pPr>
              <w:snapToGrid w:val="0"/>
              <w:spacing w:before="120" w:beforeLines="50" w:line="360" w:lineRule="auto"/>
              <w:jc w:val="center"/>
              <w:rPr>
                <w:rFonts w:hint="eastAsia" w:ascii="宋体" w:hAnsi="宋体" w:cs="宋体"/>
                <w:b/>
                <w:bCs/>
                <w:sz w:val="24"/>
                <w:lang w:bidi="ar"/>
              </w:rPr>
            </w:pPr>
            <w:r>
              <w:rPr>
                <w:rFonts w:hint="eastAsia" w:ascii="宋体" w:hAnsi="宋体" w:cs="宋体"/>
                <w:b/>
                <w:bCs/>
                <w:sz w:val="24"/>
                <w:lang w:bidi="ar"/>
              </w:rPr>
              <w:t>序号</w:t>
            </w:r>
          </w:p>
        </w:tc>
        <w:tc>
          <w:tcPr>
            <w:tcW w:w="2356" w:type="dxa"/>
            <w:tcBorders>
              <w:top w:val="single" w:color="auto" w:sz="4" w:space="0"/>
              <w:left w:val="single" w:color="auto" w:sz="4" w:space="0"/>
              <w:bottom w:val="single" w:color="auto" w:sz="4" w:space="0"/>
              <w:right w:val="single" w:color="auto" w:sz="4" w:space="0"/>
            </w:tcBorders>
            <w:vAlign w:val="center"/>
          </w:tcPr>
          <w:p w14:paraId="0E52F927">
            <w:pPr>
              <w:snapToGrid w:val="0"/>
              <w:spacing w:before="120" w:beforeLines="50" w:line="360" w:lineRule="auto"/>
              <w:jc w:val="center"/>
              <w:rPr>
                <w:rFonts w:hint="eastAsia" w:ascii="宋体" w:hAnsi="宋体" w:cs="宋体"/>
                <w:b/>
                <w:bCs/>
                <w:sz w:val="24"/>
              </w:rPr>
            </w:pPr>
            <w:r>
              <w:rPr>
                <w:rFonts w:hint="eastAsia" w:ascii="宋体" w:hAnsi="宋体" w:cs="宋体"/>
                <w:b/>
                <w:bCs/>
                <w:sz w:val="24"/>
                <w:lang w:bidi="ar"/>
              </w:rPr>
              <w:t>项目</w:t>
            </w:r>
          </w:p>
        </w:tc>
        <w:tc>
          <w:tcPr>
            <w:tcW w:w="2009" w:type="dxa"/>
            <w:tcBorders>
              <w:top w:val="single" w:color="auto" w:sz="4" w:space="0"/>
              <w:left w:val="single" w:color="auto" w:sz="4" w:space="0"/>
              <w:bottom w:val="single" w:color="auto" w:sz="4" w:space="0"/>
              <w:right w:val="single" w:color="auto" w:sz="4" w:space="0"/>
            </w:tcBorders>
            <w:vAlign w:val="center"/>
          </w:tcPr>
          <w:p w14:paraId="202CF568">
            <w:pPr>
              <w:snapToGrid w:val="0"/>
              <w:spacing w:before="120" w:beforeLines="50" w:line="360" w:lineRule="auto"/>
              <w:jc w:val="center"/>
              <w:rPr>
                <w:rFonts w:hint="eastAsia" w:ascii="宋体" w:hAnsi="宋体" w:cs="宋体"/>
                <w:b/>
                <w:bCs/>
                <w:sz w:val="24"/>
              </w:rPr>
            </w:pPr>
            <w:r>
              <w:rPr>
                <w:rFonts w:hint="eastAsia" w:ascii="宋体" w:hAnsi="宋体" w:cs="宋体"/>
                <w:b/>
                <w:bCs/>
                <w:sz w:val="24"/>
                <w:lang w:bidi="ar"/>
              </w:rPr>
              <w:t>采购文件要求</w:t>
            </w:r>
          </w:p>
        </w:tc>
        <w:tc>
          <w:tcPr>
            <w:tcW w:w="1566" w:type="dxa"/>
            <w:tcBorders>
              <w:top w:val="single" w:color="auto" w:sz="4" w:space="0"/>
              <w:left w:val="single" w:color="auto" w:sz="4" w:space="0"/>
              <w:bottom w:val="single" w:color="auto" w:sz="4" w:space="0"/>
              <w:right w:val="single" w:color="auto" w:sz="4" w:space="0"/>
            </w:tcBorders>
            <w:vAlign w:val="center"/>
          </w:tcPr>
          <w:p w14:paraId="77CF5F02">
            <w:pPr>
              <w:snapToGrid w:val="0"/>
              <w:spacing w:before="120" w:beforeLines="50" w:line="360" w:lineRule="auto"/>
              <w:jc w:val="center"/>
              <w:rPr>
                <w:rFonts w:hint="eastAsia" w:ascii="宋体" w:hAnsi="宋体" w:cs="宋体"/>
                <w:b/>
                <w:bCs/>
                <w:sz w:val="24"/>
                <w:lang w:bidi="ar"/>
              </w:rPr>
            </w:pPr>
            <w:r>
              <w:rPr>
                <w:rFonts w:hint="eastAsia" w:ascii="宋体" w:hAnsi="宋体" w:cs="宋体"/>
                <w:b/>
                <w:bCs/>
                <w:sz w:val="24"/>
                <w:lang w:bidi="ar"/>
              </w:rPr>
              <w:t>投标响应</w:t>
            </w:r>
          </w:p>
        </w:tc>
        <w:tc>
          <w:tcPr>
            <w:tcW w:w="2804" w:type="dxa"/>
            <w:tcBorders>
              <w:top w:val="single" w:color="auto" w:sz="4" w:space="0"/>
              <w:left w:val="single" w:color="auto" w:sz="4" w:space="0"/>
              <w:bottom w:val="single" w:color="auto" w:sz="4" w:space="0"/>
              <w:right w:val="single" w:color="auto" w:sz="4" w:space="0"/>
            </w:tcBorders>
            <w:vAlign w:val="center"/>
          </w:tcPr>
          <w:p w14:paraId="697CD3D3">
            <w:pPr>
              <w:snapToGrid w:val="0"/>
              <w:spacing w:before="120" w:beforeLines="50" w:line="360" w:lineRule="auto"/>
              <w:jc w:val="center"/>
              <w:rPr>
                <w:rFonts w:hint="eastAsia" w:ascii="宋体" w:hAnsi="宋体" w:cs="宋体"/>
                <w:b/>
                <w:bCs/>
                <w:sz w:val="24"/>
                <w:lang w:bidi="ar"/>
              </w:rPr>
            </w:pPr>
            <w:r>
              <w:rPr>
                <w:rFonts w:hint="eastAsia" w:ascii="宋体" w:hAnsi="宋体" w:cs="宋体"/>
                <w:b/>
                <w:bCs/>
                <w:sz w:val="24"/>
                <w:lang w:bidi="ar"/>
              </w:rPr>
              <w:t>偏离说明</w:t>
            </w:r>
          </w:p>
        </w:tc>
      </w:tr>
      <w:tr w14:paraId="65298D0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D38E6EC">
            <w:pPr>
              <w:tabs>
                <w:tab w:val="left" w:pos="4905"/>
              </w:tabs>
              <w:spacing w:line="400" w:lineRule="exact"/>
              <w:jc w:val="center"/>
              <w:rPr>
                <w:rFonts w:hint="eastAsia" w:ascii="宋体" w:hAnsi="宋体" w:cs="宋体"/>
                <w:szCs w:val="21"/>
              </w:rPr>
            </w:pPr>
            <w:r>
              <w:rPr>
                <w:rFonts w:hint="eastAsia" w:ascii="宋体" w:hAnsi="宋体" w:cs="宋体"/>
                <w:szCs w:val="21"/>
              </w:rPr>
              <w:t>1</w:t>
            </w:r>
          </w:p>
        </w:tc>
        <w:tc>
          <w:tcPr>
            <w:tcW w:w="2356" w:type="dxa"/>
            <w:tcBorders>
              <w:top w:val="single" w:color="auto" w:sz="4" w:space="0"/>
              <w:left w:val="single" w:color="auto" w:sz="4" w:space="0"/>
              <w:bottom w:val="single" w:color="auto" w:sz="4" w:space="0"/>
              <w:right w:val="single" w:color="auto" w:sz="4" w:space="0"/>
            </w:tcBorders>
            <w:vAlign w:val="center"/>
          </w:tcPr>
          <w:p w14:paraId="0AFFEFD6">
            <w:pPr>
              <w:tabs>
                <w:tab w:val="left" w:pos="4905"/>
              </w:tabs>
              <w:spacing w:line="400" w:lineRule="exact"/>
              <w:jc w:val="center"/>
              <w:rPr>
                <w:rFonts w:hint="eastAsia" w:ascii="宋体" w:hAnsi="宋体" w:cs="宋体"/>
                <w:szCs w:val="21"/>
              </w:rPr>
            </w:pPr>
            <w:r>
              <w:rPr>
                <w:rFonts w:hint="eastAsia" w:ascii="宋体" w:hAnsi="宋体" w:cs="宋体"/>
                <w:szCs w:val="21"/>
              </w:rPr>
              <w:t>工期</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14:paraId="17A0A136">
            <w:pPr>
              <w:tabs>
                <w:tab w:val="left" w:pos="4905"/>
              </w:tabs>
              <w:spacing w:line="400" w:lineRule="exact"/>
              <w:jc w:val="center"/>
              <w:rPr>
                <w:rFonts w:hint="eastAsia" w:ascii="宋体" w:hAnsi="宋体" w:cs="宋体"/>
                <w:szCs w:val="21"/>
              </w:rPr>
            </w:pPr>
            <w:r>
              <w:rPr>
                <w:rFonts w:hint="eastAsia" w:ascii="宋体" w:hAnsi="宋体" w:cs="宋体"/>
                <w:szCs w:val="21"/>
              </w:rPr>
              <w:t>根据招标文件要求</w:t>
            </w:r>
          </w:p>
        </w:tc>
        <w:tc>
          <w:tcPr>
            <w:tcW w:w="1566" w:type="dxa"/>
            <w:tcBorders>
              <w:top w:val="single" w:color="auto" w:sz="4" w:space="0"/>
              <w:left w:val="single" w:color="auto" w:sz="4" w:space="0"/>
              <w:bottom w:val="single" w:color="auto" w:sz="4" w:space="0"/>
              <w:right w:val="single" w:color="auto" w:sz="4" w:space="0"/>
            </w:tcBorders>
            <w:vAlign w:val="center"/>
          </w:tcPr>
          <w:p w14:paraId="08555E80">
            <w:pPr>
              <w:snapToGrid w:val="0"/>
              <w:spacing w:before="120" w:beforeLines="50" w:line="360" w:lineRule="auto"/>
              <w:ind w:left="43"/>
              <w:jc w:val="center"/>
              <w:rPr>
                <w:rFonts w:hint="eastAsia" w:ascii="宋体" w:hAnsi="宋体" w:cs="宋体"/>
                <w:sz w:val="24"/>
              </w:rPr>
            </w:pPr>
          </w:p>
        </w:tc>
        <w:tc>
          <w:tcPr>
            <w:tcW w:w="2804" w:type="dxa"/>
            <w:tcBorders>
              <w:top w:val="single" w:color="auto" w:sz="4" w:space="0"/>
              <w:left w:val="single" w:color="auto" w:sz="4" w:space="0"/>
              <w:bottom w:val="single" w:color="auto" w:sz="4" w:space="0"/>
              <w:right w:val="single" w:color="auto" w:sz="4" w:space="0"/>
            </w:tcBorders>
            <w:vAlign w:val="center"/>
          </w:tcPr>
          <w:p w14:paraId="4E170BB9">
            <w:pPr>
              <w:snapToGrid w:val="0"/>
              <w:spacing w:before="120" w:beforeLines="50" w:line="360" w:lineRule="auto"/>
              <w:ind w:left="43"/>
              <w:jc w:val="center"/>
              <w:rPr>
                <w:rFonts w:hint="eastAsia" w:ascii="宋体" w:hAnsi="宋体" w:cs="宋体"/>
                <w:sz w:val="24"/>
              </w:rPr>
            </w:pPr>
          </w:p>
        </w:tc>
      </w:tr>
      <w:tr w14:paraId="0D59C11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61410B3">
            <w:pPr>
              <w:tabs>
                <w:tab w:val="left" w:pos="4905"/>
              </w:tabs>
              <w:spacing w:line="400" w:lineRule="exact"/>
              <w:jc w:val="center"/>
              <w:rPr>
                <w:rFonts w:hint="eastAsia" w:ascii="宋体" w:hAnsi="宋体" w:cs="宋体"/>
                <w:szCs w:val="21"/>
              </w:rPr>
            </w:pPr>
            <w:r>
              <w:rPr>
                <w:rFonts w:hint="eastAsia" w:ascii="宋体" w:hAnsi="宋体" w:cs="宋体"/>
                <w:szCs w:val="21"/>
              </w:rPr>
              <w:t>2</w:t>
            </w:r>
          </w:p>
        </w:tc>
        <w:tc>
          <w:tcPr>
            <w:tcW w:w="2356" w:type="dxa"/>
            <w:tcBorders>
              <w:top w:val="single" w:color="auto" w:sz="4" w:space="0"/>
              <w:left w:val="single" w:color="auto" w:sz="4" w:space="0"/>
              <w:bottom w:val="single" w:color="auto" w:sz="4" w:space="0"/>
              <w:right w:val="single" w:color="auto" w:sz="4" w:space="0"/>
            </w:tcBorders>
            <w:vAlign w:val="center"/>
          </w:tcPr>
          <w:p w14:paraId="4AD15D9F">
            <w:pPr>
              <w:tabs>
                <w:tab w:val="left" w:pos="4905"/>
              </w:tabs>
              <w:spacing w:line="400" w:lineRule="exact"/>
              <w:jc w:val="center"/>
              <w:rPr>
                <w:rFonts w:hint="eastAsia" w:ascii="宋体" w:hAnsi="宋体" w:cs="宋体"/>
                <w:szCs w:val="21"/>
              </w:rPr>
            </w:pPr>
            <w:r>
              <w:rPr>
                <w:rFonts w:hint="eastAsia" w:ascii="宋体" w:hAnsi="宋体" w:cs="宋体"/>
                <w:szCs w:val="21"/>
              </w:rPr>
              <w:t>投标文件有效期</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14:paraId="5D01783F">
            <w:pPr>
              <w:tabs>
                <w:tab w:val="left" w:pos="4905"/>
              </w:tabs>
              <w:spacing w:line="400" w:lineRule="exact"/>
              <w:jc w:val="center"/>
              <w:rPr>
                <w:rFonts w:hint="eastAsia" w:ascii="宋体" w:hAnsi="宋体" w:cs="宋体"/>
                <w:szCs w:val="21"/>
              </w:rPr>
            </w:pPr>
            <w:r>
              <w:rPr>
                <w:rFonts w:hint="eastAsia" w:ascii="宋体" w:hAnsi="宋体" w:cs="宋体"/>
                <w:szCs w:val="21"/>
              </w:rPr>
              <w:t>根据招标文件要求</w:t>
            </w:r>
          </w:p>
        </w:tc>
        <w:tc>
          <w:tcPr>
            <w:tcW w:w="1566" w:type="dxa"/>
            <w:tcBorders>
              <w:top w:val="single" w:color="auto" w:sz="4" w:space="0"/>
              <w:left w:val="single" w:color="auto" w:sz="4" w:space="0"/>
              <w:bottom w:val="single" w:color="auto" w:sz="4" w:space="0"/>
              <w:right w:val="single" w:color="auto" w:sz="4" w:space="0"/>
            </w:tcBorders>
            <w:vAlign w:val="center"/>
          </w:tcPr>
          <w:p w14:paraId="1C6F00C6">
            <w:pPr>
              <w:snapToGrid w:val="0"/>
              <w:spacing w:before="120" w:beforeLines="50" w:line="360" w:lineRule="auto"/>
              <w:jc w:val="center"/>
              <w:rPr>
                <w:rFonts w:hint="eastAsia" w:ascii="宋体" w:hAnsi="宋体" w:cs="宋体"/>
                <w:sz w:val="24"/>
              </w:rPr>
            </w:pPr>
          </w:p>
        </w:tc>
        <w:tc>
          <w:tcPr>
            <w:tcW w:w="2804" w:type="dxa"/>
            <w:tcBorders>
              <w:top w:val="single" w:color="auto" w:sz="4" w:space="0"/>
              <w:left w:val="single" w:color="auto" w:sz="4" w:space="0"/>
              <w:bottom w:val="single" w:color="auto" w:sz="4" w:space="0"/>
              <w:right w:val="single" w:color="auto" w:sz="4" w:space="0"/>
            </w:tcBorders>
            <w:vAlign w:val="center"/>
          </w:tcPr>
          <w:p w14:paraId="697D7761">
            <w:pPr>
              <w:snapToGrid w:val="0"/>
              <w:spacing w:before="120" w:beforeLines="50" w:line="360" w:lineRule="auto"/>
              <w:jc w:val="center"/>
              <w:rPr>
                <w:rFonts w:hint="eastAsia" w:ascii="宋体" w:hAnsi="宋体" w:cs="宋体"/>
                <w:sz w:val="24"/>
              </w:rPr>
            </w:pPr>
          </w:p>
        </w:tc>
      </w:tr>
      <w:tr w14:paraId="4F88AA3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7509A8B">
            <w:pPr>
              <w:tabs>
                <w:tab w:val="left" w:pos="4905"/>
              </w:tabs>
              <w:spacing w:line="400" w:lineRule="exact"/>
              <w:jc w:val="center"/>
              <w:rPr>
                <w:rFonts w:hint="eastAsia" w:ascii="宋体" w:hAnsi="宋体" w:cs="宋体"/>
                <w:szCs w:val="21"/>
              </w:rPr>
            </w:pPr>
            <w:r>
              <w:rPr>
                <w:rFonts w:hint="eastAsia" w:ascii="宋体" w:hAnsi="宋体" w:cs="宋体"/>
                <w:szCs w:val="21"/>
              </w:rPr>
              <w:t>3</w:t>
            </w:r>
          </w:p>
        </w:tc>
        <w:tc>
          <w:tcPr>
            <w:tcW w:w="2356" w:type="dxa"/>
            <w:tcBorders>
              <w:top w:val="single" w:color="auto" w:sz="4" w:space="0"/>
              <w:left w:val="single" w:color="auto" w:sz="4" w:space="0"/>
              <w:bottom w:val="single" w:color="auto" w:sz="4" w:space="0"/>
              <w:right w:val="single" w:color="auto" w:sz="4" w:space="0"/>
            </w:tcBorders>
            <w:vAlign w:val="center"/>
          </w:tcPr>
          <w:p w14:paraId="7A459983">
            <w:pPr>
              <w:tabs>
                <w:tab w:val="left" w:pos="4905"/>
              </w:tabs>
              <w:spacing w:line="400" w:lineRule="exact"/>
              <w:jc w:val="center"/>
              <w:rPr>
                <w:rFonts w:hint="eastAsia" w:ascii="宋体" w:hAnsi="宋体" w:cs="宋体"/>
                <w:szCs w:val="21"/>
              </w:rPr>
            </w:pPr>
            <w:r>
              <w:rPr>
                <w:rFonts w:hint="eastAsia" w:ascii="宋体" w:hAnsi="宋体" w:cs="宋体"/>
                <w:szCs w:val="21"/>
              </w:rPr>
              <w:t>合同价款</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14:paraId="5B1F40AE">
            <w:pPr>
              <w:tabs>
                <w:tab w:val="left" w:pos="4905"/>
              </w:tabs>
              <w:spacing w:line="400" w:lineRule="exact"/>
              <w:jc w:val="center"/>
              <w:rPr>
                <w:rFonts w:hint="eastAsia" w:ascii="宋体" w:hAnsi="宋体" w:cs="宋体"/>
                <w:szCs w:val="21"/>
              </w:rPr>
            </w:pPr>
            <w:r>
              <w:rPr>
                <w:rFonts w:hint="eastAsia" w:ascii="宋体" w:hAnsi="宋体" w:cs="宋体"/>
                <w:szCs w:val="21"/>
              </w:rPr>
              <w:t>根据招标文件要求</w:t>
            </w:r>
          </w:p>
        </w:tc>
        <w:tc>
          <w:tcPr>
            <w:tcW w:w="1566" w:type="dxa"/>
            <w:tcBorders>
              <w:top w:val="single" w:color="auto" w:sz="4" w:space="0"/>
              <w:left w:val="single" w:color="auto" w:sz="4" w:space="0"/>
              <w:bottom w:val="single" w:color="auto" w:sz="4" w:space="0"/>
              <w:right w:val="single" w:color="auto" w:sz="4" w:space="0"/>
            </w:tcBorders>
            <w:vAlign w:val="center"/>
          </w:tcPr>
          <w:p w14:paraId="59014A6C">
            <w:pPr>
              <w:snapToGrid w:val="0"/>
              <w:spacing w:before="120" w:beforeLines="50" w:line="360" w:lineRule="auto"/>
              <w:jc w:val="center"/>
              <w:rPr>
                <w:rFonts w:hint="eastAsia" w:ascii="宋体" w:hAnsi="宋体" w:cs="宋体"/>
                <w:sz w:val="24"/>
              </w:rPr>
            </w:pPr>
          </w:p>
        </w:tc>
        <w:tc>
          <w:tcPr>
            <w:tcW w:w="2804" w:type="dxa"/>
            <w:tcBorders>
              <w:top w:val="single" w:color="auto" w:sz="4" w:space="0"/>
              <w:left w:val="single" w:color="auto" w:sz="4" w:space="0"/>
              <w:bottom w:val="single" w:color="auto" w:sz="4" w:space="0"/>
              <w:right w:val="single" w:color="auto" w:sz="4" w:space="0"/>
            </w:tcBorders>
            <w:vAlign w:val="center"/>
          </w:tcPr>
          <w:p w14:paraId="2190EAB3">
            <w:pPr>
              <w:snapToGrid w:val="0"/>
              <w:spacing w:before="120" w:beforeLines="50" w:line="360" w:lineRule="auto"/>
              <w:jc w:val="center"/>
              <w:rPr>
                <w:rFonts w:hint="eastAsia" w:ascii="宋体" w:hAnsi="宋体" w:cs="宋体"/>
                <w:sz w:val="24"/>
              </w:rPr>
            </w:pPr>
          </w:p>
        </w:tc>
      </w:tr>
      <w:tr w14:paraId="708FF25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8F71457">
            <w:pPr>
              <w:tabs>
                <w:tab w:val="left" w:pos="4905"/>
              </w:tabs>
              <w:spacing w:line="400" w:lineRule="exact"/>
              <w:jc w:val="center"/>
              <w:rPr>
                <w:rFonts w:hint="eastAsia" w:ascii="宋体" w:hAnsi="宋体" w:cs="宋体"/>
                <w:szCs w:val="21"/>
              </w:rPr>
            </w:pPr>
            <w:r>
              <w:rPr>
                <w:rFonts w:hint="eastAsia" w:ascii="宋体" w:hAnsi="宋体" w:cs="宋体"/>
                <w:szCs w:val="21"/>
              </w:rPr>
              <w:t>4</w:t>
            </w:r>
          </w:p>
        </w:tc>
        <w:tc>
          <w:tcPr>
            <w:tcW w:w="2356" w:type="dxa"/>
            <w:tcBorders>
              <w:top w:val="single" w:color="auto" w:sz="4" w:space="0"/>
              <w:left w:val="single" w:color="auto" w:sz="4" w:space="0"/>
              <w:bottom w:val="single" w:color="auto" w:sz="4" w:space="0"/>
              <w:right w:val="single" w:color="auto" w:sz="4" w:space="0"/>
            </w:tcBorders>
            <w:vAlign w:val="center"/>
          </w:tcPr>
          <w:p w14:paraId="49D419F5">
            <w:pPr>
              <w:tabs>
                <w:tab w:val="left" w:pos="4905"/>
              </w:tabs>
              <w:spacing w:line="400" w:lineRule="exact"/>
              <w:jc w:val="center"/>
              <w:rPr>
                <w:rFonts w:hint="eastAsia" w:ascii="宋体" w:hAnsi="宋体" w:cs="宋体"/>
                <w:szCs w:val="21"/>
              </w:rPr>
            </w:pPr>
            <w:r>
              <w:rPr>
                <w:rFonts w:hint="eastAsia" w:ascii="宋体" w:hAnsi="宋体" w:cs="宋体"/>
                <w:szCs w:val="21"/>
              </w:rPr>
              <w:t>付款方式</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14:paraId="68F4A95D">
            <w:pPr>
              <w:tabs>
                <w:tab w:val="left" w:pos="4905"/>
              </w:tabs>
              <w:spacing w:line="400" w:lineRule="exact"/>
              <w:jc w:val="center"/>
              <w:rPr>
                <w:rFonts w:hint="eastAsia" w:ascii="宋体" w:hAnsi="宋体" w:cs="宋体"/>
                <w:szCs w:val="21"/>
              </w:rPr>
            </w:pPr>
            <w:r>
              <w:rPr>
                <w:rFonts w:hint="eastAsia" w:ascii="宋体" w:hAnsi="宋体" w:cs="宋体"/>
                <w:szCs w:val="21"/>
              </w:rPr>
              <w:t>根据招标文件要求</w:t>
            </w:r>
          </w:p>
        </w:tc>
        <w:tc>
          <w:tcPr>
            <w:tcW w:w="1566" w:type="dxa"/>
            <w:tcBorders>
              <w:top w:val="single" w:color="auto" w:sz="4" w:space="0"/>
              <w:left w:val="single" w:color="auto" w:sz="4" w:space="0"/>
              <w:bottom w:val="single" w:color="auto" w:sz="4" w:space="0"/>
              <w:right w:val="single" w:color="auto" w:sz="4" w:space="0"/>
            </w:tcBorders>
            <w:vAlign w:val="center"/>
          </w:tcPr>
          <w:p w14:paraId="0D123B11">
            <w:pPr>
              <w:snapToGrid w:val="0"/>
              <w:spacing w:before="120" w:beforeLines="50" w:line="360" w:lineRule="auto"/>
              <w:jc w:val="center"/>
              <w:rPr>
                <w:rFonts w:hint="eastAsia" w:ascii="宋体" w:hAnsi="宋体" w:cs="宋体"/>
                <w:sz w:val="24"/>
              </w:rPr>
            </w:pPr>
          </w:p>
        </w:tc>
        <w:tc>
          <w:tcPr>
            <w:tcW w:w="2804" w:type="dxa"/>
            <w:tcBorders>
              <w:top w:val="single" w:color="auto" w:sz="4" w:space="0"/>
              <w:left w:val="single" w:color="auto" w:sz="4" w:space="0"/>
              <w:bottom w:val="single" w:color="auto" w:sz="4" w:space="0"/>
              <w:right w:val="single" w:color="auto" w:sz="4" w:space="0"/>
            </w:tcBorders>
            <w:vAlign w:val="center"/>
          </w:tcPr>
          <w:p w14:paraId="0F70AC55">
            <w:pPr>
              <w:snapToGrid w:val="0"/>
              <w:spacing w:before="120" w:beforeLines="50" w:line="360" w:lineRule="auto"/>
              <w:jc w:val="center"/>
              <w:rPr>
                <w:rFonts w:hint="eastAsia" w:ascii="宋体" w:hAnsi="宋体" w:cs="宋体"/>
                <w:sz w:val="24"/>
              </w:rPr>
            </w:pPr>
          </w:p>
        </w:tc>
      </w:tr>
      <w:tr w14:paraId="6CEFC83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D512662">
            <w:pPr>
              <w:tabs>
                <w:tab w:val="left" w:pos="4905"/>
              </w:tabs>
              <w:spacing w:line="400" w:lineRule="exact"/>
              <w:jc w:val="center"/>
              <w:rPr>
                <w:rFonts w:hint="eastAsia" w:ascii="宋体" w:hAnsi="宋体" w:cs="宋体"/>
                <w:szCs w:val="21"/>
              </w:rPr>
            </w:pPr>
            <w:r>
              <w:rPr>
                <w:rFonts w:hint="eastAsia" w:ascii="宋体" w:hAnsi="宋体" w:cs="宋体"/>
                <w:szCs w:val="21"/>
              </w:rPr>
              <w:t>5</w:t>
            </w:r>
          </w:p>
        </w:tc>
        <w:tc>
          <w:tcPr>
            <w:tcW w:w="2356" w:type="dxa"/>
            <w:tcBorders>
              <w:top w:val="single" w:color="auto" w:sz="4" w:space="0"/>
              <w:left w:val="single" w:color="auto" w:sz="4" w:space="0"/>
              <w:bottom w:val="single" w:color="auto" w:sz="4" w:space="0"/>
              <w:right w:val="single" w:color="auto" w:sz="4" w:space="0"/>
            </w:tcBorders>
            <w:vAlign w:val="center"/>
          </w:tcPr>
          <w:p w14:paraId="0D3A66BB">
            <w:pPr>
              <w:tabs>
                <w:tab w:val="left" w:pos="4905"/>
              </w:tabs>
              <w:spacing w:line="400" w:lineRule="exact"/>
              <w:jc w:val="center"/>
              <w:rPr>
                <w:rFonts w:hint="eastAsia" w:ascii="宋体" w:hAnsi="宋体" w:cs="宋体"/>
                <w:szCs w:val="21"/>
              </w:rPr>
            </w:pPr>
            <w:r>
              <w:rPr>
                <w:rFonts w:hint="eastAsia" w:ascii="宋体" w:hAnsi="宋体" w:cs="宋体"/>
                <w:szCs w:val="21"/>
              </w:rPr>
              <w:t>履约保证金</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14:paraId="1483C158">
            <w:pPr>
              <w:tabs>
                <w:tab w:val="left" w:pos="4905"/>
              </w:tabs>
              <w:spacing w:line="400" w:lineRule="exact"/>
              <w:jc w:val="center"/>
              <w:rPr>
                <w:rFonts w:hint="eastAsia" w:ascii="宋体" w:hAnsi="宋体" w:cs="宋体"/>
                <w:szCs w:val="21"/>
              </w:rPr>
            </w:pPr>
            <w:r>
              <w:rPr>
                <w:rFonts w:hint="eastAsia" w:ascii="宋体" w:hAnsi="宋体" w:cs="宋体"/>
                <w:szCs w:val="21"/>
              </w:rPr>
              <w:t>根据招标文件要求</w:t>
            </w:r>
          </w:p>
        </w:tc>
        <w:tc>
          <w:tcPr>
            <w:tcW w:w="1566" w:type="dxa"/>
            <w:tcBorders>
              <w:top w:val="single" w:color="auto" w:sz="4" w:space="0"/>
              <w:left w:val="single" w:color="auto" w:sz="4" w:space="0"/>
              <w:bottom w:val="single" w:color="auto" w:sz="4" w:space="0"/>
              <w:right w:val="single" w:color="auto" w:sz="4" w:space="0"/>
            </w:tcBorders>
            <w:vAlign w:val="center"/>
          </w:tcPr>
          <w:p w14:paraId="1D9D034B">
            <w:pPr>
              <w:snapToGrid w:val="0"/>
              <w:spacing w:before="120" w:beforeLines="50" w:line="360" w:lineRule="auto"/>
              <w:jc w:val="center"/>
              <w:rPr>
                <w:rFonts w:hint="eastAsia" w:ascii="宋体" w:hAnsi="宋体" w:cs="宋体"/>
                <w:sz w:val="24"/>
              </w:rPr>
            </w:pPr>
          </w:p>
        </w:tc>
        <w:tc>
          <w:tcPr>
            <w:tcW w:w="2804" w:type="dxa"/>
            <w:tcBorders>
              <w:top w:val="single" w:color="auto" w:sz="4" w:space="0"/>
              <w:left w:val="single" w:color="auto" w:sz="4" w:space="0"/>
              <w:bottom w:val="single" w:color="auto" w:sz="4" w:space="0"/>
              <w:right w:val="single" w:color="auto" w:sz="4" w:space="0"/>
            </w:tcBorders>
            <w:vAlign w:val="center"/>
          </w:tcPr>
          <w:p w14:paraId="2B94222C">
            <w:pPr>
              <w:snapToGrid w:val="0"/>
              <w:spacing w:before="120" w:beforeLines="50" w:line="360" w:lineRule="auto"/>
              <w:jc w:val="center"/>
              <w:rPr>
                <w:rFonts w:hint="eastAsia" w:ascii="宋体" w:hAnsi="宋体" w:cs="宋体"/>
                <w:sz w:val="24"/>
              </w:rPr>
            </w:pPr>
          </w:p>
        </w:tc>
      </w:tr>
      <w:tr w14:paraId="0362DAF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5E13588">
            <w:pPr>
              <w:tabs>
                <w:tab w:val="left" w:pos="4905"/>
              </w:tabs>
              <w:spacing w:line="400" w:lineRule="exact"/>
              <w:jc w:val="center"/>
              <w:rPr>
                <w:rFonts w:hint="eastAsia" w:ascii="宋体" w:hAnsi="宋体" w:cs="宋体"/>
                <w:szCs w:val="21"/>
              </w:rPr>
            </w:pPr>
            <w:r>
              <w:rPr>
                <w:rFonts w:hint="eastAsia" w:ascii="宋体" w:hAnsi="宋体" w:cs="宋体"/>
                <w:szCs w:val="21"/>
              </w:rPr>
              <w:t>6</w:t>
            </w:r>
          </w:p>
        </w:tc>
        <w:tc>
          <w:tcPr>
            <w:tcW w:w="2356" w:type="dxa"/>
            <w:tcBorders>
              <w:top w:val="single" w:color="auto" w:sz="4" w:space="0"/>
              <w:left w:val="single" w:color="auto" w:sz="4" w:space="0"/>
              <w:bottom w:val="single" w:color="auto" w:sz="4" w:space="0"/>
              <w:right w:val="single" w:color="auto" w:sz="4" w:space="0"/>
            </w:tcBorders>
            <w:vAlign w:val="center"/>
          </w:tcPr>
          <w:p w14:paraId="6BCF81F0">
            <w:pPr>
              <w:tabs>
                <w:tab w:val="left" w:pos="4905"/>
              </w:tabs>
              <w:spacing w:line="400" w:lineRule="exact"/>
              <w:jc w:val="center"/>
              <w:rPr>
                <w:rFonts w:hint="eastAsia" w:ascii="宋体" w:hAnsi="宋体" w:cs="宋体"/>
                <w:szCs w:val="21"/>
              </w:rPr>
            </w:pPr>
            <w:r>
              <w:rPr>
                <w:rFonts w:hint="eastAsia" w:ascii="宋体" w:hAnsi="宋体" w:cs="宋体"/>
                <w:szCs w:val="21"/>
              </w:rPr>
              <w:t>投标报价</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14:paraId="12B8C4BC">
            <w:pPr>
              <w:tabs>
                <w:tab w:val="left" w:pos="4905"/>
              </w:tabs>
              <w:spacing w:line="400" w:lineRule="exact"/>
              <w:jc w:val="center"/>
              <w:rPr>
                <w:rFonts w:hint="eastAsia" w:ascii="宋体" w:hAnsi="宋体" w:cs="宋体"/>
                <w:szCs w:val="21"/>
              </w:rPr>
            </w:pPr>
            <w:r>
              <w:rPr>
                <w:rFonts w:hint="eastAsia" w:ascii="宋体" w:hAnsi="宋体" w:cs="宋体"/>
                <w:szCs w:val="21"/>
              </w:rPr>
              <w:t>根据招标文件要求</w:t>
            </w:r>
          </w:p>
        </w:tc>
        <w:tc>
          <w:tcPr>
            <w:tcW w:w="1566" w:type="dxa"/>
            <w:tcBorders>
              <w:top w:val="single" w:color="auto" w:sz="4" w:space="0"/>
              <w:left w:val="single" w:color="auto" w:sz="4" w:space="0"/>
              <w:bottom w:val="single" w:color="auto" w:sz="4" w:space="0"/>
              <w:right w:val="single" w:color="auto" w:sz="4" w:space="0"/>
            </w:tcBorders>
            <w:vAlign w:val="center"/>
          </w:tcPr>
          <w:p w14:paraId="55600D2E">
            <w:pPr>
              <w:snapToGrid w:val="0"/>
              <w:spacing w:before="120" w:beforeLines="50" w:line="360" w:lineRule="auto"/>
              <w:jc w:val="center"/>
              <w:rPr>
                <w:rFonts w:hint="eastAsia" w:ascii="宋体" w:hAnsi="宋体" w:cs="宋体"/>
                <w:sz w:val="24"/>
              </w:rPr>
            </w:pPr>
          </w:p>
        </w:tc>
        <w:tc>
          <w:tcPr>
            <w:tcW w:w="2804" w:type="dxa"/>
            <w:tcBorders>
              <w:top w:val="single" w:color="auto" w:sz="4" w:space="0"/>
              <w:left w:val="single" w:color="auto" w:sz="4" w:space="0"/>
              <w:bottom w:val="single" w:color="auto" w:sz="4" w:space="0"/>
              <w:right w:val="single" w:color="auto" w:sz="4" w:space="0"/>
            </w:tcBorders>
            <w:vAlign w:val="center"/>
          </w:tcPr>
          <w:p w14:paraId="60E66FFB">
            <w:pPr>
              <w:snapToGrid w:val="0"/>
              <w:spacing w:before="120" w:beforeLines="50" w:line="360" w:lineRule="auto"/>
              <w:jc w:val="center"/>
              <w:rPr>
                <w:rFonts w:hint="eastAsia" w:ascii="宋体" w:hAnsi="宋体" w:cs="宋体"/>
                <w:sz w:val="24"/>
              </w:rPr>
            </w:pPr>
          </w:p>
        </w:tc>
      </w:tr>
    </w:tbl>
    <w:p w14:paraId="2A55A579">
      <w:pPr>
        <w:pStyle w:val="76"/>
        <w:tabs>
          <w:tab w:val="left" w:pos="360"/>
        </w:tabs>
        <w:spacing w:line="360" w:lineRule="auto"/>
        <w:ind w:right="84" w:rightChars="40"/>
        <w:rPr>
          <w:rFonts w:ascii="宋体"/>
          <w:b/>
          <w:szCs w:val="21"/>
        </w:rPr>
      </w:pPr>
    </w:p>
    <w:p w14:paraId="728C6CAE">
      <w:pPr>
        <w:pStyle w:val="76"/>
        <w:tabs>
          <w:tab w:val="left" w:pos="360"/>
        </w:tabs>
        <w:spacing w:line="360" w:lineRule="auto"/>
        <w:ind w:right="84" w:rightChars="40"/>
        <w:rPr>
          <w:rFonts w:ascii="宋体"/>
          <w:b/>
          <w:szCs w:val="21"/>
        </w:rPr>
      </w:pPr>
      <w:r>
        <w:rPr>
          <w:rFonts w:hint="eastAsia" w:ascii="宋体"/>
          <w:b/>
          <w:szCs w:val="21"/>
        </w:rPr>
        <w:t>要求：</w:t>
      </w:r>
    </w:p>
    <w:p w14:paraId="10325257">
      <w:pPr>
        <w:pStyle w:val="76"/>
        <w:spacing w:line="360" w:lineRule="auto"/>
        <w:ind w:right="84" w:rightChars="40" w:firstLine="420" w:firstLineChars="200"/>
        <w:rPr>
          <w:rFonts w:ascii="宋体"/>
          <w:szCs w:val="21"/>
        </w:rPr>
      </w:pPr>
      <w:r>
        <w:rPr>
          <w:rFonts w:hint="eastAsia" w:ascii="宋体"/>
          <w:szCs w:val="21"/>
        </w:rPr>
        <w:t>1.本表参照本招标文件第三章“采购需求”内第六条“商务要求”填制，投标人应根据投标的服务指标及内容，对照招标文件要求在“偏离说明”栏注明“正偏离”、“负偏离”或“无偏离”。投标响应列中，填入详细技术参数，如无偏离的，填入</w:t>
      </w:r>
      <w:r>
        <w:rPr>
          <w:rFonts w:hint="eastAsia" w:ascii="宋体"/>
          <w:szCs w:val="21"/>
          <w:u w:val="single"/>
        </w:rPr>
        <w:t>响应招标文件要求</w:t>
      </w:r>
      <w:r>
        <w:rPr>
          <w:rFonts w:hint="eastAsia" w:ascii="宋体"/>
          <w:szCs w:val="21"/>
        </w:rPr>
        <w:t>即可。</w:t>
      </w:r>
    </w:p>
    <w:p w14:paraId="758D8248">
      <w:pPr>
        <w:pStyle w:val="76"/>
        <w:spacing w:line="360" w:lineRule="auto"/>
        <w:ind w:right="84" w:rightChars="40" w:firstLine="420" w:firstLineChars="200"/>
        <w:rPr>
          <w:rFonts w:ascii="宋体"/>
          <w:szCs w:val="21"/>
        </w:rPr>
      </w:pPr>
      <w:r>
        <w:rPr>
          <w:rFonts w:hint="eastAsia" w:ascii="宋体"/>
          <w:szCs w:val="21"/>
        </w:rPr>
        <w:t>2.若不填写则视为全部响应。</w:t>
      </w:r>
    </w:p>
    <w:p w14:paraId="78B2DC1A">
      <w:pPr>
        <w:pStyle w:val="6"/>
        <w:spacing w:line="360" w:lineRule="auto"/>
        <w:rPr>
          <w:rFonts w:hint="eastAsia" w:hAnsi="宋体"/>
          <w:sz w:val="24"/>
          <w:szCs w:val="24"/>
        </w:rPr>
      </w:pPr>
    </w:p>
    <w:p w14:paraId="00B2C152">
      <w:pPr>
        <w:snapToGrid w:val="0"/>
        <w:spacing w:before="120" w:beforeLines="50" w:line="360" w:lineRule="auto"/>
        <w:rPr>
          <w:rFonts w:hint="eastAsia" w:ascii="宋体" w:hAnsi="宋体" w:cs="宋体"/>
          <w:sz w:val="24"/>
        </w:rPr>
      </w:pPr>
    </w:p>
    <w:p w14:paraId="16ECE029">
      <w:pPr>
        <w:snapToGrid w:val="0"/>
        <w:spacing w:line="360" w:lineRule="auto"/>
        <w:textAlignment w:val="baseline"/>
        <w:rPr>
          <w:rFonts w:hint="eastAsia" w:ascii="宋体" w:hAnsi="宋体" w:cs="宋体"/>
          <w:kern w:val="0"/>
          <w:sz w:val="24"/>
          <w:lang w:val="zh-CN"/>
        </w:rPr>
      </w:pPr>
    </w:p>
    <w:p w14:paraId="1860366D">
      <w:pPr>
        <w:spacing w:line="336" w:lineRule="auto"/>
        <w:ind w:firstLine="6240" w:firstLineChars="26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投标人名称（电子签名）：</w:t>
      </w:r>
    </w:p>
    <w:p w14:paraId="3E14A98C">
      <w:pPr>
        <w:spacing w:line="336"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10A56830">
      <w:pPr>
        <w:pageBreakBefore/>
        <w:spacing w:line="360" w:lineRule="auto"/>
        <w:jc w:val="left"/>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sz w:val="24"/>
          <w:lang w:val="zh-CN"/>
        </w:rPr>
        <w:t>附件</w:t>
      </w:r>
      <w:r>
        <w:rPr>
          <w:rFonts w:hint="eastAsia" w:ascii="宋体" w:hAnsi="宋体" w:cs="宋体"/>
          <w:b/>
          <w:bCs/>
          <w:sz w:val="24"/>
        </w:rPr>
        <w:t>八</w:t>
      </w:r>
      <w:r>
        <w:rPr>
          <w:rFonts w:hint="eastAsia" w:ascii="宋体" w:hAnsi="宋体" w:cs="宋体"/>
          <w:b/>
          <w:bCs/>
          <w:sz w:val="24"/>
          <w:lang w:val="zh-CN"/>
        </w:rPr>
        <w:t xml:space="preserve"> </w:t>
      </w:r>
      <w:r>
        <w:rPr>
          <w:rFonts w:hint="eastAsia" w:ascii="宋体" w:hAnsi="宋体" w:cs="宋体"/>
          <w:b/>
          <w:bCs/>
          <w:sz w:val="24"/>
        </w:rPr>
        <w:t xml:space="preserve"> </w:t>
      </w:r>
      <w:bookmarkStart w:id="100" w:name="_Hlk190974103"/>
      <w:r>
        <w:rPr>
          <w:rFonts w:hint="eastAsia" w:ascii="宋体" w:hAnsi="宋体" w:cs="宋体"/>
          <w:b/>
          <w:bCs/>
          <w:sz w:val="24"/>
          <w:lang w:val="zh-CN"/>
        </w:rPr>
        <w:t>项目小组人员名单</w:t>
      </w:r>
      <w:bookmarkEnd w:id="100"/>
    </w:p>
    <w:p w14:paraId="349AADAA">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（由投标人根据采购需求及招标文件要求编制）</w:t>
      </w:r>
    </w:p>
    <w:p w14:paraId="2D051D63">
      <w:pPr>
        <w:keepNext/>
        <w:autoSpaceDE w:val="0"/>
        <w:autoSpaceDN w:val="0"/>
        <w:spacing w:line="360" w:lineRule="auto"/>
        <w:ind w:firstLine="477"/>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附表A:本项目的项目负责人情况表</w:t>
      </w:r>
    </w:p>
    <w:tbl>
      <w:tblPr>
        <w:tblStyle w:val="26"/>
        <w:tblW w:w="9464" w:type="dxa"/>
        <w:tblInd w:w="0" w:type="dxa"/>
        <w:tblLayout w:type="fixed"/>
        <w:tblCellMar>
          <w:top w:w="0" w:type="dxa"/>
          <w:left w:w="108" w:type="dxa"/>
          <w:bottom w:w="0" w:type="dxa"/>
          <w:right w:w="108" w:type="dxa"/>
        </w:tblCellMar>
      </w:tblPr>
      <w:tblGrid>
        <w:gridCol w:w="2282"/>
        <w:gridCol w:w="1425"/>
        <w:gridCol w:w="5757"/>
      </w:tblGrid>
      <w:tr w14:paraId="6C947EB3">
        <w:tblPrEx>
          <w:tblCellMar>
            <w:top w:w="0" w:type="dxa"/>
            <w:left w:w="108" w:type="dxa"/>
            <w:bottom w:w="0" w:type="dxa"/>
            <w:right w:w="108" w:type="dxa"/>
          </w:tblCellMar>
        </w:tblPrEx>
        <w:trPr>
          <w:cantSplit/>
          <w:trHeight w:val="925" w:hRule="atLeast"/>
        </w:trPr>
        <w:tc>
          <w:tcPr>
            <w:tcW w:w="2282" w:type="dxa"/>
            <w:tcBorders>
              <w:top w:val="single" w:color="auto" w:sz="6" w:space="0"/>
              <w:left w:val="single" w:color="auto" w:sz="6" w:space="0"/>
              <w:bottom w:val="single" w:color="auto" w:sz="6" w:space="0"/>
              <w:right w:val="single" w:color="auto" w:sz="6" w:space="0"/>
            </w:tcBorders>
            <w:shd w:val="clear" w:color="auto" w:fill="auto"/>
            <w:vAlign w:val="center"/>
          </w:tcPr>
          <w:p w14:paraId="38453582">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sz w:val="24"/>
              </w:rPr>
              <w:t>姓名</w:t>
            </w:r>
          </w:p>
        </w:tc>
        <w:tc>
          <w:tcPr>
            <w:tcW w:w="1425" w:type="dxa"/>
            <w:tcBorders>
              <w:top w:val="single" w:color="auto" w:sz="6" w:space="0"/>
              <w:left w:val="single" w:color="auto" w:sz="6" w:space="0"/>
              <w:bottom w:val="single" w:color="auto" w:sz="6" w:space="0"/>
              <w:right w:val="single" w:color="auto" w:sz="4" w:space="0"/>
            </w:tcBorders>
            <w:vAlign w:val="center"/>
          </w:tcPr>
          <w:p w14:paraId="52228E33">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5757" w:type="dxa"/>
            <w:tcBorders>
              <w:top w:val="single" w:color="auto" w:sz="6" w:space="0"/>
              <w:left w:val="single" w:color="auto" w:sz="6" w:space="0"/>
              <w:right w:val="single" w:color="auto" w:sz="6" w:space="0"/>
            </w:tcBorders>
            <w:vAlign w:val="center"/>
          </w:tcPr>
          <w:p w14:paraId="12B6096E">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sz w:val="24"/>
              </w:rPr>
              <w:t>有效业绩及承担的主要工作情况，曾担任项目经理的项目应列明细</w:t>
            </w:r>
          </w:p>
        </w:tc>
      </w:tr>
      <w:tr w14:paraId="40BA1994">
        <w:tblPrEx>
          <w:tblCellMar>
            <w:top w:w="0" w:type="dxa"/>
            <w:left w:w="108" w:type="dxa"/>
            <w:bottom w:w="0" w:type="dxa"/>
            <w:right w:w="108" w:type="dxa"/>
          </w:tblCellMar>
        </w:tblPrEx>
        <w:trPr>
          <w:cantSplit/>
          <w:trHeight w:val="470" w:hRule="atLeast"/>
        </w:trPr>
        <w:tc>
          <w:tcPr>
            <w:tcW w:w="2282" w:type="dxa"/>
            <w:tcBorders>
              <w:top w:val="single" w:color="auto" w:sz="6" w:space="0"/>
              <w:left w:val="single" w:color="auto" w:sz="6" w:space="0"/>
              <w:bottom w:val="single" w:color="auto" w:sz="6" w:space="0"/>
              <w:right w:val="single" w:color="auto" w:sz="6" w:space="0"/>
            </w:tcBorders>
            <w:shd w:val="clear" w:color="auto" w:fill="auto"/>
            <w:vAlign w:val="center"/>
          </w:tcPr>
          <w:p w14:paraId="17CD8CA5">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1425" w:type="dxa"/>
            <w:tcBorders>
              <w:top w:val="single" w:color="auto" w:sz="6" w:space="0"/>
              <w:left w:val="single" w:color="auto" w:sz="6" w:space="0"/>
              <w:bottom w:val="single" w:color="auto" w:sz="6" w:space="0"/>
              <w:right w:val="single" w:color="auto" w:sz="4" w:space="0"/>
            </w:tcBorders>
            <w:vAlign w:val="center"/>
          </w:tcPr>
          <w:p w14:paraId="439953E8">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5757" w:type="dxa"/>
            <w:vMerge w:val="restart"/>
            <w:tcBorders>
              <w:top w:val="single" w:color="auto" w:sz="6" w:space="0"/>
              <w:left w:val="single" w:color="auto" w:sz="6" w:space="0"/>
              <w:right w:val="single" w:color="auto" w:sz="6" w:space="0"/>
            </w:tcBorders>
            <w:vAlign w:val="center"/>
          </w:tcPr>
          <w:p w14:paraId="6C34CD6F">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r>
      <w:tr w14:paraId="0CAE8986">
        <w:tblPrEx>
          <w:tblCellMar>
            <w:top w:w="0" w:type="dxa"/>
            <w:left w:w="108" w:type="dxa"/>
            <w:bottom w:w="0" w:type="dxa"/>
            <w:right w:w="108" w:type="dxa"/>
          </w:tblCellMar>
        </w:tblPrEx>
        <w:trPr>
          <w:cantSplit/>
          <w:trHeight w:val="470" w:hRule="atLeast"/>
        </w:trPr>
        <w:tc>
          <w:tcPr>
            <w:tcW w:w="2282" w:type="dxa"/>
            <w:tcBorders>
              <w:top w:val="single" w:color="auto" w:sz="6" w:space="0"/>
              <w:left w:val="single" w:color="auto" w:sz="6" w:space="0"/>
              <w:bottom w:val="single" w:color="auto" w:sz="6" w:space="0"/>
              <w:right w:val="single" w:color="auto" w:sz="6" w:space="0"/>
            </w:tcBorders>
            <w:shd w:val="clear" w:color="auto" w:fill="auto"/>
            <w:vAlign w:val="center"/>
          </w:tcPr>
          <w:p w14:paraId="3E741F27">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1425" w:type="dxa"/>
            <w:tcBorders>
              <w:top w:val="single" w:color="auto" w:sz="6" w:space="0"/>
              <w:left w:val="single" w:color="auto" w:sz="6" w:space="0"/>
              <w:bottom w:val="single" w:color="auto" w:sz="6" w:space="0"/>
              <w:right w:val="single" w:color="auto" w:sz="4" w:space="0"/>
            </w:tcBorders>
            <w:vAlign w:val="center"/>
          </w:tcPr>
          <w:p w14:paraId="07DBF396">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5757" w:type="dxa"/>
            <w:vMerge w:val="continue"/>
            <w:tcBorders>
              <w:top w:val="single" w:color="auto" w:sz="6" w:space="0"/>
              <w:left w:val="single" w:color="auto" w:sz="6" w:space="0"/>
              <w:bottom w:val="single" w:color="auto" w:sz="6" w:space="0"/>
              <w:right w:val="single" w:color="auto" w:sz="6" w:space="0"/>
            </w:tcBorders>
            <w:vAlign w:val="center"/>
          </w:tcPr>
          <w:p w14:paraId="1C1C81DC">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r>
      <w:tr w14:paraId="66DF5281">
        <w:tblPrEx>
          <w:tblCellMar>
            <w:top w:w="0" w:type="dxa"/>
            <w:left w:w="108" w:type="dxa"/>
            <w:bottom w:w="0" w:type="dxa"/>
            <w:right w:w="108" w:type="dxa"/>
          </w:tblCellMar>
        </w:tblPrEx>
        <w:trPr>
          <w:cantSplit/>
          <w:trHeight w:val="470" w:hRule="atLeast"/>
        </w:trPr>
        <w:tc>
          <w:tcPr>
            <w:tcW w:w="2282" w:type="dxa"/>
            <w:tcBorders>
              <w:top w:val="single" w:color="auto" w:sz="6" w:space="0"/>
              <w:left w:val="single" w:color="auto" w:sz="6" w:space="0"/>
              <w:bottom w:val="single" w:color="auto" w:sz="6" w:space="0"/>
              <w:right w:val="single" w:color="auto" w:sz="6" w:space="0"/>
            </w:tcBorders>
            <w:vAlign w:val="center"/>
          </w:tcPr>
          <w:p w14:paraId="1EDEA0CA">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w:t>
            </w:r>
          </w:p>
        </w:tc>
        <w:tc>
          <w:tcPr>
            <w:tcW w:w="1425" w:type="dxa"/>
            <w:tcBorders>
              <w:top w:val="single" w:color="auto" w:sz="6" w:space="0"/>
              <w:left w:val="single" w:color="auto" w:sz="6" w:space="0"/>
              <w:bottom w:val="single" w:color="auto" w:sz="6" w:space="0"/>
              <w:right w:val="single" w:color="auto" w:sz="4" w:space="0"/>
            </w:tcBorders>
            <w:vAlign w:val="center"/>
          </w:tcPr>
          <w:p w14:paraId="5DCB2751">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5757" w:type="dxa"/>
            <w:vMerge w:val="continue"/>
            <w:tcBorders>
              <w:top w:val="single" w:color="auto" w:sz="6" w:space="0"/>
              <w:left w:val="single" w:color="auto" w:sz="6" w:space="0"/>
              <w:bottom w:val="single" w:color="auto" w:sz="6" w:space="0"/>
              <w:right w:val="single" w:color="auto" w:sz="6" w:space="0"/>
            </w:tcBorders>
            <w:vAlign w:val="center"/>
          </w:tcPr>
          <w:p w14:paraId="55B048A2">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r>
      <w:tr w14:paraId="5DCC138A">
        <w:tblPrEx>
          <w:tblCellMar>
            <w:top w:w="0" w:type="dxa"/>
            <w:left w:w="108" w:type="dxa"/>
            <w:bottom w:w="0" w:type="dxa"/>
            <w:right w:w="108" w:type="dxa"/>
          </w:tblCellMar>
        </w:tblPrEx>
        <w:trPr>
          <w:cantSplit/>
          <w:trHeight w:val="470" w:hRule="atLeast"/>
        </w:trPr>
        <w:tc>
          <w:tcPr>
            <w:tcW w:w="2282" w:type="dxa"/>
            <w:tcBorders>
              <w:top w:val="single" w:color="auto" w:sz="6" w:space="0"/>
              <w:left w:val="single" w:color="auto" w:sz="6" w:space="0"/>
              <w:bottom w:val="single" w:color="auto" w:sz="6" w:space="0"/>
              <w:right w:val="single" w:color="auto" w:sz="6" w:space="0"/>
            </w:tcBorders>
            <w:vAlign w:val="center"/>
          </w:tcPr>
          <w:p w14:paraId="206D0F08">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毕业时间</w:t>
            </w:r>
          </w:p>
        </w:tc>
        <w:tc>
          <w:tcPr>
            <w:tcW w:w="1425" w:type="dxa"/>
            <w:tcBorders>
              <w:top w:val="single" w:color="auto" w:sz="6" w:space="0"/>
              <w:left w:val="single" w:color="auto" w:sz="6" w:space="0"/>
              <w:bottom w:val="single" w:color="auto" w:sz="6" w:space="0"/>
              <w:right w:val="single" w:color="auto" w:sz="4" w:space="0"/>
            </w:tcBorders>
            <w:vAlign w:val="center"/>
          </w:tcPr>
          <w:p w14:paraId="12E67C87">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5757" w:type="dxa"/>
            <w:vMerge w:val="continue"/>
            <w:tcBorders>
              <w:top w:val="single" w:color="auto" w:sz="6" w:space="0"/>
              <w:left w:val="single" w:color="auto" w:sz="6" w:space="0"/>
              <w:bottom w:val="single" w:color="auto" w:sz="6" w:space="0"/>
              <w:right w:val="single" w:color="auto" w:sz="6" w:space="0"/>
            </w:tcBorders>
            <w:vAlign w:val="center"/>
          </w:tcPr>
          <w:p w14:paraId="2F43F99F">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r>
      <w:tr w14:paraId="31DF6B55">
        <w:tblPrEx>
          <w:tblCellMar>
            <w:top w:w="0" w:type="dxa"/>
            <w:left w:w="108" w:type="dxa"/>
            <w:bottom w:w="0" w:type="dxa"/>
            <w:right w:w="108" w:type="dxa"/>
          </w:tblCellMar>
        </w:tblPrEx>
        <w:trPr>
          <w:cantSplit/>
          <w:trHeight w:val="470" w:hRule="atLeast"/>
        </w:trPr>
        <w:tc>
          <w:tcPr>
            <w:tcW w:w="2282" w:type="dxa"/>
            <w:tcBorders>
              <w:top w:val="single" w:color="auto" w:sz="6" w:space="0"/>
              <w:left w:val="single" w:color="auto" w:sz="6" w:space="0"/>
              <w:bottom w:val="single" w:color="auto" w:sz="6" w:space="0"/>
              <w:right w:val="single" w:color="auto" w:sz="6" w:space="0"/>
            </w:tcBorders>
            <w:vAlign w:val="center"/>
          </w:tcPr>
          <w:p w14:paraId="7916799C">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所学专业</w:t>
            </w:r>
          </w:p>
        </w:tc>
        <w:tc>
          <w:tcPr>
            <w:tcW w:w="1425" w:type="dxa"/>
            <w:tcBorders>
              <w:top w:val="single" w:color="auto" w:sz="6" w:space="0"/>
              <w:left w:val="single" w:color="auto" w:sz="6" w:space="0"/>
              <w:bottom w:val="single" w:color="auto" w:sz="6" w:space="0"/>
              <w:right w:val="single" w:color="auto" w:sz="4" w:space="0"/>
            </w:tcBorders>
            <w:vAlign w:val="center"/>
          </w:tcPr>
          <w:p w14:paraId="6E4445C3">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5757" w:type="dxa"/>
            <w:vMerge w:val="continue"/>
            <w:tcBorders>
              <w:top w:val="single" w:color="auto" w:sz="6" w:space="0"/>
              <w:left w:val="single" w:color="auto" w:sz="6" w:space="0"/>
              <w:bottom w:val="single" w:color="auto" w:sz="6" w:space="0"/>
              <w:right w:val="single" w:color="auto" w:sz="6" w:space="0"/>
            </w:tcBorders>
            <w:vAlign w:val="center"/>
          </w:tcPr>
          <w:p w14:paraId="4C353FDA">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r>
      <w:tr w14:paraId="3BD8E148">
        <w:tblPrEx>
          <w:tblCellMar>
            <w:top w:w="0" w:type="dxa"/>
            <w:left w:w="108" w:type="dxa"/>
            <w:bottom w:w="0" w:type="dxa"/>
            <w:right w:w="108" w:type="dxa"/>
          </w:tblCellMar>
        </w:tblPrEx>
        <w:trPr>
          <w:cantSplit/>
          <w:trHeight w:val="470" w:hRule="atLeast"/>
        </w:trPr>
        <w:tc>
          <w:tcPr>
            <w:tcW w:w="2282" w:type="dxa"/>
            <w:tcBorders>
              <w:top w:val="single" w:color="auto" w:sz="6" w:space="0"/>
              <w:left w:val="single" w:color="auto" w:sz="6" w:space="0"/>
              <w:bottom w:val="single" w:color="auto" w:sz="6" w:space="0"/>
              <w:right w:val="single" w:color="auto" w:sz="6" w:space="0"/>
            </w:tcBorders>
            <w:vAlign w:val="center"/>
          </w:tcPr>
          <w:p w14:paraId="63256D40">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1425" w:type="dxa"/>
            <w:tcBorders>
              <w:top w:val="single" w:color="auto" w:sz="6" w:space="0"/>
              <w:left w:val="single" w:color="auto" w:sz="6" w:space="0"/>
              <w:bottom w:val="single" w:color="auto" w:sz="6" w:space="0"/>
              <w:right w:val="single" w:color="auto" w:sz="4" w:space="0"/>
            </w:tcBorders>
            <w:vAlign w:val="center"/>
          </w:tcPr>
          <w:p w14:paraId="2DDD1421">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5757" w:type="dxa"/>
            <w:vMerge w:val="continue"/>
            <w:tcBorders>
              <w:top w:val="single" w:color="auto" w:sz="6" w:space="0"/>
              <w:left w:val="single" w:color="auto" w:sz="6" w:space="0"/>
              <w:bottom w:val="single" w:color="auto" w:sz="6" w:space="0"/>
              <w:right w:val="single" w:color="auto" w:sz="6" w:space="0"/>
            </w:tcBorders>
            <w:vAlign w:val="center"/>
          </w:tcPr>
          <w:p w14:paraId="155A14B3">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r>
      <w:tr w14:paraId="3D6B4930">
        <w:tblPrEx>
          <w:tblCellMar>
            <w:top w:w="0" w:type="dxa"/>
            <w:left w:w="108" w:type="dxa"/>
            <w:bottom w:w="0" w:type="dxa"/>
            <w:right w:w="108" w:type="dxa"/>
          </w:tblCellMar>
        </w:tblPrEx>
        <w:trPr>
          <w:cantSplit/>
          <w:trHeight w:val="484" w:hRule="atLeast"/>
        </w:trPr>
        <w:tc>
          <w:tcPr>
            <w:tcW w:w="2282" w:type="dxa"/>
            <w:tcBorders>
              <w:top w:val="single" w:color="auto" w:sz="6" w:space="0"/>
              <w:left w:val="single" w:color="auto" w:sz="6" w:space="0"/>
              <w:bottom w:val="single" w:color="auto" w:sz="6" w:space="0"/>
              <w:right w:val="single" w:color="auto" w:sz="6" w:space="0"/>
            </w:tcBorders>
            <w:vAlign w:val="center"/>
          </w:tcPr>
          <w:p w14:paraId="0A476139">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tc>
        <w:tc>
          <w:tcPr>
            <w:tcW w:w="1425" w:type="dxa"/>
            <w:tcBorders>
              <w:top w:val="single" w:color="auto" w:sz="6" w:space="0"/>
              <w:left w:val="single" w:color="auto" w:sz="6" w:space="0"/>
              <w:bottom w:val="single" w:color="auto" w:sz="6" w:space="0"/>
              <w:right w:val="single" w:color="auto" w:sz="4" w:space="0"/>
            </w:tcBorders>
            <w:vAlign w:val="center"/>
          </w:tcPr>
          <w:p w14:paraId="6F6987EB">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5757" w:type="dxa"/>
            <w:vMerge w:val="continue"/>
            <w:tcBorders>
              <w:top w:val="single" w:color="auto" w:sz="6" w:space="0"/>
              <w:left w:val="single" w:color="auto" w:sz="6" w:space="0"/>
              <w:bottom w:val="single" w:color="auto" w:sz="6" w:space="0"/>
              <w:right w:val="single" w:color="auto" w:sz="6" w:space="0"/>
            </w:tcBorders>
            <w:vAlign w:val="center"/>
          </w:tcPr>
          <w:p w14:paraId="3E9035C3">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r>
    </w:tbl>
    <w:p w14:paraId="57E39DFD">
      <w:pPr>
        <w:autoSpaceDE w:val="0"/>
        <w:autoSpaceDN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注：须随表提交相应的证书及证明材料等扫描件。</w:t>
      </w:r>
    </w:p>
    <w:p w14:paraId="5230CDCC">
      <w:pPr>
        <w:autoSpaceDE w:val="0"/>
        <w:autoSpaceDN w:val="0"/>
        <w:spacing w:line="360" w:lineRule="auto"/>
        <w:rPr>
          <w:rFonts w:hint="eastAsia" w:ascii="宋体" w:hAnsi="宋体" w:cs="宋体"/>
          <w:b/>
          <w:color w:val="000000" w:themeColor="text1"/>
          <w:sz w:val="24"/>
          <w14:textFill>
            <w14:solidFill>
              <w14:schemeClr w14:val="tx1"/>
            </w14:solidFill>
          </w14:textFill>
        </w:rPr>
      </w:pPr>
    </w:p>
    <w:p w14:paraId="3553F19D">
      <w:pPr>
        <w:autoSpaceDE w:val="0"/>
        <w:autoSpaceDN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附表B:本项目的项目小组人员情况表</w:t>
      </w:r>
      <w:r>
        <w:rPr>
          <w:rFonts w:hint="eastAsia" w:ascii="宋体" w:hAnsi="宋体" w:cs="宋体"/>
          <w:color w:val="000000" w:themeColor="text1"/>
          <w:sz w:val="24"/>
          <w14:textFill>
            <w14:solidFill>
              <w14:schemeClr w14:val="tx1"/>
            </w14:solidFill>
          </w14:textFill>
        </w:rPr>
        <w:t>（按此格式自制）</w:t>
      </w:r>
    </w:p>
    <w:tbl>
      <w:tblPr>
        <w:tblStyle w:val="26"/>
        <w:tblW w:w="9294" w:type="dxa"/>
        <w:tblInd w:w="108" w:type="dxa"/>
        <w:tblLayout w:type="fixed"/>
        <w:tblCellMar>
          <w:top w:w="0" w:type="dxa"/>
          <w:left w:w="108" w:type="dxa"/>
          <w:bottom w:w="0" w:type="dxa"/>
          <w:right w:w="108" w:type="dxa"/>
        </w:tblCellMar>
      </w:tblPr>
      <w:tblGrid>
        <w:gridCol w:w="698"/>
        <w:gridCol w:w="1310"/>
        <w:gridCol w:w="684"/>
        <w:gridCol w:w="974"/>
        <w:gridCol w:w="1725"/>
        <w:gridCol w:w="1801"/>
        <w:gridCol w:w="2102"/>
      </w:tblGrid>
      <w:tr w14:paraId="5E85591B">
        <w:tblPrEx>
          <w:tblCellMar>
            <w:top w:w="0" w:type="dxa"/>
            <w:left w:w="108" w:type="dxa"/>
            <w:bottom w:w="0" w:type="dxa"/>
            <w:right w:w="108" w:type="dxa"/>
          </w:tblCellMar>
        </w:tblPrEx>
        <w:trPr>
          <w:trHeight w:val="512" w:hRule="atLeast"/>
        </w:trPr>
        <w:tc>
          <w:tcPr>
            <w:tcW w:w="698" w:type="dxa"/>
            <w:tcBorders>
              <w:top w:val="single" w:color="auto" w:sz="6" w:space="0"/>
              <w:left w:val="single" w:color="auto" w:sz="6" w:space="0"/>
              <w:bottom w:val="single" w:color="auto" w:sz="6" w:space="0"/>
              <w:right w:val="single" w:color="auto" w:sz="6" w:space="0"/>
            </w:tcBorders>
            <w:vAlign w:val="center"/>
          </w:tcPr>
          <w:p w14:paraId="7068DA17">
            <w:pPr>
              <w:autoSpaceDE w:val="0"/>
              <w:autoSpaceDN w:val="0"/>
              <w:spacing w:line="360" w:lineRule="auto"/>
              <w:jc w:val="center"/>
              <w:rPr>
                <w:rFonts w:hint="eastAsia"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序号</w:t>
            </w:r>
          </w:p>
        </w:tc>
        <w:tc>
          <w:tcPr>
            <w:tcW w:w="1310" w:type="dxa"/>
            <w:tcBorders>
              <w:top w:val="single" w:color="auto" w:sz="6" w:space="0"/>
              <w:left w:val="single" w:color="auto" w:sz="6" w:space="0"/>
              <w:bottom w:val="single" w:color="auto" w:sz="6" w:space="0"/>
              <w:right w:val="single" w:color="auto" w:sz="6" w:space="0"/>
            </w:tcBorders>
            <w:vAlign w:val="center"/>
          </w:tcPr>
          <w:p w14:paraId="01839E31">
            <w:pPr>
              <w:autoSpaceDE w:val="0"/>
              <w:autoSpaceDN w:val="0"/>
              <w:spacing w:line="360" w:lineRule="auto"/>
              <w:jc w:val="center"/>
              <w:rPr>
                <w:rFonts w:hint="eastAsia"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姓名</w:t>
            </w:r>
          </w:p>
        </w:tc>
        <w:tc>
          <w:tcPr>
            <w:tcW w:w="684" w:type="dxa"/>
            <w:tcBorders>
              <w:top w:val="single" w:color="auto" w:sz="6" w:space="0"/>
              <w:left w:val="single" w:color="auto" w:sz="6" w:space="0"/>
              <w:bottom w:val="single" w:color="auto" w:sz="6" w:space="0"/>
              <w:right w:val="single" w:color="auto" w:sz="6" w:space="0"/>
            </w:tcBorders>
            <w:vAlign w:val="center"/>
          </w:tcPr>
          <w:p w14:paraId="31587EC4">
            <w:pPr>
              <w:autoSpaceDE w:val="0"/>
              <w:autoSpaceDN w:val="0"/>
              <w:spacing w:line="360" w:lineRule="auto"/>
              <w:jc w:val="center"/>
              <w:rPr>
                <w:rFonts w:hint="eastAsia"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性别</w:t>
            </w:r>
          </w:p>
        </w:tc>
        <w:tc>
          <w:tcPr>
            <w:tcW w:w="974" w:type="dxa"/>
            <w:tcBorders>
              <w:top w:val="single" w:color="auto" w:sz="6" w:space="0"/>
              <w:left w:val="single" w:color="auto" w:sz="6" w:space="0"/>
              <w:bottom w:val="single" w:color="auto" w:sz="6" w:space="0"/>
              <w:right w:val="single" w:color="auto" w:sz="6" w:space="0"/>
            </w:tcBorders>
            <w:vAlign w:val="center"/>
          </w:tcPr>
          <w:p w14:paraId="2B03EB30">
            <w:pPr>
              <w:autoSpaceDE w:val="0"/>
              <w:autoSpaceDN w:val="0"/>
              <w:spacing w:line="360" w:lineRule="auto"/>
              <w:jc w:val="center"/>
              <w:rPr>
                <w:rFonts w:hint="eastAsia"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年龄</w:t>
            </w:r>
          </w:p>
        </w:tc>
        <w:tc>
          <w:tcPr>
            <w:tcW w:w="1725" w:type="dxa"/>
            <w:tcBorders>
              <w:top w:val="single" w:color="auto" w:sz="6" w:space="0"/>
              <w:left w:val="single" w:color="auto" w:sz="6" w:space="0"/>
              <w:bottom w:val="single" w:color="auto" w:sz="6" w:space="0"/>
              <w:right w:val="single" w:color="auto" w:sz="6" w:space="0"/>
            </w:tcBorders>
            <w:vAlign w:val="center"/>
          </w:tcPr>
          <w:p w14:paraId="6A4D8AA2">
            <w:pPr>
              <w:autoSpaceDE w:val="0"/>
              <w:autoSpaceDN w:val="0"/>
              <w:spacing w:line="360" w:lineRule="auto"/>
              <w:jc w:val="center"/>
              <w:rPr>
                <w:rFonts w:hint="eastAsia"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学历</w:t>
            </w:r>
          </w:p>
        </w:tc>
        <w:tc>
          <w:tcPr>
            <w:tcW w:w="1801" w:type="dxa"/>
            <w:tcBorders>
              <w:top w:val="single" w:color="auto" w:sz="6" w:space="0"/>
              <w:left w:val="single" w:color="auto" w:sz="6" w:space="0"/>
              <w:bottom w:val="single" w:color="auto" w:sz="6" w:space="0"/>
              <w:right w:val="single" w:color="auto" w:sz="6" w:space="0"/>
            </w:tcBorders>
            <w:vAlign w:val="center"/>
          </w:tcPr>
          <w:p w14:paraId="26D6AA16">
            <w:pPr>
              <w:autoSpaceDE w:val="0"/>
              <w:autoSpaceDN w:val="0"/>
              <w:spacing w:line="360" w:lineRule="auto"/>
              <w:jc w:val="center"/>
              <w:rPr>
                <w:rFonts w:hint="eastAsia"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专业</w:t>
            </w:r>
          </w:p>
        </w:tc>
        <w:tc>
          <w:tcPr>
            <w:tcW w:w="2102" w:type="dxa"/>
            <w:tcBorders>
              <w:top w:val="single" w:color="auto" w:sz="6" w:space="0"/>
              <w:left w:val="single" w:color="auto" w:sz="6" w:space="0"/>
              <w:bottom w:val="single" w:color="auto" w:sz="6" w:space="0"/>
              <w:right w:val="single" w:color="auto" w:sz="6" w:space="0"/>
            </w:tcBorders>
            <w:vAlign w:val="center"/>
          </w:tcPr>
          <w:p w14:paraId="7BDF49B5">
            <w:pPr>
              <w:autoSpaceDE w:val="0"/>
              <w:autoSpaceDN w:val="0"/>
              <w:spacing w:line="360" w:lineRule="auto"/>
              <w:jc w:val="center"/>
              <w:rPr>
                <w:rFonts w:hint="eastAsia"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本项目中的职责</w:t>
            </w:r>
          </w:p>
        </w:tc>
      </w:tr>
      <w:tr w14:paraId="471BCA51">
        <w:tblPrEx>
          <w:tblCellMar>
            <w:top w:w="0" w:type="dxa"/>
            <w:left w:w="108" w:type="dxa"/>
            <w:bottom w:w="0" w:type="dxa"/>
            <w:right w:w="108" w:type="dxa"/>
          </w:tblCellMar>
        </w:tblPrEx>
        <w:trPr>
          <w:trHeight w:val="954" w:hRule="atLeast"/>
        </w:trPr>
        <w:tc>
          <w:tcPr>
            <w:tcW w:w="698" w:type="dxa"/>
            <w:tcBorders>
              <w:top w:val="single" w:color="auto" w:sz="6" w:space="0"/>
              <w:left w:val="single" w:color="auto" w:sz="6" w:space="0"/>
              <w:bottom w:val="single" w:color="auto" w:sz="6" w:space="0"/>
              <w:right w:val="single" w:color="auto" w:sz="6" w:space="0"/>
            </w:tcBorders>
            <w:vAlign w:val="center"/>
          </w:tcPr>
          <w:p w14:paraId="3CB83973">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1310" w:type="dxa"/>
            <w:tcBorders>
              <w:top w:val="single" w:color="auto" w:sz="6" w:space="0"/>
              <w:left w:val="single" w:color="auto" w:sz="6" w:space="0"/>
              <w:bottom w:val="single" w:color="auto" w:sz="6" w:space="0"/>
              <w:right w:val="single" w:color="auto" w:sz="6" w:space="0"/>
            </w:tcBorders>
            <w:vAlign w:val="center"/>
          </w:tcPr>
          <w:p w14:paraId="0280C60D">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684" w:type="dxa"/>
            <w:tcBorders>
              <w:top w:val="single" w:color="auto" w:sz="6" w:space="0"/>
              <w:left w:val="single" w:color="auto" w:sz="6" w:space="0"/>
              <w:bottom w:val="single" w:color="auto" w:sz="6" w:space="0"/>
              <w:right w:val="single" w:color="auto" w:sz="6" w:space="0"/>
            </w:tcBorders>
            <w:vAlign w:val="center"/>
          </w:tcPr>
          <w:p w14:paraId="213A88F6">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974" w:type="dxa"/>
            <w:tcBorders>
              <w:top w:val="single" w:color="auto" w:sz="6" w:space="0"/>
              <w:left w:val="single" w:color="auto" w:sz="6" w:space="0"/>
              <w:bottom w:val="single" w:color="auto" w:sz="6" w:space="0"/>
              <w:right w:val="single" w:color="auto" w:sz="6" w:space="0"/>
            </w:tcBorders>
            <w:vAlign w:val="center"/>
          </w:tcPr>
          <w:p w14:paraId="5DA50D99">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1725" w:type="dxa"/>
            <w:tcBorders>
              <w:top w:val="single" w:color="auto" w:sz="6" w:space="0"/>
              <w:left w:val="single" w:color="auto" w:sz="6" w:space="0"/>
              <w:bottom w:val="single" w:color="auto" w:sz="6" w:space="0"/>
              <w:right w:val="single" w:color="auto" w:sz="6" w:space="0"/>
            </w:tcBorders>
            <w:vAlign w:val="center"/>
          </w:tcPr>
          <w:p w14:paraId="20079B53">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1801" w:type="dxa"/>
            <w:tcBorders>
              <w:top w:val="single" w:color="auto" w:sz="6" w:space="0"/>
              <w:left w:val="single" w:color="auto" w:sz="6" w:space="0"/>
              <w:bottom w:val="single" w:color="auto" w:sz="6" w:space="0"/>
              <w:right w:val="single" w:color="auto" w:sz="6" w:space="0"/>
            </w:tcBorders>
            <w:vAlign w:val="center"/>
          </w:tcPr>
          <w:p w14:paraId="5EDE727A">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2102" w:type="dxa"/>
            <w:tcBorders>
              <w:top w:val="single" w:color="auto" w:sz="6" w:space="0"/>
              <w:left w:val="single" w:color="auto" w:sz="6" w:space="0"/>
              <w:bottom w:val="single" w:color="auto" w:sz="6" w:space="0"/>
              <w:right w:val="single" w:color="auto" w:sz="6" w:space="0"/>
            </w:tcBorders>
            <w:vAlign w:val="center"/>
          </w:tcPr>
          <w:p w14:paraId="5BAF9680">
            <w:pPr>
              <w:autoSpaceDE w:val="0"/>
              <w:autoSpaceDN w:val="0"/>
              <w:spacing w:line="360" w:lineRule="auto"/>
              <w:rPr>
                <w:rFonts w:hint="eastAsia" w:ascii="宋体" w:hAnsi="宋体" w:cs="宋体"/>
                <w:color w:val="000000" w:themeColor="text1"/>
                <w:sz w:val="24"/>
                <w14:textFill>
                  <w14:solidFill>
                    <w14:schemeClr w14:val="tx1"/>
                  </w14:solidFill>
                </w14:textFill>
              </w:rPr>
            </w:pPr>
          </w:p>
        </w:tc>
      </w:tr>
      <w:tr w14:paraId="670684BB">
        <w:tblPrEx>
          <w:tblCellMar>
            <w:top w:w="0" w:type="dxa"/>
            <w:left w:w="108" w:type="dxa"/>
            <w:bottom w:w="0" w:type="dxa"/>
            <w:right w:w="108" w:type="dxa"/>
          </w:tblCellMar>
        </w:tblPrEx>
        <w:trPr>
          <w:trHeight w:val="954" w:hRule="atLeast"/>
        </w:trPr>
        <w:tc>
          <w:tcPr>
            <w:tcW w:w="698" w:type="dxa"/>
            <w:tcBorders>
              <w:top w:val="single" w:color="auto" w:sz="6" w:space="0"/>
              <w:left w:val="single" w:color="auto" w:sz="6" w:space="0"/>
              <w:bottom w:val="single" w:color="auto" w:sz="6" w:space="0"/>
              <w:right w:val="single" w:color="auto" w:sz="6" w:space="0"/>
            </w:tcBorders>
            <w:vAlign w:val="center"/>
          </w:tcPr>
          <w:p w14:paraId="0EE9E4CB">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1310" w:type="dxa"/>
            <w:tcBorders>
              <w:top w:val="single" w:color="auto" w:sz="6" w:space="0"/>
              <w:left w:val="single" w:color="auto" w:sz="6" w:space="0"/>
              <w:bottom w:val="single" w:color="auto" w:sz="6" w:space="0"/>
              <w:right w:val="single" w:color="auto" w:sz="6" w:space="0"/>
            </w:tcBorders>
            <w:vAlign w:val="center"/>
          </w:tcPr>
          <w:p w14:paraId="3DFAE97B">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684" w:type="dxa"/>
            <w:tcBorders>
              <w:top w:val="single" w:color="auto" w:sz="6" w:space="0"/>
              <w:left w:val="single" w:color="auto" w:sz="6" w:space="0"/>
              <w:bottom w:val="single" w:color="auto" w:sz="6" w:space="0"/>
              <w:right w:val="single" w:color="auto" w:sz="6" w:space="0"/>
            </w:tcBorders>
            <w:vAlign w:val="center"/>
          </w:tcPr>
          <w:p w14:paraId="5DDBF431">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974" w:type="dxa"/>
            <w:tcBorders>
              <w:top w:val="single" w:color="auto" w:sz="6" w:space="0"/>
              <w:left w:val="single" w:color="auto" w:sz="6" w:space="0"/>
              <w:bottom w:val="single" w:color="auto" w:sz="6" w:space="0"/>
              <w:right w:val="single" w:color="auto" w:sz="6" w:space="0"/>
            </w:tcBorders>
            <w:vAlign w:val="center"/>
          </w:tcPr>
          <w:p w14:paraId="5A33D3D7">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1725" w:type="dxa"/>
            <w:tcBorders>
              <w:top w:val="single" w:color="auto" w:sz="6" w:space="0"/>
              <w:left w:val="single" w:color="auto" w:sz="6" w:space="0"/>
              <w:bottom w:val="single" w:color="auto" w:sz="6" w:space="0"/>
              <w:right w:val="single" w:color="auto" w:sz="6" w:space="0"/>
            </w:tcBorders>
            <w:vAlign w:val="center"/>
          </w:tcPr>
          <w:p w14:paraId="1152C95B">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1801" w:type="dxa"/>
            <w:tcBorders>
              <w:top w:val="single" w:color="auto" w:sz="6" w:space="0"/>
              <w:left w:val="single" w:color="auto" w:sz="6" w:space="0"/>
              <w:bottom w:val="single" w:color="auto" w:sz="6" w:space="0"/>
              <w:right w:val="single" w:color="auto" w:sz="6" w:space="0"/>
            </w:tcBorders>
            <w:vAlign w:val="center"/>
          </w:tcPr>
          <w:p w14:paraId="30037144">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2102" w:type="dxa"/>
            <w:tcBorders>
              <w:top w:val="single" w:color="auto" w:sz="6" w:space="0"/>
              <w:left w:val="single" w:color="auto" w:sz="6" w:space="0"/>
              <w:bottom w:val="single" w:color="auto" w:sz="6" w:space="0"/>
              <w:right w:val="single" w:color="auto" w:sz="6" w:space="0"/>
            </w:tcBorders>
            <w:vAlign w:val="center"/>
          </w:tcPr>
          <w:p w14:paraId="0F1D02F1">
            <w:pPr>
              <w:autoSpaceDE w:val="0"/>
              <w:autoSpaceDN w:val="0"/>
              <w:spacing w:line="360" w:lineRule="auto"/>
              <w:rPr>
                <w:rFonts w:hint="eastAsia" w:ascii="宋体" w:hAnsi="宋体" w:cs="宋体"/>
                <w:color w:val="000000" w:themeColor="text1"/>
                <w:sz w:val="24"/>
                <w14:textFill>
                  <w14:solidFill>
                    <w14:schemeClr w14:val="tx1"/>
                  </w14:solidFill>
                </w14:textFill>
              </w:rPr>
            </w:pPr>
          </w:p>
        </w:tc>
      </w:tr>
      <w:tr w14:paraId="35E89BED">
        <w:tblPrEx>
          <w:tblCellMar>
            <w:top w:w="0" w:type="dxa"/>
            <w:left w:w="108" w:type="dxa"/>
            <w:bottom w:w="0" w:type="dxa"/>
            <w:right w:w="108" w:type="dxa"/>
          </w:tblCellMar>
        </w:tblPrEx>
        <w:trPr>
          <w:trHeight w:val="944" w:hRule="atLeast"/>
        </w:trPr>
        <w:tc>
          <w:tcPr>
            <w:tcW w:w="698" w:type="dxa"/>
            <w:tcBorders>
              <w:top w:val="single" w:color="auto" w:sz="6" w:space="0"/>
              <w:left w:val="single" w:color="auto" w:sz="6" w:space="0"/>
              <w:bottom w:val="single" w:color="auto" w:sz="6" w:space="0"/>
              <w:right w:val="single" w:color="auto" w:sz="6" w:space="0"/>
            </w:tcBorders>
            <w:vAlign w:val="center"/>
          </w:tcPr>
          <w:p w14:paraId="102D6989">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1310" w:type="dxa"/>
            <w:tcBorders>
              <w:top w:val="single" w:color="auto" w:sz="6" w:space="0"/>
              <w:left w:val="single" w:color="auto" w:sz="6" w:space="0"/>
              <w:bottom w:val="single" w:color="auto" w:sz="6" w:space="0"/>
              <w:right w:val="single" w:color="auto" w:sz="6" w:space="0"/>
            </w:tcBorders>
            <w:vAlign w:val="center"/>
          </w:tcPr>
          <w:p w14:paraId="393653A8">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684" w:type="dxa"/>
            <w:tcBorders>
              <w:top w:val="single" w:color="auto" w:sz="6" w:space="0"/>
              <w:left w:val="single" w:color="auto" w:sz="6" w:space="0"/>
              <w:bottom w:val="single" w:color="auto" w:sz="6" w:space="0"/>
              <w:right w:val="single" w:color="auto" w:sz="6" w:space="0"/>
            </w:tcBorders>
            <w:vAlign w:val="center"/>
          </w:tcPr>
          <w:p w14:paraId="74343848">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974" w:type="dxa"/>
            <w:tcBorders>
              <w:top w:val="single" w:color="auto" w:sz="6" w:space="0"/>
              <w:left w:val="single" w:color="auto" w:sz="6" w:space="0"/>
              <w:bottom w:val="single" w:color="auto" w:sz="6" w:space="0"/>
              <w:right w:val="single" w:color="auto" w:sz="6" w:space="0"/>
            </w:tcBorders>
            <w:vAlign w:val="center"/>
          </w:tcPr>
          <w:p w14:paraId="126023B6">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1725" w:type="dxa"/>
            <w:tcBorders>
              <w:top w:val="single" w:color="auto" w:sz="6" w:space="0"/>
              <w:left w:val="single" w:color="auto" w:sz="6" w:space="0"/>
              <w:bottom w:val="single" w:color="auto" w:sz="6" w:space="0"/>
              <w:right w:val="single" w:color="auto" w:sz="6" w:space="0"/>
            </w:tcBorders>
            <w:vAlign w:val="center"/>
          </w:tcPr>
          <w:p w14:paraId="0D46B2D8">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1801" w:type="dxa"/>
            <w:tcBorders>
              <w:top w:val="single" w:color="auto" w:sz="6" w:space="0"/>
              <w:left w:val="single" w:color="auto" w:sz="6" w:space="0"/>
              <w:bottom w:val="single" w:color="auto" w:sz="6" w:space="0"/>
              <w:right w:val="single" w:color="auto" w:sz="6" w:space="0"/>
            </w:tcBorders>
            <w:vAlign w:val="center"/>
          </w:tcPr>
          <w:p w14:paraId="6C47C502">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2102" w:type="dxa"/>
            <w:tcBorders>
              <w:top w:val="single" w:color="auto" w:sz="6" w:space="0"/>
              <w:left w:val="single" w:color="auto" w:sz="6" w:space="0"/>
              <w:bottom w:val="single" w:color="auto" w:sz="6" w:space="0"/>
              <w:right w:val="single" w:color="auto" w:sz="6" w:space="0"/>
            </w:tcBorders>
            <w:vAlign w:val="center"/>
          </w:tcPr>
          <w:p w14:paraId="62BED4BA">
            <w:pPr>
              <w:autoSpaceDE w:val="0"/>
              <w:autoSpaceDN w:val="0"/>
              <w:spacing w:line="360" w:lineRule="auto"/>
              <w:rPr>
                <w:rFonts w:hint="eastAsia" w:ascii="宋体" w:hAnsi="宋体" w:cs="宋体"/>
                <w:color w:val="000000" w:themeColor="text1"/>
                <w:sz w:val="24"/>
                <w14:textFill>
                  <w14:solidFill>
                    <w14:schemeClr w14:val="tx1"/>
                  </w14:solidFill>
                </w14:textFill>
              </w:rPr>
            </w:pPr>
          </w:p>
        </w:tc>
      </w:tr>
    </w:tbl>
    <w:p w14:paraId="37B2ACF0">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注：投标人可按上述的格式自行编制，须随表提交相应的证书复印件。</w:t>
      </w:r>
    </w:p>
    <w:p w14:paraId="5CA144DC">
      <w:pPr>
        <w:spacing w:line="360" w:lineRule="auto"/>
        <w:ind w:firstLine="480" w:firstLineChars="200"/>
        <w:rPr>
          <w:rFonts w:hint="eastAsia" w:ascii="宋体" w:hAnsi="宋体" w:cs="宋体"/>
          <w:color w:val="000000" w:themeColor="text1"/>
          <w:sz w:val="24"/>
          <w:szCs w:val="20"/>
          <w14:textFill>
            <w14:solidFill>
              <w14:schemeClr w14:val="tx1"/>
            </w14:solidFill>
          </w14:textFill>
        </w:rPr>
      </w:pPr>
    </w:p>
    <w:p w14:paraId="31DB8550">
      <w:pPr>
        <w:spacing w:line="336" w:lineRule="auto"/>
        <w:ind w:firstLine="6240" w:firstLineChars="26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投标人名称（电子签名）：</w:t>
      </w:r>
    </w:p>
    <w:p w14:paraId="4D961C4A">
      <w:pPr>
        <w:spacing w:line="336"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12C80EA3">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1FE64F32">
      <w:pPr>
        <w:pStyle w:val="64"/>
        <w:spacing w:line="480" w:lineRule="auto"/>
        <w:ind w:firstLine="0"/>
        <w:rPr>
          <w:rFonts w:hint="eastAsia" w:ascii="宋体" w:hAnsi="宋体" w:cs="宋体"/>
          <w:b/>
          <w:sz w:val="24"/>
          <w:szCs w:val="24"/>
        </w:rPr>
      </w:pPr>
      <w:r>
        <w:rPr>
          <w:rFonts w:hint="eastAsia" w:ascii="宋体" w:hAnsi="宋体" w:cs="宋体"/>
          <w:b/>
          <w:sz w:val="24"/>
          <w:szCs w:val="24"/>
        </w:rPr>
        <w:t>附件九 廉政承诺书</w:t>
      </w:r>
    </w:p>
    <w:p w14:paraId="6178EBAE">
      <w:pPr>
        <w:autoSpaceDE w:val="0"/>
        <w:autoSpaceDN w:val="0"/>
        <w:spacing w:line="360" w:lineRule="auto"/>
        <w:ind w:left="2"/>
        <w:jc w:val="center"/>
        <w:rPr>
          <w:rFonts w:hint="eastAsia" w:ascii="新宋体" w:hAnsi="新宋体" w:eastAsia="新宋体" w:cs="新宋体"/>
          <w:sz w:val="24"/>
        </w:rPr>
      </w:pPr>
      <w:r>
        <w:rPr>
          <w:rFonts w:hint="eastAsia" w:ascii="新宋体" w:hAnsi="新宋体" w:eastAsia="新宋体" w:cs="新宋体"/>
          <w:b/>
          <w:sz w:val="24"/>
        </w:rPr>
        <w:t>廉政承诺书</w:t>
      </w:r>
    </w:p>
    <w:p w14:paraId="76F66D17">
      <w:pPr>
        <w:autoSpaceDE w:val="0"/>
        <w:autoSpaceDN w:val="0"/>
        <w:spacing w:line="360" w:lineRule="auto"/>
        <w:ind w:left="2"/>
        <w:jc w:val="left"/>
        <w:rPr>
          <w:rFonts w:hint="eastAsia" w:ascii="新宋体" w:hAnsi="新宋体" w:eastAsia="新宋体" w:cs="新宋体"/>
          <w:kern w:val="0"/>
          <w:sz w:val="24"/>
          <w:lang w:val="zh-CN"/>
        </w:rPr>
      </w:pPr>
      <w:r>
        <w:rPr>
          <w:rFonts w:hint="eastAsia" w:ascii="新宋体" w:hAnsi="新宋体" w:eastAsia="新宋体" w:cs="新宋体"/>
          <w:kern w:val="0"/>
          <w:sz w:val="24"/>
          <w:u w:val="single"/>
          <w:lang w:val="zh-CN"/>
        </w:rPr>
        <w:t>嵊州市水利水电发展有限公司</w:t>
      </w:r>
      <w:r>
        <w:rPr>
          <w:rFonts w:hint="eastAsia" w:ascii="新宋体" w:hAnsi="新宋体" w:eastAsia="新宋体" w:cs="新宋体"/>
          <w:kern w:val="0"/>
          <w:sz w:val="24"/>
          <w:lang w:val="zh-CN"/>
        </w:rPr>
        <w:t xml:space="preserve">：    </w:t>
      </w:r>
    </w:p>
    <w:p w14:paraId="66C4075C">
      <w:pPr>
        <w:autoSpaceDE w:val="0"/>
        <w:autoSpaceDN w:val="0"/>
        <w:spacing w:line="360" w:lineRule="auto"/>
        <w:ind w:left="2" w:leftChars="1" w:firstLine="480" w:firstLineChars="200"/>
        <w:jc w:val="left"/>
        <w:rPr>
          <w:rFonts w:hint="eastAsia" w:ascii="新宋体" w:hAnsi="新宋体" w:eastAsia="新宋体" w:cs="新宋体"/>
          <w:kern w:val="0"/>
          <w:sz w:val="24"/>
          <w:lang w:val="zh-CN"/>
        </w:rPr>
      </w:pPr>
      <w:r>
        <w:rPr>
          <w:rFonts w:hint="eastAsia" w:ascii="新宋体" w:hAnsi="新宋体" w:eastAsia="新宋体" w:cs="新宋体"/>
          <w:kern w:val="0"/>
          <w:sz w:val="24"/>
          <w:lang w:val="zh-CN"/>
        </w:rPr>
        <w:t>我单位响应你</w:t>
      </w:r>
      <w:r>
        <w:rPr>
          <w:rFonts w:hint="eastAsia" w:ascii="新宋体" w:hAnsi="新宋体" w:eastAsia="新宋体" w:cs="新宋体"/>
          <w:sz w:val="24"/>
        </w:rPr>
        <w:t>单位</w:t>
      </w:r>
      <w:r>
        <w:rPr>
          <w:rFonts w:hint="eastAsia" w:ascii="新宋体" w:hAnsi="新宋体" w:eastAsia="新宋体" w:cs="新宋体"/>
          <w:kern w:val="0"/>
          <w:sz w:val="24"/>
          <w:lang w:val="zh-CN"/>
        </w:rPr>
        <w:t xml:space="preserve">项目招标要求参加投标。在这次投标过程中和中标后，我们将严格遵守国家法律法规要求，并郑重承诺：    </w:t>
      </w:r>
    </w:p>
    <w:p w14:paraId="095B45F1">
      <w:pPr>
        <w:autoSpaceDE w:val="0"/>
        <w:autoSpaceDN w:val="0"/>
        <w:spacing w:line="360" w:lineRule="auto"/>
        <w:ind w:left="2" w:leftChars="1" w:firstLine="480" w:firstLineChars="200"/>
        <w:jc w:val="left"/>
        <w:rPr>
          <w:rFonts w:hint="eastAsia" w:ascii="新宋体" w:hAnsi="新宋体" w:eastAsia="新宋体" w:cs="新宋体"/>
          <w:kern w:val="0"/>
          <w:sz w:val="24"/>
          <w:lang w:val="zh-CN"/>
        </w:rPr>
      </w:pPr>
      <w:r>
        <w:rPr>
          <w:rFonts w:hint="eastAsia" w:ascii="新宋体" w:hAnsi="新宋体" w:eastAsia="新宋体" w:cs="新宋体"/>
          <w:kern w:val="0"/>
          <w:sz w:val="24"/>
          <w:lang w:val="zh-CN"/>
        </w:rPr>
        <w:t xml:space="preserve">一、不向项目有关人员及部门赠送礼金礼物、有价证券、回扣以及中介费、介绍费、咨询费等好处费；    </w:t>
      </w:r>
    </w:p>
    <w:p w14:paraId="0D96E926">
      <w:pPr>
        <w:autoSpaceDE w:val="0"/>
        <w:autoSpaceDN w:val="0"/>
        <w:spacing w:line="360" w:lineRule="auto"/>
        <w:ind w:left="2" w:leftChars="1" w:firstLine="480" w:firstLineChars="200"/>
        <w:jc w:val="left"/>
        <w:rPr>
          <w:rFonts w:hint="eastAsia" w:ascii="新宋体" w:hAnsi="新宋体" w:eastAsia="新宋体" w:cs="新宋体"/>
          <w:kern w:val="0"/>
          <w:sz w:val="24"/>
          <w:lang w:val="zh-CN"/>
        </w:rPr>
      </w:pPr>
      <w:r>
        <w:rPr>
          <w:rFonts w:hint="eastAsia" w:ascii="新宋体" w:hAnsi="新宋体" w:eastAsia="新宋体" w:cs="新宋体"/>
          <w:kern w:val="0"/>
          <w:sz w:val="24"/>
          <w:lang w:val="zh-CN"/>
        </w:rPr>
        <w:t xml:space="preserve">二、不为项目有关人员及部门报销应由你方单位或个人支付的费用；    </w:t>
      </w:r>
    </w:p>
    <w:p w14:paraId="717B0BED">
      <w:pPr>
        <w:autoSpaceDE w:val="0"/>
        <w:autoSpaceDN w:val="0"/>
        <w:spacing w:line="360" w:lineRule="auto"/>
        <w:ind w:left="2" w:leftChars="1" w:firstLine="480" w:firstLineChars="200"/>
        <w:jc w:val="left"/>
        <w:rPr>
          <w:rFonts w:hint="eastAsia" w:ascii="新宋体" w:hAnsi="新宋体" w:eastAsia="新宋体" w:cs="新宋体"/>
          <w:kern w:val="0"/>
          <w:sz w:val="24"/>
          <w:lang w:val="zh-CN"/>
        </w:rPr>
      </w:pPr>
      <w:r>
        <w:rPr>
          <w:rFonts w:hint="eastAsia" w:ascii="新宋体" w:hAnsi="新宋体" w:eastAsia="新宋体" w:cs="新宋体"/>
          <w:kern w:val="0"/>
          <w:sz w:val="24"/>
          <w:lang w:val="zh-CN"/>
        </w:rPr>
        <w:t xml:space="preserve">三、不向项目有关人员及部门提供有可能影响公正的宴请和健身娱乐等活动；    </w:t>
      </w:r>
    </w:p>
    <w:p w14:paraId="18857AFC">
      <w:pPr>
        <w:autoSpaceDE w:val="0"/>
        <w:autoSpaceDN w:val="0"/>
        <w:spacing w:line="360" w:lineRule="auto"/>
        <w:ind w:left="2" w:leftChars="1" w:firstLine="480" w:firstLineChars="200"/>
        <w:jc w:val="left"/>
        <w:rPr>
          <w:rFonts w:hint="eastAsia" w:ascii="新宋体" w:hAnsi="新宋体" w:eastAsia="新宋体" w:cs="新宋体"/>
          <w:kern w:val="0"/>
          <w:sz w:val="24"/>
          <w:lang w:val="zh-CN"/>
        </w:rPr>
      </w:pPr>
      <w:r>
        <w:rPr>
          <w:rFonts w:hint="eastAsia" w:ascii="新宋体" w:hAnsi="新宋体" w:eastAsia="新宋体" w:cs="新宋体"/>
          <w:kern w:val="0"/>
          <w:sz w:val="24"/>
          <w:lang w:val="zh-CN"/>
        </w:rPr>
        <w:t xml:space="preserve">四、不为项目有关人员及部门出国（境）、旅游等提供方便；    </w:t>
      </w:r>
    </w:p>
    <w:p w14:paraId="53CBE100">
      <w:pPr>
        <w:autoSpaceDE w:val="0"/>
        <w:autoSpaceDN w:val="0"/>
        <w:spacing w:line="360" w:lineRule="auto"/>
        <w:ind w:firstLine="480" w:firstLineChars="200"/>
        <w:jc w:val="left"/>
        <w:rPr>
          <w:rFonts w:hint="eastAsia" w:ascii="新宋体" w:hAnsi="新宋体" w:eastAsia="新宋体" w:cs="新宋体"/>
          <w:kern w:val="0"/>
          <w:sz w:val="24"/>
          <w:lang w:val="zh-CN"/>
        </w:rPr>
      </w:pPr>
      <w:r>
        <w:rPr>
          <w:rFonts w:hint="eastAsia" w:ascii="新宋体" w:hAnsi="新宋体" w:eastAsia="新宋体" w:cs="新宋体"/>
          <w:kern w:val="0"/>
          <w:sz w:val="24"/>
          <w:lang w:val="zh-CN"/>
        </w:rPr>
        <w:t xml:space="preserve">五、不为项目有关人员个人装修住房、婚丧嫁娶、配偶子女工作安排等提供好处；    </w:t>
      </w:r>
    </w:p>
    <w:p w14:paraId="4F839377">
      <w:pPr>
        <w:autoSpaceDE w:val="0"/>
        <w:autoSpaceDN w:val="0"/>
        <w:spacing w:line="360" w:lineRule="auto"/>
        <w:ind w:firstLine="480" w:firstLineChars="200"/>
        <w:jc w:val="left"/>
        <w:rPr>
          <w:rFonts w:hint="eastAsia" w:ascii="新宋体" w:hAnsi="新宋体" w:eastAsia="新宋体" w:cs="新宋体"/>
          <w:kern w:val="0"/>
          <w:sz w:val="24"/>
          <w:lang w:val="zh-CN"/>
        </w:rPr>
      </w:pPr>
      <w:r>
        <w:rPr>
          <w:rFonts w:hint="eastAsia" w:ascii="新宋体" w:hAnsi="新宋体" w:eastAsia="新宋体" w:cs="新宋体"/>
          <w:kern w:val="0"/>
          <w:sz w:val="24"/>
          <w:lang w:val="zh-CN"/>
        </w:rPr>
        <w:t xml:space="preserve">六、严格遵守政府采购法、民法典等法律，诚实守信，合法经营，坚决抵制各种违法违纪行为。    </w:t>
      </w:r>
    </w:p>
    <w:p w14:paraId="05BD2D9A">
      <w:pPr>
        <w:autoSpaceDE w:val="0"/>
        <w:autoSpaceDN w:val="0"/>
        <w:spacing w:line="360" w:lineRule="auto"/>
        <w:ind w:firstLine="480" w:firstLineChars="200"/>
        <w:jc w:val="left"/>
        <w:rPr>
          <w:rFonts w:hint="eastAsia" w:ascii="新宋体" w:hAnsi="新宋体" w:eastAsia="新宋体" w:cs="新宋体"/>
          <w:kern w:val="0"/>
          <w:sz w:val="24"/>
          <w:lang w:val="zh-CN"/>
        </w:rPr>
      </w:pPr>
      <w:r>
        <w:rPr>
          <w:rFonts w:hint="eastAsia" w:ascii="新宋体" w:hAnsi="新宋体" w:eastAsia="新宋体" w:cs="新宋体"/>
          <w:kern w:val="0"/>
          <w:sz w:val="24"/>
          <w:lang w:val="zh-CN"/>
        </w:rPr>
        <w:t>如违反上述承诺，你</w:t>
      </w:r>
      <w:r>
        <w:rPr>
          <w:rFonts w:hint="eastAsia" w:ascii="新宋体" w:hAnsi="新宋体" w:eastAsia="新宋体" w:cs="新宋体"/>
          <w:sz w:val="24"/>
        </w:rPr>
        <w:t>单位</w:t>
      </w:r>
      <w:r>
        <w:rPr>
          <w:rFonts w:hint="eastAsia" w:ascii="新宋体" w:hAnsi="新宋体" w:eastAsia="新宋体" w:cs="新宋体"/>
          <w:kern w:val="0"/>
          <w:sz w:val="24"/>
          <w:lang w:val="zh-CN"/>
        </w:rPr>
        <w:t>有权立即取消我单位投标、中标或在建项目的建设资格，有权拒绝我单位在一定时期内进入你</w:t>
      </w:r>
      <w:r>
        <w:rPr>
          <w:rFonts w:hint="eastAsia" w:ascii="新宋体" w:hAnsi="新宋体" w:eastAsia="新宋体" w:cs="新宋体"/>
          <w:sz w:val="24"/>
        </w:rPr>
        <w:t>单位</w:t>
      </w:r>
      <w:r>
        <w:rPr>
          <w:rFonts w:hint="eastAsia" w:ascii="新宋体" w:hAnsi="新宋体" w:eastAsia="新宋体" w:cs="新宋体"/>
          <w:kern w:val="0"/>
          <w:sz w:val="24"/>
          <w:lang w:val="zh-CN"/>
        </w:rPr>
        <w:t>进行项目建设或其他经营活动，并通报市财政局。由此引起的相应损失均由我单位承担。</w:t>
      </w:r>
    </w:p>
    <w:p w14:paraId="458B199A">
      <w:pPr>
        <w:autoSpaceDE w:val="0"/>
        <w:autoSpaceDN w:val="0"/>
        <w:spacing w:line="360" w:lineRule="auto"/>
        <w:jc w:val="left"/>
        <w:rPr>
          <w:rFonts w:hint="eastAsia" w:ascii="新宋体" w:hAnsi="新宋体" w:eastAsia="新宋体" w:cs="新宋体"/>
          <w:kern w:val="0"/>
          <w:sz w:val="24"/>
          <w:lang w:val="zh-CN"/>
        </w:rPr>
      </w:pPr>
    </w:p>
    <w:p w14:paraId="04620CAE">
      <w:pPr>
        <w:snapToGrid w:val="0"/>
        <w:spacing w:line="360" w:lineRule="auto"/>
        <w:textAlignment w:val="baseline"/>
        <w:rPr>
          <w:rFonts w:hint="eastAsia" w:ascii="新宋体" w:hAnsi="新宋体" w:eastAsia="新宋体" w:cs="新宋体"/>
          <w:kern w:val="0"/>
          <w:sz w:val="24"/>
          <w:lang w:val="zh-CN"/>
        </w:rPr>
      </w:pPr>
    </w:p>
    <w:p w14:paraId="408D199F">
      <w:pPr>
        <w:snapToGrid w:val="0"/>
        <w:spacing w:line="360" w:lineRule="auto"/>
        <w:textAlignment w:val="baseline"/>
        <w:rPr>
          <w:rFonts w:hint="eastAsia" w:ascii="新宋体" w:hAnsi="新宋体" w:eastAsia="新宋体" w:cs="新宋体"/>
          <w:kern w:val="0"/>
          <w:sz w:val="24"/>
          <w:lang w:val="zh-CN"/>
        </w:rPr>
      </w:pPr>
    </w:p>
    <w:p w14:paraId="001CBB43">
      <w:pPr>
        <w:snapToGrid w:val="0"/>
        <w:spacing w:line="360" w:lineRule="auto"/>
        <w:textAlignment w:val="baseline"/>
        <w:rPr>
          <w:rFonts w:hint="eastAsia" w:ascii="新宋体" w:hAnsi="新宋体" w:eastAsia="新宋体" w:cs="新宋体"/>
          <w:kern w:val="0"/>
          <w:sz w:val="24"/>
          <w:lang w:val="zh-CN"/>
        </w:rPr>
      </w:pPr>
    </w:p>
    <w:p w14:paraId="6948AC4A">
      <w:pPr>
        <w:spacing w:line="336" w:lineRule="auto"/>
        <w:ind w:firstLine="6240" w:firstLineChars="26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投标人名称（电子签名）：</w:t>
      </w:r>
    </w:p>
    <w:p w14:paraId="24068082">
      <w:pPr>
        <w:spacing w:line="336"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287CB320">
      <w:pPr>
        <w:spacing w:line="440" w:lineRule="exact"/>
        <w:jc w:val="left"/>
        <w:rPr>
          <w:rFonts w:hint="eastAsia" w:ascii="新宋体" w:hAnsi="新宋体" w:eastAsia="新宋体" w:cs="新宋体"/>
          <w:sz w:val="24"/>
          <w:shd w:val="clear" w:color="FFFFFF" w:fill="D9D9D9"/>
        </w:rPr>
      </w:pPr>
    </w:p>
    <w:p w14:paraId="52F0996E">
      <w:pPr>
        <w:jc w:val="left"/>
        <w:rPr>
          <w:rFonts w:hint="eastAsia" w:ascii="新宋体" w:hAnsi="新宋体" w:eastAsia="新宋体" w:cs="新宋体"/>
          <w:b/>
          <w:sz w:val="24"/>
        </w:rPr>
      </w:pPr>
    </w:p>
    <w:p w14:paraId="733B03C0">
      <w:pPr>
        <w:jc w:val="left"/>
        <w:rPr>
          <w:rFonts w:hint="eastAsia" w:ascii="新宋体" w:hAnsi="新宋体" w:eastAsia="新宋体" w:cs="新宋体"/>
          <w:b/>
          <w:sz w:val="24"/>
        </w:rPr>
      </w:pPr>
    </w:p>
    <w:p w14:paraId="3A0BC114">
      <w:pPr>
        <w:rPr>
          <w:rFonts w:hint="eastAsia" w:ascii="新宋体" w:hAnsi="新宋体" w:eastAsia="新宋体" w:cs="新宋体"/>
          <w:b/>
          <w:sz w:val="24"/>
        </w:rPr>
      </w:pPr>
    </w:p>
    <w:p w14:paraId="6FFAFE7E">
      <w:pPr>
        <w:rPr>
          <w:rFonts w:hint="eastAsia" w:ascii="新宋体" w:hAnsi="新宋体" w:eastAsia="新宋体" w:cs="新宋体"/>
          <w:b/>
          <w:sz w:val="24"/>
        </w:rPr>
      </w:pPr>
    </w:p>
    <w:p w14:paraId="0B022D00">
      <w:pPr>
        <w:rPr>
          <w:rFonts w:hint="eastAsia" w:ascii="新宋体" w:hAnsi="新宋体" w:eastAsia="新宋体" w:cs="新宋体"/>
          <w:b/>
          <w:sz w:val="24"/>
        </w:rPr>
      </w:pPr>
    </w:p>
    <w:p w14:paraId="6D850AFA">
      <w:pPr>
        <w:rPr>
          <w:rFonts w:hint="eastAsia" w:ascii="新宋体" w:hAnsi="新宋体" w:eastAsia="新宋体" w:cs="新宋体"/>
          <w:b/>
          <w:sz w:val="24"/>
        </w:rPr>
      </w:pPr>
    </w:p>
    <w:p w14:paraId="2402F895">
      <w:pPr>
        <w:rPr>
          <w:rFonts w:hint="eastAsia" w:ascii="新宋体" w:hAnsi="新宋体" w:eastAsia="新宋体" w:cs="新宋体"/>
          <w:b/>
          <w:sz w:val="24"/>
        </w:rPr>
      </w:pPr>
    </w:p>
    <w:p w14:paraId="21072500">
      <w:pPr>
        <w:ind w:firstLine="2650" w:firstLineChars="1100"/>
        <w:rPr>
          <w:rFonts w:hint="eastAsia" w:ascii="新宋体" w:hAnsi="新宋体" w:eastAsia="新宋体" w:cs="新宋体"/>
          <w:b/>
          <w:sz w:val="24"/>
          <w:lang w:val="en"/>
        </w:rPr>
      </w:pPr>
      <w:r>
        <w:rPr>
          <w:rFonts w:hint="eastAsia" w:ascii="新宋体" w:hAnsi="新宋体" w:eastAsia="新宋体" w:cs="新宋体"/>
          <w:b/>
          <w:sz w:val="24"/>
        </w:rPr>
        <w:br w:type="page"/>
      </w:r>
    </w:p>
    <w:p w14:paraId="2A2345AC">
      <w:pPr>
        <w:pStyle w:val="63"/>
        <w:spacing w:after="0" w:afterLines="0" w:line="440" w:lineRule="exact"/>
        <w:ind w:firstLine="0" w:firstLineChars="0"/>
        <w:rPr>
          <w:rFonts w:hint="eastAsia" w:ascii="新宋体" w:hAnsi="新宋体" w:eastAsia="新宋体" w:cs="新宋体"/>
          <w:b/>
          <w:szCs w:val="24"/>
        </w:rPr>
      </w:pPr>
      <w:r>
        <w:rPr>
          <w:rFonts w:hint="eastAsia" w:ascii="新宋体" w:hAnsi="新宋体" w:eastAsia="新宋体" w:cs="新宋体"/>
          <w:b/>
          <w:szCs w:val="24"/>
        </w:rPr>
        <w:t>附件十 开标一览表</w:t>
      </w:r>
    </w:p>
    <w:p w14:paraId="263494B4">
      <w:pPr>
        <w:snapToGrid w:val="0"/>
        <w:spacing w:line="400" w:lineRule="exact"/>
        <w:jc w:val="center"/>
        <w:rPr>
          <w:rFonts w:hint="eastAsia" w:ascii="新宋体" w:hAnsi="新宋体" w:eastAsia="新宋体" w:cs="新宋体"/>
          <w:b/>
          <w:sz w:val="24"/>
        </w:rPr>
      </w:pPr>
    </w:p>
    <w:p w14:paraId="4A39803A">
      <w:pPr>
        <w:spacing w:line="400" w:lineRule="exact"/>
        <w:jc w:val="center"/>
        <w:rPr>
          <w:rFonts w:hint="eastAsia" w:ascii="新宋体" w:hAnsi="新宋体" w:eastAsia="新宋体" w:cs="新宋体"/>
          <w:sz w:val="24"/>
        </w:rPr>
      </w:pPr>
      <w:r>
        <w:rPr>
          <w:rFonts w:hint="eastAsia" w:ascii="新宋体" w:hAnsi="新宋体" w:eastAsia="新宋体" w:cs="新宋体"/>
          <w:b/>
          <w:bCs/>
          <w:sz w:val="24"/>
        </w:rPr>
        <w:t xml:space="preserve">开标一览表（报价表）                            </w:t>
      </w:r>
    </w:p>
    <w:p w14:paraId="1AF90BD0">
      <w:pPr>
        <w:snapToGrid w:val="0"/>
        <w:spacing w:line="400" w:lineRule="exact"/>
        <w:rPr>
          <w:rFonts w:hint="eastAsia" w:ascii="新宋体" w:hAnsi="新宋体" w:eastAsia="新宋体" w:cs="新宋体"/>
          <w:sz w:val="24"/>
          <w:u w:val="single"/>
        </w:rPr>
      </w:pPr>
      <w:r>
        <w:rPr>
          <w:rFonts w:hint="eastAsia" w:ascii="新宋体" w:hAnsi="新宋体" w:eastAsia="新宋体" w:cs="新宋体"/>
          <w:sz w:val="24"/>
        </w:rPr>
        <w:t>项目名称：</w:t>
      </w:r>
      <w:r>
        <w:rPr>
          <w:rFonts w:hint="eastAsia" w:ascii="新宋体" w:hAnsi="新宋体" w:eastAsia="新宋体" w:cs="新宋体"/>
          <w:sz w:val="24"/>
          <w:u w:val="single"/>
        </w:rPr>
        <w:t xml:space="preserve"> 嵊州市三溪水库工程林木清理项目 </w:t>
      </w:r>
    </w:p>
    <w:p w14:paraId="5F46DCC3">
      <w:pPr>
        <w:snapToGrid w:val="0"/>
        <w:spacing w:line="400" w:lineRule="exact"/>
        <w:rPr>
          <w:rFonts w:hint="eastAsia" w:ascii="新宋体" w:hAnsi="新宋体" w:eastAsia="新宋体" w:cs="新宋体"/>
          <w:sz w:val="24"/>
          <w:u w:val="single"/>
        </w:rPr>
      </w:pPr>
      <w:r>
        <w:rPr>
          <w:rFonts w:hint="eastAsia" w:ascii="新宋体" w:hAnsi="新宋体" w:eastAsia="新宋体" w:cs="新宋体"/>
          <w:sz w:val="24"/>
        </w:rPr>
        <w:t>项目编号：</w:t>
      </w:r>
      <w:r>
        <w:rPr>
          <w:rFonts w:hint="eastAsia" w:ascii="新宋体" w:hAnsi="新宋体" w:eastAsia="新宋体" w:cs="新宋体"/>
          <w:sz w:val="24"/>
          <w:u w:val="single"/>
        </w:rPr>
        <w:t xml:space="preserve">     DD-SZ2025N01              </w:t>
      </w:r>
    </w:p>
    <w:p w14:paraId="3C901981">
      <w:pPr>
        <w:snapToGrid w:val="0"/>
        <w:spacing w:line="400" w:lineRule="exact"/>
        <w:ind w:firstLine="6960" w:firstLineChars="2900"/>
        <w:jc w:val="left"/>
        <w:rPr>
          <w:rFonts w:hint="eastAsia" w:ascii="新宋体" w:hAnsi="新宋体" w:eastAsia="新宋体" w:cs="新宋体"/>
          <w:b/>
          <w:sz w:val="24"/>
        </w:rPr>
      </w:pPr>
      <w:r>
        <w:rPr>
          <w:rFonts w:hint="eastAsia" w:ascii="新宋体" w:hAnsi="新宋体" w:eastAsia="新宋体" w:cs="新宋体"/>
          <w:sz w:val="24"/>
        </w:rPr>
        <w:t xml:space="preserve">单位：人民币元                                              </w:t>
      </w:r>
    </w:p>
    <w:tbl>
      <w:tblPr>
        <w:tblStyle w:val="26"/>
        <w:tblW w:w="86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4407"/>
        <w:gridCol w:w="2634"/>
        <w:gridCol w:w="843"/>
      </w:tblGrid>
      <w:tr w14:paraId="233E7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F2F3C95">
            <w:pPr>
              <w:snapToGrid w:val="0"/>
              <w:spacing w:before="100" w:beforeAutospacing="1" w:after="100" w:afterAutospacing="1" w:line="500" w:lineRule="exact"/>
              <w:jc w:val="center"/>
              <w:rPr>
                <w:rFonts w:hint="eastAsia" w:ascii="宋体" w:hAnsi="宋体"/>
                <w:b/>
                <w:szCs w:val="21"/>
              </w:rPr>
            </w:pPr>
            <w:r>
              <w:rPr>
                <w:rFonts w:hint="eastAsia" w:ascii="宋体" w:hAnsi="宋体"/>
                <w:b/>
                <w:szCs w:val="21"/>
              </w:rPr>
              <w:t>序号</w:t>
            </w:r>
          </w:p>
        </w:tc>
        <w:tc>
          <w:tcPr>
            <w:tcW w:w="4407" w:type="dxa"/>
            <w:tcBorders>
              <w:top w:val="single" w:color="auto" w:sz="4" w:space="0"/>
              <w:left w:val="single" w:color="auto" w:sz="4" w:space="0"/>
              <w:bottom w:val="single" w:color="auto" w:sz="4" w:space="0"/>
              <w:right w:val="single" w:color="auto" w:sz="4" w:space="0"/>
            </w:tcBorders>
            <w:vAlign w:val="center"/>
          </w:tcPr>
          <w:p w14:paraId="52340E59">
            <w:pPr>
              <w:snapToGrid w:val="0"/>
              <w:spacing w:before="100" w:beforeAutospacing="1" w:after="100" w:afterAutospacing="1" w:line="500" w:lineRule="exact"/>
              <w:jc w:val="center"/>
              <w:rPr>
                <w:rFonts w:hint="eastAsia" w:ascii="宋体" w:hAnsi="宋体"/>
                <w:b/>
                <w:szCs w:val="21"/>
              </w:rPr>
            </w:pPr>
            <w:r>
              <w:rPr>
                <w:rFonts w:hint="eastAsia" w:ascii="宋体" w:hAnsi="宋体"/>
                <w:b/>
                <w:szCs w:val="21"/>
              </w:rPr>
              <w:t>项目名称</w:t>
            </w:r>
          </w:p>
        </w:tc>
        <w:tc>
          <w:tcPr>
            <w:tcW w:w="2634" w:type="dxa"/>
            <w:tcBorders>
              <w:top w:val="single" w:color="auto" w:sz="4" w:space="0"/>
              <w:left w:val="single" w:color="auto" w:sz="4" w:space="0"/>
              <w:bottom w:val="single" w:color="auto" w:sz="4" w:space="0"/>
              <w:right w:val="single" w:color="auto" w:sz="4" w:space="0"/>
            </w:tcBorders>
            <w:vAlign w:val="center"/>
          </w:tcPr>
          <w:p w14:paraId="32174DAA">
            <w:pPr>
              <w:snapToGrid w:val="0"/>
              <w:spacing w:before="100" w:beforeAutospacing="1" w:after="100" w:afterAutospacing="1" w:line="500" w:lineRule="exact"/>
              <w:jc w:val="center"/>
              <w:rPr>
                <w:rFonts w:hint="eastAsia" w:ascii="宋体" w:hAnsi="宋体"/>
                <w:b/>
                <w:szCs w:val="21"/>
              </w:rPr>
            </w:pPr>
            <w:r>
              <w:rPr>
                <w:rFonts w:hint="eastAsia" w:ascii="宋体" w:hAnsi="宋体"/>
                <w:b/>
                <w:szCs w:val="21"/>
              </w:rPr>
              <w:t>投标报价</w:t>
            </w:r>
          </w:p>
        </w:tc>
        <w:tc>
          <w:tcPr>
            <w:tcW w:w="841" w:type="dxa"/>
            <w:tcBorders>
              <w:top w:val="single" w:color="auto" w:sz="4" w:space="0"/>
              <w:left w:val="single" w:color="auto" w:sz="4" w:space="0"/>
              <w:bottom w:val="single" w:color="auto" w:sz="4" w:space="0"/>
              <w:right w:val="single" w:color="auto" w:sz="4" w:space="0"/>
            </w:tcBorders>
            <w:vAlign w:val="center"/>
          </w:tcPr>
          <w:p w14:paraId="430B4AB9">
            <w:pPr>
              <w:snapToGrid w:val="0"/>
              <w:spacing w:before="100" w:beforeAutospacing="1" w:after="100" w:afterAutospacing="1" w:line="500" w:lineRule="exact"/>
              <w:jc w:val="center"/>
              <w:rPr>
                <w:rFonts w:hint="eastAsia" w:ascii="宋体" w:hAnsi="宋体"/>
                <w:b/>
                <w:szCs w:val="21"/>
              </w:rPr>
            </w:pPr>
            <w:r>
              <w:rPr>
                <w:rFonts w:hint="eastAsia" w:ascii="宋体" w:hAnsi="宋体"/>
                <w:b/>
                <w:szCs w:val="21"/>
              </w:rPr>
              <w:t>备注</w:t>
            </w:r>
          </w:p>
        </w:tc>
      </w:tr>
      <w:tr w14:paraId="18A5C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67"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F874EBD">
            <w:pPr>
              <w:snapToGrid w:val="0"/>
              <w:spacing w:before="100" w:beforeAutospacing="1" w:after="100" w:afterAutospacing="1" w:line="500" w:lineRule="exact"/>
              <w:jc w:val="center"/>
              <w:rPr>
                <w:rFonts w:hint="eastAsia" w:ascii="宋体" w:hAnsi="宋体"/>
                <w:bCs/>
                <w:szCs w:val="21"/>
              </w:rPr>
            </w:pPr>
            <w:r>
              <w:rPr>
                <w:rFonts w:hint="eastAsia" w:ascii="宋体" w:hAnsi="宋体"/>
                <w:bCs/>
                <w:szCs w:val="21"/>
              </w:rPr>
              <w:t>1</w:t>
            </w:r>
          </w:p>
        </w:tc>
        <w:tc>
          <w:tcPr>
            <w:tcW w:w="4407" w:type="dxa"/>
            <w:tcBorders>
              <w:top w:val="single" w:color="auto" w:sz="4" w:space="0"/>
              <w:left w:val="single" w:color="auto" w:sz="4" w:space="0"/>
              <w:bottom w:val="single" w:color="auto" w:sz="4" w:space="0"/>
              <w:right w:val="single" w:color="auto" w:sz="4" w:space="0"/>
            </w:tcBorders>
            <w:vAlign w:val="center"/>
          </w:tcPr>
          <w:p w14:paraId="74E46D84">
            <w:pPr>
              <w:snapToGrid w:val="0"/>
              <w:spacing w:line="440" w:lineRule="exact"/>
              <w:jc w:val="center"/>
              <w:rPr>
                <w:rFonts w:hint="eastAsia" w:ascii="宋体" w:hAnsi="宋体"/>
                <w:szCs w:val="21"/>
              </w:rPr>
            </w:pPr>
            <w:r>
              <w:rPr>
                <w:rFonts w:hint="eastAsia" w:ascii="新宋体" w:hAnsi="新宋体" w:eastAsia="新宋体" w:cs="新宋体"/>
                <w:sz w:val="24"/>
              </w:rPr>
              <w:t>嵊州市三溪水库工程林木清理项目</w:t>
            </w:r>
          </w:p>
        </w:tc>
        <w:tc>
          <w:tcPr>
            <w:tcW w:w="2634" w:type="dxa"/>
            <w:tcBorders>
              <w:top w:val="single" w:color="auto" w:sz="4" w:space="0"/>
              <w:left w:val="single" w:color="auto" w:sz="4" w:space="0"/>
              <w:bottom w:val="single" w:color="auto" w:sz="4" w:space="0"/>
              <w:right w:val="single" w:color="auto" w:sz="4" w:space="0"/>
            </w:tcBorders>
            <w:vAlign w:val="center"/>
          </w:tcPr>
          <w:p w14:paraId="7A4A5E61">
            <w:pPr>
              <w:snapToGrid w:val="0"/>
              <w:spacing w:line="440" w:lineRule="exact"/>
              <w:jc w:val="center"/>
              <w:rPr>
                <w:rFonts w:hint="eastAsia" w:ascii="宋体" w:hAnsi="宋体"/>
                <w:szCs w:val="21"/>
                <w:u w:val="single"/>
              </w:rPr>
            </w:pPr>
            <w:r>
              <w:rPr>
                <w:rFonts w:hint="eastAsia" w:ascii="宋体" w:hAnsi="宋体"/>
                <w:szCs w:val="21"/>
              </w:rPr>
              <w:t xml:space="preserve"> </w:t>
            </w:r>
          </w:p>
        </w:tc>
        <w:tc>
          <w:tcPr>
            <w:tcW w:w="841" w:type="dxa"/>
            <w:tcBorders>
              <w:top w:val="single" w:color="auto" w:sz="4" w:space="0"/>
              <w:left w:val="single" w:color="auto" w:sz="4" w:space="0"/>
              <w:bottom w:val="single" w:color="auto" w:sz="4" w:space="0"/>
              <w:right w:val="single" w:color="auto" w:sz="4" w:space="0"/>
            </w:tcBorders>
            <w:vAlign w:val="center"/>
          </w:tcPr>
          <w:p w14:paraId="1213B224">
            <w:pPr>
              <w:snapToGrid w:val="0"/>
              <w:spacing w:before="100" w:beforeAutospacing="1" w:after="100" w:afterAutospacing="1" w:line="500" w:lineRule="exact"/>
              <w:rPr>
                <w:rFonts w:hint="eastAsia" w:ascii="宋体" w:hAnsi="宋体"/>
                <w:szCs w:val="21"/>
              </w:rPr>
            </w:pPr>
          </w:p>
        </w:tc>
      </w:tr>
      <w:tr w14:paraId="5CC4A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67" w:hRule="atLeast"/>
          <w:jc w:val="center"/>
        </w:trPr>
        <w:tc>
          <w:tcPr>
            <w:tcW w:w="8634" w:type="dxa"/>
            <w:gridSpan w:val="4"/>
            <w:tcBorders>
              <w:top w:val="single" w:color="auto" w:sz="4" w:space="0"/>
              <w:left w:val="single" w:color="auto" w:sz="4" w:space="0"/>
              <w:bottom w:val="single" w:color="auto" w:sz="4" w:space="0"/>
              <w:right w:val="single" w:color="auto" w:sz="4" w:space="0"/>
            </w:tcBorders>
            <w:vAlign w:val="center"/>
          </w:tcPr>
          <w:p w14:paraId="2C087D88">
            <w:pPr>
              <w:snapToGrid w:val="0"/>
              <w:spacing w:before="100" w:beforeAutospacing="1" w:after="100" w:afterAutospacing="1" w:line="500" w:lineRule="exact"/>
              <w:rPr>
                <w:rFonts w:hint="eastAsia" w:ascii="宋体" w:hAnsi="宋体"/>
                <w:szCs w:val="21"/>
              </w:rPr>
            </w:pPr>
            <w:r>
              <w:rPr>
                <w:rFonts w:hint="eastAsia" w:ascii="宋体" w:hAnsi="宋体"/>
                <w:b/>
                <w:bCs/>
                <w:szCs w:val="21"/>
              </w:rPr>
              <w:t xml:space="preserve">投标总报价（大写）： </w:t>
            </w:r>
            <w:r>
              <w:rPr>
                <w:rFonts w:hint="eastAsia" w:ascii="宋体" w:hAnsi="宋体"/>
                <w:b/>
                <w:bCs/>
                <w:szCs w:val="21"/>
                <w:u w:val="single"/>
              </w:rPr>
              <w:t xml:space="preserve">              </w:t>
            </w:r>
            <w:r>
              <w:rPr>
                <w:rFonts w:hint="eastAsia" w:ascii="宋体" w:hAnsi="宋体"/>
                <w:b/>
                <w:bCs/>
                <w:szCs w:val="21"/>
              </w:rPr>
              <w:t>元整</w:t>
            </w:r>
          </w:p>
        </w:tc>
      </w:tr>
    </w:tbl>
    <w:p w14:paraId="333C9C9F">
      <w:pPr>
        <w:snapToGrid w:val="0"/>
        <w:spacing w:before="50" w:after="50" w:line="360" w:lineRule="auto"/>
        <w:ind w:firstLine="482" w:firstLineChars="200"/>
        <w:jc w:val="left"/>
        <w:rPr>
          <w:rFonts w:hint="eastAsia" w:ascii="新宋体" w:hAnsi="新宋体" w:eastAsia="新宋体" w:cs="新宋体"/>
          <w:sz w:val="24"/>
        </w:rPr>
      </w:pPr>
      <w:r>
        <w:rPr>
          <w:rFonts w:hint="eastAsia" w:ascii="新宋体" w:hAnsi="新宋体" w:eastAsia="新宋体" w:cs="新宋体"/>
          <w:b/>
          <w:sz w:val="24"/>
        </w:rPr>
        <w:t xml:space="preserve">注: </w:t>
      </w:r>
      <w:r>
        <w:rPr>
          <w:rFonts w:hint="eastAsia" w:ascii="新宋体" w:hAnsi="新宋体" w:eastAsia="新宋体" w:cs="新宋体"/>
          <w:sz w:val="24"/>
        </w:rPr>
        <w:t>1、投标报价须包括完成本项目技术要求所需的全部费用。</w:t>
      </w:r>
    </w:p>
    <w:p w14:paraId="375142D3">
      <w:pPr>
        <w:spacing w:line="360" w:lineRule="auto"/>
        <w:ind w:firstLine="482"/>
        <w:rPr>
          <w:rFonts w:hint="eastAsia" w:ascii="新宋体" w:hAnsi="新宋体" w:eastAsia="新宋体" w:cs="新宋体"/>
          <w:sz w:val="24"/>
        </w:rPr>
      </w:pPr>
      <w:r>
        <w:rPr>
          <w:rFonts w:hint="eastAsia" w:ascii="新宋体" w:hAnsi="新宋体" w:eastAsia="新宋体" w:cs="新宋体"/>
          <w:sz w:val="24"/>
        </w:rPr>
        <w:t>2、按国家规定由中标人缴纳的各种税收已包含在投标总价内，由中标人向税务机关缴纳。</w:t>
      </w:r>
    </w:p>
    <w:p w14:paraId="437D61EF">
      <w:pPr>
        <w:spacing w:line="360" w:lineRule="auto"/>
        <w:rPr>
          <w:rFonts w:hint="eastAsia" w:ascii="新宋体" w:hAnsi="新宋体" w:eastAsia="新宋体" w:cs="新宋体"/>
          <w:sz w:val="24"/>
        </w:rPr>
      </w:pPr>
      <w:r>
        <w:rPr>
          <w:rFonts w:hint="eastAsia" w:ascii="新宋体" w:hAnsi="新宋体" w:eastAsia="新宋体" w:cs="新宋体"/>
          <w:sz w:val="24"/>
        </w:rPr>
        <w:t xml:space="preserve">    </w:t>
      </w:r>
    </w:p>
    <w:p w14:paraId="3C22DA07">
      <w:pPr>
        <w:spacing w:line="360" w:lineRule="auto"/>
        <w:ind w:firstLine="482"/>
        <w:rPr>
          <w:rFonts w:hint="eastAsia" w:ascii="新宋体" w:hAnsi="新宋体" w:eastAsia="新宋体" w:cs="新宋体"/>
          <w:sz w:val="24"/>
        </w:rPr>
      </w:pPr>
    </w:p>
    <w:p w14:paraId="20130DF8">
      <w:pPr>
        <w:snapToGrid w:val="0"/>
        <w:spacing w:before="50" w:after="50" w:line="360" w:lineRule="auto"/>
        <w:ind w:firstLine="480" w:firstLineChars="200"/>
        <w:jc w:val="left"/>
        <w:rPr>
          <w:rFonts w:hint="eastAsia" w:ascii="新宋体" w:hAnsi="新宋体" w:eastAsia="新宋体" w:cs="新宋体"/>
          <w:sz w:val="24"/>
          <w:lang w:val="zh-CN"/>
        </w:rPr>
      </w:pPr>
    </w:p>
    <w:p w14:paraId="160BAB41">
      <w:pPr>
        <w:snapToGrid w:val="0"/>
        <w:spacing w:before="50" w:after="50" w:line="360" w:lineRule="auto"/>
        <w:ind w:firstLine="480" w:firstLineChars="200"/>
        <w:jc w:val="center"/>
        <w:rPr>
          <w:rFonts w:hint="eastAsia" w:ascii="新宋体" w:hAnsi="新宋体" w:eastAsia="新宋体" w:cs="新宋体"/>
          <w:sz w:val="24"/>
        </w:rPr>
      </w:pPr>
      <w:r>
        <w:rPr>
          <w:rFonts w:hint="eastAsia" w:ascii="新宋体" w:hAnsi="新宋体" w:eastAsia="新宋体" w:cs="新宋体"/>
          <w:sz w:val="24"/>
        </w:rPr>
        <w:t xml:space="preserve">   投标人名称（电子签名）：</w:t>
      </w:r>
    </w:p>
    <w:p w14:paraId="58B58D04">
      <w:pPr>
        <w:snapToGrid w:val="0"/>
        <w:spacing w:before="50" w:after="50"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新宋体" w:hAnsi="新宋体" w:eastAsia="新宋体" w:cs="新宋体"/>
          <w:sz w:val="24"/>
        </w:rPr>
        <w:t xml:space="preserve">                              日期：  年   月 </w:t>
      </w:r>
      <w:r>
        <w:rPr>
          <w:rFonts w:hint="eastAsia" w:ascii="宋体" w:hAnsi="宋体" w:cs="宋体"/>
          <w:color w:val="000000" w:themeColor="text1"/>
          <w:sz w:val="24"/>
          <w14:textFill>
            <w14:solidFill>
              <w14:schemeClr w14:val="tx1"/>
            </w14:solidFill>
          </w14:textFill>
        </w:rPr>
        <w:t xml:space="preserve">  日</w:t>
      </w:r>
    </w:p>
    <w:p w14:paraId="47EFB954">
      <w:pPr>
        <w:snapToGrid w:val="0"/>
        <w:jc w:val="left"/>
        <w:textAlignment w:val="baseline"/>
        <w:rPr>
          <w:rFonts w:hint="eastAsia" w:ascii="宋体" w:hAnsi="宋体" w:cs="宋体"/>
          <w:b/>
          <w:sz w:val="24"/>
        </w:rPr>
      </w:pPr>
      <w:r>
        <w:rPr>
          <w:rFonts w:hint="eastAsia" w:ascii="宋体" w:hAnsi="宋体" w:cs="宋体"/>
          <w:szCs w:val="21"/>
        </w:rPr>
        <w:br w:type="page"/>
      </w:r>
      <w:r>
        <w:rPr>
          <w:rFonts w:hint="eastAsia" w:ascii="宋体" w:hAnsi="宋体" w:cs="宋体"/>
          <w:b/>
          <w:sz w:val="24"/>
        </w:rPr>
        <w:t>附件十一 报价明细表</w:t>
      </w:r>
    </w:p>
    <w:p w14:paraId="52A5B46A">
      <w:pPr>
        <w:snapToGrid w:val="0"/>
        <w:jc w:val="center"/>
        <w:rPr>
          <w:rFonts w:hint="eastAsia" w:ascii="新宋体" w:hAnsi="新宋体" w:eastAsia="新宋体" w:cs="新宋体"/>
          <w:sz w:val="36"/>
          <w:szCs w:val="36"/>
        </w:rPr>
      </w:pPr>
      <w:r>
        <w:rPr>
          <w:rFonts w:hint="eastAsia" w:ascii="新宋体" w:hAnsi="新宋体" w:eastAsia="新宋体" w:cs="新宋体"/>
          <w:sz w:val="32"/>
          <w:szCs w:val="32"/>
        </w:rPr>
        <w:t>报价明细表</w:t>
      </w:r>
      <w:r>
        <w:rPr>
          <w:rFonts w:hint="eastAsia" w:ascii="新宋体" w:hAnsi="新宋体" w:eastAsia="新宋体" w:cs="新宋体"/>
          <w:sz w:val="36"/>
          <w:szCs w:val="36"/>
        </w:rPr>
        <w:t xml:space="preserve">     </w:t>
      </w:r>
    </w:p>
    <w:p w14:paraId="3A072BBD">
      <w:pPr>
        <w:snapToGrid w:val="0"/>
        <w:spacing w:line="400" w:lineRule="exact"/>
        <w:rPr>
          <w:rFonts w:hint="eastAsia" w:ascii="新宋体" w:hAnsi="新宋体" w:eastAsia="新宋体" w:cs="新宋体"/>
          <w:sz w:val="24"/>
          <w:u w:val="single"/>
        </w:rPr>
      </w:pPr>
      <w:r>
        <w:rPr>
          <w:rFonts w:hint="eastAsia" w:ascii="新宋体" w:hAnsi="新宋体" w:eastAsia="新宋体" w:cs="新宋体"/>
          <w:sz w:val="24"/>
        </w:rPr>
        <w:t>项目名称：</w:t>
      </w:r>
      <w:r>
        <w:rPr>
          <w:rFonts w:hint="eastAsia" w:ascii="新宋体" w:hAnsi="新宋体" w:eastAsia="新宋体" w:cs="新宋体"/>
          <w:sz w:val="24"/>
          <w:u w:val="single"/>
        </w:rPr>
        <w:t xml:space="preserve"> 嵊州市三溪水库工程林木清理项目 </w:t>
      </w:r>
    </w:p>
    <w:p w14:paraId="4025B459">
      <w:pPr>
        <w:snapToGrid w:val="0"/>
        <w:spacing w:line="400" w:lineRule="exact"/>
        <w:rPr>
          <w:rFonts w:hint="eastAsia" w:ascii="新宋体" w:hAnsi="新宋体" w:eastAsia="新宋体" w:cs="新宋体"/>
          <w:sz w:val="24"/>
          <w:u w:val="single"/>
        </w:rPr>
      </w:pPr>
      <w:r>
        <w:rPr>
          <w:rFonts w:hint="eastAsia" w:ascii="新宋体" w:hAnsi="新宋体" w:eastAsia="新宋体" w:cs="新宋体"/>
          <w:sz w:val="24"/>
        </w:rPr>
        <w:t>项目编号：</w:t>
      </w:r>
      <w:r>
        <w:rPr>
          <w:rFonts w:hint="eastAsia" w:ascii="新宋体" w:hAnsi="新宋体" w:eastAsia="新宋体" w:cs="新宋体"/>
          <w:sz w:val="24"/>
          <w:u w:val="single"/>
        </w:rPr>
        <w:t xml:space="preserve">     DD-SZ2025N01              </w:t>
      </w:r>
    </w:p>
    <w:p w14:paraId="01848723">
      <w:pPr>
        <w:pStyle w:val="2"/>
        <w:ind w:left="664" w:leftChars="316" w:firstLine="6488" w:firstLineChars="2693"/>
        <w:rPr>
          <w:rFonts w:hint="eastAsia"/>
        </w:rPr>
      </w:pPr>
      <w:r>
        <w:rPr>
          <w:rFonts w:hint="eastAsia" w:ascii="新宋体" w:hAnsi="新宋体" w:eastAsia="新宋体" w:cs="新宋体"/>
          <w:sz w:val="24"/>
          <w:szCs w:val="24"/>
        </w:rPr>
        <w:t xml:space="preserve">单位：人民币元  </w:t>
      </w:r>
    </w:p>
    <w:tbl>
      <w:tblPr>
        <w:tblStyle w:val="26"/>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080"/>
        <w:gridCol w:w="834"/>
        <w:gridCol w:w="1530"/>
        <w:gridCol w:w="888"/>
        <w:gridCol w:w="1169"/>
        <w:gridCol w:w="1173"/>
      </w:tblGrid>
      <w:tr w14:paraId="3AFD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54410428">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3080" w:type="dxa"/>
            <w:tcBorders>
              <w:top w:val="single" w:color="auto" w:sz="4" w:space="0"/>
              <w:left w:val="nil"/>
              <w:bottom w:val="single" w:color="auto" w:sz="4" w:space="0"/>
              <w:right w:val="single" w:color="auto" w:sz="4" w:space="0"/>
            </w:tcBorders>
            <w:vAlign w:val="center"/>
          </w:tcPr>
          <w:p w14:paraId="5D496672">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w:t>
            </w:r>
          </w:p>
        </w:tc>
        <w:tc>
          <w:tcPr>
            <w:tcW w:w="834" w:type="dxa"/>
            <w:tcBorders>
              <w:top w:val="single" w:color="auto" w:sz="4" w:space="0"/>
              <w:left w:val="nil"/>
              <w:bottom w:val="single" w:color="auto" w:sz="4" w:space="0"/>
              <w:right w:val="single" w:color="auto" w:sz="4" w:space="0"/>
            </w:tcBorders>
            <w:vAlign w:val="center"/>
          </w:tcPr>
          <w:p w14:paraId="63EC08A4">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p>
        </w:tc>
        <w:tc>
          <w:tcPr>
            <w:tcW w:w="1530" w:type="dxa"/>
            <w:tcBorders>
              <w:top w:val="single" w:color="auto" w:sz="4" w:space="0"/>
              <w:left w:val="nil"/>
              <w:bottom w:val="single" w:color="auto" w:sz="4" w:space="0"/>
              <w:right w:val="single" w:color="auto" w:sz="4" w:space="0"/>
            </w:tcBorders>
            <w:vAlign w:val="center"/>
          </w:tcPr>
          <w:p w14:paraId="711464A0">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888" w:type="dxa"/>
            <w:tcBorders>
              <w:top w:val="single" w:color="auto" w:sz="4" w:space="0"/>
              <w:left w:val="nil"/>
              <w:bottom w:val="single" w:color="auto" w:sz="4" w:space="0"/>
              <w:right w:val="single" w:color="auto" w:sz="4" w:space="0"/>
            </w:tcBorders>
            <w:vAlign w:val="center"/>
          </w:tcPr>
          <w:p w14:paraId="3665414A">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单价</w:t>
            </w:r>
          </w:p>
        </w:tc>
        <w:tc>
          <w:tcPr>
            <w:tcW w:w="1169" w:type="dxa"/>
            <w:tcBorders>
              <w:top w:val="single" w:color="auto" w:sz="4" w:space="0"/>
              <w:left w:val="nil"/>
              <w:bottom w:val="single" w:color="auto" w:sz="4" w:space="0"/>
              <w:right w:val="single" w:color="auto" w:sz="4" w:space="0"/>
            </w:tcBorders>
            <w:vAlign w:val="center"/>
          </w:tcPr>
          <w:p w14:paraId="658694C3">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总价</w:t>
            </w:r>
          </w:p>
        </w:tc>
        <w:tc>
          <w:tcPr>
            <w:tcW w:w="1173" w:type="dxa"/>
            <w:tcBorders>
              <w:top w:val="single" w:color="auto" w:sz="4" w:space="0"/>
              <w:left w:val="nil"/>
              <w:bottom w:val="single" w:color="auto" w:sz="4" w:space="0"/>
              <w:right w:val="single" w:color="auto" w:sz="4" w:space="0"/>
            </w:tcBorders>
            <w:vAlign w:val="center"/>
          </w:tcPr>
          <w:p w14:paraId="7705F7B8">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4A04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2206FB5A">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080" w:type="dxa"/>
            <w:tcBorders>
              <w:top w:val="single" w:color="auto" w:sz="4" w:space="0"/>
              <w:left w:val="nil"/>
              <w:bottom w:val="single" w:color="auto" w:sz="4" w:space="0"/>
              <w:right w:val="single" w:color="auto" w:sz="4" w:space="0"/>
            </w:tcBorders>
            <w:vAlign w:val="center"/>
          </w:tcPr>
          <w:p w14:paraId="00E5664B">
            <w:pPr>
              <w:jc w:val="center"/>
              <w:rPr>
                <w:rFonts w:hint="eastAsia" w:ascii="宋体" w:hAnsi="宋体" w:cs="宋体"/>
                <w:color w:val="000000" w:themeColor="text1"/>
                <w:sz w:val="24"/>
                <w14:textFill>
                  <w14:solidFill>
                    <w14:schemeClr w14:val="tx1"/>
                  </w14:solidFill>
                </w14:textFill>
              </w:rPr>
            </w:pPr>
            <w:r>
              <w:rPr>
                <w:rFonts w:hint="eastAsia" w:ascii="新宋体" w:hAnsi="新宋体" w:eastAsia="新宋体" w:cs="新宋体"/>
                <w:sz w:val="24"/>
              </w:rPr>
              <w:t>嵊州市三溪水库工程林木清理项目</w:t>
            </w:r>
          </w:p>
        </w:tc>
        <w:tc>
          <w:tcPr>
            <w:tcW w:w="834" w:type="dxa"/>
            <w:tcBorders>
              <w:top w:val="single" w:color="auto" w:sz="4" w:space="0"/>
              <w:left w:val="nil"/>
              <w:bottom w:val="single" w:color="auto" w:sz="4" w:space="0"/>
              <w:right w:val="single" w:color="auto" w:sz="4" w:space="0"/>
            </w:tcBorders>
            <w:vAlign w:val="center"/>
          </w:tcPr>
          <w:p w14:paraId="7B92005E">
            <w:pPr>
              <w:widowControl/>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亩</w:t>
            </w:r>
          </w:p>
        </w:tc>
        <w:tc>
          <w:tcPr>
            <w:tcW w:w="1530" w:type="dxa"/>
            <w:tcBorders>
              <w:top w:val="single" w:color="auto" w:sz="4" w:space="0"/>
              <w:left w:val="nil"/>
              <w:bottom w:val="single" w:color="auto" w:sz="4" w:space="0"/>
              <w:right w:val="single" w:color="auto" w:sz="4" w:space="0"/>
            </w:tcBorders>
            <w:vAlign w:val="center"/>
          </w:tcPr>
          <w:p w14:paraId="2B250E09">
            <w:pPr>
              <w:widowControl/>
              <w:jc w:val="center"/>
              <w:rPr>
                <w:rFonts w:hint="eastAsia" w:ascii="宋体" w:hAnsi="宋体" w:cs="宋体"/>
                <w:color w:val="000000" w:themeColor="text1"/>
                <w:sz w:val="24"/>
                <w14:textFill>
                  <w14:solidFill>
                    <w14:schemeClr w14:val="tx1"/>
                  </w14:solidFill>
                </w14:textFill>
              </w:rPr>
            </w:pPr>
            <w:r>
              <w:rPr>
                <w:rFonts w:hint="eastAsia" w:ascii="宋体" w:hAnsi="宋体" w:cs="宋体"/>
                <w:kern w:val="0"/>
                <w:sz w:val="24"/>
              </w:rPr>
              <w:t>1065.2175</w:t>
            </w:r>
          </w:p>
        </w:tc>
        <w:tc>
          <w:tcPr>
            <w:tcW w:w="888" w:type="dxa"/>
            <w:tcBorders>
              <w:top w:val="single" w:color="auto" w:sz="4" w:space="0"/>
              <w:left w:val="nil"/>
              <w:bottom w:val="single" w:color="auto" w:sz="4" w:space="0"/>
              <w:right w:val="single" w:color="auto" w:sz="4" w:space="0"/>
            </w:tcBorders>
            <w:vAlign w:val="center"/>
          </w:tcPr>
          <w:p w14:paraId="47984643">
            <w:pPr>
              <w:jc w:val="center"/>
              <w:rPr>
                <w:rFonts w:hint="eastAsia" w:ascii="宋体" w:hAnsi="宋体" w:cs="宋体"/>
                <w:color w:val="000000" w:themeColor="text1"/>
                <w:sz w:val="24"/>
                <w14:textFill>
                  <w14:solidFill>
                    <w14:schemeClr w14:val="tx1"/>
                  </w14:solidFill>
                </w14:textFill>
              </w:rPr>
            </w:pPr>
          </w:p>
        </w:tc>
        <w:tc>
          <w:tcPr>
            <w:tcW w:w="1169" w:type="dxa"/>
            <w:tcBorders>
              <w:top w:val="single" w:color="auto" w:sz="4" w:space="0"/>
              <w:left w:val="nil"/>
              <w:bottom w:val="single" w:color="auto" w:sz="4" w:space="0"/>
              <w:right w:val="single" w:color="auto" w:sz="4" w:space="0"/>
            </w:tcBorders>
            <w:vAlign w:val="center"/>
          </w:tcPr>
          <w:p w14:paraId="37CC4DC2">
            <w:pPr>
              <w:jc w:val="center"/>
              <w:rPr>
                <w:rFonts w:hint="eastAsia" w:ascii="宋体" w:hAnsi="宋体" w:cs="宋体"/>
                <w:color w:val="000000" w:themeColor="text1"/>
                <w:sz w:val="24"/>
                <w14:textFill>
                  <w14:solidFill>
                    <w14:schemeClr w14:val="tx1"/>
                  </w14:solidFill>
                </w14:textFill>
              </w:rPr>
            </w:pPr>
          </w:p>
        </w:tc>
        <w:tc>
          <w:tcPr>
            <w:tcW w:w="1173" w:type="dxa"/>
            <w:tcBorders>
              <w:top w:val="single" w:color="auto" w:sz="4" w:space="0"/>
              <w:left w:val="nil"/>
              <w:bottom w:val="single" w:color="auto" w:sz="4" w:space="0"/>
              <w:right w:val="single" w:color="auto" w:sz="4" w:space="0"/>
            </w:tcBorders>
            <w:vAlign w:val="center"/>
          </w:tcPr>
          <w:p w14:paraId="33CFE804">
            <w:pPr>
              <w:jc w:val="center"/>
              <w:rPr>
                <w:rFonts w:hint="eastAsia" w:ascii="宋体" w:hAnsi="宋体" w:cs="宋体"/>
                <w:color w:val="000000" w:themeColor="text1"/>
                <w:sz w:val="24"/>
                <w14:textFill>
                  <w14:solidFill>
                    <w14:schemeClr w14:val="tx1"/>
                  </w14:solidFill>
                </w14:textFill>
              </w:rPr>
            </w:pPr>
          </w:p>
        </w:tc>
      </w:tr>
    </w:tbl>
    <w:p w14:paraId="2EB24A89">
      <w:pPr>
        <w:spacing w:line="360" w:lineRule="auto"/>
        <w:ind w:firstLine="440" w:firstLineChars="200"/>
        <w:jc w:val="left"/>
        <w:rPr>
          <w:rFonts w:hint="eastAsia" w:ascii="新宋体" w:hAnsi="新宋体" w:eastAsia="新宋体" w:cs="新宋体"/>
          <w:color w:val="000000" w:themeColor="text1"/>
          <w:sz w:val="22"/>
          <w:szCs w:val="22"/>
          <w14:textFill>
            <w14:solidFill>
              <w14:schemeClr w14:val="tx1"/>
            </w14:solidFill>
          </w14:textFill>
        </w:rPr>
      </w:pPr>
      <w:r>
        <w:rPr>
          <w:rFonts w:hint="eastAsia" w:ascii="新宋体" w:hAnsi="新宋体" w:eastAsia="新宋体" w:cs="新宋体"/>
          <w:color w:val="000000" w:themeColor="text1"/>
          <w:sz w:val="22"/>
          <w:szCs w:val="22"/>
          <w14:textFill>
            <w14:solidFill>
              <w14:schemeClr w14:val="tx1"/>
            </w14:solidFill>
          </w14:textFill>
        </w:rPr>
        <w:t>注：1、以上合同总价为含税总价，投标报价是履行合同的最终价格。采购范围内相应服务的全部内容，包括完成嵊州市三溪水库工程林木清理项目（详见本招标文件第三章内容）和合同条款约定的一切费用。投标人报价应包括完成该项目所涉及的一切人员工资、机械、劳保福利、保险、设备、高温补贴、管理费、利润、税金等，投标人的投标报价为整个采购项目的总报价。所有价格均应予人民币报价，金额单位为元，总价保留至元。</w:t>
      </w:r>
    </w:p>
    <w:p w14:paraId="08E2457C">
      <w:pPr>
        <w:spacing w:line="360" w:lineRule="auto"/>
        <w:ind w:firstLine="440" w:firstLineChars="200"/>
        <w:jc w:val="left"/>
        <w:rPr>
          <w:rFonts w:hint="eastAsia" w:ascii="新宋体" w:hAnsi="新宋体" w:eastAsia="新宋体" w:cs="新宋体"/>
          <w:color w:val="000000" w:themeColor="text1"/>
          <w:sz w:val="22"/>
          <w:szCs w:val="22"/>
          <w14:textFill>
            <w14:solidFill>
              <w14:schemeClr w14:val="tx1"/>
            </w14:solidFill>
          </w14:textFill>
        </w:rPr>
      </w:pPr>
      <w:r>
        <w:rPr>
          <w:rFonts w:hint="eastAsia" w:ascii="新宋体" w:hAnsi="新宋体" w:eastAsia="新宋体" w:cs="新宋体"/>
          <w:color w:val="000000" w:themeColor="text1"/>
          <w:sz w:val="22"/>
          <w:szCs w:val="22"/>
          <w14:textFill>
            <w14:solidFill>
              <w14:schemeClr w14:val="tx1"/>
            </w14:solidFill>
          </w14:textFill>
        </w:rPr>
        <w:t>2、此表是投标文件的必要文件，是投标文件的组成部分。</w:t>
      </w:r>
    </w:p>
    <w:p w14:paraId="6B90661C">
      <w:pPr>
        <w:spacing w:line="360" w:lineRule="auto"/>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3、</w:t>
      </w:r>
      <w:r>
        <w:rPr>
          <w:rFonts w:hint="eastAsia" w:ascii="宋体" w:hAnsi="宋体" w:cs="宋体"/>
          <w:b/>
          <w:color w:val="000000"/>
          <w:sz w:val="22"/>
          <w:szCs w:val="22"/>
        </w:rPr>
        <w:t>以上投标总价不得超出最高限价，否则作无效标处理。</w:t>
      </w:r>
    </w:p>
    <w:p w14:paraId="7C510AE5">
      <w:pPr>
        <w:widowControl/>
        <w:adjustRightInd/>
        <w:rPr>
          <w:rFonts w:hint="eastAsia" w:ascii="宋体" w:hAnsi="宋体" w:cs="宋体"/>
          <w:kern w:val="0"/>
          <w:sz w:val="24"/>
        </w:rPr>
      </w:pPr>
      <w:r>
        <w:rPr>
          <w:rFonts w:hint="eastAsia" w:ascii="宋体" w:hAnsi="宋体" w:cs="宋体"/>
          <w:kern w:val="0"/>
          <w:sz w:val="24"/>
        </w:rPr>
        <w:t xml:space="preserve"> </w:t>
      </w:r>
    </w:p>
    <w:p w14:paraId="1DAA25A1">
      <w:pPr>
        <w:snapToGrid w:val="0"/>
        <w:spacing w:line="360" w:lineRule="auto"/>
        <w:textAlignment w:val="baseline"/>
        <w:rPr>
          <w:rFonts w:hint="eastAsia" w:ascii="新宋体" w:hAnsi="新宋体" w:eastAsia="新宋体" w:cs="新宋体"/>
          <w:sz w:val="24"/>
        </w:rPr>
      </w:pPr>
    </w:p>
    <w:p w14:paraId="237242DE">
      <w:pPr>
        <w:spacing w:line="336"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投标人名称（电子签名）：</w:t>
      </w:r>
    </w:p>
    <w:p w14:paraId="717C0D05">
      <w:pPr>
        <w:pStyle w:val="64"/>
        <w:spacing w:line="480" w:lineRule="auto"/>
        <w:ind w:firstLine="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3F0C78DF">
      <w:r>
        <w:rPr>
          <w:rFonts w:hint="eastAsia"/>
        </w:rPr>
        <w:br w:type="page"/>
      </w:r>
    </w:p>
    <w:p w14:paraId="5C85C6D2">
      <w:pPr>
        <w:pStyle w:val="69"/>
        <w:snapToGrid w:val="0"/>
        <w:spacing w:line="480" w:lineRule="exact"/>
        <w:jc w:val="center"/>
        <w:rPr>
          <w:rFonts w:hint="eastAsia" w:hAnsi="宋体" w:cs="宋体"/>
          <w:b/>
          <w:bCs/>
          <w:sz w:val="24"/>
          <w:szCs w:val="24"/>
        </w:rPr>
      </w:pPr>
      <w:r>
        <w:rPr>
          <w:rFonts w:hint="eastAsia" w:hAnsi="宋体" w:cs="宋体"/>
          <w:b/>
          <w:bCs/>
          <w:sz w:val="24"/>
          <w:szCs w:val="24"/>
        </w:rPr>
        <w:t>国企采购活动现场确认声明书</w:t>
      </w:r>
    </w:p>
    <w:p w14:paraId="13294EE4">
      <w:pPr>
        <w:pStyle w:val="69"/>
        <w:snapToGrid w:val="0"/>
        <w:spacing w:line="480" w:lineRule="exact"/>
        <w:ind w:firstLine="480" w:firstLineChars="200"/>
        <w:rPr>
          <w:rFonts w:hint="eastAsia" w:hAnsi="宋体" w:cs="宋体"/>
          <w:spacing w:val="6"/>
          <w:sz w:val="24"/>
          <w:szCs w:val="24"/>
          <w:u w:val="single"/>
        </w:rPr>
      </w:pPr>
      <w:r>
        <w:rPr>
          <w:rFonts w:hint="eastAsia" w:hAnsi="宋体" w:cs="宋体"/>
          <w:sz w:val="24"/>
          <w:szCs w:val="24"/>
          <w:u w:val="single"/>
        </w:rPr>
        <w:t>大地工程咨询有限公司</w:t>
      </w:r>
      <w:r>
        <w:rPr>
          <w:rFonts w:hint="eastAsia" w:hAnsi="宋体" w:cs="宋体"/>
          <w:spacing w:val="6"/>
          <w:sz w:val="24"/>
          <w:szCs w:val="24"/>
          <w:u w:val="single"/>
        </w:rPr>
        <w:t>：</w:t>
      </w:r>
    </w:p>
    <w:p w14:paraId="32C44A2F">
      <w:pPr>
        <w:pStyle w:val="69"/>
        <w:snapToGrid w:val="0"/>
        <w:spacing w:line="480" w:lineRule="exact"/>
        <w:ind w:firstLine="504" w:firstLineChars="200"/>
        <w:rPr>
          <w:rFonts w:hint="eastAsia" w:hAnsi="宋体" w:cs="宋体"/>
          <w:spacing w:val="6"/>
          <w:sz w:val="24"/>
          <w:szCs w:val="24"/>
        </w:rPr>
      </w:pPr>
      <w:r>
        <w:rPr>
          <w:rFonts w:hint="eastAsia" w:hAnsi="宋体" w:cs="宋体"/>
          <w:spacing w:val="6"/>
          <w:sz w:val="24"/>
          <w:szCs w:val="24"/>
          <w:u w:val="single"/>
        </w:rPr>
        <w:t>本人经由           （单位）负责人     （姓名）合法授权参加    （项目编号：     ）</w:t>
      </w:r>
      <w:r>
        <w:rPr>
          <w:rFonts w:hint="eastAsia" w:hAnsi="宋体" w:cs="宋体"/>
          <w:spacing w:val="6"/>
          <w:sz w:val="24"/>
          <w:szCs w:val="24"/>
        </w:rPr>
        <w:t xml:space="preserve">国企采购活动，经与本单位法人代表（负责人）联系确认，现就有关公平竞争事项郑重声明如下： </w:t>
      </w:r>
    </w:p>
    <w:p w14:paraId="2F5EC03F">
      <w:pPr>
        <w:pStyle w:val="70"/>
        <w:widowControl/>
        <w:snapToGrid w:val="0"/>
        <w:spacing w:line="480" w:lineRule="exact"/>
        <w:ind w:firstLine="480" w:firstLineChars="200"/>
        <w:rPr>
          <w:rFonts w:hint="eastAsia" w:ascii="宋体" w:hAnsi="宋体" w:eastAsia="宋体" w:cs="宋体"/>
          <w:szCs w:val="24"/>
        </w:rPr>
      </w:pPr>
      <w:r>
        <w:rPr>
          <w:rFonts w:hint="eastAsia" w:ascii="宋体" w:hAnsi="宋体" w:eastAsia="宋体" w:cs="宋体"/>
          <w:szCs w:val="24"/>
        </w:rPr>
        <w:t>一、本单位与甲方之间 ☑不存在利害关系 □存在下列利害关系</w:t>
      </w:r>
      <w:r>
        <w:rPr>
          <w:rFonts w:hint="eastAsia" w:ascii="宋体" w:hAnsi="宋体" w:eastAsia="宋体" w:cs="宋体"/>
          <w:szCs w:val="24"/>
          <w:u w:val="single"/>
        </w:rPr>
        <w:t xml:space="preserve">         </w:t>
      </w:r>
      <w:r>
        <w:rPr>
          <w:rFonts w:hint="eastAsia" w:ascii="宋体" w:hAnsi="宋体" w:eastAsia="宋体" w:cs="宋体"/>
          <w:szCs w:val="24"/>
        </w:rPr>
        <w:t>：</w:t>
      </w:r>
    </w:p>
    <w:p w14:paraId="6101FC30">
      <w:pPr>
        <w:pStyle w:val="70"/>
        <w:widowControl/>
        <w:snapToGrid w:val="0"/>
        <w:spacing w:line="480" w:lineRule="exact"/>
        <w:rPr>
          <w:rFonts w:hint="eastAsia" w:ascii="宋体" w:hAnsi="宋体" w:eastAsia="宋体" w:cs="宋体"/>
          <w:szCs w:val="24"/>
        </w:rPr>
      </w:pPr>
      <w:r>
        <w:rPr>
          <w:rFonts w:hint="eastAsia" w:ascii="宋体" w:hAnsi="宋体" w:eastAsia="宋体" w:cs="宋体"/>
          <w:szCs w:val="24"/>
        </w:rPr>
        <w:t xml:space="preserve">  A.投资关系    B.行政隶属关系    C.业务指导关系</w:t>
      </w:r>
    </w:p>
    <w:p w14:paraId="2434AC55">
      <w:pPr>
        <w:pStyle w:val="70"/>
        <w:widowControl/>
        <w:snapToGrid w:val="0"/>
        <w:spacing w:line="480" w:lineRule="exact"/>
        <w:rPr>
          <w:rFonts w:hint="eastAsia" w:ascii="宋体" w:hAnsi="宋体" w:eastAsia="宋体" w:cs="宋体"/>
          <w:szCs w:val="24"/>
        </w:rPr>
      </w:pPr>
      <w:r>
        <w:rPr>
          <w:rFonts w:hint="eastAsia" w:ascii="宋体" w:hAnsi="宋体" w:eastAsia="宋体" w:cs="宋体"/>
          <w:szCs w:val="24"/>
        </w:rPr>
        <w:t xml:space="preserve">  D.其他可能影响采购公正的利害关系</w:t>
      </w:r>
      <w:r>
        <w:rPr>
          <w:rFonts w:hint="eastAsia" w:ascii="宋体" w:hAnsi="宋体" w:eastAsia="宋体" w:cs="宋体"/>
          <w:szCs w:val="24"/>
          <w:u w:val="single"/>
        </w:rPr>
        <w:t xml:space="preserve">（如有，请如实说明）                 </w:t>
      </w:r>
      <w:r>
        <w:rPr>
          <w:rFonts w:hint="eastAsia" w:ascii="宋体" w:hAnsi="宋体" w:eastAsia="宋体" w:cs="宋体"/>
          <w:szCs w:val="24"/>
        </w:rPr>
        <w:t>。</w:t>
      </w:r>
    </w:p>
    <w:p w14:paraId="13C40C21">
      <w:pPr>
        <w:pStyle w:val="70"/>
        <w:widowControl/>
        <w:snapToGrid w:val="0"/>
        <w:spacing w:line="480" w:lineRule="exact"/>
        <w:rPr>
          <w:rFonts w:hint="eastAsia" w:ascii="宋体" w:hAnsi="宋体" w:eastAsia="宋体" w:cs="宋体"/>
          <w:szCs w:val="24"/>
        </w:rPr>
      </w:pPr>
      <w:r>
        <w:rPr>
          <w:rFonts w:hint="eastAsia" w:ascii="宋体" w:hAnsi="宋体" w:eastAsia="宋体" w:cs="宋体"/>
          <w:spacing w:val="6"/>
          <w:szCs w:val="24"/>
        </w:rPr>
        <w:t xml:space="preserve">   二、</w:t>
      </w:r>
      <w:r>
        <w:rPr>
          <w:rFonts w:hint="eastAsia" w:ascii="宋体" w:hAnsi="宋体" w:eastAsia="宋体" w:cs="宋体"/>
          <w:szCs w:val="24"/>
        </w:rPr>
        <w:t>现已清楚知道参加本项目采购活动的其他所有供应商名称，本单位 □与其他所有供应商之间均不存在利害关系 □与</w:t>
      </w:r>
      <w:r>
        <w:rPr>
          <w:rFonts w:hint="eastAsia" w:ascii="宋体" w:hAnsi="宋体" w:eastAsia="宋体" w:cs="宋体"/>
          <w:szCs w:val="24"/>
          <w:u w:val="single"/>
        </w:rPr>
        <w:t xml:space="preserve">           （供应商名称）</w:t>
      </w:r>
      <w:r>
        <w:rPr>
          <w:rFonts w:hint="eastAsia" w:ascii="宋体" w:hAnsi="宋体" w:eastAsia="宋体" w:cs="宋体"/>
          <w:szCs w:val="24"/>
        </w:rPr>
        <w:t>之间存在下列利害关系</w:t>
      </w:r>
      <w:r>
        <w:rPr>
          <w:rFonts w:hint="eastAsia" w:ascii="宋体" w:hAnsi="宋体" w:eastAsia="宋体" w:cs="宋体"/>
          <w:szCs w:val="24"/>
          <w:u w:val="single"/>
        </w:rPr>
        <w:t xml:space="preserve">          </w:t>
      </w:r>
      <w:r>
        <w:rPr>
          <w:rFonts w:hint="eastAsia" w:ascii="宋体" w:hAnsi="宋体" w:eastAsia="宋体" w:cs="宋体"/>
          <w:szCs w:val="24"/>
        </w:rPr>
        <w:t>：</w:t>
      </w:r>
    </w:p>
    <w:p w14:paraId="6311F9E5">
      <w:pPr>
        <w:pStyle w:val="69"/>
        <w:snapToGrid w:val="0"/>
        <w:spacing w:line="480" w:lineRule="exact"/>
        <w:rPr>
          <w:rFonts w:hint="eastAsia" w:hAnsi="宋体" w:cs="宋体"/>
          <w:sz w:val="24"/>
          <w:szCs w:val="24"/>
        </w:rPr>
      </w:pPr>
      <w:r>
        <w:rPr>
          <w:rFonts w:hint="eastAsia" w:hAnsi="宋体" w:cs="宋体"/>
          <w:sz w:val="24"/>
          <w:szCs w:val="24"/>
        </w:rPr>
        <w:t xml:space="preserve">  A.法定代表人或负责人或实际控制人是同一人</w:t>
      </w:r>
    </w:p>
    <w:p w14:paraId="43ACB0F7">
      <w:pPr>
        <w:pStyle w:val="69"/>
        <w:snapToGrid w:val="0"/>
        <w:spacing w:line="480" w:lineRule="exact"/>
        <w:rPr>
          <w:rFonts w:hint="eastAsia" w:hAnsi="宋体" w:cs="宋体"/>
          <w:spacing w:val="6"/>
          <w:sz w:val="24"/>
          <w:szCs w:val="24"/>
        </w:rPr>
      </w:pPr>
      <w:r>
        <w:rPr>
          <w:rFonts w:hint="eastAsia" w:hAnsi="宋体" w:cs="宋体"/>
          <w:sz w:val="24"/>
          <w:szCs w:val="24"/>
        </w:rPr>
        <w:t xml:space="preserve">  B.法定代表人或负责人或实际控制人是夫妻关系</w:t>
      </w:r>
    </w:p>
    <w:p w14:paraId="530DC759">
      <w:pPr>
        <w:pStyle w:val="69"/>
        <w:snapToGrid w:val="0"/>
        <w:spacing w:line="480" w:lineRule="exact"/>
        <w:rPr>
          <w:rFonts w:hint="eastAsia" w:hAnsi="宋体" w:cs="宋体"/>
          <w:spacing w:val="6"/>
          <w:sz w:val="24"/>
          <w:szCs w:val="24"/>
        </w:rPr>
      </w:pPr>
      <w:r>
        <w:rPr>
          <w:rFonts w:hint="eastAsia" w:hAnsi="宋体" w:cs="宋体"/>
          <w:sz w:val="24"/>
          <w:szCs w:val="24"/>
        </w:rPr>
        <w:t xml:space="preserve">  C.法定代表人或负责人或实际控制人是直系血亲关系</w:t>
      </w:r>
    </w:p>
    <w:p w14:paraId="52A59672">
      <w:pPr>
        <w:pStyle w:val="69"/>
        <w:snapToGrid w:val="0"/>
        <w:spacing w:line="480" w:lineRule="exact"/>
        <w:rPr>
          <w:rFonts w:hint="eastAsia" w:hAnsi="宋体" w:cs="宋体"/>
          <w:spacing w:val="6"/>
          <w:sz w:val="24"/>
          <w:szCs w:val="24"/>
        </w:rPr>
      </w:pPr>
      <w:r>
        <w:rPr>
          <w:rFonts w:hint="eastAsia" w:hAnsi="宋体" w:cs="宋体"/>
          <w:sz w:val="24"/>
          <w:szCs w:val="24"/>
        </w:rPr>
        <w:t xml:space="preserve">  D.法定代表人或负责人或实际控制人存在三代以内旁系血亲关系</w:t>
      </w:r>
    </w:p>
    <w:p w14:paraId="35896995">
      <w:pPr>
        <w:pStyle w:val="69"/>
        <w:snapToGrid w:val="0"/>
        <w:spacing w:line="480" w:lineRule="exact"/>
        <w:rPr>
          <w:rFonts w:hint="eastAsia" w:hAnsi="宋体" w:cs="宋体"/>
          <w:sz w:val="24"/>
          <w:szCs w:val="24"/>
        </w:rPr>
      </w:pPr>
      <w:r>
        <w:rPr>
          <w:rFonts w:hint="eastAsia" w:hAnsi="宋体" w:cs="宋体"/>
          <w:sz w:val="24"/>
          <w:szCs w:val="24"/>
        </w:rPr>
        <w:t xml:space="preserve">  E.法定代表人或负责人或实际控制人存在近姻亲关系</w:t>
      </w:r>
    </w:p>
    <w:p w14:paraId="73A44E9F">
      <w:pPr>
        <w:pStyle w:val="69"/>
        <w:snapToGrid w:val="0"/>
        <w:spacing w:line="480" w:lineRule="exact"/>
        <w:rPr>
          <w:rFonts w:hint="eastAsia" w:hAnsi="宋体" w:cs="宋体"/>
          <w:sz w:val="24"/>
          <w:szCs w:val="24"/>
        </w:rPr>
      </w:pPr>
      <w:r>
        <w:rPr>
          <w:rFonts w:hint="eastAsia" w:hAnsi="宋体" w:cs="宋体"/>
          <w:sz w:val="24"/>
          <w:szCs w:val="24"/>
        </w:rPr>
        <w:t xml:space="preserve">  F.法定代表人或负责人或实际控制人存在股份控制或实际控制关系</w:t>
      </w:r>
    </w:p>
    <w:p w14:paraId="01690D45">
      <w:pPr>
        <w:pStyle w:val="69"/>
        <w:snapToGrid w:val="0"/>
        <w:spacing w:line="480" w:lineRule="exact"/>
        <w:rPr>
          <w:rFonts w:hint="eastAsia" w:hAnsi="宋体" w:cs="宋体"/>
          <w:sz w:val="24"/>
          <w:szCs w:val="24"/>
        </w:rPr>
      </w:pPr>
      <w:r>
        <w:rPr>
          <w:rFonts w:hint="eastAsia" w:hAnsi="宋体" w:cs="宋体"/>
          <w:sz w:val="24"/>
          <w:szCs w:val="24"/>
        </w:rPr>
        <w:t xml:space="preserve">  G.存在共同直接或间接投资设立子公司、联营企业和合营企业情况</w:t>
      </w:r>
    </w:p>
    <w:p w14:paraId="362ECBEF">
      <w:pPr>
        <w:pStyle w:val="69"/>
        <w:snapToGrid w:val="0"/>
        <w:spacing w:line="480" w:lineRule="exact"/>
        <w:rPr>
          <w:rFonts w:hint="eastAsia" w:hAnsi="宋体" w:cs="宋体"/>
          <w:sz w:val="24"/>
          <w:szCs w:val="24"/>
        </w:rPr>
      </w:pPr>
      <w:r>
        <w:rPr>
          <w:rFonts w:hint="eastAsia" w:hAnsi="宋体" w:cs="宋体"/>
          <w:sz w:val="24"/>
          <w:szCs w:val="24"/>
        </w:rPr>
        <w:t xml:space="preserve">  H.存在分级代理或代销关系、同一生产制造商关系、管理关系、重要业务（占主营业务收入50%以上）或重要财务往来关系（如融资）等其他实质性控制关系</w:t>
      </w:r>
    </w:p>
    <w:p w14:paraId="3C526EAF">
      <w:pPr>
        <w:pStyle w:val="69"/>
        <w:snapToGrid w:val="0"/>
        <w:spacing w:line="480" w:lineRule="exact"/>
        <w:rPr>
          <w:rFonts w:hint="eastAsia" w:hAnsi="宋体" w:cs="宋体"/>
          <w:spacing w:val="6"/>
          <w:sz w:val="24"/>
          <w:szCs w:val="24"/>
        </w:rPr>
      </w:pPr>
      <w:r>
        <w:rPr>
          <w:rFonts w:hint="eastAsia" w:hAnsi="宋体" w:cs="宋体"/>
          <w:sz w:val="24"/>
          <w:szCs w:val="24"/>
        </w:rPr>
        <w:t xml:space="preserve">    I.其他利害关系情况</w:t>
      </w:r>
      <w:r>
        <w:rPr>
          <w:rFonts w:hint="eastAsia" w:hAnsi="宋体" w:cs="宋体"/>
          <w:sz w:val="24"/>
          <w:szCs w:val="24"/>
          <w:u w:val="single"/>
        </w:rPr>
        <w:t xml:space="preserve">                              </w:t>
      </w:r>
      <w:r>
        <w:rPr>
          <w:rFonts w:hint="eastAsia" w:hAnsi="宋体" w:cs="宋体"/>
          <w:sz w:val="24"/>
          <w:szCs w:val="24"/>
        </w:rPr>
        <w:t>。</w:t>
      </w:r>
    </w:p>
    <w:p w14:paraId="416D133B">
      <w:pPr>
        <w:pStyle w:val="70"/>
        <w:widowControl/>
        <w:numPr>
          <w:ilvl w:val="0"/>
          <w:numId w:val="7"/>
        </w:numPr>
        <w:snapToGrid w:val="0"/>
        <w:spacing w:line="480" w:lineRule="exact"/>
        <w:ind w:firstLine="453" w:firstLineChars="189"/>
        <w:rPr>
          <w:rFonts w:hint="eastAsia" w:ascii="宋体" w:hAnsi="宋体" w:eastAsia="宋体" w:cs="宋体"/>
          <w:szCs w:val="24"/>
        </w:rPr>
      </w:pPr>
      <w:r>
        <w:rPr>
          <w:rFonts w:hint="eastAsia" w:ascii="宋体" w:hAnsi="宋体" w:eastAsia="宋体" w:cs="宋体"/>
          <w:szCs w:val="24"/>
        </w:rPr>
        <w:t>现已清楚知道并严格遵守国企采购法律法规和现场纪律。</w:t>
      </w:r>
    </w:p>
    <w:p w14:paraId="1087883E">
      <w:pPr>
        <w:pStyle w:val="70"/>
        <w:widowControl/>
        <w:numPr>
          <w:ilvl w:val="0"/>
          <w:numId w:val="7"/>
        </w:numPr>
        <w:snapToGrid w:val="0"/>
        <w:spacing w:line="480" w:lineRule="exact"/>
        <w:ind w:firstLine="453" w:firstLineChars="189"/>
        <w:rPr>
          <w:rFonts w:hint="eastAsia" w:ascii="宋体" w:hAnsi="宋体" w:eastAsia="宋体" w:cs="宋体"/>
          <w:szCs w:val="24"/>
        </w:rPr>
      </w:pPr>
      <w:r>
        <w:rPr>
          <w:rFonts w:hint="eastAsia" w:ascii="宋体" w:hAnsi="宋体" w:eastAsia="宋体" w:cs="宋体"/>
          <w:szCs w:val="24"/>
        </w:rPr>
        <w:t>我发现</w:t>
      </w:r>
      <w:r>
        <w:rPr>
          <w:rFonts w:hint="eastAsia" w:ascii="宋体" w:hAnsi="宋体" w:eastAsia="宋体" w:cs="宋体"/>
          <w:szCs w:val="24"/>
          <w:u w:val="single"/>
        </w:rPr>
        <w:t xml:space="preserve">                    </w:t>
      </w:r>
      <w:r>
        <w:rPr>
          <w:rFonts w:hint="eastAsia" w:ascii="宋体" w:hAnsi="宋体" w:eastAsia="宋体" w:cs="宋体"/>
          <w:szCs w:val="24"/>
        </w:rPr>
        <w:t>供应商之间存在或可能存在上述第二条第</w:t>
      </w:r>
      <w:r>
        <w:rPr>
          <w:rFonts w:hint="eastAsia" w:ascii="宋体" w:hAnsi="宋体" w:eastAsia="宋体" w:cs="宋体"/>
          <w:szCs w:val="24"/>
          <w:u w:val="single"/>
        </w:rPr>
        <w:t xml:space="preserve">        </w:t>
      </w:r>
      <w:r>
        <w:rPr>
          <w:rFonts w:hint="eastAsia" w:ascii="宋体" w:hAnsi="宋体" w:eastAsia="宋体" w:cs="宋体"/>
          <w:szCs w:val="24"/>
        </w:rPr>
        <w:t>项利害关系</w:t>
      </w:r>
    </w:p>
    <w:p w14:paraId="3A8262C7">
      <w:pPr>
        <w:pStyle w:val="69"/>
        <w:snapToGrid w:val="0"/>
        <w:spacing w:line="480" w:lineRule="exact"/>
        <w:ind w:firstLine="5760" w:firstLineChars="2400"/>
        <w:rPr>
          <w:rFonts w:hint="eastAsia" w:hAnsi="宋体" w:cs="宋体"/>
          <w:sz w:val="24"/>
          <w:szCs w:val="24"/>
        </w:rPr>
      </w:pPr>
      <w:r>
        <w:rPr>
          <w:rFonts w:hint="eastAsia" w:hAnsi="宋体" w:cs="宋体"/>
          <w:sz w:val="24"/>
          <w:szCs w:val="24"/>
        </w:rPr>
        <w:t>（供应商代表签名）</w:t>
      </w:r>
    </w:p>
    <w:p w14:paraId="3714453C">
      <w:pPr>
        <w:pStyle w:val="69"/>
        <w:snapToGrid w:val="0"/>
        <w:spacing w:line="480" w:lineRule="exact"/>
        <w:ind w:firstLine="480" w:firstLineChars="200"/>
        <w:rPr>
          <w:rFonts w:hint="eastAsia" w:hAnsi="宋体" w:cs="宋体"/>
          <w:sz w:val="24"/>
          <w:szCs w:val="24"/>
        </w:rPr>
      </w:pPr>
      <w:r>
        <w:rPr>
          <w:rFonts w:hint="eastAsia" w:hAnsi="宋体" w:cs="宋体"/>
          <w:sz w:val="24"/>
          <w:szCs w:val="24"/>
        </w:rPr>
        <w:t xml:space="preserve">                                              年  月   日</w:t>
      </w:r>
    </w:p>
    <w:p w14:paraId="1FB0D994">
      <w:pPr>
        <w:snapToGrid w:val="0"/>
        <w:ind w:firstLine="482" w:firstLineChars="200"/>
        <w:rPr>
          <w:rFonts w:hint="eastAsia" w:ascii="宋体" w:hAnsi="宋体" w:cs="宋体"/>
          <w:b/>
          <w:bCs/>
          <w:sz w:val="24"/>
        </w:rPr>
      </w:pPr>
    </w:p>
    <w:p w14:paraId="5E97C0E1">
      <w:pPr>
        <w:pStyle w:val="36"/>
        <w:ind w:left="0" w:leftChars="0" w:firstLine="0" w:firstLineChars="0"/>
      </w:pPr>
      <w:r>
        <w:rPr>
          <w:rFonts w:hint="eastAsia" w:ascii="宋体" w:hAnsi="宋体" w:cs="宋体"/>
          <w:b/>
          <w:bCs/>
          <w:sz w:val="24"/>
          <w:szCs w:val="24"/>
        </w:rPr>
        <w:t>注：</w:t>
      </w:r>
      <w:bookmarkStart w:id="101" w:name="_Hlk190974304"/>
      <w:r>
        <w:rPr>
          <w:rFonts w:hint="eastAsia" w:ascii="宋体" w:hAnsi="宋体" w:cs="宋体"/>
          <w:b/>
          <w:bCs/>
          <w:sz w:val="24"/>
          <w:szCs w:val="24"/>
        </w:rPr>
        <w:t>响应文件解密结束后，</w:t>
      </w:r>
      <w:bookmarkEnd w:id="101"/>
      <w:r>
        <w:rPr>
          <w:rFonts w:hint="eastAsia" w:ascii="宋体" w:hAnsi="宋体" w:cs="宋体"/>
          <w:b/>
          <w:bCs/>
          <w:sz w:val="24"/>
          <w:szCs w:val="24"/>
        </w:rPr>
        <w:t>各投标供应商签署《国企采购活动现场确认声明书》，并在30分钟内以扫描件方式发送至代理机构邮箱：493720300@qq.com。</w:t>
      </w:r>
    </w:p>
    <w:sectPr>
      <w:headerReference r:id="rId13" w:type="default"/>
      <w:footerReference r:id="rId14" w:type="default"/>
      <w:pgSz w:w="11906" w:h="16838"/>
      <w:pgMar w:top="1361" w:right="1179" w:bottom="1230" w:left="998" w:header="862" w:footer="1066"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93"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D8DB1">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5E567">
    <w:pPr>
      <w:pStyle w:val="19"/>
      <w:framePr w:wrap="around" w:vAnchor="text" w:hAnchor="margin" w:xAlign="right" w:y="1"/>
      <w:rPr>
        <w:rStyle w:val="29"/>
      </w:rPr>
    </w:pPr>
    <w:r>
      <w:fldChar w:fldCharType="begin"/>
    </w:r>
    <w:r>
      <w:rPr>
        <w:rStyle w:val="29"/>
      </w:rPr>
      <w:instrText xml:space="preserve">PAGE  </w:instrText>
    </w:r>
    <w:r>
      <w:fldChar w:fldCharType="end"/>
    </w:r>
  </w:p>
  <w:p w14:paraId="3A2E5146">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D9AE6">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B7A2D">
    <w:pPr>
      <w:pStyle w:val="19"/>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84A7D">
    <w:pPr>
      <w:pStyle w:val="19"/>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4344D">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5D4344D">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50AEA">
    <w:pPr>
      <w:spacing w:line="173" w:lineRule="auto"/>
      <w:ind w:left="5054"/>
      <w:rPr>
        <w:rFonts w:eastAsia="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ED6EE">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D3ED6EE">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0906A">
    <w:pPr>
      <w:pStyle w:val="19"/>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741D2">
                          <w:pPr>
                            <w:pStyle w:val="1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D0741D2">
                    <w:pPr>
                      <w:pStyle w:val="1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4AEC3">
    <w:pPr>
      <w:pStyle w:val="20"/>
      <w:pBdr>
        <w:bottom w:val="none" w:color="auto" w:sz="0" w:space="4"/>
      </w:pBdr>
      <w:tabs>
        <w:tab w:val="left" w:pos="1394"/>
        <w:tab w:val="right" w:pos="9190"/>
      </w:tabs>
      <w:jc w:val="left"/>
      <w:rPr>
        <w:rFonts w:ascii="仿宋_GB2312" w:eastAsia="仿宋_GB2312"/>
        <w:i/>
        <w:u w:val="single"/>
      </w:rPr>
    </w:pPr>
    <w:r>
      <w:rPr>
        <w:rFonts w:hint="eastAsia"/>
      </w:rPr>
      <w:tab/>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486B8">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F1981">
    <w:pPr>
      <w:pStyle w:val="20"/>
      <w:pBdr>
        <w:bottom w:val="none" w:color="auto" w:sz="0" w:space="0"/>
      </w:pBdr>
      <w:tabs>
        <w:tab w:val="center" w:pos="4535"/>
        <w:tab w:val="right" w:pos="9070"/>
        <w:tab w:val="clear" w:pos="4153"/>
        <w:tab w:val="clear" w:pos="8306"/>
      </w:tabs>
      <w:jc w:val="right"/>
    </w:pPr>
    <w:r>
      <w:rPr>
        <w:lang w:val="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04FE4">
    <w:pPr>
      <w:pStyle w:val="10"/>
      <w:spacing w:before="15" w:line="219" w:lineRule="auto"/>
      <w:ind w:left="3259"/>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27F12">
    <w:pPr>
      <w:pStyle w:val="20"/>
      <w:pBdr>
        <w:bottom w:val="none" w:color="auto" w:sz="0" w:space="0"/>
      </w:pBdr>
      <w:tabs>
        <w:tab w:val="center" w:pos="4535"/>
        <w:tab w:val="right" w:pos="9070"/>
        <w:tab w:val="clear" w:pos="4153"/>
        <w:tab w:val="clear" w:pos="8306"/>
      </w:tabs>
    </w:pPr>
    <w:r>
      <w:rPr>
        <w:lang w:val="zh-CN"/>
      </w:rPr>
      <w:t></w:t>
    </w:r>
  </w:p>
  <w:p w14:paraId="02E178FC">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15E59C"/>
    <w:multiLevelType w:val="singleLevel"/>
    <w:tmpl w:val="F815E59C"/>
    <w:lvl w:ilvl="0" w:tentative="0">
      <w:start w:val="1"/>
      <w:numFmt w:val="decimal"/>
      <w:pStyle w:val="7"/>
      <w:lvlText w:val="%1."/>
      <w:lvlJc w:val="left"/>
      <w:pPr>
        <w:tabs>
          <w:tab w:val="left" w:pos="360"/>
        </w:tabs>
        <w:ind w:left="360" w:hanging="360"/>
      </w:pPr>
    </w:lvl>
  </w:abstractNum>
  <w:abstractNum w:abstractNumId="1">
    <w:nsid w:val="00000002"/>
    <w:multiLevelType w:val="singleLevel"/>
    <w:tmpl w:val="00000002"/>
    <w:lvl w:ilvl="0" w:tentative="0">
      <w:start w:val="1"/>
      <w:numFmt w:val="decimal"/>
      <w:pStyle w:val="4"/>
      <w:lvlText w:val="%1."/>
      <w:lvlJc w:val="left"/>
      <w:pPr>
        <w:tabs>
          <w:tab w:val="left" w:pos="1200"/>
        </w:tabs>
        <w:ind w:left="1200" w:hanging="360"/>
      </w:pPr>
    </w:lvl>
  </w:abstractNum>
  <w:abstractNum w:abstractNumId="2">
    <w:nsid w:val="3ACA936A"/>
    <w:multiLevelType w:val="singleLevel"/>
    <w:tmpl w:val="3ACA936A"/>
    <w:lvl w:ilvl="0" w:tentative="0">
      <w:start w:val="6"/>
      <w:numFmt w:val="chineseCounting"/>
      <w:suff w:val="space"/>
      <w:lvlText w:val="第%1章"/>
      <w:lvlJc w:val="left"/>
      <w:rPr>
        <w:rFonts w:hint="eastAsia"/>
      </w:rPr>
    </w:lvl>
  </w:abstractNum>
  <w:abstractNum w:abstractNumId="3">
    <w:nsid w:val="419319EE"/>
    <w:multiLevelType w:val="singleLevel"/>
    <w:tmpl w:val="419319EE"/>
    <w:lvl w:ilvl="0" w:tentative="0">
      <w:start w:val="7"/>
      <w:numFmt w:val="decimal"/>
      <w:lvlText w:val="%1."/>
      <w:lvlJc w:val="left"/>
      <w:pPr>
        <w:tabs>
          <w:tab w:val="left" w:pos="312"/>
        </w:tabs>
      </w:pPr>
    </w:lvl>
  </w:abstractNum>
  <w:abstractNum w:abstractNumId="4">
    <w:nsid w:val="41CA2A37"/>
    <w:multiLevelType w:val="singleLevel"/>
    <w:tmpl w:val="41CA2A37"/>
    <w:lvl w:ilvl="0" w:tentative="0">
      <w:start w:val="1"/>
      <w:numFmt w:val="chineseCounting"/>
      <w:suff w:val="nothing"/>
      <w:lvlText w:val="（%1）"/>
      <w:lvlJc w:val="left"/>
      <w:rPr>
        <w:rFonts w:hint="eastAsia"/>
      </w:rPr>
    </w:lvl>
  </w:abstractNum>
  <w:abstractNum w:abstractNumId="5">
    <w:nsid w:val="545A512C"/>
    <w:multiLevelType w:val="multilevel"/>
    <w:tmpl w:val="545A512C"/>
    <w:lvl w:ilvl="0" w:tentative="0">
      <w:start w:val="1"/>
      <w:numFmt w:val="chineseCountingThousand"/>
      <w:pStyle w:val="57"/>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557FD3DA"/>
    <w:multiLevelType w:val="singleLevel"/>
    <w:tmpl w:val="557FD3DA"/>
    <w:lvl w:ilvl="0" w:tentative="0">
      <w:start w:val="3"/>
      <w:numFmt w:val="chineseCounting"/>
      <w:suff w:val="nothing"/>
      <w:lvlText w:val="%1、"/>
      <w:lvlJc w:val="left"/>
    </w:lvl>
  </w:abstractNum>
  <w:num w:numId="1">
    <w:abstractNumId w:val="1"/>
  </w:num>
  <w:num w:numId="2">
    <w:abstractNumId w:val="0"/>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ODZlZDk3NTJjM2ZjNzAzOTFkOGEyYjliNWQyYmIifQ=="/>
    <w:docVar w:name="KSO_WPS_MARK_KEY" w:val="32788969-611e-4250-af95-9c694458ee98"/>
  </w:docVars>
  <w:rsids>
    <w:rsidRoot w:val="00172A27"/>
    <w:rsid w:val="00036AA8"/>
    <w:rsid w:val="000B292F"/>
    <w:rsid w:val="000D1E74"/>
    <w:rsid w:val="000F465E"/>
    <w:rsid w:val="000F6B8A"/>
    <w:rsid w:val="00124434"/>
    <w:rsid w:val="00172A27"/>
    <w:rsid w:val="00172C5A"/>
    <w:rsid w:val="0018062F"/>
    <w:rsid w:val="001A0D22"/>
    <w:rsid w:val="001B0AF3"/>
    <w:rsid w:val="001D795C"/>
    <w:rsid w:val="001E20C4"/>
    <w:rsid w:val="0022181C"/>
    <w:rsid w:val="00225B27"/>
    <w:rsid w:val="00355330"/>
    <w:rsid w:val="00392C9F"/>
    <w:rsid w:val="003B1B47"/>
    <w:rsid w:val="00411DCA"/>
    <w:rsid w:val="004218AD"/>
    <w:rsid w:val="00443644"/>
    <w:rsid w:val="004A2270"/>
    <w:rsid w:val="004A66FF"/>
    <w:rsid w:val="004C1763"/>
    <w:rsid w:val="004F14E4"/>
    <w:rsid w:val="00501F2A"/>
    <w:rsid w:val="005065FD"/>
    <w:rsid w:val="0051005F"/>
    <w:rsid w:val="00556C16"/>
    <w:rsid w:val="005805F0"/>
    <w:rsid w:val="0058523E"/>
    <w:rsid w:val="00597B8A"/>
    <w:rsid w:val="006022B5"/>
    <w:rsid w:val="0060429F"/>
    <w:rsid w:val="00613D6C"/>
    <w:rsid w:val="006278E5"/>
    <w:rsid w:val="00630337"/>
    <w:rsid w:val="00650DD2"/>
    <w:rsid w:val="00673A7C"/>
    <w:rsid w:val="00756CC6"/>
    <w:rsid w:val="007A6F63"/>
    <w:rsid w:val="007E1C93"/>
    <w:rsid w:val="008102F1"/>
    <w:rsid w:val="00825BEC"/>
    <w:rsid w:val="00827F01"/>
    <w:rsid w:val="00862218"/>
    <w:rsid w:val="00883F05"/>
    <w:rsid w:val="008C5F82"/>
    <w:rsid w:val="008C77EA"/>
    <w:rsid w:val="009101FA"/>
    <w:rsid w:val="0091617F"/>
    <w:rsid w:val="00917429"/>
    <w:rsid w:val="009B2951"/>
    <w:rsid w:val="009D057D"/>
    <w:rsid w:val="009F186C"/>
    <w:rsid w:val="00A32679"/>
    <w:rsid w:val="00B77798"/>
    <w:rsid w:val="00BB7F07"/>
    <w:rsid w:val="00C14782"/>
    <w:rsid w:val="00CB5A10"/>
    <w:rsid w:val="00D12157"/>
    <w:rsid w:val="00D124B7"/>
    <w:rsid w:val="00D351A5"/>
    <w:rsid w:val="00D86139"/>
    <w:rsid w:val="00E423EA"/>
    <w:rsid w:val="00E53131"/>
    <w:rsid w:val="00E55843"/>
    <w:rsid w:val="00E80B97"/>
    <w:rsid w:val="00E8559B"/>
    <w:rsid w:val="00F05477"/>
    <w:rsid w:val="00F5739E"/>
    <w:rsid w:val="00F94508"/>
    <w:rsid w:val="01400251"/>
    <w:rsid w:val="017B7436"/>
    <w:rsid w:val="019D0E43"/>
    <w:rsid w:val="01B3097E"/>
    <w:rsid w:val="01C40DDD"/>
    <w:rsid w:val="01D17056"/>
    <w:rsid w:val="01D64ED1"/>
    <w:rsid w:val="020D373D"/>
    <w:rsid w:val="02383FE7"/>
    <w:rsid w:val="0263556F"/>
    <w:rsid w:val="029C6489"/>
    <w:rsid w:val="02BC1AB4"/>
    <w:rsid w:val="02C31095"/>
    <w:rsid w:val="03174EFC"/>
    <w:rsid w:val="031E2444"/>
    <w:rsid w:val="03266551"/>
    <w:rsid w:val="03321D76"/>
    <w:rsid w:val="048C3708"/>
    <w:rsid w:val="048D515B"/>
    <w:rsid w:val="049F3ADE"/>
    <w:rsid w:val="04A15406"/>
    <w:rsid w:val="050B287F"/>
    <w:rsid w:val="05377B18"/>
    <w:rsid w:val="05AB7E42"/>
    <w:rsid w:val="05AC22B4"/>
    <w:rsid w:val="05AD539E"/>
    <w:rsid w:val="05D11D1B"/>
    <w:rsid w:val="061D0ABC"/>
    <w:rsid w:val="06345E66"/>
    <w:rsid w:val="066E30C6"/>
    <w:rsid w:val="068D11C9"/>
    <w:rsid w:val="068F128E"/>
    <w:rsid w:val="06FE075D"/>
    <w:rsid w:val="072C6C80"/>
    <w:rsid w:val="073D0CEA"/>
    <w:rsid w:val="07750484"/>
    <w:rsid w:val="078359E7"/>
    <w:rsid w:val="07A6439C"/>
    <w:rsid w:val="07E55609"/>
    <w:rsid w:val="07F10452"/>
    <w:rsid w:val="07FF54C2"/>
    <w:rsid w:val="08137BB3"/>
    <w:rsid w:val="08206641"/>
    <w:rsid w:val="08255E29"/>
    <w:rsid w:val="088766C0"/>
    <w:rsid w:val="08A13C26"/>
    <w:rsid w:val="08BB636A"/>
    <w:rsid w:val="08C13889"/>
    <w:rsid w:val="091617A9"/>
    <w:rsid w:val="0922094A"/>
    <w:rsid w:val="0922463B"/>
    <w:rsid w:val="09244075"/>
    <w:rsid w:val="093C56FD"/>
    <w:rsid w:val="0946032A"/>
    <w:rsid w:val="09787BD2"/>
    <w:rsid w:val="0995305F"/>
    <w:rsid w:val="09B56422"/>
    <w:rsid w:val="09F31EAA"/>
    <w:rsid w:val="09F33027"/>
    <w:rsid w:val="0A1E12A6"/>
    <w:rsid w:val="0A456833"/>
    <w:rsid w:val="0A5151D8"/>
    <w:rsid w:val="0A62744E"/>
    <w:rsid w:val="0A8C4462"/>
    <w:rsid w:val="0ADF29D6"/>
    <w:rsid w:val="0AEC4F01"/>
    <w:rsid w:val="0B1A26F2"/>
    <w:rsid w:val="0B2051ED"/>
    <w:rsid w:val="0B5A00BC"/>
    <w:rsid w:val="0B61144B"/>
    <w:rsid w:val="0B640F3B"/>
    <w:rsid w:val="0B9730BE"/>
    <w:rsid w:val="0B9A7A75"/>
    <w:rsid w:val="0BC11836"/>
    <w:rsid w:val="0BC94856"/>
    <w:rsid w:val="0C045FAE"/>
    <w:rsid w:val="0C1C5F69"/>
    <w:rsid w:val="0C3850CA"/>
    <w:rsid w:val="0C7D22B4"/>
    <w:rsid w:val="0C9870EE"/>
    <w:rsid w:val="0CAB39C1"/>
    <w:rsid w:val="0CAC2145"/>
    <w:rsid w:val="0D35493D"/>
    <w:rsid w:val="0D742C3A"/>
    <w:rsid w:val="0DDA6697"/>
    <w:rsid w:val="0DE029F4"/>
    <w:rsid w:val="0DFA16E3"/>
    <w:rsid w:val="0E481840"/>
    <w:rsid w:val="0E574324"/>
    <w:rsid w:val="0EA24254"/>
    <w:rsid w:val="0EFF3289"/>
    <w:rsid w:val="0F131BCA"/>
    <w:rsid w:val="0F160D00"/>
    <w:rsid w:val="0F3D38EF"/>
    <w:rsid w:val="0F492922"/>
    <w:rsid w:val="0F8B4E0C"/>
    <w:rsid w:val="0FAD6E50"/>
    <w:rsid w:val="0FB75ADD"/>
    <w:rsid w:val="0FD96780"/>
    <w:rsid w:val="10252FC2"/>
    <w:rsid w:val="104B091B"/>
    <w:rsid w:val="10613C9B"/>
    <w:rsid w:val="10FB5E9E"/>
    <w:rsid w:val="110C1E59"/>
    <w:rsid w:val="116752E1"/>
    <w:rsid w:val="11A66257"/>
    <w:rsid w:val="11D54941"/>
    <w:rsid w:val="11D83DC3"/>
    <w:rsid w:val="11DF3F6F"/>
    <w:rsid w:val="11E32BE3"/>
    <w:rsid w:val="120B0362"/>
    <w:rsid w:val="122A37A2"/>
    <w:rsid w:val="122D652B"/>
    <w:rsid w:val="123A1761"/>
    <w:rsid w:val="124E024F"/>
    <w:rsid w:val="124E5350"/>
    <w:rsid w:val="125504D8"/>
    <w:rsid w:val="127057E2"/>
    <w:rsid w:val="12993BC0"/>
    <w:rsid w:val="129A629E"/>
    <w:rsid w:val="12D96480"/>
    <w:rsid w:val="136F1FAB"/>
    <w:rsid w:val="13D34EB0"/>
    <w:rsid w:val="13E250F3"/>
    <w:rsid w:val="13EB044B"/>
    <w:rsid w:val="1436279F"/>
    <w:rsid w:val="14813B92"/>
    <w:rsid w:val="148C0CF2"/>
    <w:rsid w:val="14FC0436"/>
    <w:rsid w:val="156264EB"/>
    <w:rsid w:val="15652FB8"/>
    <w:rsid w:val="156B73D6"/>
    <w:rsid w:val="159224CF"/>
    <w:rsid w:val="15A15877"/>
    <w:rsid w:val="15B00C46"/>
    <w:rsid w:val="15B421EE"/>
    <w:rsid w:val="15E213DA"/>
    <w:rsid w:val="15E50ECA"/>
    <w:rsid w:val="16736123"/>
    <w:rsid w:val="167E1845"/>
    <w:rsid w:val="16997282"/>
    <w:rsid w:val="16AE2DB5"/>
    <w:rsid w:val="16BE5E75"/>
    <w:rsid w:val="16DF77D3"/>
    <w:rsid w:val="16EA778B"/>
    <w:rsid w:val="173619DD"/>
    <w:rsid w:val="17456025"/>
    <w:rsid w:val="17502DFE"/>
    <w:rsid w:val="17551109"/>
    <w:rsid w:val="17AE5F69"/>
    <w:rsid w:val="17D3547E"/>
    <w:rsid w:val="181B0BD3"/>
    <w:rsid w:val="18777C05"/>
    <w:rsid w:val="18A46E1B"/>
    <w:rsid w:val="18A961DF"/>
    <w:rsid w:val="18C67773"/>
    <w:rsid w:val="18C82B09"/>
    <w:rsid w:val="19397563"/>
    <w:rsid w:val="199B60B9"/>
    <w:rsid w:val="19CE71CF"/>
    <w:rsid w:val="19F7547E"/>
    <w:rsid w:val="1A2542E3"/>
    <w:rsid w:val="1A383CBF"/>
    <w:rsid w:val="1A627D81"/>
    <w:rsid w:val="1A8E30F1"/>
    <w:rsid w:val="1A9C3B54"/>
    <w:rsid w:val="1AC53CEC"/>
    <w:rsid w:val="1AD31C39"/>
    <w:rsid w:val="1AE41750"/>
    <w:rsid w:val="1B0D514B"/>
    <w:rsid w:val="1B1251DA"/>
    <w:rsid w:val="1B1C05BD"/>
    <w:rsid w:val="1B2C18EF"/>
    <w:rsid w:val="1B3F540B"/>
    <w:rsid w:val="1B495CB6"/>
    <w:rsid w:val="1B863C70"/>
    <w:rsid w:val="1BC079CB"/>
    <w:rsid w:val="1BDB6D28"/>
    <w:rsid w:val="1BDE747D"/>
    <w:rsid w:val="1BEB024D"/>
    <w:rsid w:val="1BEF11B0"/>
    <w:rsid w:val="1C0830AE"/>
    <w:rsid w:val="1C2838BF"/>
    <w:rsid w:val="1C673E29"/>
    <w:rsid w:val="1C6E5776"/>
    <w:rsid w:val="1C827473"/>
    <w:rsid w:val="1CA73630"/>
    <w:rsid w:val="1CC51E11"/>
    <w:rsid w:val="1CC70F5D"/>
    <w:rsid w:val="1CDA72AF"/>
    <w:rsid w:val="1D025BE3"/>
    <w:rsid w:val="1D060C56"/>
    <w:rsid w:val="1D69418F"/>
    <w:rsid w:val="1DE101C9"/>
    <w:rsid w:val="1E2245AF"/>
    <w:rsid w:val="1E3C3F18"/>
    <w:rsid w:val="1E961885"/>
    <w:rsid w:val="1EA25BAA"/>
    <w:rsid w:val="1EBF0F3E"/>
    <w:rsid w:val="1F016D75"/>
    <w:rsid w:val="1F03794F"/>
    <w:rsid w:val="1F2733E1"/>
    <w:rsid w:val="1F3446C1"/>
    <w:rsid w:val="1FBB33C8"/>
    <w:rsid w:val="1FE419F9"/>
    <w:rsid w:val="1FFE5062"/>
    <w:rsid w:val="20551C2A"/>
    <w:rsid w:val="20605D1D"/>
    <w:rsid w:val="20623F6B"/>
    <w:rsid w:val="207003FC"/>
    <w:rsid w:val="20A53730"/>
    <w:rsid w:val="21050673"/>
    <w:rsid w:val="210C4D2D"/>
    <w:rsid w:val="210D3F43"/>
    <w:rsid w:val="211245E5"/>
    <w:rsid w:val="214E571E"/>
    <w:rsid w:val="215A276C"/>
    <w:rsid w:val="22283319"/>
    <w:rsid w:val="22943A13"/>
    <w:rsid w:val="22AC2190"/>
    <w:rsid w:val="22BF2D49"/>
    <w:rsid w:val="22C63C28"/>
    <w:rsid w:val="22C73E32"/>
    <w:rsid w:val="22E20638"/>
    <w:rsid w:val="22F60296"/>
    <w:rsid w:val="22FE5C89"/>
    <w:rsid w:val="23052BAC"/>
    <w:rsid w:val="23091023"/>
    <w:rsid w:val="230961F8"/>
    <w:rsid w:val="233D2346"/>
    <w:rsid w:val="23715468"/>
    <w:rsid w:val="23BF0FAD"/>
    <w:rsid w:val="23CD0296"/>
    <w:rsid w:val="23CD191B"/>
    <w:rsid w:val="23F03210"/>
    <w:rsid w:val="23F073B8"/>
    <w:rsid w:val="24613E12"/>
    <w:rsid w:val="246E6D2A"/>
    <w:rsid w:val="249658FE"/>
    <w:rsid w:val="249F642D"/>
    <w:rsid w:val="24DD6A34"/>
    <w:rsid w:val="24F529AD"/>
    <w:rsid w:val="24F9398B"/>
    <w:rsid w:val="25096983"/>
    <w:rsid w:val="25172F64"/>
    <w:rsid w:val="25387269"/>
    <w:rsid w:val="253F05F7"/>
    <w:rsid w:val="254635EF"/>
    <w:rsid w:val="254B6F9C"/>
    <w:rsid w:val="255816B9"/>
    <w:rsid w:val="256040C9"/>
    <w:rsid w:val="256242E5"/>
    <w:rsid w:val="258B7119"/>
    <w:rsid w:val="25965D3D"/>
    <w:rsid w:val="25DA20CE"/>
    <w:rsid w:val="26054063"/>
    <w:rsid w:val="261849A4"/>
    <w:rsid w:val="261D1FBA"/>
    <w:rsid w:val="262B46D7"/>
    <w:rsid w:val="263E265D"/>
    <w:rsid w:val="265A4FBD"/>
    <w:rsid w:val="265E0AC9"/>
    <w:rsid w:val="26FB3F19"/>
    <w:rsid w:val="2714430A"/>
    <w:rsid w:val="2720494B"/>
    <w:rsid w:val="27225ADA"/>
    <w:rsid w:val="272B2A55"/>
    <w:rsid w:val="272D5FC2"/>
    <w:rsid w:val="273D2914"/>
    <w:rsid w:val="2774773A"/>
    <w:rsid w:val="277F2F2D"/>
    <w:rsid w:val="27FA0EB0"/>
    <w:rsid w:val="28102B00"/>
    <w:rsid w:val="284952C6"/>
    <w:rsid w:val="284B6B84"/>
    <w:rsid w:val="28602CF9"/>
    <w:rsid w:val="28610884"/>
    <w:rsid w:val="287265EE"/>
    <w:rsid w:val="288051AE"/>
    <w:rsid w:val="28870D8C"/>
    <w:rsid w:val="28887BBF"/>
    <w:rsid w:val="28AB1AFF"/>
    <w:rsid w:val="28B24203"/>
    <w:rsid w:val="28B46C06"/>
    <w:rsid w:val="28C606E7"/>
    <w:rsid w:val="28D252DE"/>
    <w:rsid w:val="28F17E5A"/>
    <w:rsid w:val="291A3901"/>
    <w:rsid w:val="2936586D"/>
    <w:rsid w:val="29410E28"/>
    <w:rsid w:val="297840D8"/>
    <w:rsid w:val="298A250D"/>
    <w:rsid w:val="29A11BC3"/>
    <w:rsid w:val="29B64C00"/>
    <w:rsid w:val="29BB3FC4"/>
    <w:rsid w:val="29D761B0"/>
    <w:rsid w:val="29FF0355"/>
    <w:rsid w:val="2A1D09CC"/>
    <w:rsid w:val="2A391AB9"/>
    <w:rsid w:val="2A473AAA"/>
    <w:rsid w:val="2A592851"/>
    <w:rsid w:val="2A7D3EA6"/>
    <w:rsid w:val="2ABD74E6"/>
    <w:rsid w:val="2AEA2DB3"/>
    <w:rsid w:val="2B053749"/>
    <w:rsid w:val="2B717030"/>
    <w:rsid w:val="2B7F765C"/>
    <w:rsid w:val="2B830B12"/>
    <w:rsid w:val="2B983E5B"/>
    <w:rsid w:val="2BCA36FB"/>
    <w:rsid w:val="2C491492"/>
    <w:rsid w:val="2C536103"/>
    <w:rsid w:val="2C543633"/>
    <w:rsid w:val="2C7768C8"/>
    <w:rsid w:val="2CC86618"/>
    <w:rsid w:val="2CF02E0A"/>
    <w:rsid w:val="2D0B3147"/>
    <w:rsid w:val="2D0F6B01"/>
    <w:rsid w:val="2D7B23E8"/>
    <w:rsid w:val="2D7C7310"/>
    <w:rsid w:val="2D80422B"/>
    <w:rsid w:val="2DAA75E9"/>
    <w:rsid w:val="2DB00EEE"/>
    <w:rsid w:val="2DC67BF9"/>
    <w:rsid w:val="2DE41D3C"/>
    <w:rsid w:val="2E234008"/>
    <w:rsid w:val="2E3D31FA"/>
    <w:rsid w:val="2E536EC1"/>
    <w:rsid w:val="2E6B2346"/>
    <w:rsid w:val="2E7C62E6"/>
    <w:rsid w:val="2E821554"/>
    <w:rsid w:val="2E8A60D5"/>
    <w:rsid w:val="2E8B40A5"/>
    <w:rsid w:val="2E8E7EF9"/>
    <w:rsid w:val="2E980D78"/>
    <w:rsid w:val="2E9B6E1D"/>
    <w:rsid w:val="2EC84807"/>
    <w:rsid w:val="2F7D2448"/>
    <w:rsid w:val="2F8310E0"/>
    <w:rsid w:val="2F8C0466"/>
    <w:rsid w:val="2F8D6403"/>
    <w:rsid w:val="2F8F6B4E"/>
    <w:rsid w:val="2F99355C"/>
    <w:rsid w:val="2FA069A5"/>
    <w:rsid w:val="2FE7381C"/>
    <w:rsid w:val="304C56DF"/>
    <w:rsid w:val="30A80AFD"/>
    <w:rsid w:val="30DB3B86"/>
    <w:rsid w:val="30FF6E8C"/>
    <w:rsid w:val="31040592"/>
    <w:rsid w:val="312F6607"/>
    <w:rsid w:val="317C228B"/>
    <w:rsid w:val="31960443"/>
    <w:rsid w:val="31B732C3"/>
    <w:rsid w:val="31CD0D39"/>
    <w:rsid w:val="31E179A2"/>
    <w:rsid w:val="31ED3189"/>
    <w:rsid w:val="31FD161E"/>
    <w:rsid w:val="322070BA"/>
    <w:rsid w:val="32584AA6"/>
    <w:rsid w:val="325D3E6B"/>
    <w:rsid w:val="328C4750"/>
    <w:rsid w:val="3301513E"/>
    <w:rsid w:val="33291F9F"/>
    <w:rsid w:val="334F40FB"/>
    <w:rsid w:val="33572FB0"/>
    <w:rsid w:val="33664FA1"/>
    <w:rsid w:val="336851BD"/>
    <w:rsid w:val="336B0809"/>
    <w:rsid w:val="33823753"/>
    <w:rsid w:val="33887F26"/>
    <w:rsid w:val="33997124"/>
    <w:rsid w:val="33C61EE3"/>
    <w:rsid w:val="33DB4845"/>
    <w:rsid w:val="34180991"/>
    <w:rsid w:val="34357285"/>
    <w:rsid w:val="345A5B9C"/>
    <w:rsid w:val="346E4CE5"/>
    <w:rsid w:val="347E631A"/>
    <w:rsid w:val="349C4A25"/>
    <w:rsid w:val="34AD5E23"/>
    <w:rsid w:val="35095DD3"/>
    <w:rsid w:val="3518051D"/>
    <w:rsid w:val="35284C04"/>
    <w:rsid w:val="35415CC5"/>
    <w:rsid w:val="35611EC4"/>
    <w:rsid w:val="356279A2"/>
    <w:rsid w:val="3567230E"/>
    <w:rsid w:val="35963AA8"/>
    <w:rsid w:val="35AB3FE0"/>
    <w:rsid w:val="35CF548D"/>
    <w:rsid w:val="35D00C8D"/>
    <w:rsid w:val="35FD75B5"/>
    <w:rsid w:val="36317AE8"/>
    <w:rsid w:val="36791828"/>
    <w:rsid w:val="36965B9D"/>
    <w:rsid w:val="36A22794"/>
    <w:rsid w:val="36EC7002"/>
    <w:rsid w:val="36F40B16"/>
    <w:rsid w:val="37392E3A"/>
    <w:rsid w:val="37667C65"/>
    <w:rsid w:val="37826D34"/>
    <w:rsid w:val="37ED3EE3"/>
    <w:rsid w:val="380F20AB"/>
    <w:rsid w:val="38DF76EC"/>
    <w:rsid w:val="38FE5C7B"/>
    <w:rsid w:val="38FE72BC"/>
    <w:rsid w:val="39146C1F"/>
    <w:rsid w:val="39B527DE"/>
    <w:rsid w:val="39B83C7A"/>
    <w:rsid w:val="39D72754"/>
    <w:rsid w:val="39DD01C6"/>
    <w:rsid w:val="3A1A4D37"/>
    <w:rsid w:val="3A1E0383"/>
    <w:rsid w:val="3A217E73"/>
    <w:rsid w:val="3A230E9F"/>
    <w:rsid w:val="3A40321C"/>
    <w:rsid w:val="3ABE1B66"/>
    <w:rsid w:val="3AF51FAE"/>
    <w:rsid w:val="3B013F51"/>
    <w:rsid w:val="3B481E05"/>
    <w:rsid w:val="3B693880"/>
    <w:rsid w:val="3B714A7A"/>
    <w:rsid w:val="3BA4630A"/>
    <w:rsid w:val="3BB84807"/>
    <w:rsid w:val="3C035D77"/>
    <w:rsid w:val="3C0C7849"/>
    <w:rsid w:val="3C0D06AF"/>
    <w:rsid w:val="3C1934F8"/>
    <w:rsid w:val="3C1B4E74"/>
    <w:rsid w:val="3C2F521E"/>
    <w:rsid w:val="3C3B3D4B"/>
    <w:rsid w:val="3C522566"/>
    <w:rsid w:val="3C6F5846"/>
    <w:rsid w:val="3C8D66B5"/>
    <w:rsid w:val="3C9568F7"/>
    <w:rsid w:val="3CA408E8"/>
    <w:rsid w:val="3CBA349C"/>
    <w:rsid w:val="3CC316B6"/>
    <w:rsid w:val="3CCC5372"/>
    <w:rsid w:val="3D0221DE"/>
    <w:rsid w:val="3D670293"/>
    <w:rsid w:val="3DCF2E33"/>
    <w:rsid w:val="3DED5018"/>
    <w:rsid w:val="3DFA1099"/>
    <w:rsid w:val="3E121E15"/>
    <w:rsid w:val="3E4533F9"/>
    <w:rsid w:val="3E4C7AA6"/>
    <w:rsid w:val="3E635FE5"/>
    <w:rsid w:val="3EA572C5"/>
    <w:rsid w:val="3ED90D1D"/>
    <w:rsid w:val="3EE020AB"/>
    <w:rsid w:val="3F087854"/>
    <w:rsid w:val="3F6E2034"/>
    <w:rsid w:val="3F7C65CA"/>
    <w:rsid w:val="3F894D05"/>
    <w:rsid w:val="3FA70E1B"/>
    <w:rsid w:val="3FC82B6D"/>
    <w:rsid w:val="3FCE45FA"/>
    <w:rsid w:val="40041DC9"/>
    <w:rsid w:val="401B7113"/>
    <w:rsid w:val="401D2E8B"/>
    <w:rsid w:val="4062274F"/>
    <w:rsid w:val="406B3A5D"/>
    <w:rsid w:val="40DF6392"/>
    <w:rsid w:val="40F26DC2"/>
    <w:rsid w:val="4102302D"/>
    <w:rsid w:val="410D4AF3"/>
    <w:rsid w:val="41485C02"/>
    <w:rsid w:val="418D3461"/>
    <w:rsid w:val="41B206F0"/>
    <w:rsid w:val="41E00614"/>
    <w:rsid w:val="42461484"/>
    <w:rsid w:val="424E74B9"/>
    <w:rsid w:val="426E45CA"/>
    <w:rsid w:val="42832C2A"/>
    <w:rsid w:val="42925DB2"/>
    <w:rsid w:val="42983F5E"/>
    <w:rsid w:val="429964FE"/>
    <w:rsid w:val="42A11B51"/>
    <w:rsid w:val="42E934F8"/>
    <w:rsid w:val="430F7403"/>
    <w:rsid w:val="436C03B1"/>
    <w:rsid w:val="43790813"/>
    <w:rsid w:val="437B6846"/>
    <w:rsid w:val="4385720D"/>
    <w:rsid w:val="438E3585"/>
    <w:rsid w:val="43A062AD"/>
    <w:rsid w:val="43A10A30"/>
    <w:rsid w:val="43AF4742"/>
    <w:rsid w:val="43BC51C5"/>
    <w:rsid w:val="43C81360"/>
    <w:rsid w:val="440B2BD3"/>
    <w:rsid w:val="44B46454"/>
    <w:rsid w:val="44E762B2"/>
    <w:rsid w:val="450F36EA"/>
    <w:rsid w:val="45350C77"/>
    <w:rsid w:val="45464C32"/>
    <w:rsid w:val="457355B8"/>
    <w:rsid w:val="45C84B63"/>
    <w:rsid w:val="4609787D"/>
    <w:rsid w:val="46143D97"/>
    <w:rsid w:val="463827CD"/>
    <w:rsid w:val="463F7FFF"/>
    <w:rsid w:val="46457E92"/>
    <w:rsid w:val="465B4E54"/>
    <w:rsid w:val="465C433E"/>
    <w:rsid w:val="46C554B3"/>
    <w:rsid w:val="46E6034F"/>
    <w:rsid w:val="46EB7AE7"/>
    <w:rsid w:val="47201F5D"/>
    <w:rsid w:val="472068AA"/>
    <w:rsid w:val="472D3042"/>
    <w:rsid w:val="472D7E58"/>
    <w:rsid w:val="4746792E"/>
    <w:rsid w:val="475F3D89"/>
    <w:rsid w:val="48052B82"/>
    <w:rsid w:val="48061232"/>
    <w:rsid w:val="48090179"/>
    <w:rsid w:val="480B4E6D"/>
    <w:rsid w:val="48255135"/>
    <w:rsid w:val="484B3C78"/>
    <w:rsid w:val="4882187E"/>
    <w:rsid w:val="48996E4F"/>
    <w:rsid w:val="48BD1D7D"/>
    <w:rsid w:val="48D16F09"/>
    <w:rsid w:val="48E21116"/>
    <w:rsid w:val="48F549A5"/>
    <w:rsid w:val="498148FD"/>
    <w:rsid w:val="49816239"/>
    <w:rsid w:val="4998294C"/>
    <w:rsid w:val="499E3FF2"/>
    <w:rsid w:val="49AB59AC"/>
    <w:rsid w:val="49B602E6"/>
    <w:rsid w:val="49D24CE6"/>
    <w:rsid w:val="49F96DF7"/>
    <w:rsid w:val="4A01737A"/>
    <w:rsid w:val="4A8C758B"/>
    <w:rsid w:val="4AD8457E"/>
    <w:rsid w:val="4ADD7836"/>
    <w:rsid w:val="4ADF2496"/>
    <w:rsid w:val="4AE159AE"/>
    <w:rsid w:val="4AFF7D5D"/>
    <w:rsid w:val="4B105AC6"/>
    <w:rsid w:val="4B1B6B27"/>
    <w:rsid w:val="4B6127C6"/>
    <w:rsid w:val="4B8E7FBB"/>
    <w:rsid w:val="4B9806D2"/>
    <w:rsid w:val="4B9A5CD8"/>
    <w:rsid w:val="4BB21AE0"/>
    <w:rsid w:val="4BC37C1A"/>
    <w:rsid w:val="4BEF0206"/>
    <w:rsid w:val="4C0A4515"/>
    <w:rsid w:val="4C883BFB"/>
    <w:rsid w:val="4CC31472"/>
    <w:rsid w:val="4CD62D3F"/>
    <w:rsid w:val="4D1C6B5B"/>
    <w:rsid w:val="4D6B70BE"/>
    <w:rsid w:val="4D957FFE"/>
    <w:rsid w:val="4D9C5EC7"/>
    <w:rsid w:val="4DD061E5"/>
    <w:rsid w:val="4E200716"/>
    <w:rsid w:val="4E231EC4"/>
    <w:rsid w:val="4E255D2C"/>
    <w:rsid w:val="4E5B174E"/>
    <w:rsid w:val="4E956242"/>
    <w:rsid w:val="4F1162B1"/>
    <w:rsid w:val="4F2B4960"/>
    <w:rsid w:val="4F2D3FC6"/>
    <w:rsid w:val="4F3D70A6"/>
    <w:rsid w:val="4F75363E"/>
    <w:rsid w:val="4F902856"/>
    <w:rsid w:val="4FE94B38"/>
    <w:rsid w:val="4FFF25AD"/>
    <w:rsid w:val="504B2EFC"/>
    <w:rsid w:val="517174DB"/>
    <w:rsid w:val="51791528"/>
    <w:rsid w:val="518A464D"/>
    <w:rsid w:val="51CE5AD4"/>
    <w:rsid w:val="51E84F17"/>
    <w:rsid w:val="52021EE1"/>
    <w:rsid w:val="52042FFA"/>
    <w:rsid w:val="521D136B"/>
    <w:rsid w:val="523F4EE3"/>
    <w:rsid w:val="52406284"/>
    <w:rsid w:val="527903F5"/>
    <w:rsid w:val="52A1794C"/>
    <w:rsid w:val="52AC4A01"/>
    <w:rsid w:val="52C23AAB"/>
    <w:rsid w:val="52DC26C4"/>
    <w:rsid w:val="52FC2DD4"/>
    <w:rsid w:val="532145A8"/>
    <w:rsid w:val="53425DEE"/>
    <w:rsid w:val="53737017"/>
    <w:rsid w:val="53754029"/>
    <w:rsid w:val="53B27C58"/>
    <w:rsid w:val="53C03E02"/>
    <w:rsid w:val="53F84C6D"/>
    <w:rsid w:val="5421760C"/>
    <w:rsid w:val="54336CC9"/>
    <w:rsid w:val="54A94D46"/>
    <w:rsid w:val="54FD6C70"/>
    <w:rsid w:val="55052414"/>
    <w:rsid w:val="552C79A0"/>
    <w:rsid w:val="55986DE4"/>
    <w:rsid w:val="55A35789"/>
    <w:rsid w:val="55B00C6D"/>
    <w:rsid w:val="55B278D2"/>
    <w:rsid w:val="55C45E2B"/>
    <w:rsid w:val="55F3683A"/>
    <w:rsid w:val="562A1811"/>
    <w:rsid w:val="563D798B"/>
    <w:rsid w:val="566D0271"/>
    <w:rsid w:val="56757125"/>
    <w:rsid w:val="569E52E2"/>
    <w:rsid w:val="56CB143B"/>
    <w:rsid w:val="56ED7603"/>
    <w:rsid w:val="570556BE"/>
    <w:rsid w:val="57174DF3"/>
    <w:rsid w:val="5721105B"/>
    <w:rsid w:val="573B509D"/>
    <w:rsid w:val="57BD4234"/>
    <w:rsid w:val="57D12A81"/>
    <w:rsid w:val="57FB7AFE"/>
    <w:rsid w:val="58112E7E"/>
    <w:rsid w:val="58276B98"/>
    <w:rsid w:val="58382B00"/>
    <w:rsid w:val="583D1EC5"/>
    <w:rsid w:val="584E2BC1"/>
    <w:rsid w:val="58801DB1"/>
    <w:rsid w:val="58977827"/>
    <w:rsid w:val="589C6BEB"/>
    <w:rsid w:val="58CE0D6F"/>
    <w:rsid w:val="58DE173C"/>
    <w:rsid w:val="596E2A4E"/>
    <w:rsid w:val="598C3104"/>
    <w:rsid w:val="59C62FA3"/>
    <w:rsid w:val="59E15CAF"/>
    <w:rsid w:val="5A1153B7"/>
    <w:rsid w:val="5A160C1F"/>
    <w:rsid w:val="5A3B68D8"/>
    <w:rsid w:val="5A5E1183"/>
    <w:rsid w:val="5A865DA5"/>
    <w:rsid w:val="5ACE6B45"/>
    <w:rsid w:val="5ADE2363"/>
    <w:rsid w:val="5AE6303A"/>
    <w:rsid w:val="5B0C2FC7"/>
    <w:rsid w:val="5B1C3014"/>
    <w:rsid w:val="5B53337B"/>
    <w:rsid w:val="5B5D30D4"/>
    <w:rsid w:val="5B776AE1"/>
    <w:rsid w:val="5B7850F9"/>
    <w:rsid w:val="5B9D37CF"/>
    <w:rsid w:val="5BC70423"/>
    <w:rsid w:val="5BD13050"/>
    <w:rsid w:val="5BDF3E49"/>
    <w:rsid w:val="5BE56AFB"/>
    <w:rsid w:val="5C835B35"/>
    <w:rsid w:val="5CBB5B7C"/>
    <w:rsid w:val="5D2A2A61"/>
    <w:rsid w:val="5D3B6F2A"/>
    <w:rsid w:val="5D5828B7"/>
    <w:rsid w:val="5D8248E2"/>
    <w:rsid w:val="5D9E3405"/>
    <w:rsid w:val="5DA430DC"/>
    <w:rsid w:val="5DBC388C"/>
    <w:rsid w:val="5DE413E6"/>
    <w:rsid w:val="5E0C3C77"/>
    <w:rsid w:val="5E1216FE"/>
    <w:rsid w:val="5E1A3862"/>
    <w:rsid w:val="5E27164D"/>
    <w:rsid w:val="5E31034C"/>
    <w:rsid w:val="5E7A79CF"/>
    <w:rsid w:val="5E9F11E3"/>
    <w:rsid w:val="5EE24D3D"/>
    <w:rsid w:val="5EE92EE9"/>
    <w:rsid w:val="5F0674B4"/>
    <w:rsid w:val="5F420880"/>
    <w:rsid w:val="5F5875E4"/>
    <w:rsid w:val="5F684E46"/>
    <w:rsid w:val="5F851BEE"/>
    <w:rsid w:val="600E76A2"/>
    <w:rsid w:val="601C4AE4"/>
    <w:rsid w:val="602933BD"/>
    <w:rsid w:val="60BE63C8"/>
    <w:rsid w:val="611E46A6"/>
    <w:rsid w:val="611F2CEE"/>
    <w:rsid w:val="613F3A29"/>
    <w:rsid w:val="614918DA"/>
    <w:rsid w:val="614A70C0"/>
    <w:rsid w:val="619A5388"/>
    <w:rsid w:val="61A46067"/>
    <w:rsid w:val="61C45305"/>
    <w:rsid w:val="61D221A3"/>
    <w:rsid w:val="61EA0FCB"/>
    <w:rsid w:val="61F25ACE"/>
    <w:rsid w:val="61F5736C"/>
    <w:rsid w:val="620D7C9C"/>
    <w:rsid w:val="620E237F"/>
    <w:rsid w:val="62BE1E54"/>
    <w:rsid w:val="62BF27C0"/>
    <w:rsid w:val="62D578C9"/>
    <w:rsid w:val="63183093"/>
    <w:rsid w:val="63997ABC"/>
    <w:rsid w:val="63B70D7D"/>
    <w:rsid w:val="63DE611E"/>
    <w:rsid w:val="641E1B13"/>
    <w:rsid w:val="64356146"/>
    <w:rsid w:val="648669A1"/>
    <w:rsid w:val="648D7576"/>
    <w:rsid w:val="64AC465A"/>
    <w:rsid w:val="64DF1BB4"/>
    <w:rsid w:val="65395319"/>
    <w:rsid w:val="65424FBE"/>
    <w:rsid w:val="65612869"/>
    <w:rsid w:val="657607C4"/>
    <w:rsid w:val="65C17BD6"/>
    <w:rsid w:val="65E96C18"/>
    <w:rsid w:val="66392EDE"/>
    <w:rsid w:val="664B5A81"/>
    <w:rsid w:val="66553057"/>
    <w:rsid w:val="66557ECD"/>
    <w:rsid w:val="665B39BA"/>
    <w:rsid w:val="66910B76"/>
    <w:rsid w:val="66C5335B"/>
    <w:rsid w:val="66EC059D"/>
    <w:rsid w:val="67566EED"/>
    <w:rsid w:val="675863D3"/>
    <w:rsid w:val="67790886"/>
    <w:rsid w:val="678C2521"/>
    <w:rsid w:val="67E16AD1"/>
    <w:rsid w:val="67EF7E71"/>
    <w:rsid w:val="68150768"/>
    <w:rsid w:val="68182925"/>
    <w:rsid w:val="68297D70"/>
    <w:rsid w:val="68A45648"/>
    <w:rsid w:val="68F4037D"/>
    <w:rsid w:val="69001719"/>
    <w:rsid w:val="69667335"/>
    <w:rsid w:val="696A4AE4"/>
    <w:rsid w:val="697114BB"/>
    <w:rsid w:val="69AB3821"/>
    <w:rsid w:val="69C2248D"/>
    <w:rsid w:val="69EC54F9"/>
    <w:rsid w:val="69F745C9"/>
    <w:rsid w:val="6A123B51"/>
    <w:rsid w:val="6A283FCE"/>
    <w:rsid w:val="6A5076DC"/>
    <w:rsid w:val="6A88588B"/>
    <w:rsid w:val="6AC67AF8"/>
    <w:rsid w:val="6AF603A1"/>
    <w:rsid w:val="6B0A3E88"/>
    <w:rsid w:val="6B0C4763"/>
    <w:rsid w:val="6B2146DE"/>
    <w:rsid w:val="6B2D4220"/>
    <w:rsid w:val="6B3929BF"/>
    <w:rsid w:val="6B773E86"/>
    <w:rsid w:val="6BBF78A7"/>
    <w:rsid w:val="6BEB7E32"/>
    <w:rsid w:val="6C0C3C30"/>
    <w:rsid w:val="6C2D7E5B"/>
    <w:rsid w:val="6C4018A9"/>
    <w:rsid w:val="6CB57E24"/>
    <w:rsid w:val="6D013776"/>
    <w:rsid w:val="6D162FB8"/>
    <w:rsid w:val="6D4F2026"/>
    <w:rsid w:val="6D5F7DD5"/>
    <w:rsid w:val="6DDA6355"/>
    <w:rsid w:val="6E1F40EF"/>
    <w:rsid w:val="6E337B9A"/>
    <w:rsid w:val="6E490F00"/>
    <w:rsid w:val="6E867CCA"/>
    <w:rsid w:val="6EBB22D2"/>
    <w:rsid w:val="6ECE057E"/>
    <w:rsid w:val="6ED96F57"/>
    <w:rsid w:val="6EDA1DC4"/>
    <w:rsid w:val="6EEB568F"/>
    <w:rsid w:val="6EF11E06"/>
    <w:rsid w:val="6EFE527D"/>
    <w:rsid w:val="6F017C16"/>
    <w:rsid w:val="6F143527"/>
    <w:rsid w:val="6F3409A2"/>
    <w:rsid w:val="6F4831D1"/>
    <w:rsid w:val="6F6049BF"/>
    <w:rsid w:val="6FAF102E"/>
    <w:rsid w:val="6FB16FC8"/>
    <w:rsid w:val="7009419F"/>
    <w:rsid w:val="702255D4"/>
    <w:rsid w:val="704240C4"/>
    <w:rsid w:val="708E10B8"/>
    <w:rsid w:val="7136383E"/>
    <w:rsid w:val="71431EA2"/>
    <w:rsid w:val="71500A3D"/>
    <w:rsid w:val="717C3606"/>
    <w:rsid w:val="71AD7B95"/>
    <w:rsid w:val="71B477D2"/>
    <w:rsid w:val="71C42D2E"/>
    <w:rsid w:val="71F72C8D"/>
    <w:rsid w:val="72113CE5"/>
    <w:rsid w:val="72113D4E"/>
    <w:rsid w:val="725C5810"/>
    <w:rsid w:val="72630343"/>
    <w:rsid w:val="7271765A"/>
    <w:rsid w:val="72734A09"/>
    <w:rsid w:val="72D60AF4"/>
    <w:rsid w:val="731107FB"/>
    <w:rsid w:val="734A2299"/>
    <w:rsid w:val="735A7977"/>
    <w:rsid w:val="735B34E0"/>
    <w:rsid w:val="7375030D"/>
    <w:rsid w:val="738A4257"/>
    <w:rsid w:val="73AF1A71"/>
    <w:rsid w:val="73D56FFD"/>
    <w:rsid w:val="73DB2866"/>
    <w:rsid w:val="74145D78"/>
    <w:rsid w:val="745F0528"/>
    <w:rsid w:val="74602D6B"/>
    <w:rsid w:val="746C60AF"/>
    <w:rsid w:val="74A92964"/>
    <w:rsid w:val="74BE7A92"/>
    <w:rsid w:val="75071439"/>
    <w:rsid w:val="75153B55"/>
    <w:rsid w:val="754E350B"/>
    <w:rsid w:val="755328D0"/>
    <w:rsid w:val="75BE5F9B"/>
    <w:rsid w:val="75D13559"/>
    <w:rsid w:val="75D21A46"/>
    <w:rsid w:val="75D45C09"/>
    <w:rsid w:val="76500BBD"/>
    <w:rsid w:val="76693AAB"/>
    <w:rsid w:val="76886E4D"/>
    <w:rsid w:val="76A47C80"/>
    <w:rsid w:val="76C27D0D"/>
    <w:rsid w:val="76FF4ABD"/>
    <w:rsid w:val="770816CA"/>
    <w:rsid w:val="775015AB"/>
    <w:rsid w:val="77503C35"/>
    <w:rsid w:val="776625B3"/>
    <w:rsid w:val="77797257"/>
    <w:rsid w:val="77951F63"/>
    <w:rsid w:val="7796026E"/>
    <w:rsid w:val="77C11D73"/>
    <w:rsid w:val="782D11B6"/>
    <w:rsid w:val="78371F11"/>
    <w:rsid w:val="787978AF"/>
    <w:rsid w:val="787F125B"/>
    <w:rsid w:val="78914469"/>
    <w:rsid w:val="789234F5"/>
    <w:rsid w:val="78B0254F"/>
    <w:rsid w:val="78B74F24"/>
    <w:rsid w:val="792720A9"/>
    <w:rsid w:val="792739D7"/>
    <w:rsid w:val="79694470"/>
    <w:rsid w:val="79EB1329"/>
    <w:rsid w:val="79EE0E19"/>
    <w:rsid w:val="7A4A5F64"/>
    <w:rsid w:val="7A652E89"/>
    <w:rsid w:val="7A8157E9"/>
    <w:rsid w:val="7AC2652D"/>
    <w:rsid w:val="7AFC6F42"/>
    <w:rsid w:val="7AFF67FD"/>
    <w:rsid w:val="7B0326A2"/>
    <w:rsid w:val="7B5B0FFC"/>
    <w:rsid w:val="7B6E3FBF"/>
    <w:rsid w:val="7BFF03C0"/>
    <w:rsid w:val="7C1508DF"/>
    <w:rsid w:val="7C211040"/>
    <w:rsid w:val="7C367925"/>
    <w:rsid w:val="7C413482"/>
    <w:rsid w:val="7C430BB6"/>
    <w:rsid w:val="7C75137E"/>
    <w:rsid w:val="7C860123"/>
    <w:rsid w:val="7CD24A22"/>
    <w:rsid w:val="7D2E5ECD"/>
    <w:rsid w:val="7D40798F"/>
    <w:rsid w:val="7DB67EA0"/>
    <w:rsid w:val="7DE762AB"/>
    <w:rsid w:val="7E046E5D"/>
    <w:rsid w:val="7E0D3F64"/>
    <w:rsid w:val="7E2766A8"/>
    <w:rsid w:val="7E5E1B1E"/>
    <w:rsid w:val="7E603A39"/>
    <w:rsid w:val="7E6E3E4C"/>
    <w:rsid w:val="7EE423FE"/>
    <w:rsid w:val="7F2A6DE2"/>
    <w:rsid w:val="7F351391"/>
    <w:rsid w:val="7F3761A7"/>
    <w:rsid w:val="7F406889"/>
    <w:rsid w:val="7F6D458E"/>
    <w:rsid w:val="93DF6689"/>
    <w:rsid w:val="AFBE3DB7"/>
    <w:rsid w:val="FEEF3F9B"/>
    <w:rsid w:val="FFFEF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b/>
      <w:bCs/>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numPr>
        <w:ilvl w:val="0"/>
        <w:numId w:val="1"/>
      </w:numPr>
      <w:tabs>
        <w:tab w:val="left" w:pos="2651"/>
      </w:tabs>
      <w:spacing w:before="260" w:after="260" w:line="416" w:lineRule="auto"/>
      <w:outlineLvl w:val="2"/>
    </w:pPr>
    <w:rPr>
      <w:rFonts w:eastAsia="仿宋_GB2312"/>
      <w:b/>
      <w:sz w:val="32"/>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1"/>
    <w:qFormat/>
    <w:uiPriority w:val="0"/>
    <w:pPr>
      <w:spacing w:line="200" w:lineRule="exact"/>
      <w:ind w:firstLine="301"/>
    </w:pPr>
    <w:rPr>
      <w:rFonts w:ascii="宋体" w:hAnsi="Courier New" w:cs="宋体"/>
      <w:spacing w:val="-4"/>
      <w:sz w:val="18"/>
      <w:szCs w:val="18"/>
    </w:rPr>
  </w:style>
  <w:style w:type="paragraph" w:styleId="7">
    <w:name w:val="List Number"/>
    <w:basedOn w:val="1"/>
    <w:qFormat/>
    <w:uiPriority w:val="0"/>
    <w:pPr>
      <w:numPr>
        <w:ilvl w:val="0"/>
        <w:numId w:val="2"/>
      </w:numPr>
    </w:pPr>
  </w:style>
  <w:style w:type="paragraph" w:styleId="8">
    <w:name w:val="caption"/>
    <w:basedOn w:val="1"/>
    <w:next w:val="1"/>
    <w:qFormat/>
    <w:uiPriority w:val="0"/>
    <w:pPr>
      <w:spacing w:before="152" w:after="160"/>
    </w:pPr>
    <w:rPr>
      <w:rFonts w:ascii="Arial" w:hAnsi="Arial" w:eastAsia="黑体"/>
      <w:sz w:val="20"/>
      <w:szCs w:val="20"/>
    </w:rPr>
  </w:style>
  <w:style w:type="paragraph" w:styleId="9">
    <w:name w:val="Body Text 3"/>
    <w:basedOn w:val="1"/>
    <w:qFormat/>
    <w:uiPriority w:val="0"/>
    <w:pPr>
      <w:snapToGrid w:val="0"/>
      <w:spacing w:before="50" w:after="50"/>
    </w:pPr>
    <w:rPr>
      <w:rFonts w:hAnsi="宋体" w:eastAsia="仿宋_GB2312"/>
      <w:b/>
      <w:bCs/>
      <w:sz w:val="24"/>
    </w:rPr>
  </w:style>
  <w:style w:type="paragraph" w:styleId="10">
    <w:name w:val="Body Text"/>
    <w:basedOn w:val="1"/>
    <w:next w:val="11"/>
    <w:qFormat/>
    <w:uiPriority w:val="0"/>
    <w:pPr>
      <w:spacing w:before="100" w:beforeAutospacing="1" w:after="120"/>
    </w:pPr>
    <w:rPr>
      <w:sz w:val="28"/>
      <w:szCs w:val="28"/>
    </w:rPr>
  </w:style>
  <w:style w:type="paragraph" w:styleId="11">
    <w:name w:val="Body Text First Indent"/>
    <w:basedOn w:val="10"/>
    <w:next w:val="12"/>
    <w:qFormat/>
    <w:uiPriority w:val="0"/>
    <w:pPr>
      <w:widowControl/>
      <w:spacing w:before="120" w:beforeAutospacing="0"/>
      <w:ind w:firstLine="100" w:firstLineChars="100"/>
    </w:pPr>
    <w:rPr>
      <w:color w:val="000000"/>
    </w:rPr>
  </w:style>
  <w:style w:type="paragraph" w:styleId="12">
    <w:name w:val="toc 6"/>
    <w:basedOn w:val="1"/>
    <w:next w:val="1"/>
    <w:unhideWhenUsed/>
    <w:qFormat/>
    <w:uiPriority w:val="39"/>
    <w:pPr>
      <w:ind w:left="2100" w:leftChars="1000"/>
    </w:pPr>
    <w:rPr>
      <w:rFonts w:ascii="等线" w:hAnsi="等线" w:eastAsia="等线"/>
      <w:szCs w:val="22"/>
    </w:rPr>
  </w:style>
  <w:style w:type="paragraph" w:styleId="13">
    <w:name w:val="List 2"/>
    <w:basedOn w:val="1"/>
    <w:qFormat/>
    <w:uiPriority w:val="0"/>
    <w:pPr>
      <w:ind w:left="100" w:leftChars="200" w:hanging="200" w:hangingChars="200"/>
    </w:pPr>
    <w:rPr>
      <w:sz w:val="28"/>
    </w:rPr>
  </w:style>
  <w:style w:type="paragraph" w:styleId="14">
    <w:name w:val="Block Text"/>
    <w:basedOn w:val="1"/>
    <w:qFormat/>
    <w:uiPriority w:val="0"/>
    <w:pPr>
      <w:snapToGrid w:val="0"/>
      <w:spacing w:line="300" w:lineRule="auto"/>
      <w:ind w:left="958" w:right="-120" w:rightChars="-120"/>
      <w:jc w:val="left"/>
      <w:textAlignment w:val="baseline"/>
    </w:pPr>
    <w:rPr>
      <w:rFonts w:hint="eastAsia" w:ascii="宋体" w:hAnsi="宋体"/>
      <w:sz w:val="28"/>
      <w:szCs w:val="20"/>
    </w:rPr>
  </w:style>
  <w:style w:type="paragraph" w:styleId="15">
    <w:name w:val="Plain Text"/>
    <w:basedOn w:val="1"/>
    <w:next w:val="16"/>
    <w:qFormat/>
    <w:uiPriority w:val="0"/>
    <w:pPr>
      <w:spacing w:beforeLines="50" w:afterLines="50" w:line="400" w:lineRule="exact"/>
    </w:pPr>
    <w:rPr>
      <w:rFonts w:ascii="宋体" w:hAnsi="Courier New" w:cs="宋体"/>
      <w:sz w:val="24"/>
    </w:rPr>
  </w:style>
  <w:style w:type="paragraph" w:styleId="16">
    <w:name w:val="toc 1"/>
    <w:basedOn w:val="1"/>
    <w:next w:val="1"/>
    <w:qFormat/>
    <w:uiPriority w:val="0"/>
    <w:rPr>
      <w:rFonts w:eastAsia="黑体"/>
      <w:b/>
      <w:sz w:val="24"/>
    </w:rPr>
  </w:style>
  <w:style w:type="paragraph" w:styleId="17">
    <w:name w:val="Date"/>
    <w:basedOn w:val="1"/>
    <w:next w:val="1"/>
    <w:qFormat/>
    <w:uiPriority w:val="0"/>
    <w:pPr>
      <w:ind w:left="2500" w:leftChars="2500"/>
    </w:pPr>
    <w:rPr>
      <w:rFonts w:eastAsia="楷体_GB2312"/>
      <w:sz w:val="32"/>
      <w:szCs w:val="20"/>
    </w:rPr>
  </w:style>
  <w:style w:type="paragraph" w:styleId="18">
    <w:name w:val="Body Text Indent 2"/>
    <w:basedOn w:val="1"/>
    <w:qFormat/>
    <w:uiPriority w:val="0"/>
    <w:pPr>
      <w:spacing w:line="480" w:lineRule="auto"/>
      <w:ind w:left="420" w:leftChars="200"/>
    </w:p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4"/>
    <w:basedOn w:val="1"/>
    <w:next w:val="1"/>
    <w:qFormat/>
    <w:uiPriority w:val="0"/>
    <w:pPr>
      <w:wordWrap w:val="0"/>
      <w:ind w:left="850"/>
    </w:pPr>
    <w:rPr>
      <w:rFonts w:ascii="Calibri" w:hAnsi="Calibri"/>
    </w:rPr>
  </w:style>
  <w:style w:type="paragraph" w:styleId="22">
    <w:name w:val="toc 2"/>
    <w:basedOn w:val="1"/>
    <w:next w:val="1"/>
    <w:qFormat/>
    <w:uiPriority w:val="0"/>
    <w:pPr>
      <w:ind w:left="420" w:leftChars="200"/>
    </w:pPr>
  </w:style>
  <w:style w:type="paragraph" w:styleId="23">
    <w:name w:val="Normal (Web)"/>
    <w:basedOn w:val="1"/>
    <w:qFormat/>
    <w:uiPriority w:val="0"/>
    <w:pPr>
      <w:spacing w:before="100" w:beforeAutospacing="1" w:after="100" w:afterAutospacing="1"/>
      <w:jc w:val="left"/>
    </w:pPr>
    <w:rPr>
      <w:kern w:val="0"/>
      <w:sz w:val="24"/>
    </w:rPr>
  </w:style>
  <w:style w:type="paragraph" w:styleId="24">
    <w:name w:val="Title"/>
    <w:basedOn w:val="1"/>
    <w:next w:val="1"/>
    <w:qFormat/>
    <w:uiPriority w:val="99"/>
    <w:pPr>
      <w:jc w:val="center"/>
      <w:outlineLvl w:val="0"/>
    </w:pPr>
    <w:rPr>
      <w:rFonts w:ascii="Cambria" w:hAnsi="Cambria"/>
      <w:b/>
      <w:bCs/>
      <w:sz w:val="32"/>
      <w:szCs w:val="32"/>
    </w:rPr>
  </w:style>
  <w:style w:type="paragraph" w:styleId="25">
    <w:name w:val="Body Text First Indent 2"/>
    <w:basedOn w:val="6"/>
    <w:next w:val="11"/>
    <w:qFormat/>
    <w:uiPriority w:val="0"/>
    <w:pPr>
      <w:ind w:firstLine="420"/>
    </w:pPr>
    <w:rPr>
      <w:sz w:val="21"/>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rPr>
      <w:rFonts w:ascii="Arial" w:hAnsi="Arial" w:eastAsia="黑体" w:cs="Arial"/>
      <w:snapToGrid w:val="0"/>
      <w:kern w:val="0"/>
      <w:szCs w:val="21"/>
    </w:rPr>
  </w:style>
  <w:style w:type="character" w:styleId="30">
    <w:name w:val="Hyperlink"/>
    <w:qFormat/>
    <w:uiPriority w:val="99"/>
    <w:rPr>
      <w:rFonts w:ascii="Arial" w:hAnsi="Arial" w:eastAsia="黑体" w:cs="Arial"/>
      <w:snapToGrid w:val="0"/>
      <w:color w:val="000000"/>
      <w:kern w:val="0"/>
      <w:sz w:val="18"/>
      <w:szCs w:val="18"/>
      <w:u w:val="none"/>
    </w:rPr>
  </w:style>
  <w:style w:type="paragraph" w:customStyle="1" w:styleId="3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32">
    <w:name w:val="Default"/>
    <w:next w:val="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34">
    <w:name w:val="正文文本首行缩进 21"/>
    <w:basedOn w:val="6"/>
    <w:qFormat/>
    <w:uiPriority w:val="99"/>
    <w:pPr>
      <w:spacing w:line="200" w:lineRule="atLeast"/>
      <w:ind w:firstLine="420"/>
    </w:pPr>
  </w:style>
  <w:style w:type="paragraph" w:customStyle="1" w:styleId="35">
    <w:name w:val="表格文字"/>
    <w:basedOn w:val="1"/>
    <w:next w:val="10"/>
    <w:qFormat/>
    <w:uiPriority w:val="99"/>
    <w:pPr>
      <w:spacing w:line="420" w:lineRule="atLeast"/>
      <w:textAlignment w:val="baseline"/>
    </w:pPr>
    <w:rPr>
      <w:rFonts w:ascii="Calibri" w:hAnsi="Calibri"/>
    </w:rPr>
  </w:style>
  <w:style w:type="paragraph" w:customStyle="1" w:styleId="36">
    <w:name w:val="BodyText1I2"/>
    <w:basedOn w:val="37"/>
    <w:qFormat/>
    <w:uiPriority w:val="0"/>
    <w:pPr>
      <w:spacing w:after="120" w:line="240" w:lineRule="auto"/>
      <w:ind w:left="200" w:leftChars="200" w:firstLine="200" w:firstLineChars="200"/>
      <w:textAlignment w:val="baseline"/>
    </w:pPr>
    <w:rPr>
      <w:rFonts w:ascii="Calibri" w:hAnsi="Calibri"/>
      <w:sz w:val="21"/>
      <w:szCs w:val="22"/>
    </w:rPr>
  </w:style>
  <w:style w:type="paragraph" w:customStyle="1" w:styleId="37">
    <w:name w:val="BodyTextIndent"/>
    <w:basedOn w:val="1"/>
    <w:qFormat/>
    <w:uiPriority w:val="0"/>
    <w:pPr>
      <w:spacing w:line="200" w:lineRule="exact"/>
      <w:ind w:firstLine="301"/>
    </w:pPr>
    <w:rPr>
      <w:rFonts w:ascii="宋体" w:hAnsi="Courier New"/>
      <w:spacing w:val="-4"/>
      <w:sz w:val="18"/>
    </w:rPr>
  </w:style>
  <w:style w:type="paragraph" w:customStyle="1" w:styleId="3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9">
    <w:name w:val="正文2"/>
    <w:basedOn w:val="1"/>
    <w:qFormat/>
    <w:uiPriority w:val="0"/>
    <w:pPr>
      <w:spacing w:before="156" w:line="360" w:lineRule="auto"/>
      <w:ind w:firstLine="510" w:firstLineChars="200"/>
    </w:pPr>
    <w:rPr>
      <w:sz w:val="24"/>
      <w:szCs w:val="20"/>
    </w:rPr>
  </w:style>
  <w:style w:type="character" w:customStyle="1" w:styleId="40">
    <w:name w:val="NormalCharacter"/>
    <w:qFormat/>
    <w:uiPriority w:val="0"/>
  </w:style>
  <w:style w:type="paragraph" w:customStyle="1" w:styleId="4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43">
    <w:name w:val="font01"/>
    <w:basedOn w:val="28"/>
    <w:qFormat/>
    <w:uiPriority w:val="0"/>
    <w:rPr>
      <w:rFonts w:hint="eastAsia" w:ascii="仿宋" w:hAnsi="仿宋" w:eastAsia="仿宋" w:cs="仿宋"/>
      <w:color w:val="000000"/>
      <w:sz w:val="20"/>
      <w:szCs w:val="20"/>
      <w:u w:val="none"/>
    </w:rPr>
  </w:style>
  <w:style w:type="paragraph" w:customStyle="1" w:styleId="44">
    <w:name w:val="_正文"/>
    <w:basedOn w:val="1"/>
    <w:qFormat/>
    <w:uiPriority w:val="0"/>
    <w:pPr>
      <w:tabs>
        <w:tab w:val="left" w:pos="540"/>
      </w:tabs>
      <w:spacing w:line="360" w:lineRule="auto"/>
      <w:ind w:firstLine="200" w:firstLineChars="200"/>
    </w:pPr>
    <w:rPr>
      <w:rFonts w:cs="Arial"/>
      <w:sz w:val="24"/>
    </w:rPr>
  </w:style>
  <w:style w:type="paragraph" w:customStyle="1" w:styleId="45">
    <w:name w:val="样式 列表编号 + 段后: 0.5 行"/>
    <w:basedOn w:val="7"/>
    <w:qFormat/>
    <w:uiPriority w:val="0"/>
    <w:pPr>
      <w:ind w:left="720"/>
    </w:pPr>
  </w:style>
  <w:style w:type="paragraph" w:customStyle="1" w:styleId="46">
    <w:name w:val="Table caption|1"/>
    <w:basedOn w:val="1"/>
    <w:qFormat/>
    <w:uiPriority w:val="0"/>
    <w:pPr>
      <w:spacing w:line="463" w:lineRule="auto"/>
      <w:ind w:firstLine="400"/>
    </w:pPr>
    <w:rPr>
      <w:sz w:val="20"/>
      <w:szCs w:val="20"/>
      <w:lang w:val="zh-TW" w:eastAsia="zh-TW" w:bidi="zh-TW"/>
    </w:rPr>
  </w:style>
  <w:style w:type="paragraph" w:customStyle="1" w:styleId="47">
    <w:name w:val="Table Paragraph"/>
    <w:basedOn w:val="1"/>
    <w:qFormat/>
    <w:uiPriority w:val="1"/>
  </w:style>
  <w:style w:type="paragraph" w:customStyle="1" w:styleId="48">
    <w:name w:val="DG正文"/>
    <w:basedOn w:val="1"/>
    <w:qFormat/>
    <w:uiPriority w:val="99"/>
    <w:pPr>
      <w:widowControl/>
      <w:spacing w:line="360" w:lineRule="auto"/>
      <w:ind w:right="142" w:firstLine="640"/>
      <w:jc w:val="left"/>
    </w:pPr>
    <w:rPr>
      <w:rFonts w:ascii="Calibri" w:hAnsi="Calibri" w:cs="Calibri"/>
    </w:rPr>
  </w:style>
  <w:style w:type="paragraph" w:customStyle="1" w:styleId="49">
    <w:name w:val="WPSOffice手动目录 1"/>
    <w:qFormat/>
    <w:uiPriority w:val="0"/>
    <w:rPr>
      <w:rFonts w:asciiTheme="minorHAnsi" w:hAnsiTheme="minorHAnsi" w:eastAsiaTheme="minorEastAsia" w:cstheme="minorBidi"/>
      <w:lang w:val="en-US" w:eastAsia="zh-CN" w:bidi="ar-SA"/>
    </w:rPr>
  </w:style>
  <w:style w:type="character" w:customStyle="1" w:styleId="50">
    <w:name w:val="font11"/>
    <w:basedOn w:val="28"/>
    <w:qFormat/>
    <w:uiPriority w:val="0"/>
    <w:rPr>
      <w:rFonts w:hint="eastAsia" w:ascii="宋体" w:hAnsi="宋体" w:eastAsia="宋体" w:cs="宋体"/>
      <w:color w:val="FF0000"/>
      <w:sz w:val="24"/>
      <w:szCs w:val="24"/>
      <w:u w:val="none"/>
    </w:rPr>
  </w:style>
  <w:style w:type="character" w:customStyle="1" w:styleId="51">
    <w:name w:val="font71"/>
    <w:basedOn w:val="28"/>
    <w:qFormat/>
    <w:uiPriority w:val="0"/>
    <w:rPr>
      <w:rFonts w:hint="eastAsia" w:ascii="宋体" w:hAnsi="宋体" w:eastAsia="宋体" w:cs="宋体"/>
      <w:color w:val="FF0000"/>
      <w:sz w:val="24"/>
      <w:szCs w:val="24"/>
      <w:u w:val="none"/>
    </w:rPr>
  </w:style>
  <w:style w:type="character" w:customStyle="1" w:styleId="52">
    <w:name w:val="font61"/>
    <w:basedOn w:val="28"/>
    <w:qFormat/>
    <w:uiPriority w:val="0"/>
    <w:rPr>
      <w:rFonts w:hint="eastAsia" w:ascii="宋体" w:hAnsi="宋体" w:eastAsia="宋体" w:cs="宋体"/>
      <w:color w:val="000000"/>
      <w:sz w:val="24"/>
      <w:szCs w:val="24"/>
      <w:u w:val="none"/>
    </w:rPr>
  </w:style>
  <w:style w:type="character" w:customStyle="1" w:styleId="53">
    <w:name w:val="font21"/>
    <w:basedOn w:val="28"/>
    <w:qFormat/>
    <w:uiPriority w:val="0"/>
    <w:rPr>
      <w:rFonts w:hint="eastAsia" w:ascii="宋体" w:hAnsi="宋体" w:eastAsia="宋体" w:cs="宋体"/>
      <w:color w:val="FF0000"/>
      <w:sz w:val="24"/>
      <w:szCs w:val="24"/>
      <w:u w:val="none"/>
    </w:rPr>
  </w:style>
  <w:style w:type="character" w:customStyle="1" w:styleId="54">
    <w:name w:val="font41"/>
    <w:basedOn w:val="28"/>
    <w:qFormat/>
    <w:uiPriority w:val="0"/>
    <w:rPr>
      <w:rFonts w:hint="eastAsia" w:ascii="宋体" w:hAnsi="宋体" w:eastAsia="宋体" w:cs="宋体"/>
      <w:color w:val="000000"/>
      <w:sz w:val="24"/>
      <w:szCs w:val="24"/>
      <w:u w:val="none"/>
    </w:rPr>
  </w:style>
  <w:style w:type="character" w:customStyle="1" w:styleId="55">
    <w:name w:val="font51"/>
    <w:basedOn w:val="28"/>
    <w:qFormat/>
    <w:uiPriority w:val="0"/>
    <w:rPr>
      <w:rFonts w:hint="eastAsia" w:ascii="宋体" w:hAnsi="宋体" w:eastAsia="宋体" w:cs="宋体"/>
      <w:color w:val="FF0000"/>
      <w:sz w:val="24"/>
      <w:szCs w:val="24"/>
      <w:u w:val="none"/>
    </w:rPr>
  </w:style>
  <w:style w:type="paragraph" w:customStyle="1" w:styleId="56">
    <w:name w:val="样式 宋体"/>
    <w:basedOn w:val="1"/>
    <w:next w:val="1"/>
    <w:qFormat/>
    <w:uiPriority w:val="0"/>
    <w:pPr>
      <w:widowControl/>
    </w:pPr>
    <w:rPr>
      <w:rFonts w:ascii="宋体"/>
      <w:color w:val="000000"/>
      <w:sz w:val="24"/>
      <w:szCs w:val="20"/>
    </w:rPr>
  </w:style>
  <w:style w:type="paragraph" w:customStyle="1" w:styleId="57">
    <w:name w:val="纯文本1"/>
    <w:basedOn w:val="58"/>
    <w:qFormat/>
    <w:uiPriority w:val="0"/>
    <w:pPr>
      <w:numPr>
        <w:ilvl w:val="0"/>
        <w:numId w:val="3"/>
      </w:numPr>
      <w:autoSpaceDE w:val="0"/>
      <w:autoSpaceDN w:val="0"/>
      <w:adjustRightInd w:val="0"/>
      <w:ind w:left="0" w:firstLine="0"/>
      <w:textAlignment w:val="baseline"/>
    </w:pPr>
    <w:rPr>
      <w:rFonts w:ascii="宋体" w:hAnsi="Tms Rmn"/>
      <w:kern w:val="0"/>
    </w:rPr>
  </w:style>
  <w:style w:type="paragraph" w:customStyle="1" w:styleId="58">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59">
    <w:name w:val="UserStyle_187"/>
    <w:qFormat/>
    <w:uiPriority w:val="0"/>
    <w:pPr>
      <w:spacing w:line="360" w:lineRule="auto"/>
      <w:jc w:val="both"/>
      <w:textAlignment w:val="baseline"/>
    </w:pPr>
    <w:rPr>
      <w:rFonts w:ascii="Calibri" w:hAnsi="Calibri" w:eastAsia="宋体" w:cs="Times New Roman"/>
      <w:kern w:val="2"/>
      <w:sz w:val="24"/>
      <w:szCs w:val="21"/>
      <w:lang w:val="en-US" w:eastAsia="zh-CN" w:bidi="ar-SA"/>
    </w:rPr>
  </w:style>
  <w:style w:type="paragraph" w:customStyle="1" w:styleId="60">
    <w:name w:val="NormalIndent"/>
    <w:basedOn w:val="1"/>
    <w:next w:val="37"/>
    <w:qFormat/>
    <w:uiPriority w:val="0"/>
    <w:pPr>
      <w:ind w:firstLine="420"/>
    </w:pPr>
  </w:style>
  <w:style w:type="character" w:customStyle="1" w:styleId="61">
    <w:name w:val="textfont1"/>
    <w:basedOn w:val="28"/>
    <w:qFormat/>
    <w:uiPriority w:val="0"/>
    <w:rPr>
      <w:rFonts w:ascii="Times New Roman" w:hAnsi="Times New Roman" w:eastAsia="宋体" w:cs="Times New Roman"/>
      <w:sz w:val="22"/>
      <w:szCs w:val="22"/>
    </w:rPr>
  </w:style>
  <w:style w:type="paragraph" w:customStyle="1" w:styleId="62">
    <w:name w:val="p0"/>
    <w:basedOn w:val="1"/>
    <w:qFormat/>
    <w:uiPriority w:val="0"/>
    <w:pPr>
      <w:widowControl/>
    </w:pPr>
    <w:rPr>
      <w:kern w:val="0"/>
      <w:szCs w:val="21"/>
    </w:rPr>
  </w:style>
  <w:style w:type="paragraph" w:customStyle="1" w:styleId="63">
    <w:name w:val="正文段"/>
    <w:basedOn w:val="1"/>
    <w:qFormat/>
    <w:uiPriority w:val="0"/>
    <w:pPr>
      <w:widowControl/>
      <w:snapToGrid w:val="0"/>
      <w:spacing w:after="50" w:afterLines="50"/>
      <w:ind w:firstLine="200" w:firstLineChars="200"/>
    </w:pPr>
    <w:rPr>
      <w:kern w:val="0"/>
      <w:sz w:val="24"/>
      <w:szCs w:val="20"/>
    </w:rPr>
  </w:style>
  <w:style w:type="paragraph" w:customStyle="1" w:styleId="64">
    <w:name w:val="样式4"/>
    <w:basedOn w:val="6"/>
    <w:qFormat/>
    <w:uiPriority w:val="0"/>
    <w:pPr>
      <w:snapToGrid w:val="0"/>
      <w:ind w:firstLine="539"/>
    </w:pPr>
    <w:rPr>
      <w:rFonts w:ascii="Times New Roman" w:hAnsi="Times New Roman" w:cs="Times New Roman"/>
    </w:rPr>
  </w:style>
  <w:style w:type="paragraph" w:customStyle="1" w:styleId="65">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_Style 3"/>
    <w:basedOn w:val="1"/>
    <w:qFormat/>
    <w:uiPriority w:val="0"/>
    <w:pPr>
      <w:ind w:firstLine="420" w:firstLineChars="200"/>
    </w:pPr>
    <w:rPr>
      <w:rFonts w:eastAsia="仿宋_GB2312"/>
      <w:sz w:val="28"/>
    </w:rPr>
  </w:style>
  <w:style w:type="paragraph" w:customStyle="1" w:styleId="67">
    <w:name w:val="列出段落1"/>
    <w:basedOn w:val="1"/>
    <w:qFormat/>
    <w:uiPriority w:val="99"/>
    <w:pPr>
      <w:ind w:firstLine="420" w:firstLineChars="200"/>
    </w:pPr>
  </w:style>
  <w:style w:type="paragraph" w:customStyle="1" w:styleId="68">
    <w:name w:val="纯文本_0_0"/>
    <w:basedOn w:val="1"/>
    <w:qFormat/>
    <w:uiPriority w:val="0"/>
    <w:pPr>
      <w:adjustRightInd/>
    </w:pPr>
    <w:rPr>
      <w:rFonts w:ascii="宋体" w:hAnsi="Courier New"/>
      <w:szCs w:val="21"/>
    </w:rPr>
  </w:style>
  <w:style w:type="paragraph" w:customStyle="1" w:styleId="69">
    <w:name w:val="纯文本11"/>
    <w:basedOn w:val="1"/>
    <w:qFormat/>
    <w:uiPriority w:val="0"/>
    <w:rPr>
      <w:rFonts w:ascii="宋体" w:hAnsi="Courier New"/>
      <w:kern w:val="0"/>
      <w:sz w:val="20"/>
      <w:szCs w:val="20"/>
    </w:rPr>
  </w:style>
  <w:style w:type="paragraph" w:customStyle="1" w:styleId="70">
    <w:name w:val="正文11"/>
    <w:basedOn w:val="1"/>
    <w:qFormat/>
    <w:uiPriority w:val="0"/>
    <w:pPr>
      <w:spacing w:line="360" w:lineRule="atLeast"/>
      <w:jc w:val="left"/>
    </w:pPr>
    <w:rPr>
      <w:rFonts w:eastAsia="Tahoma"/>
      <w:kern w:val="0"/>
      <w:sz w:val="24"/>
      <w:szCs w:val="20"/>
    </w:rPr>
  </w:style>
  <w:style w:type="paragraph" w:customStyle="1" w:styleId="71">
    <w:name w:val="Table Text"/>
    <w:basedOn w:val="1"/>
    <w:semiHidden/>
    <w:qFormat/>
    <w:uiPriority w:val="0"/>
    <w:rPr>
      <w:rFonts w:ascii="宋体" w:hAnsi="宋体" w:cs="宋体"/>
      <w:sz w:val="20"/>
      <w:szCs w:val="20"/>
      <w:lang w:eastAsia="en-US"/>
    </w:rPr>
  </w:style>
  <w:style w:type="table" w:customStyle="1" w:styleId="72">
    <w:name w:val="Table Normal"/>
    <w:semiHidden/>
    <w:unhideWhenUsed/>
    <w:qFormat/>
    <w:uiPriority w:val="0"/>
    <w:tblPr>
      <w:tblCellMar>
        <w:top w:w="0" w:type="dxa"/>
        <w:left w:w="0" w:type="dxa"/>
        <w:bottom w:w="0" w:type="dxa"/>
        <w:right w:w="0" w:type="dxa"/>
      </w:tblCellMar>
    </w:tblPr>
  </w:style>
  <w:style w:type="paragraph" w:customStyle="1" w:styleId="73">
    <w:name w:val="正文文本1"/>
    <w:basedOn w:val="1"/>
    <w:qFormat/>
    <w:uiPriority w:val="0"/>
    <w:pPr>
      <w:shd w:val="clear" w:color="auto" w:fill="FFFFFF"/>
      <w:spacing w:after="60" w:line="394" w:lineRule="exact"/>
      <w:ind w:hanging="520"/>
      <w:jc w:val="distribute"/>
    </w:pPr>
    <w:rPr>
      <w:rFonts w:hAnsi="宋体"/>
      <w:sz w:val="19"/>
      <w:szCs w:val="19"/>
    </w:rPr>
  </w:style>
  <w:style w:type="character" w:customStyle="1" w:styleId="74">
    <w:name w:val="font81"/>
    <w:basedOn w:val="28"/>
    <w:qFormat/>
    <w:uiPriority w:val="0"/>
    <w:rPr>
      <w:rFonts w:ascii="Arial" w:hAnsi="Arial" w:cs="Arial"/>
      <w:color w:val="000000"/>
      <w:sz w:val="20"/>
      <w:szCs w:val="20"/>
      <w:u w:val="none"/>
    </w:rPr>
  </w:style>
  <w:style w:type="character" w:customStyle="1" w:styleId="75">
    <w:name w:val="标题 1 Char Char"/>
    <w:basedOn w:val="28"/>
    <w:qFormat/>
    <w:uiPriority w:val="0"/>
    <w:rPr>
      <w:rFonts w:ascii="仿宋_GB2312" w:eastAsia="宋体"/>
      <w:spacing w:val="-2"/>
      <w:sz w:val="24"/>
      <w:szCs w:val="32"/>
      <w:lang w:val="en-US" w:eastAsia="zh-CN" w:bidi="ar-SA"/>
    </w:rPr>
  </w:style>
  <w:style w:type="paragraph" w:customStyle="1" w:styleId="76">
    <w:name w:val="正文_14"/>
    <w:qFormat/>
    <w:uiPriority w:val="0"/>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emf"/><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82141B-44A7-4D70-BAA9-FC71F1F28249}">
  <ds:schemaRefs/>
</ds:datastoreItem>
</file>

<file path=docProps/app.xml><?xml version="1.0" encoding="utf-8"?>
<Properties xmlns="http://schemas.openxmlformats.org/officeDocument/2006/extended-properties" xmlns:vt="http://schemas.openxmlformats.org/officeDocument/2006/docPropsVTypes">
  <Template>Normal</Template>
  <Pages>54</Pages>
  <Words>2346</Words>
  <Characters>2763</Characters>
  <Lines>276</Lines>
  <Paragraphs>77</Paragraphs>
  <TotalTime>1</TotalTime>
  <ScaleCrop>false</ScaleCrop>
  <LinksUpToDate>false</LinksUpToDate>
  <CharactersWithSpaces>2989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2023-06-28T09:50:00Z</dcterms:created>
  <dc:creator>心雨</dc:creator>
  <cp:lastModifiedBy>Administrator</cp:lastModifiedBy>
  <cp:lastPrinted>2025-02-21T12:47:59Z</cp:lastPrinted>
  <dcterms:modified xsi:type="dcterms:W3CDTF">2025-02-21T13:17:38Z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CF9B7AF207944C81B551C036D0546F27_13</vt:lpwstr>
  </property>
  <property fmtid="{D5CDD505-2E9C-101B-9397-08002B2CF9AE}" pid="4" name="KSOTemplateDocerSaveRecord">
    <vt:lpwstr>eyJoZGlkIjoiNmJhODZlZDk3NTJjM2ZjNzAzOTFkOGEyYjliNWQyYmIiLCJ1c2VySWQiOiI1MDY4MzUwMzEifQ==</vt:lpwstr>
  </property>
</Properties>
</file>